
<file path=[Content_Types].xml><?xml version="1.0" encoding="utf-8"?>
<Types xmlns="http://schemas.openxmlformats.org/package/2006/content-types">
  <Default Extension="xml" ContentType="application/xml"/>
  <Default Extension="png" ContentType="image/png"/>
  <Default Extension="emf" ContentType="image/x-emf"/>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2BEA88">
      <w:pPr>
        <w:jc w:val="center"/>
        <w:rPr>
          <w:color w:val="auto"/>
          <w:sz w:val="32"/>
        </w:rPr>
      </w:pPr>
    </w:p>
    <w:p w14:paraId="6ADB7B82">
      <w:pPr>
        <w:jc w:val="center"/>
        <w:rPr>
          <w:color w:val="auto"/>
          <w:sz w:val="36"/>
        </w:rPr>
      </w:pPr>
    </w:p>
    <w:p w14:paraId="530B1E17">
      <w:pPr>
        <w:jc w:val="center"/>
        <w:rPr>
          <w:color w:val="auto"/>
          <w:sz w:val="36"/>
        </w:rPr>
      </w:pPr>
    </w:p>
    <w:p w14:paraId="18DE1E29">
      <w:pPr>
        <w:jc w:val="center"/>
        <w:rPr>
          <w:color w:val="auto"/>
          <w:sz w:val="36"/>
        </w:rPr>
      </w:pPr>
    </w:p>
    <w:p w14:paraId="458F003B">
      <w:pPr>
        <w:jc w:val="center"/>
        <w:rPr>
          <w:rFonts w:hint="eastAsia" w:eastAsia="宋体"/>
          <w:b/>
          <w:color w:val="auto"/>
          <w:sz w:val="36"/>
          <w:szCs w:val="36"/>
          <w:lang w:eastAsia="zh-CN"/>
        </w:rPr>
      </w:pPr>
      <w:r>
        <w:rPr>
          <w:rFonts w:hint="eastAsia"/>
          <w:b/>
          <w:color w:val="auto"/>
          <w:sz w:val="36"/>
          <w:szCs w:val="36"/>
          <w:lang w:eastAsia="zh-CN"/>
        </w:rPr>
        <w:t>鸡东县新泉采石场</w:t>
      </w:r>
      <w:r>
        <w:rPr>
          <w:rFonts w:hint="eastAsia"/>
          <w:b/>
          <w:color w:val="auto"/>
          <w:sz w:val="36"/>
          <w:szCs w:val="36"/>
          <w:lang w:val="en-US" w:eastAsia="zh-CN"/>
        </w:rPr>
        <w:t>固废回填</w:t>
      </w:r>
      <w:r>
        <w:rPr>
          <w:rFonts w:hint="eastAsia"/>
          <w:b/>
          <w:color w:val="auto"/>
          <w:sz w:val="36"/>
          <w:szCs w:val="36"/>
          <w:lang w:eastAsia="zh-CN"/>
        </w:rPr>
        <w:t>复垦项目</w:t>
      </w:r>
    </w:p>
    <w:p w14:paraId="0BBDD1F0">
      <w:pPr>
        <w:jc w:val="center"/>
        <w:rPr>
          <w:b/>
          <w:color w:val="auto"/>
          <w:sz w:val="36"/>
          <w:szCs w:val="36"/>
        </w:rPr>
      </w:pPr>
    </w:p>
    <w:p w14:paraId="7B18FF55">
      <w:pPr>
        <w:spacing w:line="720" w:lineRule="auto"/>
        <w:jc w:val="center"/>
        <w:rPr>
          <w:b/>
          <w:bCs/>
          <w:color w:val="auto"/>
          <w:spacing w:val="36"/>
          <w:sz w:val="84"/>
        </w:rPr>
      </w:pPr>
      <w:r>
        <w:rPr>
          <w:b/>
          <w:bCs/>
          <w:color w:val="auto"/>
          <w:spacing w:val="36"/>
          <w:sz w:val="84"/>
        </w:rPr>
        <w:t>环境影响报告书</w:t>
      </w:r>
    </w:p>
    <w:p w14:paraId="3791701B">
      <w:pPr>
        <w:spacing w:line="360" w:lineRule="auto"/>
        <w:jc w:val="center"/>
        <w:rPr>
          <w:b/>
          <w:bCs/>
          <w:color w:val="auto"/>
          <w:sz w:val="30"/>
          <w:szCs w:val="30"/>
        </w:rPr>
      </w:pPr>
    </w:p>
    <w:p w14:paraId="669000C0">
      <w:pPr>
        <w:jc w:val="center"/>
        <w:rPr>
          <w:color w:val="auto"/>
          <w:sz w:val="30"/>
        </w:rPr>
      </w:pPr>
    </w:p>
    <w:p w14:paraId="6CDD6696">
      <w:pPr>
        <w:jc w:val="center"/>
        <w:rPr>
          <w:color w:val="auto"/>
          <w:sz w:val="28"/>
        </w:rPr>
      </w:pPr>
    </w:p>
    <w:p w14:paraId="7D844633">
      <w:pPr>
        <w:jc w:val="center"/>
        <w:rPr>
          <w:b/>
          <w:color w:val="auto"/>
          <w:sz w:val="36"/>
          <w:szCs w:val="36"/>
        </w:rPr>
      </w:pPr>
    </w:p>
    <w:p w14:paraId="55B21FC3">
      <w:pPr>
        <w:jc w:val="center"/>
        <w:rPr>
          <w:color w:val="auto"/>
          <w:sz w:val="28"/>
        </w:rPr>
      </w:pPr>
    </w:p>
    <w:p w14:paraId="12F6376B">
      <w:pPr>
        <w:jc w:val="center"/>
        <w:rPr>
          <w:color w:val="auto"/>
          <w:sz w:val="28"/>
        </w:rPr>
      </w:pPr>
    </w:p>
    <w:p w14:paraId="44D49909">
      <w:pPr>
        <w:jc w:val="center"/>
        <w:rPr>
          <w:color w:val="auto"/>
          <w:sz w:val="28"/>
        </w:rPr>
      </w:pPr>
    </w:p>
    <w:p w14:paraId="1CC4A7FD">
      <w:pPr>
        <w:jc w:val="center"/>
        <w:rPr>
          <w:color w:val="auto"/>
          <w:sz w:val="28"/>
        </w:rPr>
      </w:pPr>
    </w:p>
    <w:p w14:paraId="13008B9D">
      <w:pPr>
        <w:jc w:val="center"/>
        <w:rPr>
          <w:color w:val="auto"/>
          <w:sz w:val="28"/>
        </w:rPr>
      </w:pPr>
    </w:p>
    <w:p w14:paraId="3A63E2E3">
      <w:pPr>
        <w:jc w:val="center"/>
        <w:rPr>
          <w:color w:val="auto"/>
          <w:sz w:val="28"/>
        </w:rPr>
      </w:pPr>
    </w:p>
    <w:p w14:paraId="54EEF2D3">
      <w:pPr>
        <w:jc w:val="center"/>
        <w:rPr>
          <w:b/>
          <w:color w:val="auto"/>
          <w:sz w:val="28"/>
        </w:rPr>
      </w:pPr>
      <w:bookmarkStart w:id="0" w:name="_Hlk148087278"/>
      <w:r>
        <w:rPr>
          <w:b/>
          <w:color w:val="auto"/>
          <w:sz w:val="28"/>
        </w:rPr>
        <w:t>建设单位：</w:t>
      </w:r>
      <w:r>
        <w:rPr>
          <w:rFonts w:hint="eastAsia"/>
          <w:b/>
          <w:color w:val="auto"/>
          <w:sz w:val="28"/>
          <w:lang w:eastAsia="zh-CN"/>
        </w:rPr>
        <w:t>鸡东县新泉采石场</w:t>
      </w:r>
    </w:p>
    <w:p w14:paraId="2639CF82">
      <w:pPr>
        <w:jc w:val="center"/>
        <w:rPr>
          <w:rFonts w:hint="default" w:eastAsia="宋体"/>
          <w:b/>
          <w:color w:val="auto"/>
          <w:sz w:val="28"/>
          <w:lang w:val="en-US" w:eastAsia="zh-CN"/>
        </w:rPr>
      </w:pPr>
      <w:r>
        <w:rPr>
          <w:rFonts w:hint="eastAsia"/>
          <w:b/>
          <w:color w:val="auto"/>
          <w:sz w:val="28"/>
          <w:lang w:val="en-US" w:eastAsia="zh-CN"/>
        </w:rPr>
        <w:t>编制单位</w:t>
      </w:r>
      <w:r>
        <w:rPr>
          <w:b/>
          <w:color w:val="auto"/>
          <w:sz w:val="28"/>
        </w:rPr>
        <w:t>：</w:t>
      </w:r>
      <w:r>
        <w:rPr>
          <w:rFonts w:hint="eastAsia"/>
          <w:b/>
          <w:color w:val="auto"/>
          <w:sz w:val="28"/>
          <w:lang w:val="en-US" w:eastAsia="zh-CN"/>
        </w:rPr>
        <w:t>黑龙江绿水环保服务有限公司</w:t>
      </w:r>
    </w:p>
    <w:p w14:paraId="59A7D685">
      <w:pPr>
        <w:jc w:val="center"/>
        <w:rPr>
          <w:b/>
          <w:color w:val="auto"/>
          <w:sz w:val="28"/>
        </w:rPr>
      </w:pPr>
      <w:r>
        <w:rPr>
          <w:b/>
          <w:color w:val="auto"/>
          <w:sz w:val="28"/>
        </w:rPr>
        <w:t>编制日期：202</w:t>
      </w:r>
      <w:r>
        <w:rPr>
          <w:rFonts w:hint="eastAsia"/>
          <w:b/>
          <w:color w:val="auto"/>
          <w:sz w:val="28"/>
          <w:lang w:val="en-US" w:eastAsia="zh-CN"/>
        </w:rPr>
        <w:t>6</w:t>
      </w:r>
      <w:r>
        <w:rPr>
          <w:b/>
          <w:color w:val="auto"/>
          <w:sz w:val="28"/>
        </w:rPr>
        <w:t>年</w:t>
      </w:r>
      <w:r>
        <w:rPr>
          <w:rFonts w:hint="eastAsia"/>
          <w:b/>
          <w:color w:val="auto"/>
          <w:sz w:val="28"/>
          <w:lang w:val="en-US" w:eastAsia="zh-CN"/>
        </w:rPr>
        <w:t>8</w:t>
      </w:r>
      <w:r>
        <w:rPr>
          <w:b/>
          <w:color w:val="auto"/>
          <w:sz w:val="28"/>
        </w:rPr>
        <w:t>月</w:t>
      </w:r>
    </w:p>
    <w:bookmarkEnd w:id="0"/>
    <w:p w14:paraId="67BA3292">
      <w:pPr>
        <w:widowControl/>
        <w:jc w:val="left"/>
        <w:rPr>
          <w:b/>
          <w:bCs/>
          <w:color w:val="auto"/>
          <w:sz w:val="28"/>
          <w:szCs w:val="28"/>
        </w:rPr>
      </w:pPr>
    </w:p>
    <w:p w14:paraId="5EDAF620">
      <w:pPr>
        <w:widowControl/>
        <w:jc w:val="left"/>
        <w:rPr>
          <w:rFonts w:hint="eastAsia" w:eastAsia="宋体"/>
          <w:b/>
          <w:bCs/>
          <w:color w:val="auto"/>
          <w:sz w:val="28"/>
          <w:szCs w:val="28"/>
          <w:lang w:eastAsia="zh-CN"/>
        </w:rPr>
        <w:sectPr>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pgNumType w:fmt="upperRoman" w:start="1"/>
          <w:cols w:space="720" w:num="1"/>
          <w:docGrid w:type="lines" w:linePitch="312" w:charSpace="0"/>
        </w:sectPr>
      </w:pPr>
    </w:p>
    <w:p w14:paraId="033EE650">
      <w:pPr>
        <w:spacing w:line="500" w:lineRule="exact"/>
        <w:jc w:val="center"/>
        <w:rPr>
          <w:rFonts w:ascii="黑体" w:hAnsi="黑体" w:eastAsia="黑体"/>
          <w:b/>
          <w:snapToGrid w:val="0"/>
          <w:color w:val="auto"/>
          <w:kern w:val="0"/>
          <w:sz w:val="30"/>
          <w:szCs w:val="30"/>
        </w:rPr>
      </w:pPr>
      <w:bookmarkStart w:id="1" w:name="_Toc479252796"/>
      <w:r>
        <w:rPr>
          <w:rFonts w:ascii="黑体" w:hAnsi="黑体" w:eastAsia="黑体"/>
          <w:b/>
          <w:snapToGrid w:val="0"/>
          <w:color w:val="auto"/>
          <w:kern w:val="0"/>
          <w:sz w:val="30"/>
          <w:szCs w:val="30"/>
        </w:rPr>
        <w:t>目</w:t>
      </w:r>
      <w:r>
        <w:rPr>
          <w:rFonts w:hint="eastAsia" w:ascii="黑体" w:hAnsi="黑体" w:eastAsia="黑体"/>
          <w:b/>
          <w:snapToGrid w:val="0"/>
          <w:color w:val="auto"/>
          <w:kern w:val="0"/>
          <w:sz w:val="30"/>
          <w:szCs w:val="30"/>
        </w:rPr>
        <w:t xml:space="preserve"> </w:t>
      </w:r>
      <w:r>
        <w:rPr>
          <w:rFonts w:ascii="黑体" w:hAnsi="黑体" w:eastAsia="黑体"/>
          <w:b/>
          <w:snapToGrid w:val="0"/>
          <w:color w:val="auto"/>
          <w:kern w:val="0"/>
          <w:sz w:val="30"/>
          <w:szCs w:val="30"/>
        </w:rPr>
        <w:t>录</w:t>
      </w:r>
    </w:p>
    <w:p w14:paraId="5108E3FC">
      <w:pPr>
        <w:pStyle w:val="33"/>
        <w:rPr>
          <w:rFonts w:eastAsiaTheme="minorEastAsia"/>
          <w:bCs w:val="0"/>
          <w:iCs w:val="0"/>
          <w:color w:val="auto"/>
          <w:kern w:val="2"/>
          <w:sz w:val="21"/>
          <w:szCs w:val="22"/>
          <w14:ligatures w14:val="standardContextual"/>
        </w:rPr>
      </w:pPr>
      <w:r>
        <w:rPr>
          <w:rFonts w:eastAsiaTheme="minorEastAsia"/>
          <w:b/>
          <w:snapToGrid w:val="0"/>
          <w:color w:val="auto"/>
          <w:sz w:val="22"/>
          <w:szCs w:val="22"/>
        </w:rPr>
        <w:fldChar w:fldCharType="begin"/>
      </w:r>
      <w:r>
        <w:rPr>
          <w:rFonts w:eastAsiaTheme="minorEastAsia"/>
          <w:b/>
          <w:snapToGrid w:val="0"/>
          <w:color w:val="auto"/>
          <w:sz w:val="22"/>
          <w:szCs w:val="22"/>
        </w:rPr>
        <w:instrText xml:space="preserve"> TOC \o "1-2" \h \z \u </w:instrText>
      </w:r>
      <w:r>
        <w:rPr>
          <w:rFonts w:eastAsiaTheme="minorEastAsia"/>
          <w:b/>
          <w:snapToGrid w:val="0"/>
          <w:color w:val="auto"/>
          <w:sz w:val="22"/>
          <w:szCs w:val="22"/>
        </w:rPr>
        <w:fldChar w:fldCharType="separate"/>
      </w:r>
      <w:r>
        <w:rPr>
          <w:color w:val="auto"/>
        </w:rPr>
        <w:fldChar w:fldCharType="begin"/>
      </w:r>
      <w:r>
        <w:rPr>
          <w:color w:val="auto"/>
        </w:rPr>
        <w:instrText xml:space="preserve"> HYPERLINK \l "_Toc149054183" </w:instrText>
      </w:r>
      <w:r>
        <w:rPr>
          <w:color w:val="auto"/>
        </w:rPr>
        <w:fldChar w:fldCharType="separate"/>
      </w:r>
      <w:r>
        <w:rPr>
          <w:rStyle w:val="56"/>
          <w:rFonts w:eastAsiaTheme="minorEastAsia"/>
          <w:color w:val="auto"/>
        </w:rPr>
        <w:t>1概述</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_Toc149054183 \h </w:instrText>
      </w:r>
      <w:r>
        <w:rPr>
          <w:rFonts w:eastAsiaTheme="minorEastAsia"/>
          <w:color w:val="auto"/>
        </w:rPr>
        <w:fldChar w:fldCharType="separate"/>
      </w:r>
      <w:r>
        <w:rPr>
          <w:rFonts w:eastAsiaTheme="minorEastAsia"/>
          <w:color w:val="auto"/>
        </w:rPr>
        <w:t>1</w:t>
      </w:r>
      <w:r>
        <w:rPr>
          <w:rFonts w:eastAsiaTheme="minorEastAsia"/>
          <w:color w:val="auto"/>
        </w:rPr>
        <w:fldChar w:fldCharType="end"/>
      </w:r>
      <w:r>
        <w:rPr>
          <w:rFonts w:eastAsiaTheme="minorEastAsia"/>
          <w:color w:val="auto"/>
        </w:rPr>
        <w:fldChar w:fldCharType="end"/>
      </w:r>
    </w:p>
    <w:p w14:paraId="7F3DED68">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"_Toc149054184" </w:instrText>
      </w:r>
      <w:r>
        <w:rPr>
          <w:color w:val="auto"/>
        </w:rPr>
        <w:fldChar w:fldCharType="separate"/>
      </w:r>
      <w:r>
        <w:rPr>
          <w:rStyle w:val="56"/>
          <w:rFonts w:eastAsiaTheme="minorEastAsia"/>
          <w:color w:val="auto"/>
        </w:rPr>
        <w:t>1.1项目由来</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_Toc149054184 \h </w:instrText>
      </w:r>
      <w:r>
        <w:rPr>
          <w:rFonts w:eastAsiaTheme="minorEastAsia"/>
          <w:color w:val="auto"/>
        </w:rPr>
        <w:fldChar w:fldCharType="separate"/>
      </w:r>
      <w:r>
        <w:rPr>
          <w:rFonts w:eastAsiaTheme="minorEastAsia"/>
          <w:color w:val="auto"/>
        </w:rPr>
        <w:t>1</w:t>
      </w:r>
      <w:r>
        <w:rPr>
          <w:rFonts w:eastAsiaTheme="minorEastAsia"/>
          <w:color w:val="auto"/>
        </w:rPr>
        <w:fldChar w:fldCharType="end"/>
      </w:r>
      <w:r>
        <w:rPr>
          <w:rFonts w:eastAsiaTheme="minorEastAsia"/>
          <w:color w:val="auto"/>
        </w:rPr>
        <w:fldChar w:fldCharType="end"/>
      </w:r>
    </w:p>
    <w:p w14:paraId="53BB9BFA">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"_Toc149054185" </w:instrText>
      </w:r>
      <w:r>
        <w:rPr>
          <w:color w:val="auto"/>
        </w:rPr>
        <w:fldChar w:fldCharType="separate"/>
      </w:r>
      <w:r>
        <w:rPr>
          <w:rStyle w:val="56"/>
          <w:rFonts w:eastAsiaTheme="minorEastAsia"/>
          <w:color w:val="auto"/>
        </w:rPr>
        <w:t>1.2项目特点</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_Toc149054185 \h </w:instrText>
      </w:r>
      <w:r>
        <w:rPr>
          <w:rFonts w:eastAsiaTheme="minorEastAsia"/>
          <w:color w:val="auto"/>
        </w:rPr>
        <w:fldChar w:fldCharType="separate"/>
      </w:r>
      <w:r>
        <w:rPr>
          <w:rFonts w:eastAsiaTheme="minorEastAsia"/>
          <w:color w:val="auto"/>
        </w:rPr>
        <w:t>2</w:t>
      </w:r>
      <w:r>
        <w:rPr>
          <w:rFonts w:eastAsiaTheme="minorEastAsia"/>
          <w:color w:val="auto"/>
        </w:rPr>
        <w:fldChar w:fldCharType="end"/>
      </w:r>
      <w:r>
        <w:rPr>
          <w:rFonts w:eastAsiaTheme="minorEastAsia"/>
          <w:color w:val="auto"/>
        </w:rPr>
        <w:fldChar w:fldCharType="end"/>
      </w:r>
    </w:p>
    <w:p w14:paraId="645D7301">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"_Toc149054186" </w:instrText>
      </w:r>
      <w:r>
        <w:rPr>
          <w:color w:val="auto"/>
        </w:rPr>
        <w:fldChar w:fldCharType="separate"/>
      </w:r>
      <w:r>
        <w:rPr>
          <w:rStyle w:val="56"/>
          <w:rFonts w:eastAsiaTheme="minorEastAsia"/>
          <w:color w:val="auto"/>
        </w:rPr>
        <w:t>1.3环境影响评价工作过程</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_Toc149054186 \h </w:instrText>
      </w:r>
      <w:r>
        <w:rPr>
          <w:rFonts w:eastAsiaTheme="minorEastAsia"/>
          <w:color w:val="auto"/>
        </w:rPr>
        <w:fldChar w:fldCharType="separate"/>
      </w:r>
      <w:r>
        <w:rPr>
          <w:rFonts w:eastAsiaTheme="minorEastAsia"/>
          <w:color w:val="auto"/>
        </w:rPr>
        <w:t>5</w:t>
      </w:r>
      <w:r>
        <w:rPr>
          <w:rFonts w:eastAsiaTheme="minorEastAsia"/>
          <w:color w:val="auto"/>
        </w:rPr>
        <w:fldChar w:fldCharType="end"/>
      </w:r>
      <w:r>
        <w:rPr>
          <w:rFonts w:eastAsiaTheme="minorEastAsia"/>
          <w:color w:val="auto"/>
        </w:rPr>
        <w:fldChar w:fldCharType="end"/>
      </w:r>
    </w:p>
    <w:p w14:paraId="6515AA16">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"_Toc149054187" </w:instrText>
      </w:r>
      <w:r>
        <w:rPr>
          <w:color w:val="auto"/>
        </w:rPr>
        <w:fldChar w:fldCharType="separate"/>
      </w:r>
      <w:r>
        <w:rPr>
          <w:rStyle w:val="56"/>
          <w:rFonts w:eastAsiaTheme="minorEastAsia"/>
          <w:color w:val="auto"/>
        </w:rPr>
        <w:t>1.4分析判定相关情况</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_Toc149054187 \h </w:instrText>
      </w:r>
      <w:r>
        <w:rPr>
          <w:rFonts w:eastAsiaTheme="minorEastAsia"/>
          <w:color w:val="auto"/>
        </w:rPr>
        <w:fldChar w:fldCharType="separate"/>
      </w:r>
      <w:r>
        <w:rPr>
          <w:rFonts w:eastAsiaTheme="minorEastAsia"/>
          <w:color w:val="auto"/>
        </w:rPr>
        <w:t>7</w:t>
      </w:r>
      <w:r>
        <w:rPr>
          <w:rFonts w:eastAsiaTheme="minorEastAsia"/>
          <w:color w:val="auto"/>
        </w:rPr>
        <w:fldChar w:fldCharType="end"/>
      </w:r>
      <w:r>
        <w:rPr>
          <w:rFonts w:eastAsiaTheme="minorEastAsia"/>
          <w:color w:val="auto"/>
        </w:rPr>
        <w:fldChar w:fldCharType="end"/>
      </w:r>
    </w:p>
    <w:p w14:paraId="341559C3">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"_Toc149054188" </w:instrText>
      </w:r>
      <w:r>
        <w:rPr>
          <w:color w:val="auto"/>
        </w:rPr>
        <w:fldChar w:fldCharType="separate"/>
      </w:r>
      <w:r>
        <w:rPr>
          <w:rStyle w:val="56"/>
          <w:rFonts w:eastAsiaTheme="minorEastAsia"/>
          <w:color w:val="auto"/>
        </w:rPr>
        <w:t>1.5关注的主要环境问题</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_Toc149054188 \h </w:instrText>
      </w:r>
      <w:r>
        <w:rPr>
          <w:rFonts w:eastAsiaTheme="minorEastAsia"/>
          <w:color w:val="auto"/>
        </w:rPr>
        <w:fldChar w:fldCharType="separate"/>
      </w:r>
      <w:r>
        <w:rPr>
          <w:rFonts w:eastAsiaTheme="minorEastAsia"/>
          <w:color w:val="auto"/>
        </w:rPr>
        <w:t>24</w:t>
      </w:r>
      <w:r>
        <w:rPr>
          <w:rFonts w:eastAsiaTheme="minorEastAsia"/>
          <w:color w:val="auto"/>
        </w:rPr>
        <w:fldChar w:fldCharType="end"/>
      </w:r>
      <w:r>
        <w:rPr>
          <w:rFonts w:eastAsiaTheme="minorEastAsia"/>
          <w:color w:val="auto"/>
        </w:rPr>
        <w:fldChar w:fldCharType="end"/>
      </w:r>
    </w:p>
    <w:p w14:paraId="03AB7D0E">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"_Toc149054189" </w:instrText>
      </w:r>
      <w:r>
        <w:rPr>
          <w:color w:val="auto"/>
        </w:rPr>
        <w:fldChar w:fldCharType="separate"/>
      </w:r>
      <w:r>
        <w:rPr>
          <w:rStyle w:val="56"/>
          <w:rFonts w:eastAsiaTheme="minorEastAsia"/>
          <w:color w:val="auto"/>
        </w:rPr>
        <w:t>1.6环境影响评价主要结论</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_Toc149054189 \h </w:instrText>
      </w:r>
      <w:r>
        <w:rPr>
          <w:rFonts w:eastAsiaTheme="minorEastAsia"/>
          <w:color w:val="auto"/>
        </w:rPr>
        <w:fldChar w:fldCharType="separate"/>
      </w:r>
      <w:r>
        <w:rPr>
          <w:rFonts w:eastAsiaTheme="minorEastAsia"/>
          <w:color w:val="auto"/>
        </w:rPr>
        <w:t>25</w:t>
      </w:r>
      <w:r>
        <w:rPr>
          <w:rFonts w:eastAsiaTheme="minorEastAsia"/>
          <w:color w:val="auto"/>
        </w:rPr>
        <w:fldChar w:fldCharType="end"/>
      </w:r>
      <w:r>
        <w:rPr>
          <w:rFonts w:eastAsiaTheme="minorEastAsia"/>
          <w:color w:val="auto"/>
        </w:rPr>
        <w:fldChar w:fldCharType="end"/>
      </w:r>
    </w:p>
    <w:p w14:paraId="7C889E05">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"_Toc149054190" </w:instrText>
      </w:r>
      <w:r>
        <w:rPr>
          <w:color w:val="auto"/>
        </w:rPr>
        <w:fldChar w:fldCharType="separate"/>
      </w:r>
      <w:r>
        <w:rPr>
          <w:rStyle w:val="56"/>
          <w:rFonts w:eastAsiaTheme="minorEastAsia"/>
          <w:color w:val="auto"/>
        </w:rPr>
        <w:t>2总则</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_Toc149054190 \h </w:instrText>
      </w:r>
      <w:r>
        <w:rPr>
          <w:rFonts w:eastAsiaTheme="minorEastAsia"/>
          <w:color w:val="auto"/>
        </w:rPr>
        <w:fldChar w:fldCharType="separate"/>
      </w:r>
      <w:r>
        <w:rPr>
          <w:rFonts w:eastAsiaTheme="minorEastAsia"/>
          <w:color w:val="auto"/>
        </w:rPr>
        <w:t>26</w:t>
      </w:r>
      <w:r>
        <w:rPr>
          <w:rFonts w:eastAsiaTheme="minorEastAsia"/>
          <w:color w:val="auto"/>
        </w:rPr>
        <w:fldChar w:fldCharType="end"/>
      </w:r>
      <w:r>
        <w:rPr>
          <w:rFonts w:eastAsiaTheme="minorEastAsia"/>
          <w:color w:val="auto"/>
        </w:rPr>
        <w:fldChar w:fldCharType="end"/>
      </w:r>
    </w:p>
    <w:p w14:paraId="472D6162">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"_Toc149054191" </w:instrText>
      </w:r>
      <w:r>
        <w:rPr>
          <w:color w:val="auto"/>
        </w:rPr>
        <w:fldChar w:fldCharType="separate"/>
      </w:r>
      <w:r>
        <w:rPr>
          <w:rStyle w:val="56"/>
          <w:rFonts w:eastAsiaTheme="minorEastAsia"/>
          <w:snapToGrid w:val="0"/>
          <w:color w:val="auto"/>
        </w:rPr>
        <w:t>2.1评价目的</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_Toc149054191 \h </w:instrText>
      </w:r>
      <w:r>
        <w:rPr>
          <w:rFonts w:eastAsiaTheme="minorEastAsia"/>
          <w:color w:val="auto"/>
        </w:rPr>
        <w:fldChar w:fldCharType="separate"/>
      </w:r>
      <w:r>
        <w:rPr>
          <w:rFonts w:eastAsiaTheme="minorEastAsia"/>
          <w:color w:val="auto"/>
        </w:rPr>
        <w:t>26</w:t>
      </w:r>
      <w:r>
        <w:rPr>
          <w:rFonts w:eastAsiaTheme="minorEastAsia"/>
          <w:color w:val="auto"/>
        </w:rPr>
        <w:fldChar w:fldCharType="end"/>
      </w:r>
      <w:r>
        <w:rPr>
          <w:rFonts w:eastAsiaTheme="minorEastAsia"/>
          <w:color w:val="auto"/>
        </w:rPr>
        <w:fldChar w:fldCharType="end"/>
      </w:r>
    </w:p>
    <w:p w14:paraId="3976969C">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"_Toc149054192" </w:instrText>
      </w:r>
      <w:r>
        <w:rPr>
          <w:color w:val="auto"/>
        </w:rPr>
        <w:fldChar w:fldCharType="separate"/>
      </w:r>
      <w:r>
        <w:rPr>
          <w:rStyle w:val="56"/>
          <w:rFonts w:eastAsiaTheme="minorEastAsia"/>
          <w:snapToGrid w:val="0"/>
          <w:color w:val="auto"/>
        </w:rPr>
        <w:t>2.2评价原则</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_Toc149054192 \h </w:instrText>
      </w:r>
      <w:r>
        <w:rPr>
          <w:rFonts w:eastAsiaTheme="minorEastAsia"/>
          <w:color w:val="auto"/>
        </w:rPr>
        <w:fldChar w:fldCharType="separate"/>
      </w:r>
      <w:r>
        <w:rPr>
          <w:rFonts w:eastAsiaTheme="minorEastAsia"/>
          <w:color w:val="auto"/>
        </w:rPr>
        <w:t>26</w:t>
      </w:r>
      <w:r>
        <w:rPr>
          <w:rFonts w:eastAsiaTheme="minorEastAsia"/>
          <w:color w:val="auto"/>
        </w:rPr>
        <w:fldChar w:fldCharType="end"/>
      </w:r>
      <w:r>
        <w:rPr>
          <w:rFonts w:eastAsiaTheme="minorEastAsia"/>
          <w:color w:val="auto"/>
        </w:rPr>
        <w:fldChar w:fldCharType="end"/>
      </w:r>
    </w:p>
    <w:p w14:paraId="534B068B">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"_Toc149054193" </w:instrText>
      </w:r>
      <w:r>
        <w:rPr>
          <w:color w:val="auto"/>
        </w:rPr>
        <w:fldChar w:fldCharType="separate"/>
      </w:r>
      <w:r>
        <w:rPr>
          <w:rStyle w:val="56"/>
          <w:rFonts w:eastAsiaTheme="minorEastAsia"/>
          <w:snapToGrid w:val="0"/>
          <w:color w:val="auto"/>
        </w:rPr>
        <w:t>2.3编制依据</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_Toc149054193 \h </w:instrText>
      </w:r>
      <w:r>
        <w:rPr>
          <w:rFonts w:eastAsiaTheme="minorEastAsia"/>
          <w:color w:val="auto"/>
        </w:rPr>
        <w:fldChar w:fldCharType="separate"/>
      </w:r>
      <w:r>
        <w:rPr>
          <w:rFonts w:eastAsiaTheme="minorEastAsia"/>
          <w:color w:val="auto"/>
        </w:rPr>
        <w:t>27</w:t>
      </w:r>
      <w:r>
        <w:rPr>
          <w:rFonts w:eastAsiaTheme="minorEastAsia"/>
          <w:color w:val="auto"/>
        </w:rPr>
        <w:fldChar w:fldCharType="end"/>
      </w:r>
      <w:r>
        <w:rPr>
          <w:rFonts w:eastAsiaTheme="minorEastAsia"/>
          <w:color w:val="auto"/>
        </w:rPr>
        <w:fldChar w:fldCharType="end"/>
      </w:r>
    </w:p>
    <w:p w14:paraId="6B90D039">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"_Toc149054194" </w:instrText>
      </w:r>
      <w:r>
        <w:rPr>
          <w:color w:val="auto"/>
        </w:rPr>
        <w:fldChar w:fldCharType="separate"/>
      </w:r>
      <w:r>
        <w:rPr>
          <w:rStyle w:val="56"/>
          <w:rFonts w:eastAsiaTheme="minorEastAsia"/>
          <w:color w:val="auto"/>
        </w:rPr>
        <w:t>2.4环境影响因素识别与评价因子筛选</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_Toc149054194 \h </w:instrText>
      </w:r>
      <w:r>
        <w:rPr>
          <w:rFonts w:eastAsiaTheme="minorEastAsia"/>
          <w:color w:val="auto"/>
        </w:rPr>
        <w:fldChar w:fldCharType="separate"/>
      </w:r>
      <w:r>
        <w:rPr>
          <w:rFonts w:eastAsiaTheme="minorEastAsia"/>
          <w:color w:val="auto"/>
        </w:rPr>
        <w:t>30</w:t>
      </w:r>
      <w:r>
        <w:rPr>
          <w:rFonts w:eastAsiaTheme="minorEastAsia"/>
          <w:color w:val="auto"/>
        </w:rPr>
        <w:fldChar w:fldCharType="end"/>
      </w:r>
      <w:r>
        <w:rPr>
          <w:rFonts w:eastAsiaTheme="minorEastAsia"/>
          <w:color w:val="auto"/>
        </w:rPr>
        <w:fldChar w:fldCharType="end"/>
      </w:r>
    </w:p>
    <w:p w14:paraId="678FAE38">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"_Toc149054195" </w:instrText>
      </w:r>
      <w:r>
        <w:rPr>
          <w:color w:val="auto"/>
        </w:rPr>
        <w:fldChar w:fldCharType="separate"/>
      </w:r>
      <w:r>
        <w:rPr>
          <w:rStyle w:val="56"/>
          <w:rFonts w:eastAsiaTheme="minorEastAsia"/>
          <w:color w:val="auto"/>
        </w:rPr>
        <w:t>2.5评价标准</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_Toc149054195 \h </w:instrText>
      </w:r>
      <w:r>
        <w:rPr>
          <w:rFonts w:eastAsiaTheme="minorEastAsia"/>
          <w:color w:val="auto"/>
        </w:rPr>
        <w:fldChar w:fldCharType="separate"/>
      </w:r>
      <w:r>
        <w:rPr>
          <w:rFonts w:eastAsiaTheme="minorEastAsia"/>
          <w:color w:val="auto"/>
        </w:rPr>
        <w:t>32</w:t>
      </w:r>
      <w:r>
        <w:rPr>
          <w:rFonts w:eastAsiaTheme="minorEastAsia"/>
          <w:color w:val="auto"/>
        </w:rPr>
        <w:fldChar w:fldCharType="end"/>
      </w:r>
      <w:r>
        <w:rPr>
          <w:rFonts w:eastAsiaTheme="minorEastAsia"/>
          <w:color w:val="auto"/>
        </w:rPr>
        <w:fldChar w:fldCharType="end"/>
      </w:r>
    </w:p>
    <w:p w14:paraId="3C6E024F">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"_Toc149054196" </w:instrText>
      </w:r>
      <w:r>
        <w:rPr>
          <w:color w:val="auto"/>
        </w:rPr>
        <w:fldChar w:fldCharType="separate"/>
      </w:r>
      <w:r>
        <w:rPr>
          <w:rStyle w:val="56"/>
          <w:rFonts w:eastAsiaTheme="minorEastAsia"/>
          <w:color w:val="auto"/>
        </w:rPr>
        <w:t>2.6评价工作等级</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_Toc149054196 \h </w:instrText>
      </w:r>
      <w:r>
        <w:rPr>
          <w:rFonts w:eastAsiaTheme="minorEastAsia"/>
          <w:color w:val="auto"/>
        </w:rPr>
        <w:fldChar w:fldCharType="separate"/>
      </w:r>
      <w:r>
        <w:rPr>
          <w:rFonts w:eastAsiaTheme="minorEastAsia"/>
          <w:color w:val="auto"/>
        </w:rPr>
        <w:t>36</w:t>
      </w:r>
      <w:r>
        <w:rPr>
          <w:rFonts w:eastAsiaTheme="minorEastAsia"/>
          <w:color w:val="auto"/>
        </w:rPr>
        <w:fldChar w:fldCharType="end"/>
      </w:r>
      <w:r>
        <w:rPr>
          <w:rFonts w:eastAsiaTheme="minorEastAsia"/>
          <w:color w:val="auto"/>
        </w:rPr>
        <w:fldChar w:fldCharType="end"/>
      </w:r>
    </w:p>
    <w:p w14:paraId="47EFD1FD">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"_Toc149054197" </w:instrText>
      </w:r>
      <w:r>
        <w:rPr>
          <w:color w:val="auto"/>
        </w:rPr>
        <w:fldChar w:fldCharType="separate"/>
      </w:r>
      <w:r>
        <w:rPr>
          <w:rStyle w:val="56"/>
          <w:rFonts w:eastAsiaTheme="minorEastAsia"/>
          <w:color w:val="auto"/>
        </w:rPr>
        <w:t>2.7评价范围及评价时段</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_Toc149054197 \h </w:instrText>
      </w:r>
      <w:r>
        <w:rPr>
          <w:rFonts w:eastAsiaTheme="minorEastAsia"/>
          <w:color w:val="auto"/>
        </w:rPr>
        <w:fldChar w:fldCharType="separate"/>
      </w:r>
      <w:r>
        <w:rPr>
          <w:rFonts w:eastAsiaTheme="minorEastAsia"/>
          <w:color w:val="auto"/>
        </w:rPr>
        <w:t>47</w:t>
      </w:r>
      <w:r>
        <w:rPr>
          <w:rFonts w:eastAsiaTheme="minorEastAsia"/>
          <w:color w:val="auto"/>
        </w:rPr>
        <w:fldChar w:fldCharType="end"/>
      </w:r>
      <w:r>
        <w:rPr>
          <w:rFonts w:eastAsiaTheme="minorEastAsia"/>
          <w:color w:val="auto"/>
        </w:rPr>
        <w:fldChar w:fldCharType="end"/>
      </w:r>
    </w:p>
    <w:p w14:paraId="7A317D74">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"_Toc149054198" </w:instrText>
      </w:r>
      <w:r>
        <w:rPr>
          <w:color w:val="auto"/>
        </w:rPr>
        <w:fldChar w:fldCharType="separate"/>
      </w:r>
      <w:r>
        <w:rPr>
          <w:rStyle w:val="56"/>
          <w:rFonts w:eastAsiaTheme="minorEastAsia"/>
          <w:color w:val="auto"/>
        </w:rPr>
        <w:t>2.8污染控制与环境保护目标</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_Toc149054198 \h </w:instrText>
      </w:r>
      <w:r>
        <w:rPr>
          <w:rFonts w:eastAsiaTheme="minorEastAsia"/>
          <w:color w:val="auto"/>
        </w:rPr>
        <w:fldChar w:fldCharType="separate"/>
      </w:r>
      <w:r>
        <w:rPr>
          <w:rFonts w:eastAsiaTheme="minorEastAsia"/>
          <w:color w:val="auto"/>
        </w:rPr>
        <w:t>48</w:t>
      </w:r>
      <w:r>
        <w:rPr>
          <w:rFonts w:eastAsiaTheme="minorEastAsia"/>
          <w:color w:val="auto"/>
        </w:rPr>
        <w:fldChar w:fldCharType="end"/>
      </w:r>
      <w:r>
        <w:rPr>
          <w:rFonts w:eastAsiaTheme="minorEastAsia"/>
          <w:color w:val="auto"/>
        </w:rPr>
        <w:fldChar w:fldCharType="end"/>
      </w:r>
    </w:p>
    <w:p w14:paraId="7CF12D20">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"_Toc149054199" </w:instrText>
      </w:r>
      <w:r>
        <w:rPr>
          <w:color w:val="auto"/>
        </w:rPr>
        <w:fldChar w:fldCharType="separate"/>
      </w:r>
      <w:r>
        <w:rPr>
          <w:rStyle w:val="56"/>
          <w:rFonts w:eastAsiaTheme="minorEastAsia"/>
          <w:color w:val="auto"/>
        </w:rPr>
        <w:t>3建设项目工程分析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_Toc149054199 \h </w:instrText>
      </w:r>
      <w:r>
        <w:rPr>
          <w:rFonts w:eastAsiaTheme="minorEastAsia"/>
          <w:color w:val="auto"/>
        </w:rPr>
        <w:fldChar w:fldCharType="separate"/>
      </w:r>
      <w:r>
        <w:rPr>
          <w:rFonts w:eastAsiaTheme="minorEastAsia"/>
          <w:color w:val="auto"/>
        </w:rPr>
        <w:t>53</w:t>
      </w:r>
      <w:r>
        <w:rPr>
          <w:rFonts w:eastAsiaTheme="minorEastAsia"/>
          <w:color w:val="auto"/>
        </w:rPr>
        <w:fldChar w:fldCharType="end"/>
      </w:r>
      <w:r>
        <w:rPr>
          <w:rFonts w:eastAsiaTheme="minorEastAsia"/>
          <w:color w:val="auto"/>
        </w:rPr>
        <w:fldChar w:fldCharType="end"/>
      </w:r>
    </w:p>
    <w:p w14:paraId="01BAC1A6">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"_Toc149054200" </w:instrText>
      </w:r>
      <w:r>
        <w:rPr>
          <w:color w:val="auto"/>
        </w:rPr>
        <w:fldChar w:fldCharType="separate"/>
      </w:r>
      <w:r>
        <w:rPr>
          <w:rStyle w:val="56"/>
          <w:rFonts w:eastAsiaTheme="minorEastAsia"/>
          <w:color w:val="auto"/>
        </w:rPr>
        <w:t>3.1项目概况</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_Toc149054200 \h </w:instrText>
      </w:r>
      <w:r>
        <w:rPr>
          <w:rFonts w:eastAsiaTheme="minorEastAsia"/>
          <w:color w:val="auto"/>
        </w:rPr>
        <w:fldChar w:fldCharType="separate"/>
      </w:r>
      <w:r>
        <w:rPr>
          <w:rFonts w:eastAsiaTheme="minorEastAsia"/>
          <w:color w:val="auto"/>
        </w:rPr>
        <w:t>53</w:t>
      </w:r>
      <w:r>
        <w:rPr>
          <w:rFonts w:eastAsiaTheme="minorEastAsia"/>
          <w:color w:val="auto"/>
        </w:rPr>
        <w:fldChar w:fldCharType="end"/>
      </w:r>
      <w:r>
        <w:rPr>
          <w:rFonts w:eastAsiaTheme="minorEastAsia"/>
          <w:color w:val="auto"/>
        </w:rPr>
        <w:fldChar w:fldCharType="end"/>
      </w:r>
    </w:p>
    <w:p w14:paraId="4993AED8">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"_Toc149054201" </w:instrText>
      </w:r>
      <w:r>
        <w:rPr>
          <w:color w:val="auto"/>
        </w:rPr>
        <w:fldChar w:fldCharType="separate"/>
      </w:r>
      <w:r>
        <w:rPr>
          <w:rStyle w:val="56"/>
          <w:rFonts w:eastAsiaTheme="minorEastAsia"/>
          <w:color w:val="auto"/>
        </w:rPr>
        <w:t>3.2工艺流程及产污环节</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_Toc149054201 \h </w:instrText>
      </w:r>
      <w:r>
        <w:rPr>
          <w:rFonts w:eastAsiaTheme="minorEastAsia"/>
          <w:color w:val="auto"/>
        </w:rPr>
        <w:fldChar w:fldCharType="separate"/>
      </w:r>
      <w:r>
        <w:rPr>
          <w:rFonts w:eastAsiaTheme="minorEastAsia"/>
          <w:color w:val="auto"/>
        </w:rPr>
        <w:t>70</w:t>
      </w:r>
      <w:r>
        <w:rPr>
          <w:rFonts w:eastAsiaTheme="minorEastAsia"/>
          <w:color w:val="auto"/>
        </w:rPr>
        <w:fldChar w:fldCharType="end"/>
      </w:r>
      <w:r>
        <w:rPr>
          <w:rFonts w:eastAsiaTheme="minorEastAsia"/>
          <w:color w:val="auto"/>
        </w:rPr>
        <w:fldChar w:fldCharType="end"/>
      </w:r>
    </w:p>
    <w:p w14:paraId="0FBD1D56">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"_Toc149054202" </w:instrText>
      </w:r>
      <w:r>
        <w:rPr>
          <w:color w:val="auto"/>
        </w:rPr>
        <w:fldChar w:fldCharType="separate"/>
      </w:r>
      <w:r>
        <w:rPr>
          <w:rStyle w:val="56"/>
          <w:rFonts w:eastAsiaTheme="minorEastAsia"/>
          <w:snapToGrid w:val="0"/>
          <w:color w:val="auto"/>
        </w:rPr>
        <w:t>3.3工程污染源强分析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_Toc149054202 \h </w:instrText>
      </w:r>
      <w:r>
        <w:rPr>
          <w:rFonts w:eastAsiaTheme="minorEastAsia"/>
          <w:color w:val="auto"/>
        </w:rPr>
        <w:fldChar w:fldCharType="separate"/>
      </w:r>
      <w:r>
        <w:rPr>
          <w:rFonts w:eastAsiaTheme="minorEastAsia"/>
          <w:color w:val="auto"/>
        </w:rPr>
        <w:t>74</w:t>
      </w:r>
      <w:r>
        <w:rPr>
          <w:rFonts w:eastAsiaTheme="minorEastAsia"/>
          <w:color w:val="auto"/>
        </w:rPr>
        <w:fldChar w:fldCharType="end"/>
      </w:r>
      <w:r>
        <w:rPr>
          <w:rFonts w:eastAsiaTheme="minorEastAsia"/>
          <w:color w:val="auto"/>
        </w:rPr>
        <w:fldChar w:fldCharType="end"/>
      </w:r>
    </w:p>
    <w:p w14:paraId="10DDA9BE">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"_Toc149054203" </w:instrText>
      </w:r>
      <w:r>
        <w:rPr>
          <w:color w:val="auto"/>
        </w:rPr>
        <w:fldChar w:fldCharType="separate"/>
      </w:r>
      <w:r>
        <w:rPr>
          <w:rStyle w:val="56"/>
          <w:rFonts w:eastAsiaTheme="minorEastAsia"/>
          <w:color w:val="auto"/>
        </w:rPr>
        <w:t>4环境现状调查与评价</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_Toc149054203 \h </w:instrText>
      </w:r>
      <w:r>
        <w:rPr>
          <w:rFonts w:eastAsiaTheme="minorEastAsia"/>
          <w:color w:val="auto"/>
        </w:rPr>
        <w:fldChar w:fldCharType="separate"/>
      </w:r>
      <w:r>
        <w:rPr>
          <w:rFonts w:eastAsiaTheme="minorEastAsia"/>
          <w:color w:val="auto"/>
        </w:rPr>
        <w:t>91</w:t>
      </w:r>
      <w:r>
        <w:rPr>
          <w:rFonts w:eastAsiaTheme="minorEastAsia"/>
          <w:color w:val="auto"/>
        </w:rPr>
        <w:fldChar w:fldCharType="end"/>
      </w:r>
      <w:r>
        <w:rPr>
          <w:rFonts w:eastAsiaTheme="minorEastAsia"/>
          <w:color w:val="auto"/>
        </w:rPr>
        <w:fldChar w:fldCharType="end"/>
      </w:r>
    </w:p>
    <w:p w14:paraId="37B41DBC">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"_Toc149054204" </w:instrText>
      </w:r>
      <w:r>
        <w:rPr>
          <w:color w:val="auto"/>
        </w:rPr>
        <w:fldChar w:fldCharType="separate"/>
      </w:r>
      <w:r>
        <w:rPr>
          <w:rStyle w:val="56"/>
          <w:rFonts w:eastAsiaTheme="minorEastAsia"/>
          <w:color w:val="auto"/>
        </w:rPr>
        <w:t>4.1自然环境概况</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_Toc149054204 \h </w:instrText>
      </w:r>
      <w:r>
        <w:rPr>
          <w:rFonts w:eastAsiaTheme="minorEastAsia"/>
          <w:color w:val="auto"/>
        </w:rPr>
        <w:fldChar w:fldCharType="separate"/>
      </w:r>
      <w:r>
        <w:rPr>
          <w:rFonts w:eastAsiaTheme="minorEastAsia"/>
          <w:color w:val="auto"/>
        </w:rPr>
        <w:t>91</w:t>
      </w:r>
      <w:r>
        <w:rPr>
          <w:rFonts w:eastAsiaTheme="minorEastAsia"/>
          <w:color w:val="auto"/>
        </w:rPr>
        <w:fldChar w:fldCharType="end"/>
      </w:r>
      <w:r>
        <w:rPr>
          <w:rFonts w:eastAsiaTheme="minorEastAsia"/>
          <w:color w:val="auto"/>
        </w:rPr>
        <w:fldChar w:fldCharType="end"/>
      </w:r>
    </w:p>
    <w:p w14:paraId="7BB218C0">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"_Toc149054205" </w:instrText>
      </w:r>
      <w:r>
        <w:rPr>
          <w:color w:val="auto"/>
        </w:rPr>
        <w:fldChar w:fldCharType="separate"/>
      </w:r>
      <w:r>
        <w:rPr>
          <w:rStyle w:val="56"/>
          <w:rFonts w:eastAsiaTheme="minorEastAsia"/>
          <w:color w:val="auto"/>
        </w:rPr>
        <w:t>4.2环境质量现状调查</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_Toc149054205 \h </w:instrText>
      </w:r>
      <w:r>
        <w:rPr>
          <w:rFonts w:eastAsiaTheme="minorEastAsia"/>
          <w:color w:val="auto"/>
        </w:rPr>
        <w:fldChar w:fldCharType="separate"/>
      </w:r>
      <w:r>
        <w:rPr>
          <w:rFonts w:eastAsiaTheme="minorEastAsia"/>
          <w:color w:val="auto"/>
        </w:rPr>
        <w:t>102</w:t>
      </w:r>
      <w:r>
        <w:rPr>
          <w:rFonts w:eastAsiaTheme="minorEastAsia"/>
          <w:color w:val="auto"/>
        </w:rPr>
        <w:fldChar w:fldCharType="end"/>
      </w:r>
      <w:r>
        <w:rPr>
          <w:rFonts w:eastAsiaTheme="minorEastAsia"/>
          <w:color w:val="auto"/>
        </w:rPr>
        <w:fldChar w:fldCharType="end"/>
      </w:r>
    </w:p>
    <w:p w14:paraId="5CA101D6">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"_Toc149054206" </w:instrText>
      </w:r>
      <w:r>
        <w:rPr>
          <w:color w:val="auto"/>
        </w:rPr>
        <w:fldChar w:fldCharType="separate"/>
      </w:r>
      <w:r>
        <w:rPr>
          <w:rStyle w:val="56"/>
          <w:rFonts w:eastAsiaTheme="minorEastAsia"/>
          <w:color w:val="auto"/>
        </w:rPr>
        <w:t>4.3区域污染源调查</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_Toc149054206 \h </w:instrText>
      </w:r>
      <w:r>
        <w:rPr>
          <w:rFonts w:eastAsiaTheme="minorEastAsia"/>
          <w:color w:val="auto"/>
        </w:rPr>
        <w:fldChar w:fldCharType="separate"/>
      </w:r>
      <w:r>
        <w:rPr>
          <w:rFonts w:eastAsiaTheme="minorEastAsia"/>
          <w:color w:val="auto"/>
        </w:rPr>
        <w:t>123</w:t>
      </w:r>
      <w:r>
        <w:rPr>
          <w:rFonts w:eastAsiaTheme="minorEastAsia"/>
          <w:color w:val="auto"/>
        </w:rPr>
        <w:fldChar w:fldCharType="end"/>
      </w:r>
      <w:r>
        <w:rPr>
          <w:rFonts w:eastAsiaTheme="minorEastAsia"/>
          <w:color w:val="auto"/>
        </w:rPr>
        <w:fldChar w:fldCharType="end"/>
      </w:r>
    </w:p>
    <w:p w14:paraId="1E2E1C6B">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"_Toc149054207" </w:instrText>
      </w:r>
      <w:r>
        <w:rPr>
          <w:color w:val="auto"/>
        </w:rPr>
        <w:fldChar w:fldCharType="separate"/>
      </w:r>
      <w:r>
        <w:rPr>
          <w:rStyle w:val="56"/>
          <w:rFonts w:eastAsiaTheme="minorEastAsia"/>
          <w:color w:val="auto"/>
        </w:rPr>
        <w:t>4.4环境敏感保护目标调查</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_Toc149054207 \h </w:instrText>
      </w:r>
      <w:r>
        <w:rPr>
          <w:rFonts w:eastAsiaTheme="minorEastAsia"/>
          <w:color w:val="auto"/>
        </w:rPr>
        <w:fldChar w:fldCharType="separate"/>
      </w:r>
      <w:r>
        <w:rPr>
          <w:rFonts w:eastAsiaTheme="minorEastAsia"/>
          <w:color w:val="auto"/>
        </w:rPr>
        <w:t>123</w:t>
      </w:r>
      <w:r>
        <w:rPr>
          <w:rFonts w:eastAsiaTheme="minorEastAsia"/>
          <w:color w:val="auto"/>
        </w:rPr>
        <w:fldChar w:fldCharType="end"/>
      </w:r>
      <w:r>
        <w:rPr>
          <w:rFonts w:eastAsiaTheme="minorEastAsia"/>
          <w:color w:val="auto"/>
        </w:rPr>
        <w:fldChar w:fldCharType="end"/>
      </w:r>
    </w:p>
    <w:p w14:paraId="6FAA19CE">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"_Toc149054208" </w:instrText>
      </w:r>
      <w:r>
        <w:rPr>
          <w:color w:val="auto"/>
        </w:rPr>
        <w:fldChar w:fldCharType="separate"/>
      </w:r>
      <w:r>
        <w:rPr>
          <w:rStyle w:val="56"/>
          <w:rFonts w:eastAsiaTheme="minorEastAsia"/>
          <w:color w:val="auto"/>
        </w:rPr>
        <w:t>5环境影响预测与评价</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_Toc149054208 \h </w:instrText>
      </w:r>
      <w:r>
        <w:rPr>
          <w:rFonts w:eastAsiaTheme="minorEastAsia"/>
          <w:color w:val="auto"/>
        </w:rPr>
        <w:fldChar w:fldCharType="separate"/>
      </w:r>
      <w:r>
        <w:rPr>
          <w:rFonts w:eastAsiaTheme="minorEastAsia"/>
          <w:color w:val="auto"/>
        </w:rPr>
        <w:t>125</w:t>
      </w:r>
      <w:r>
        <w:rPr>
          <w:rFonts w:eastAsiaTheme="minorEastAsia"/>
          <w:color w:val="auto"/>
        </w:rPr>
        <w:fldChar w:fldCharType="end"/>
      </w:r>
      <w:r>
        <w:rPr>
          <w:rFonts w:eastAsiaTheme="minorEastAsia"/>
          <w:color w:val="auto"/>
        </w:rPr>
        <w:fldChar w:fldCharType="end"/>
      </w:r>
    </w:p>
    <w:p w14:paraId="68699FA2">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"_Toc149054209" </w:instrText>
      </w:r>
      <w:r>
        <w:rPr>
          <w:color w:val="auto"/>
        </w:rPr>
        <w:fldChar w:fldCharType="separate"/>
      </w:r>
      <w:r>
        <w:rPr>
          <w:rStyle w:val="56"/>
          <w:rFonts w:eastAsiaTheme="minorEastAsia"/>
          <w:color w:val="auto"/>
        </w:rPr>
        <w:t>5.1施工期环境影响分析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_Toc149054209 \h </w:instrText>
      </w:r>
      <w:r>
        <w:rPr>
          <w:rFonts w:eastAsiaTheme="minorEastAsia"/>
          <w:color w:val="auto"/>
        </w:rPr>
        <w:fldChar w:fldCharType="separate"/>
      </w:r>
      <w:r>
        <w:rPr>
          <w:rFonts w:eastAsiaTheme="minorEastAsia"/>
          <w:color w:val="auto"/>
        </w:rPr>
        <w:t>125</w:t>
      </w:r>
      <w:r>
        <w:rPr>
          <w:rFonts w:eastAsiaTheme="minorEastAsia"/>
          <w:color w:val="auto"/>
        </w:rPr>
        <w:fldChar w:fldCharType="end"/>
      </w:r>
      <w:r>
        <w:rPr>
          <w:rFonts w:eastAsiaTheme="minorEastAsia"/>
          <w:color w:val="auto"/>
        </w:rPr>
        <w:fldChar w:fldCharType="end"/>
      </w:r>
    </w:p>
    <w:p w14:paraId="59FA871E">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"_Toc149054210" </w:instrText>
      </w:r>
      <w:r>
        <w:rPr>
          <w:color w:val="auto"/>
        </w:rPr>
        <w:fldChar w:fldCharType="separate"/>
      </w:r>
      <w:r>
        <w:rPr>
          <w:rStyle w:val="56"/>
          <w:rFonts w:eastAsiaTheme="minorEastAsia"/>
          <w:color w:val="auto"/>
        </w:rPr>
        <w:t>5.2回填复垦期环境影响预测与评价</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_Toc149054210 \h </w:instrText>
      </w:r>
      <w:r>
        <w:rPr>
          <w:rFonts w:eastAsiaTheme="minorEastAsia"/>
          <w:color w:val="auto"/>
        </w:rPr>
        <w:fldChar w:fldCharType="separate"/>
      </w:r>
      <w:r>
        <w:rPr>
          <w:rFonts w:eastAsiaTheme="minorEastAsia"/>
          <w:color w:val="auto"/>
        </w:rPr>
        <w:t>130</w:t>
      </w:r>
      <w:r>
        <w:rPr>
          <w:rFonts w:eastAsiaTheme="minorEastAsia"/>
          <w:color w:val="auto"/>
        </w:rPr>
        <w:fldChar w:fldCharType="end"/>
      </w:r>
      <w:r>
        <w:rPr>
          <w:rFonts w:eastAsiaTheme="minorEastAsia"/>
          <w:color w:val="auto"/>
        </w:rPr>
        <w:fldChar w:fldCharType="end"/>
      </w:r>
    </w:p>
    <w:p w14:paraId="005A10B0">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"_Toc149054211" </w:instrText>
      </w:r>
      <w:r>
        <w:rPr>
          <w:color w:val="auto"/>
        </w:rPr>
        <w:fldChar w:fldCharType="separate"/>
      </w:r>
      <w:r>
        <w:rPr>
          <w:rStyle w:val="56"/>
          <w:rFonts w:eastAsiaTheme="minorEastAsia"/>
          <w:snapToGrid w:val="0"/>
          <w:color w:val="auto"/>
        </w:rPr>
        <w:t>5.3生态恢复期影响分析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_Toc149054211 \h </w:instrText>
      </w:r>
      <w:r>
        <w:rPr>
          <w:rFonts w:eastAsiaTheme="minorEastAsia"/>
          <w:color w:val="auto"/>
        </w:rPr>
        <w:fldChar w:fldCharType="separate"/>
      </w:r>
      <w:r>
        <w:rPr>
          <w:rFonts w:eastAsiaTheme="minorEastAsia"/>
          <w:color w:val="auto"/>
        </w:rPr>
        <w:t>151</w:t>
      </w:r>
      <w:r>
        <w:rPr>
          <w:rFonts w:eastAsiaTheme="minorEastAsia"/>
          <w:color w:val="auto"/>
        </w:rPr>
        <w:fldChar w:fldCharType="end"/>
      </w:r>
      <w:r>
        <w:rPr>
          <w:rFonts w:eastAsiaTheme="minorEastAsia"/>
          <w:color w:val="auto"/>
        </w:rPr>
        <w:fldChar w:fldCharType="end"/>
      </w:r>
    </w:p>
    <w:p w14:paraId="53C60DAE">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"_Toc149054212" </w:instrText>
      </w:r>
      <w:r>
        <w:rPr>
          <w:color w:val="auto"/>
        </w:rPr>
        <w:fldChar w:fldCharType="separate"/>
      </w:r>
      <w:r>
        <w:rPr>
          <w:rStyle w:val="56"/>
          <w:rFonts w:eastAsiaTheme="minorEastAsia"/>
          <w:color w:val="auto"/>
        </w:rPr>
        <w:t>5.4环境风险分析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_Toc149054212 \h </w:instrText>
      </w:r>
      <w:r>
        <w:rPr>
          <w:rFonts w:eastAsiaTheme="minorEastAsia"/>
          <w:color w:val="auto"/>
        </w:rPr>
        <w:fldChar w:fldCharType="separate"/>
      </w:r>
      <w:r>
        <w:rPr>
          <w:rFonts w:eastAsiaTheme="minorEastAsia"/>
          <w:color w:val="auto"/>
        </w:rPr>
        <w:t>153</w:t>
      </w:r>
      <w:r>
        <w:rPr>
          <w:rFonts w:eastAsiaTheme="minorEastAsia"/>
          <w:color w:val="auto"/>
        </w:rPr>
        <w:fldChar w:fldCharType="end"/>
      </w:r>
      <w:r>
        <w:rPr>
          <w:rFonts w:eastAsiaTheme="minorEastAsia"/>
          <w:color w:val="auto"/>
        </w:rPr>
        <w:fldChar w:fldCharType="end"/>
      </w:r>
    </w:p>
    <w:p w14:paraId="7DD88876">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"_Toc149054213" </w:instrText>
      </w:r>
      <w:r>
        <w:rPr>
          <w:color w:val="auto"/>
        </w:rPr>
        <w:fldChar w:fldCharType="separate"/>
      </w:r>
      <w:r>
        <w:rPr>
          <w:rStyle w:val="56"/>
          <w:rFonts w:eastAsiaTheme="minorEastAsia"/>
          <w:color w:val="auto"/>
        </w:rPr>
        <w:t>6环境保护措施及其可行性论证</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_Toc149054213 \h </w:instrText>
      </w:r>
      <w:r>
        <w:rPr>
          <w:rFonts w:eastAsiaTheme="minorEastAsia"/>
          <w:color w:val="auto"/>
        </w:rPr>
        <w:fldChar w:fldCharType="separate"/>
      </w:r>
      <w:r>
        <w:rPr>
          <w:rFonts w:eastAsiaTheme="minorEastAsia"/>
          <w:color w:val="auto"/>
        </w:rPr>
        <w:t>154</w:t>
      </w:r>
      <w:r>
        <w:rPr>
          <w:rFonts w:eastAsiaTheme="minorEastAsia"/>
          <w:color w:val="auto"/>
        </w:rPr>
        <w:fldChar w:fldCharType="end"/>
      </w:r>
      <w:r>
        <w:rPr>
          <w:rFonts w:eastAsiaTheme="minorEastAsia"/>
          <w:color w:val="auto"/>
        </w:rPr>
        <w:fldChar w:fldCharType="end"/>
      </w:r>
    </w:p>
    <w:p w14:paraId="15AC1D2B">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"_Toc149054214" </w:instrText>
      </w:r>
      <w:r>
        <w:rPr>
          <w:color w:val="auto"/>
        </w:rPr>
        <w:fldChar w:fldCharType="separate"/>
      </w:r>
      <w:r>
        <w:rPr>
          <w:rStyle w:val="56"/>
          <w:rFonts w:eastAsiaTheme="minorEastAsia"/>
          <w:color w:val="auto"/>
        </w:rPr>
        <w:t>6.1施工期环境保护措施</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_Toc149054214 \h </w:instrText>
      </w:r>
      <w:r>
        <w:rPr>
          <w:rFonts w:eastAsiaTheme="minorEastAsia"/>
          <w:color w:val="auto"/>
        </w:rPr>
        <w:fldChar w:fldCharType="separate"/>
      </w:r>
      <w:r>
        <w:rPr>
          <w:rFonts w:eastAsiaTheme="minorEastAsia"/>
          <w:color w:val="auto"/>
        </w:rPr>
        <w:t>154</w:t>
      </w:r>
      <w:r>
        <w:rPr>
          <w:rFonts w:eastAsiaTheme="minorEastAsia"/>
          <w:color w:val="auto"/>
        </w:rPr>
        <w:fldChar w:fldCharType="end"/>
      </w:r>
      <w:r>
        <w:rPr>
          <w:rFonts w:eastAsiaTheme="minorEastAsia"/>
          <w:color w:val="auto"/>
        </w:rPr>
        <w:fldChar w:fldCharType="end"/>
      </w:r>
    </w:p>
    <w:p w14:paraId="4810BE1E">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"_Toc149054215" </w:instrText>
      </w:r>
      <w:r>
        <w:rPr>
          <w:color w:val="auto"/>
        </w:rPr>
        <w:fldChar w:fldCharType="separate"/>
      </w:r>
      <w:r>
        <w:rPr>
          <w:rStyle w:val="56"/>
          <w:rFonts w:eastAsiaTheme="minorEastAsia"/>
          <w:color w:val="auto"/>
        </w:rPr>
        <w:t>6.2回填复垦期环境保护措施及其可行性论证</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_Toc149054215 \h </w:instrText>
      </w:r>
      <w:r>
        <w:rPr>
          <w:rFonts w:eastAsiaTheme="minorEastAsia"/>
          <w:color w:val="auto"/>
        </w:rPr>
        <w:fldChar w:fldCharType="separate"/>
      </w:r>
      <w:r>
        <w:rPr>
          <w:rFonts w:eastAsiaTheme="minorEastAsia"/>
          <w:color w:val="auto"/>
        </w:rPr>
        <w:t>156</w:t>
      </w:r>
      <w:r>
        <w:rPr>
          <w:rFonts w:eastAsiaTheme="minorEastAsia"/>
          <w:color w:val="auto"/>
        </w:rPr>
        <w:fldChar w:fldCharType="end"/>
      </w:r>
      <w:r>
        <w:rPr>
          <w:rFonts w:eastAsiaTheme="minorEastAsia"/>
          <w:color w:val="auto"/>
        </w:rPr>
        <w:fldChar w:fldCharType="end"/>
      </w:r>
    </w:p>
    <w:p w14:paraId="448F9B99">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"_Toc149054216" </w:instrText>
      </w:r>
      <w:r>
        <w:rPr>
          <w:color w:val="auto"/>
        </w:rPr>
        <w:fldChar w:fldCharType="separate"/>
      </w:r>
      <w:r>
        <w:rPr>
          <w:rStyle w:val="56"/>
          <w:rFonts w:eastAsiaTheme="minorEastAsia"/>
          <w:color w:val="auto"/>
        </w:rPr>
        <w:t>6.3生态恢复期保护措施</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_Toc149054216 \h </w:instrText>
      </w:r>
      <w:r>
        <w:rPr>
          <w:rFonts w:eastAsiaTheme="minorEastAsia"/>
          <w:color w:val="auto"/>
        </w:rPr>
        <w:fldChar w:fldCharType="separate"/>
      </w:r>
      <w:r>
        <w:rPr>
          <w:rFonts w:eastAsiaTheme="minorEastAsia"/>
          <w:color w:val="auto"/>
        </w:rPr>
        <w:t>170</w:t>
      </w:r>
      <w:r>
        <w:rPr>
          <w:rFonts w:eastAsiaTheme="minorEastAsia"/>
          <w:color w:val="auto"/>
        </w:rPr>
        <w:fldChar w:fldCharType="end"/>
      </w:r>
      <w:r>
        <w:rPr>
          <w:rFonts w:eastAsiaTheme="minorEastAsia"/>
          <w:color w:val="auto"/>
        </w:rPr>
        <w:fldChar w:fldCharType="end"/>
      </w:r>
    </w:p>
    <w:p w14:paraId="16A63FEC">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"_Toc149054217" </w:instrText>
      </w:r>
      <w:r>
        <w:rPr>
          <w:color w:val="auto"/>
        </w:rPr>
        <w:fldChar w:fldCharType="separate"/>
      </w:r>
      <w:r>
        <w:rPr>
          <w:rStyle w:val="56"/>
          <w:rFonts w:eastAsiaTheme="minorEastAsia"/>
          <w:color w:val="auto"/>
        </w:rPr>
        <w:t>6.5环境保护投资</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_Toc149054217 \h </w:instrText>
      </w:r>
      <w:r>
        <w:rPr>
          <w:rFonts w:eastAsiaTheme="minorEastAsia"/>
          <w:color w:val="auto"/>
        </w:rPr>
        <w:fldChar w:fldCharType="separate"/>
      </w:r>
      <w:r>
        <w:rPr>
          <w:rFonts w:eastAsiaTheme="minorEastAsia"/>
          <w:color w:val="auto"/>
        </w:rPr>
        <w:t>170</w:t>
      </w:r>
      <w:r>
        <w:rPr>
          <w:rFonts w:eastAsiaTheme="minorEastAsia"/>
          <w:color w:val="auto"/>
        </w:rPr>
        <w:fldChar w:fldCharType="end"/>
      </w:r>
      <w:r>
        <w:rPr>
          <w:rFonts w:eastAsiaTheme="minorEastAsia"/>
          <w:color w:val="auto"/>
        </w:rPr>
        <w:fldChar w:fldCharType="end"/>
      </w:r>
    </w:p>
    <w:p w14:paraId="08774014">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"_Toc149054218" </w:instrText>
      </w:r>
      <w:r>
        <w:rPr>
          <w:color w:val="auto"/>
        </w:rPr>
        <w:fldChar w:fldCharType="separate"/>
      </w:r>
      <w:r>
        <w:rPr>
          <w:rStyle w:val="56"/>
          <w:rFonts w:eastAsiaTheme="minorEastAsia"/>
          <w:color w:val="auto"/>
        </w:rPr>
        <w:t>7环境影响经济损益分析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_Toc149054218 \h </w:instrText>
      </w:r>
      <w:r>
        <w:rPr>
          <w:rFonts w:eastAsiaTheme="minorEastAsia"/>
          <w:color w:val="auto"/>
        </w:rPr>
        <w:fldChar w:fldCharType="separate"/>
      </w:r>
      <w:r>
        <w:rPr>
          <w:rFonts w:eastAsiaTheme="minorEastAsia"/>
          <w:color w:val="auto"/>
        </w:rPr>
        <w:t>172</w:t>
      </w:r>
      <w:r>
        <w:rPr>
          <w:rFonts w:eastAsiaTheme="minorEastAsia"/>
          <w:color w:val="auto"/>
        </w:rPr>
        <w:fldChar w:fldCharType="end"/>
      </w:r>
      <w:r>
        <w:rPr>
          <w:rFonts w:eastAsiaTheme="minorEastAsia"/>
          <w:color w:val="auto"/>
        </w:rPr>
        <w:fldChar w:fldCharType="end"/>
      </w:r>
    </w:p>
    <w:p w14:paraId="1F17A3C1">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"_Toc149054219" </w:instrText>
      </w:r>
      <w:r>
        <w:rPr>
          <w:color w:val="auto"/>
        </w:rPr>
        <w:fldChar w:fldCharType="separate"/>
      </w:r>
      <w:r>
        <w:rPr>
          <w:rStyle w:val="56"/>
          <w:rFonts w:eastAsiaTheme="minorEastAsia"/>
          <w:color w:val="auto"/>
        </w:rPr>
        <w:t>7.1社会经济效益分析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_Toc149054219 \h </w:instrText>
      </w:r>
      <w:r>
        <w:rPr>
          <w:rFonts w:eastAsiaTheme="minorEastAsia"/>
          <w:color w:val="auto"/>
        </w:rPr>
        <w:fldChar w:fldCharType="separate"/>
      </w:r>
      <w:r>
        <w:rPr>
          <w:rFonts w:eastAsiaTheme="minorEastAsia"/>
          <w:color w:val="auto"/>
        </w:rPr>
        <w:t>172</w:t>
      </w:r>
      <w:r>
        <w:rPr>
          <w:rFonts w:eastAsiaTheme="minorEastAsia"/>
          <w:color w:val="auto"/>
        </w:rPr>
        <w:fldChar w:fldCharType="end"/>
      </w:r>
      <w:r>
        <w:rPr>
          <w:rFonts w:eastAsiaTheme="minorEastAsia"/>
          <w:color w:val="auto"/>
        </w:rPr>
        <w:fldChar w:fldCharType="end"/>
      </w:r>
    </w:p>
    <w:p w14:paraId="6F33EDC9">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"_Toc149054220" </w:instrText>
      </w:r>
      <w:r>
        <w:rPr>
          <w:color w:val="auto"/>
        </w:rPr>
        <w:fldChar w:fldCharType="separate"/>
      </w:r>
      <w:r>
        <w:rPr>
          <w:rStyle w:val="56"/>
          <w:rFonts w:eastAsiaTheme="minorEastAsia"/>
          <w:color w:val="auto"/>
        </w:rPr>
        <w:t>7.2经济损益分析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_Toc149054220 \h </w:instrText>
      </w:r>
      <w:r>
        <w:rPr>
          <w:rFonts w:eastAsiaTheme="minorEastAsia"/>
          <w:color w:val="auto"/>
        </w:rPr>
        <w:fldChar w:fldCharType="separate"/>
      </w:r>
      <w:r>
        <w:rPr>
          <w:rFonts w:eastAsiaTheme="minorEastAsia"/>
          <w:color w:val="auto"/>
        </w:rPr>
        <w:t>172</w:t>
      </w:r>
      <w:r>
        <w:rPr>
          <w:rFonts w:eastAsiaTheme="minorEastAsia"/>
          <w:color w:val="auto"/>
        </w:rPr>
        <w:fldChar w:fldCharType="end"/>
      </w:r>
      <w:r>
        <w:rPr>
          <w:rFonts w:eastAsiaTheme="minorEastAsia"/>
          <w:color w:val="auto"/>
        </w:rPr>
        <w:fldChar w:fldCharType="end"/>
      </w:r>
    </w:p>
    <w:p w14:paraId="253B34FD">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"_Toc149054221" </w:instrText>
      </w:r>
      <w:r>
        <w:rPr>
          <w:color w:val="auto"/>
        </w:rPr>
        <w:fldChar w:fldCharType="separate"/>
      </w:r>
      <w:r>
        <w:rPr>
          <w:rStyle w:val="56"/>
          <w:rFonts w:eastAsiaTheme="minorEastAsia"/>
          <w:color w:val="auto"/>
        </w:rPr>
        <w:t>7.3环境效益分析</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_Toc149054221 \h </w:instrText>
      </w:r>
      <w:r>
        <w:rPr>
          <w:rFonts w:eastAsiaTheme="minorEastAsia"/>
          <w:color w:val="auto"/>
        </w:rPr>
        <w:fldChar w:fldCharType="separate"/>
      </w:r>
      <w:r>
        <w:rPr>
          <w:rFonts w:eastAsiaTheme="minorEastAsia"/>
          <w:color w:val="auto"/>
        </w:rPr>
        <w:t>172</w:t>
      </w:r>
      <w:r>
        <w:rPr>
          <w:rFonts w:eastAsiaTheme="minorEastAsia"/>
          <w:color w:val="auto"/>
        </w:rPr>
        <w:fldChar w:fldCharType="end"/>
      </w:r>
      <w:r>
        <w:rPr>
          <w:rFonts w:eastAsiaTheme="minorEastAsia"/>
          <w:color w:val="auto"/>
        </w:rPr>
        <w:fldChar w:fldCharType="end"/>
      </w:r>
    </w:p>
    <w:p w14:paraId="6B45F48B">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"_Toc149054222" </w:instrText>
      </w:r>
      <w:r>
        <w:rPr>
          <w:color w:val="auto"/>
        </w:rPr>
        <w:fldChar w:fldCharType="separate"/>
      </w:r>
      <w:r>
        <w:rPr>
          <w:rStyle w:val="56"/>
          <w:rFonts w:eastAsiaTheme="minorEastAsia"/>
          <w:color w:val="auto"/>
        </w:rPr>
        <w:t>7.4小结</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_Toc149054222 \h </w:instrText>
      </w:r>
      <w:r>
        <w:rPr>
          <w:rFonts w:eastAsiaTheme="minorEastAsia"/>
          <w:color w:val="auto"/>
        </w:rPr>
        <w:fldChar w:fldCharType="separate"/>
      </w:r>
      <w:r>
        <w:rPr>
          <w:rFonts w:eastAsiaTheme="minorEastAsia"/>
          <w:color w:val="auto"/>
        </w:rPr>
        <w:t>173</w:t>
      </w:r>
      <w:r>
        <w:rPr>
          <w:rFonts w:eastAsiaTheme="minorEastAsia"/>
          <w:color w:val="auto"/>
        </w:rPr>
        <w:fldChar w:fldCharType="end"/>
      </w:r>
      <w:r>
        <w:rPr>
          <w:rFonts w:eastAsiaTheme="minorEastAsia"/>
          <w:color w:val="auto"/>
        </w:rPr>
        <w:fldChar w:fldCharType="end"/>
      </w:r>
    </w:p>
    <w:p w14:paraId="0AAF99F4">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"_Toc149054223" </w:instrText>
      </w:r>
      <w:r>
        <w:rPr>
          <w:color w:val="auto"/>
        </w:rPr>
        <w:fldChar w:fldCharType="separate"/>
      </w:r>
      <w:r>
        <w:rPr>
          <w:rStyle w:val="56"/>
          <w:rFonts w:eastAsiaTheme="minorEastAsia"/>
          <w:color w:val="auto"/>
        </w:rPr>
        <w:t>8环境管理与监测计划</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_Toc149054223 \h </w:instrText>
      </w:r>
      <w:r>
        <w:rPr>
          <w:rFonts w:eastAsiaTheme="minorEastAsia"/>
          <w:color w:val="auto"/>
        </w:rPr>
        <w:fldChar w:fldCharType="separate"/>
      </w:r>
      <w:r>
        <w:rPr>
          <w:rFonts w:eastAsiaTheme="minorEastAsia"/>
          <w:color w:val="auto"/>
        </w:rPr>
        <w:t>174</w:t>
      </w:r>
      <w:r>
        <w:rPr>
          <w:rFonts w:eastAsiaTheme="minorEastAsia"/>
          <w:color w:val="auto"/>
        </w:rPr>
        <w:fldChar w:fldCharType="end"/>
      </w:r>
      <w:r>
        <w:rPr>
          <w:rFonts w:eastAsiaTheme="minorEastAsia"/>
          <w:color w:val="auto"/>
        </w:rPr>
        <w:fldChar w:fldCharType="end"/>
      </w:r>
    </w:p>
    <w:p w14:paraId="69F3C2F5">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"_Toc149054224" </w:instrText>
      </w:r>
      <w:r>
        <w:rPr>
          <w:color w:val="auto"/>
        </w:rPr>
        <w:fldChar w:fldCharType="separate"/>
      </w:r>
      <w:r>
        <w:rPr>
          <w:rStyle w:val="56"/>
          <w:rFonts w:eastAsiaTheme="minorEastAsia"/>
          <w:snapToGrid w:val="0"/>
          <w:color w:val="auto"/>
        </w:rPr>
        <w:t>8.1环境管理</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_Toc149054224 \h </w:instrText>
      </w:r>
      <w:r>
        <w:rPr>
          <w:rFonts w:eastAsiaTheme="minorEastAsia"/>
          <w:color w:val="auto"/>
        </w:rPr>
        <w:fldChar w:fldCharType="separate"/>
      </w:r>
      <w:r>
        <w:rPr>
          <w:rFonts w:eastAsiaTheme="minorEastAsia"/>
          <w:color w:val="auto"/>
        </w:rPr>
        <w:t>174</w:t>
      </w:r>
      <w:r>
        <w:rPr>
          <w:rFonts w:eastAsiaTheme="minorEastAsia"/>
          <w:color w:val="auto"/>
        </w:rPr>
        <w:fldChar w:fldCharType="end"/>
      </w:r>
      <w:r>
        <w:rPr>
          <w:rFonts w:eastAsiaTheme="minorEastAsia"/>
          <w:color w:val="auto"/>
        </w:rPr>
        <w:fldChar w:fldCharType="end"/>
      </w:r>
    </w:p>
    <w:p w14:paraId="4FDBFB11">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"_Toc149054225" </w:instrText>
      </w:r>
      <w:r>
        <w:rPr>
          <w:color w:val="auto"/>
        </w:rPr>
        <w:fldChar w:fldCharType="separate"/>
      </w:r>
      <w:r>
        <w:rPr>
          <w:rStyle w:val="56"/>
          <w:rFonts w:eastAsiaTheme="minorEastAsia"/>
          <w:snapToGrid w:val="0"/>
          <w:color w:val="auto"/>
        </w:rPr>
        <w:t>8.2回填复垦期及生态恢复期环境监测计划</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_Toc149054225 \h </w:instrText>
      </w:r>
      <w:r>
        <w:rPr>
          <w:rFonts w:eastAsiaTheme="minorEastAsia"/>
          <w:color w:val="auto"/>
        </w:rPr>
        <w:fldChar w:fldCharType="separate"/>
      </w:r>
      <w:r>
        <w:rPr>
          <w:rFonts w:eastAsiaTheme="minorEastAsia"/>
          <w:color w:val="auto"/>
        </w:rPr>
        <w:t>179</w:t>
      </w:r>
      <w:r>
        <w:rPr>
          <w:rFonts w:eastAsiaTheme="minorEastAsia"/>
          <w:color w:val="auto"/>
        </w:rPr>
        <w:fldChar w:fldCharType="end"/>
      </w:r>
      <w:r>
        <w:rPr>
          <w:rFonts w:eastAsiaTheme="minorEastAsia"/>
          <w:color w:val="auto"/>
        </w:rPr>
        <w:fldChar w:fldCharType="end"/>
      </w:r>
    </w:p>
    <w:p w14:paraId="5B90D25F">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"_Toc149054226" </w:instrText>
      </w:r>
      <w:r>
        <w:rPr>
          <w:color w:val="auto"/>
        </w:rPr>
        <w:fldChar w:fldCharType="separate"/>
      </w:r>
      <w:r>
        <w:rPr>
          <w:rStyle w:val="56"/>
          <w:rFonts w:eastAsiaTheme="minorEastAsia"/>
          <w:snapToGrid w:val="0"/>
          <w:color w:val="auto"/>
        </w:rPr>
        <w:t>8.3环境保护竣工验收</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_Toc149054226 \h </w:instrText>
      </w:r>
      <w:r>
        <w:rPr>
          <w:rFonts w:eastAsiaTheme="minorEastAsia"/>
          <w:color w:val="auto"/>
        </w:rPr>
        <w:fldChar w:fldCharType="separate"/>
      </w:r>
      <w:r>
        <w:rPr>
          <w:rFonts w:eastAsiaTheme="minorEastAsia"/>
          <w:color w:val="auto"/>
        </w:rPr>
        <w:t>181</w:t>
      </w:r>
      <w:r>
        <w:rPr>
          <w:rFonts w:eastAsiaTheme="minorEastAsia"/>
          <w:color w:val="auto"/>
        </w:rPr>
        <w:fldChar w:fldCharType="end"/>
      </w:r>
      <w:r>
        <w:rPr>
          <w:rFonts w:eastAsiaTheme="minorEastAsia"/>
          <w:color w:val="auto"/>
        </w:rPr>
        <w:fldChar w:fldCharType="end"/>
      </w:r>
    </w:p>
    <w:p w14:paraId="20B23C38">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"_Toc149054227" </w:instrText>
      </w:r>
      <w:r>
        <w:rPr>
          <w:color w:val="auto"/>
        </w:rPr>
        <w:fldChar w:fldCharType="separate"/>
      </w:r>
      <w:r>
        <w:rPr>
          <w:rStyle w:val="56"/>
          <w:rFonts w:eastAsiaTheme="minorEastAsia"/>
          <w:snapToGrid w:val="0"/>
          <w:color w:val="auto"/>
        </w:rPr>
        <w:t>8.4总量控制</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_Toc149054227 \h </w:instrText>
      </w:r>
      <w:r>
        <w:rPr>
          <w:rFonts w:eastAsiaTheme="minorEastAsia"/>
          <w:color w:val="auto"/>
        </w:rPr>
        <w:fldChar w:fldCharType="separate"/>
      </w:r>
      <w:r>
        <w:rPr>
          <w:rFonts w:eastAsiaTheme="minorEastAsia"/>
          <w:color w:val="auto"/>
        </w:rPr>
        <w:t>183</w:t>
      </w:r>
      <w:r>
        <w:rPr>
          <w:rFonts w:eastAsiaTheme="minorEastAsia"/>
          <w:color w:val="auto"/>
        </w:rPr>
        <w:fldChar w:fldCharType="end"/>
      </w:r>
      <w:r>
        <w:rPr>
          <w:rFonts w:eastAsiaTheme="minorEastAsia"/>
          <w:color w:val="auto"/>
        </w:rPr>
        <w:fldChar w:fldCharType="end"/>
      </w:r>
    </w:p>
    <w:p w14:paraId="7B3F34CA">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"_Toc149054228" </w:instrText>
      </w:r>
      <w:r>
        <w:rPr>
          <w:color w:val="auto"/>
        </w:rPr>
        <w:fldChar w:fldCharType="separate"/>
      </w:r>
      <w:r>
        <w:rPr>
          <w:rStyle w:val="56"/>
          <w:rFonts w:eastAsiaTheme="minorEastAsia"/>
          <w:color w:val="auto"/>
        </w:rPr>
        <w:t>9环境影响评价结论</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_Toc149054228 \h </w:instrText>
      </w:r>
      <w:r>
        <w:rPr>
          <w:rFonts w:eastAsiaTheme="minorEastAsia"/>
          <w:color w:val="auto"/>
        </w:rPr>
        <w:fldChar w:fldCharType="separate"/>
      </w:r>
      <w:r>
        <w:rPr>
          <w:rFonts w:eastAsiaTheme="minorEastAsia"/>
          <w:color w:val="auto"/>
        </w:rPr>
        <w:t>184</w:t>
      </w:r>
      <w:r>
        <w:rPr>
          <w:rFonts w:eastAsiaTheme="minorEastAsia"/>
          <w:color w:val="auto"/>
        </w:rPr>
        <w:fldChar w:fldCharType="end"/>
      </w:r>
      <w:r>
        <w:rPr>
          <w:rFonts w:eastAsiaTheme="minorEastAsia"/>
          <w:color w:val="auto"/>
        </w:rPr>
        <w:fldChar w:fldCharType="end"/>
      </w:r>
    </w:p>
    <w:p w14:paraId="05C99841">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"_Toc149054229" </w:instrText>
      </w:r>
      <w:r>
        <w:rPr>
          <w:color w:val="auto"/>
        </w:rPr>
        <w:fldChar w:fldCharType="separate"/>
      </w:r>
      <w:r>
        <w:rPr>
          <w:rStyle w:val="56"/>
          <w:rFonts w:eastAsiaTheme="minorEastAsia"/>
          <w:snapToGrid w:val="0"/>
          <w:color w:val="auto"/>
        </w:rPr>
        <w:t>9.1评价结论</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_Toc149054229 \h </w:instrText>
      </w:r>
      <w:r>
        <w:rPr>
          <w:rFonts w:eastAsiaTheme="minorEastAsia"/>
          <w:color w:val="auto"/>
        </w:rPr>
        <w:fldChar w:fldCharType="separate"/>
      </w:r>
      <w:r>
        <w:rPr>
          <w:rFonts w:eastAsiaTheme="minorEastAsia"/>
          <w:color w:val="auto"/>
        </w:rPr>
        <w:t>184</w:t>
      </w:r>
      <w:r>
        <w:rPr>
          <w:rFonts w:eastAsiaTheme="minorEastAsia"/>
          <w:color w:val="auto"/>
        </w:rPr>
        <w:fldChar w:fldCharType="end"/>
      </w:r>
      <w:r>
        <w:rPr>
          <w:rFonts w:eastAsiaTheme="minorEastAsia"/>
          <w:color w:val="auto"/>
        </w:rPr>
        <w:fldChar w:fldCharType="end"/>
      </w:r>
    </w:p>
    <w:p w14:paraId="1978DCFE">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"_Toc149054230" </w:instrText>
      </w:r>
      <w:r>
        <w:rPr>
          <w:color w:val="auto"/>
        </w:rPr>
        <w:fldChar w:fldCharType="separate"/>
      </w:r>
      <w:r>
        <w:rPr>
          <w:rStyle w:val="56"/>
          <w:rFonts w:eastAsiaTheme="minorEastAsia"/>
          <w:snapToGrid w:val="0"/>
          <w:color w:val="auto"/>
        </w:rPr>
        <w:t>9.2建议</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_Toc149054230 \h </w:instrText>
      </w:r>
      <w:r>
        <w:rPr>
          <w:rFonts w:eastAsiaTheme="minorEastAsia"/>
          <w:color w:val="auto"/>
        </w:rPr>
        <w:fldChar w:fldCharType="separate"/>
      </w:r>
      <w:r>
        <w:rPr>
          <w:rFonts w:eastAsiaTheme="minorEastAsia"/>
          <w:color w:val="auto"/>
        </w:rPr>
        <w:t>190</w:t>
      </w:r>
      <w:r>
        <w:rPr>
          <w:rFonts w:eastAsiaTheme="minorEastAsia"/>
          <w:color w:val="auto"/>
        </w:rPr>
        <w:fldChar w:fldCharType="end"/>
      </w:r>
      <w:r>
        <w:rPr>
          <w:rFonts w:eastAsiaTheme="minorEastAsia"/>
          <w:color w:val="auto"/>
        </w:rPr>
        <w:fldChar w:fldCharType="end"/>
      </w:r>
    </w:p>
    <w:p w14:paraId="2120E480">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"_Toc149054231" </w:instrText>
      </w:r>
      <w:r>
        <w:rPr>
          <w:color w:val="auto"/>
        </w:rPr>
        <w:fldChar w:fldCharType="separate"/>
      </w:r>
      <w:r>
        <w:rPr>
          <w:rStyle w:val="56"/>
          <w:rFonts w:eastAsiaTheme="minorEastAsia"/>
          <w:color w:val="auto"/>
        </w:rPr>
        <w:t>附图</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_Toc149054231 \h </w:instrText>
      </w:r>
      <w:r>
        <w:rPr>
          <w:rFonts w:eastAsiaTheme="minorEastAsia"/>
          <w:color w:val="auto"/>
        </w:rPr>
        <w:fldChar w:fldCharType="separate"/>
      </w:r>
      <w:r>
        <w:rPr>
          <w:rFonts w:eastAsiaTheme="minorEastAsia"/>
          <w:color w:val="auto"/>
        </w:rPr>
        <w:t>191</w:t>
      </w:r>
      <w:r>
        <w:rPr>
          <w:rFonts w:eastAsiaTheme="minorEastAsia"/>
          <w:color w:val="auto"/>
        </w:rPr>
        <w:fldChar w:fldCharType="end"/>
      </w:r>
      <w:r>
        <w:rPr>
          <w:rFonts w:eastAsiaTheme="minorEastAsia"/>
          <w:color w:val="auto"/>
        </w:rPr>
        <w:fldChar w:fldCharType="end"/>
      </w:r>
    </w:p>
    <w:p w14:paraId="798C7A93">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"_Toc149054232" </w:instrText>
      </w:r>
      <w:r>
        <w:rPr>
          <w:color w:val="auto"/>
        </w:rPr>
        <w:fldChar w:fldCharType="separate"/>
      </w:r>
      <w:r>
        <w:rPr>
          <w:rStyle w:val="56"/>
          <w:rFonts w:eastAsiaTheme="minorEastAsia"/>
          <w:color w:val="auto"/>
        </w:rPr>
        <w:t>附图1地理位置图</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_Toc149054232 \h </w:instrText>
      </w:r>
      <w:r>
        <w:rPr>
          <w:rFonts w:eastAsiaTheme="minorEastAsia"/>
          <w:color w:val="auto"/>
        </w:rPr>
        <w:fldChar w:fldCharType="separate"/>
      </w:r>
      <w:r>
        <w:rPr>
          <w:rFonts w:eastAsiaTheme="minorEastAsia"/>
          <w:color w:val="auto"/>
        </w:rPr>
        <w:t>191</w:t>
      </w:r>
      <w:r>
        <w:rPr>
          <w:rFonts w:eastAsiaTheme="minorEastAsia"/>
          <w:color w:val="auto"/>
        </w:rPr>
        <w:fldChar w:fldCharType="end"/>
      </w:r>
      <w:r>
        <w:rPr>
          <w:rFonts w:eastAsiaTheme="minorEastAsia"/>
          <w:color w:val="auto"/>
        </w:rPr>
        <w:fldChar w:fldCharType="end"/>
      </w:r>
    </w:p>
    <w:p w14:paraId="584D2ED7">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"_Toc149054233" </w:instrText>
      </w:r>
      <w:r>
        <w:rPr>
          <w:color w:val="auto"/>
        </w:rPr>
        <w:fldChar w:fldCharType="separate"/>
      </w:r>
      <w:r>
        <w:rPr>
          <w:rStyle w:val="56"/>
          <w:rFonts w:eastAsiaTheme="minorEastAsia"/>
          <w:color w:val="auto"/>
        </w:rPr>
        <w:t>附图2平面布置图</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_Toc149054233 \h </w:instrText>
      </w:r>
      <w:r>
        <w:rPr>
          <w:rFonts w:eastAsiaTheme="minorEastAsia"/>
          <w:color w:val="auto"/>
        </w:rPr>
        <w:fldChar w:fldCharType="separate"/>
      </w:r>
      <w:r>
        <w:rPr>
          <w:rFonts w:eastAsiaTheme="minorEastAsia"/>
          <w:color w:val="auto"/>
        </w:rPr>
        <w:t>192</w:t>
      </w:r>
      <w:r>
        <w:rPr>
          <w:rFonts w:eastAsiaTheme="minorEastAsia"/>
          <w:color w:val="auto"/>
        </w:rPr>
        <w:fldChar w:fldCharType="end"/>
      </w:r>
      <w:r>
        <w:rPr>
          <w:rFonts w:eastAsiaTheme="minorEastAsia"/>
          <w:color w:val="auto"/>
        </w:rPr>
        <w:fldChar w:fldCharType="end"/>
      </w:r>
    </w:p>
    <w:p w14:paraId="3BDFFDA5">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"_Toc149054234" </w:instrText>
      </w:r>
      <w:r>
        <w:rPr>
          <w:color w:val="auto"/>
        </w:rPr>
        <w:fldChar w:fldCharType="separate"/>
      </w:r>
      <w:r>
        <w:rPr>
          <w:rStyle w:val="56"/>
          <w:rFonts w:eastAsiaTheme="minorEastAsia"/>
          <w:color w:val="auto"/>
        </w:rPr>
        <w:t>附图3鸡西市管控单元分布图</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_Toc149054234 \h </w:instrText>
      </w:r>
      <w:r>
        <w:rPr>
          <w:rFonts w:eastAsiaTheme="minorEastAsia"/>
          <w:color w:val="auto"/>
        </w:rPr>
        <w:fldChar w:fldCharType="separate"/>
      </w:r>
      <w:r>
        <w:rPr>
          <w:rFonts w:eastAsiaTheme="minorEastAsia"/>
          <w:color w:val="auto"/>
        </w:rPr>
        <w:t>194</w:t>
      </w:r>
      <w:r>
        <w:rPr>
          <w:rFonts w:eastAsiaTheme="minorEastAsia"/>
          <w:color w:val="auto"/>
        </w:rPr>
        <w:fldChar w:fldCharType="end"/>
      </w:r>
      <w:r>
        <w:rPr>
          <w:rFonts w:eastAsiaTheme="minorEastAsia"/>
          <w:color w:val="auto"/>
        </w:rPr>
        <w:fldChar w:fldCharType="end"/>
      </w:r>
    </w:p>
    <w:p w14:paraId="4A3DFB6A">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"_Toc149054235" </w:instrText>
      </w:r>
      <w:r>
        <w:rPr>
          <w:color w:val="auto"/>
        </w:rPr>
        <w:fldChar w:fldCharType="separate"/>
      </w:r>
      <w:r>
        <w:rPr>
          <w:rStyle w:val="56"/>
          <w:rFonts w:eastAsiaTheme="minorEastAsia"/>
          <w:color w:val="auto"/>
        </w:rPr>
        <w:t>附件</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_Toc149054235 \h </w:instrText>
      </w:r>
      <w:r>
        <w:rPr>
          <w:rFonts w:eastAsiaTheme="minorEastAsia"/>
          <w:color w:val="auto"/>
        </w:rPr>
        <w:fldChar w:fldCharType="separate"/>
      </w:r>
      <w:r>
        <w:rPr>
          <w:rFonts w:eastAsiaTheme="minorEastAsia"/>
          <w:color w:val="auto"/>
        </w:rPr>
        <w:t>195</w:t>
      </w:r>
      <w:r>
        <w:rPr>
          <w:rFonts w:eastAsiaTheme="minorEastAsia"/>
          <w:color w:val="auto"/>
        </w:rPr>
        <w:fldChar w:fldCharType="end"/>
      </w:r>
      <w:r>
        <w:rPr>
          <w:rFonts w:eastAsiaTheme="minorEastAsia"/>
          <w:color w:val="auto"/>
        </w:rPr>
        <w:fldChar w:fldCharType="end"/>
      </w:r>
    </w:p>
    <w:p w14:paraId="51BE5C40">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"_Toc149054236" </w:instrText>
      </w:r>
      <w:r>
        <w:rPr>
          <w:color w:val="auto"/>
        </w:rPr>
        <w:fldChar w:fldCharType="separate"/>
      </w:r>
      <w:r>
        <w:rPr>
          <w:rStyle w:val="56"/>
          <w:rFonts w:eastAsiaTheme="minorEastAsia"/>
          <w:color w:val="auto"/>
        </w:rPr>
        <w:t>附件1营业执照</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_Toc149054236 \h </w:instrText>
      </w:r>
      <w:r>
        <w:rPr>
          <w:rFonts w:eastAsiaTheme="minorEastAsia"/>
          <w:color w:val="auto"/>
        </w:rPr>
        <w:fldChar w:fldCharType="separate"/>
      </w:r>
      <w:r>
        <w:rPr>
          <w:rFonts w:eastAsiaTheme="minorEastAsia"/>
          <w:color w:val="auto"/>
        </w:rPr>
        <w:t>195</w:t>
      </w:r>
      <w:r>
        <w:rPr>
          <w:rFonts w:eastAsiaTheme="minorEastAsia"/>
          <w:color w:val="auto"/>
        </w:rPr>
        <w:fldChar w:fldCharType="end"/>
      </w:r>
      <w:r>
        <w:rPr>
          <w:rFonts w:eastAsiaTheme="minorEastAsia"/>
          <w:color w:val="auto"/>
        </w:rPr>
        <w:fldChar w:fldCharType="end"/>
      </w:r>
    </w:p>
    <w:p w14:paraId="532B6285">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"_Toc149054237" </w:instrText>
      </w:r>
      <w:r>
        <w:rPr>
          <w:color w:val="auto"/>
        </w:rPr>
        <w:fldChar w:fldCharType="separate"/>
      </w:r>
      <w:r>
        <w:rPr>
          <w:rStyle w:val="56"/>
          <w:rFonts w:eastAsiaTheme="minorEastAsia"/>
          <w:color w:val="auto"/>
        </w:rPr>
        <w:t>附件2</w:t>
      </w:r>
      <w:r>
        <w:rPr>
          <w:rStyle w:val="56"/>
          <w:rFonts w:hint="eastAsia" w:eastAsiaTheme="minorEastAsia"/>
          <w:color w:val="auto"/>
          <w:lang w:val="en-US" w:eastAsia="zh-CN"/>
        </w:rPr>
        <w:t>灰渣浸出液检测报告</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_Toc149054237 \h </w:instrText>
      </w:r>
      <w:r>
        <w:rPr>
          <w:rFonts w:eastAsiaTheme="minorEastAsia"/>
          <w:color w:val="auto"/>
        </w:rPr>
        <w:fldChar w:fldCharType="separate"/>
      </w:r>
      <w:r>
        <w:rPr>
          <w:rFonts w:eastAsiaTheme="minorEastAsia"/>
          <w:color w:val="auto"/>
        </w:rPr>
        <w:t>196</w:t>
      </w:r>
      <w:r>
        <w:rPr>
          <w:rFonts w:eastAsiaTheme="minorEastAsia"/>
          <w:color w:val="auto"/>
        </w:rPr>
        <w:fldChar w:fldCharType="end"/>
      </w:r>
      <w:r>
        <w:rPr>
          <w:rFonts w:eastAsiaTheme="minorEastAsia"/>
          <w:color w:val="auto"/>
        </w:rPr>
        <w:fldChar w:fldCharType="end"/>
      </w:r>
    </w:p>
    <w:p w14:paraId="22BA9EA6">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"_Toc149054238" </w:instrText>
      </w:r>
      <w:r>
        <w:rPr>
          <w:color w:val="auto"/>
        </w:rPr>
        <w:fldChar w:fldCharType="separate"/>
      </w:r>
      <w:r>
        <w:rPr>
          <w:rStyle w:val="56"/>
          <w:rFonts w:eastAsiaTheme="minorEastAsia"/>
          <w:color w:val="auto"/>
        </w:rPr>
        <w:t>附件3</w:t>
      </w:r>
      <w:r>
        <w:rPr>
          <w:rStyle w:val="56"/>
          <w:rFonts w:hint="eastAsia" w:eastAsiaTheme="minorEastAsia"/>
          <w:color w:val="auto"/>
          <w:lang w:val="en-US" w:eastAsia="zh-CN"/>
        </w:rPr>
        <w:t>运输协议</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_Toc149054238 \h </w:instrText>
      </w:r>
      <w:r>
        <w:rPr>
          <w:rFonts w:eastAsiaTheme="minorEastAsia"/>
          <w:color w:val="auto"/>
        </w:rPr>
        <w:fldChar w:fldCharType="separate"/>
      </w:r>
      <w:r>
        <w:rPr>
          <w:rFonts w:eastAsiaTheme="minorEastAsia"/>
          <w:color w:val="auto"/>
        </w:rPr>
        <w:t>197</w:t>
      </w:r>
      <w:r>
        <w:rPr>
          <w:rFonts w:eastAsiaTheme="minorEastAsia"/>
          <w:color w:val="auto"/>
        </w:rPr>
        <w:fldChar w:fldCharType="end"/>
      </w:r>
      <w:r>
        <w:rPr>
          <w:rFonts w:eastAsiaTheme="minorEastAsia"/>
          <w:color w:val="auto"/>
        </w:rPr>
        <w:fldChar w:fldCharType="end"/>
      </w:r>
    </w:p>
    <w:p w14:paraId="5B657429">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"_Toc149054239" </w:instrText>
      </w:r>
      <w:r>
        <w:rPr>
          <w:color w:val="auto"/>
        </w:rPr>
        <w:fldChar w:fldCharType="separate"/>
      </w:r>
      <w:r>
        <w:rPr>
          <w:rStyle w:val="56"/>
          <w:rFonts w:eastAsiaTheme="minorEastAsia"/>
          <w:color w:val="auto"/>
          <w:highlight w:val="none"/>
        </w:rPr>
        <w:t>附件4</w:t>
      </w:r>
      <w:r>
        <w:rPr>
          <w:rStyle w:val="56"/>
          <w:rFonts w:hint="eastAsia" w:eastAsiaTheme="minorEastAsia"/>
          <w:color w:val="auto"/>
          <w:highlight w:val="none"/>
          <w:lang w:val="en-US" w:eastAsia="zh-CN"/>
        </w:rPr>
        <w:t>生态修复方案专家评审意见</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_Toc149054239 \h </w:instrText>
      </w:r>
      <w:r>
        <w:rPr>
          <w:rFonts w:eastAsiaTheme="minorEastAsia"/>
          <w:color w:val="auto"/>
        </w:rPr>
        <w:fldChar w:fldCharType="separate"/>
      </w:r>
      <w:r>
        <w:rPr>
          <w:rFonts w:eastAsiaTheme="minorEastAsia"/>
          <w:color w:val="auto"/>
        </w:rPr>
        <w:t>206</w:t>
      </w:r>
      <w:r>
        <w:rPr>
          <w:rFonts w:eastAsiaTheme="minorEastAsia"/>
          <w:color w:val="auto"/>
        </w:rPr>
        <w:fldChar w:fldCharType="end"/>
      </w:r>
      <w:r>
        <w:rPr>
          <w:rFonts w:eastAsiaTheme="minorEastAsia"/>
          <w:color w:val="auto"/>
        </w:rPr>
        <w:fldChar w:fldCharType="end"/>
      </w:r>
    </w:p>
    <w:p w14:paraId="7E42884B">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"_Toc149054240" </w:instrText>
      </w:r>
      <w:r>
        <w:rPr>
          <w:color w:val="auto"/>
        </w:rPr>
        <w:fldChar w:fldCharType="separate"/>
      </w:r>
      <w:r>
        <w:rPr>
          <w:rStyle w:val="56"/>
          <w:rFonts w:eastAsiaTheme="minorEastAsia"/>
          <w:color w:val="auto"/>
        </w:rPr>
        <w:t>附件5</w:t>
      </w:r>
      <w:r>
        <w:rPr>
          <w:rStyle w:val="56"/>
          <w:rFonts w:hint="eastAsia" w:eastAsiaTheme="minorEastAsia"/>
          <w:color w:val="auto"/>
          <w:lang w:val="en-US" w:eastAsia="zh-CN"/>
        </w:rPr>
        <w:t>风险评估专家意见</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_Toc149054240 \h </w:instrText>
      </w:r>
      <w:r>
        <w:rPr>
          <w:rFonts w:eastAsiaTheme="minorEastAsia"/>
          <w:color w:val="auto"/>
        </w:rPr>
        <w:fldChar w:fldCharType="separate"/>
      </w:r>
      <w:r>
        <w:rPr>
          <w:rFonts w:eastAsiaTheme="minorEastAsia"/>
          <w:color w:val="auto"/>
        </w:rPr>
        <w:t>207</w:t>
      </w:r>
      <w:r>
        <w:rPr>
          <w:rFonts w:eastAsiaTheme="minorEastAsia"/>
          <w:color w:val="auto"/>
        </w:rPr>
        <w:fldChar w:fldCharType="end"/>
      </w:r>
      <w:r>
        <w:rPr>
          <w:rFonts w:eastAsiaTheme="minorEastAsia"/>
          <w:color w:val="auto"/>
        </w:rPr>
        <w:fldChar w:fldCharType="end"/>
      </w:r>
    </w:p>
    <w:p w14:paraId="328B3701">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"_Toc149054241" </w:instrText>
      </w:r>
      <w:r>
        <w:rPr>
          <w:color w:val="auto"/>
        </w:rPr>
        <w:fldChar w:fldCharType="separate"/>
      </w:r>
      <w:r>
        <w:rPr>
          <w:rStyle w:val="56"/>
          <w:rFonts w:eastAsiaTheme="minorEastAsia"/>
          <w:color w:val="auto"/>
        </w:rPr>
        <w:t>附件6</w:t>
      </w:r>
      <w:r>
        <w:rPr>
          <w:rStyle w:val="56"/>
          <w:rFonts w:hint="eastAsia" w:eastAsiaTheme="minorEastAsia"/>
          <w:color w:val="auto"/>
          <w:lang w:val="en-US" w:eastAsia="zh-CN"/>
        </w:rPr>
        <w:t>生态环境分区管控报告</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_Toc149054241 \h </w:instrText>
      </w:r>
      <w:r>
        <w:rPr>
          <w:rFonts w:eastAsiaTheme="minorEastAsia"/>
          <w:color w:val="auto"/>
        </w:rPr>
        <w:fldChar w:fldCharType="separate"/>
      </w:r>
      <w:r>
        <w:rPr>
          <w:rFonts w:eastAsiaTheme="minorEastAsia"/>
          <w:color w:val="auto"/>
        </w:rPr>
        <w:t>208</w:t>
      </w:r>
      <w:r>
        <w:rPr>
          <w:rFonts w:eastAsiaTheme="minorEastAsia"/>
          <w:color w:val="auto"/>
        </w:rPr>
        <w:fldChar w:fldCharType="end"/>
      </w:r>
      <w:r>
        <w:rPr>
          <w:rFonts w:eastAsiaTheme="minorEastAsia"/>
          <w:color w:val="auto"/>
        </w:rPr>
        <w:fldChar w:fldCharType="end"/>
      </w:r>
    </w:p>
    <w:p w14:paraId="2405F9DB">
      <w:pPr>
        <w:pStyle w:val="33"/>
        <w:rPr>
          <w:rFonts w:eastAsiaTheme="minorEastAsia"/>
          <w:bCs w:val="0"/>
          <w:iCs w:val="0"/>
          <w:color w:val="auto"/>
          <w:kern w:val="2"/>
          <w:sz w:val="21"/>
          <w:szCs w:val="22"/>
          <w14:ligatures w14:val="standardContextual"/>
        </w:rPr>
      </w:pPr>
      <w:r>
        <w:rPr>
          <w:color w:val="auto"/>
        </w:rPr>
        <w:fldChar w:fldCharType="begin"/>
      </w:r>
      <w:r>
        <w:rPr>
          <w:color w:val="auto"/>
        </w:rPr>
        <w:instrText xml:space="preserve"> HYPERLINK \l "_Toc149054242" </w:instrText>
      </w:r>
      <w:r>
        <w:rPr>
          <w:color w:val="auto"/>
        </w:rPr>
        <w:fldChar w:fldCharType="separate"/>
      </w:r>
      <w:r>
        <w:rPr>
          <w:rStyle w:val="56"/>
          <w:rFonts w:eastAsiaTheme="minorEastAsia"/>
          <w:color w:val="auto"/>
        </w:rPr>
        <w:t>附表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_Toc149054242 \h </w:instrText>
      </w:r>
      <w:r>
        <w:rPr>
          <w:rFonts w:eastAsiaTheme="minorEastAsia"/>
          <w:color w:val="auto"/>
        </w:rPr>
        <w:fldChar w:fldCharType="separate"/>
      </w:r>
      <w:r>
        <w:rPr>
          <w:rFonts w:eastAsiaTheme="minorEastAsia"/>
          <w:color w:val="auto"/>
        </w:rPr>
        <w:t>209</w:t>
      </w:r>
      <w:r>
        <w:rPr>
          <w:rFonts w:eastAsiaTheme="minorEastAsia"/>
          <w:color w:val="auto"/>
        </w:rPr>
        <w:fldChar w:fldCharType="end"/>
      </w:r>
      <w:r>
        <w:rPr>
          <w:rFonts w:eastAsiaTheme="minorEastAsia"/>
          <w:color w:val="auto"/>
        </w:rPr>
        <w:fldChar w:fldCharType="end"/>
      </w:r>
    </w:p>
    <w:p w14:paraId="6BD299A2">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"_Toc149054243" </w:instrText>
      </w:r>
      <w:r>
        <w:rPr>
          <w:color w:val="auto"/>
        </w:rPr>
        <w:fldChar w:fldCharType="separate"/>
      </w:r>
      <w:r>
        <w:rPr>
          <w:rStyle w:val="56"/>
          <w:rFonts w:eastAsiaTheme="minorEastAsia"/>
          <w:snapToGrid w:val="0"/>
          <w:color w:val="auto"/>
        </w:rPr>
        <w:t>附表1建设项目大气环境影响评价自查表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_Toc149054243 \h </w:instrText>
      </w:r>
      <w:r>
        <w:rPr>
          <w:rFonts w:eastAsiaTheme="minorEastAsia"/>
          <w:color w:val="auto"/>
        </w:rPr>
        <w:fldChar w:fldCharType="separate"/>
      </w:r>
      <w:r>
        <w:rPr>
          <w:rFonts w:eastAsiaTheme="minorEastAsia"/>
          <w:color w:val="auto"/>
        </w:rPr>
        <w:t>209</w:t>
      </w:r>
      <w:r>
        <w:rPr>
          <w:rFonts w:eastAsiaTheme="minorEastAsia"/>
          <w:color w:val="auto"/>
        </w:rPr>
        <w:fldChar w:fldCharType="end"/>
      </w:r>
      <w:r>
        <w:rPr>
          <w:rFonts w:eastAsiaTheme="minorEastAsia"/>
          <w:color w:val="auto"/>
        </w:rPr>
        <w:fldChar w:fldCharType="end"/>
      </w:r>
    </w:p>
    <w:p w14:paraId="3886B433">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"_Toc149054244" </w:instrText>
      </w:r>
      <w:r>
        <w:rPr>
          <w:color w:val="auto"/>
        </w:rPr>
        <w:fldChar w:fldCharType="separate"/>
      </w:r>
      <w:r>
        <w:rPr>
          <w:rStyle w:val="56"/>
          <w:rFonts w:eastAsiaTheme="minorEastAsia"/>
          <w:snapToGrid w:val="0"/>
          <w:color w:val="auto"/>
        </w:rPr>
        <w:t>附表2项目地表水环境影响评价自查表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_Toc149054244 \h </w:instrText>
      </w:r>
      <w:r>
        <w:rPr>
          <w:rFonts w:eastAsiaTheme="minorEastAsia"/>
          <w:color w:val="auto"/>
        </w:rPr>
        <w:fldChar w:fldCharType="separate"/>
      </w:r>
      <w:r>
        <w:rPr>
          <w:rFonts w:eastAsiaTheme="minorEastAsia"/>
          <w:color w:val="auto"/>
        </w:rPr>
        <w:t>210</w:t>
      </w:r>
      <w:r>
        <w:rPr>
          <w:rFonts w:eastAsiaTheme="minorEastAsia"/>
          <w:color w:val="auto"/>
        </w:rPr>
        <w:fldChar w:fldCharType="end"/>
      </w:r>
      <w:r>
        <w:rPr>
          <w:rFonts w:eastAsiaTheme="minorEastAsia"/>
          <w:color w:val="auto"/>
        </w:rPr>
        <w:fldChar w:fldCharType="end"/>
      </w:r>
    </w:p>
    <w:p w14:paraId="0846222E">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"_Toc149054245" </w:instrText>
      </w:r>
      <w:r>
        <w:rPr>
          <w:color w:val="auto"/>
        </w:rPr>
        <w:fldChar w:fldCharType="separate"/>
      </w:r>
      <w:r>
        <w:rPr>
          <w:rStyle w:val="56"/>
          <w:rFonts w:eastAsiaTheme="minorEastAsia"/>
          <w:snapToGrid w:val="0"/>
          <w:color w:val="auto"/>
        </w:rPr>
        <w:t>附表3项目环境风险环境影响评价自查表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_Toc149054245 \h </w:instrText>
      </w:r>
      <w:r>
        <w:rPr>
          <w:rFonts w:eastAsiaTheme="minorEastAsia"/>
          <w:color w:val="auto"/>
        </w:rPr>
        <w:fldChar w:fldCharType="separate"/>
      </w:r>
      <w:r>
        <w:rPr>
          <w:rFonts w:eastAsiaTheme="minorEastAsia"/>
          <w:color w:val="auto"/>
        </w:rPr>
        <w:t>213</w:t>
      </w:r>
      <w:r>
        <w:rPr>
          <w:rFonts w:eastAsiaTheme="minorEastAsia"/>
          <w:color w:val="auto"/>
        </w:rPr>
        <w:fldChar w:fldCharType="end"/>
      </w:r>
      <w:r>
        <w:rPr>
          <w:rFonts w:eastAsiaTheme="minorEastAsia"/>
          <w:color w:val="auto"/>
        </w:rPr>
        <w:fldChar w:fldCharType="end"/>
      </w:r>
    </w:p>
    <w:p w14:paraId="042FCBB5">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"_Toc149054246" </w:instrText>
      </w:r>
      <w:r>
        <w:rPr>
          <w:color w:val="auto"/>
        </w:rPr>
        <w:fldChar w:fldCharType="separate"/>
      </w:r>
      <w:r>
        <w:rPr>
          <w:rStyle w:val="56"/>
          <w:rFonts w:eastAsiaTheme="minorEastAsia"/>
          <w:color w:val="auto"/>
        </w:rPr>
        <w:t>附表4土壤环境影响评价自查表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_Toc149054246 \h </w:instrText>
      </w:r>
      <w:r>
        <w:rPr>
          <w:rFonts w:eastAsiaTheme="minorEastAsia"/>
          <w:color w:val="auto"/>
        </w:rPr>
        <w:fldChar w:fldCharType="separate"/>
      </w:r>
      <w:r>
        <w:rPr>
          <w:rFonts w:eastAsiaTheme="minorEastAsia"/>
          <w:color w:val="auto"/>
        </w:rPr>
        <w:t>215</w:t>
      </w:r>
      <w:r>
        <w:rPr>
          <w:rFonts w:eastAsiaTheme="minorEastAsia"/>
          <w:color w:val="auto"/>
        </w:rPr>
        <w:fldChar w:fldCharType="end"/>
      </w:r>
      <w:r>
        <w:rPr>
          <w:rFonts w:eastAsiaTheme="minorEastAsia"/>
          <w:color w:val="auto"/>
        </w:rPr>
        <w:fldChar w:fldCharType="end"/>
      </w:r>
    </w:p>
    <w:p w14:paraId="231CEEAC">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"_Toc149054247" </w:instrText>
      </w:r>
      <w:r>
        <w:rPr>
          <w:color w:val="auto"/>
        </w:rPr>
        <w:fldChar w:fldCharType="separate"/>
      </w:r>
      <w:r>
        <w:rPr>
          <w:rStyle w:val="56"/>
          <w:rFonts w:eastAsiaTheme="minorEastAsia"/>
          <w:snapToGrid w:val="0"/>
          <w:color w:val="auto"/>
        </w:rPr>
        <w:t>附表5声环境影响评价自查表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_Toc149054247 \h </w:instrText>
      </w:r>
      <w:r>
        <w:rPr>
          <w:rFonts w:eastAsiaTheme="minorEastAsia"/>
          <w:color w:val="auto"/>
        </w:rPr>
        <w:fldChar w:fldCharType="separate"/>
      </w:r>
      <w:r>
        <w:rPr>
          <w:rFonts w:eastAsiaTheme="minorEastAsia"/>
          <w:color w:val="auto"/>
        </w:rPr>
        <w:t>216</w:t>
      </w:r>
      <w:r>
        <w:rPr>
          <w:rFonts w:eastAsiaTheme="minorEastAsia"/>
          <w:color w:val="auto"/>
        </w:rPr>
        <w:fldChar w:fldCharType="end"/>
      </w:r>
      <w:r>
        <w:rPr>
          <w:rFonts w:eastAsiaTheme="minorEastAsia"/>
          <w:color w:val="auto"/>
        </w:rPr>
        <w:fldChar w:fldCharType="end"/>
      </w:r>
    </w:p>
    <w:p w14:paraId="231A383C">
      <w:pPr>
        <w:pStyle w:val="37"/>
        <w:ind w:firstLine="480"/>
        <w:rPr>
          <w:rFonts w:eastAsiaTheme="minorEastAsia"/>
          <w:bCs w:val="0"/>
          <w:color w:val="auto"/>
          <w:kern w:val="2"/>
          <w:sz w:val="21"/>
          <w:szCs w:val="22"/>
          <w14:ligatures w14:val="standardContextual"/>
        </w:rPr>
      </w:pPr>
      <w:r>
        <w:rPr>
          <w:color w:val="auto"/>
        </w:rPr>
        <w:fldChar w:fldCharType="begin"/>
      </w:r>
      <w:r>
        <w:rPr>
          <w:color w:val="auto"/>
        </w:rPr>
        <w:instrText xml:space="preserve"> HYPERLINK \l "_Toc149054248" </w:instrText>
      </w:r>
      <w:r>
        <w:rPr>
          <w:color w:val="auto"/>
        </w:rPr>
        <w:fldChar w:fldCharType="separate"/>
      </w:r>
      <w:r>
        <w:rPr>
          <w:rStyle w:val="56"/>
          <w:rFonts w:eastAsiaTheme="minorEastAsia"/>
          <w:snapToGrid w:val="0"/>
          <w:color w:val="auto"/>
        </w:rPr>
        <w:t>附表6生态影响评价自查表</w:t>
      </w:r>
      <w:r>
        <w:rPr>
          <w:rFonts w:eastAsiaTheme="minorEastAsia"/>
          <w:color w:val="auto"/>
        </w:rPr>
        <w:tab/>
      </w:r>
      <w:r>
        <w:rPr>
          <w:rFonts w:eastAsiaTheme="minorEastAsia"/>
          <w:color w:val="auto"/>
        </w:rPr>
        <w:fldChar w:fldCharType="begin"/>
      </w:r>
      <w:r>
        <w:rPr>
          <w:rFonts w:eastAsiaTheme="minorEastAsia"/>
          <w:color w:val="auto"/>
        </w:rPr>
        <w:instrText xml:space="preserve"> PAGEREF _Toc149054248 \h </w:instrText>
      </w:r>
      <w:r>
        <w:rPr>
          <w:rFonts w:eastAsiaTheme="minorEastAsia"/>
          <w:color w:val="auto"/>
        </w:rPr>
        <w:fldChar w:fldCharType="separate"/>
      </w:r>
      <w:r>
        <w:rPr>
          <w:rFonts w:eastAsiaTheme="minorEastAsia"/>
          <w:color w:val="auto"/>
        </w:rPr>
        <w:t>217</w:t>
      </w:r>
      <w:r>
        <w:rPr>
          <w:rFonts w:eastAsiaTheme="minorEastAsia"/>
          <w:color w:val="auto"/>
        </w:rPr>
        <w:fldChar w:fldCharType="end"/>
      </w:r>
      <w:r>
        <w:rPr>
          <w:rFonts w:eastAsiaTheme="minorEastAsia"/>
          <w:color w:val="auto"/>
        </w:rPr>
        <w:fldChar w:fldCharType="end"/>
      </w:r>
    </w:p>
    <w:p w14:paraId="5B285840">
      <w:pPr>
        <w:spacing w:line="360" w:lineRule="auto"/>
        <w:ind w:firstLine="331" w:firstLineChars="150"/>
        <w:rPr>
          <w:color w:val="auto"/>
        </w:rPr>
      </w:pPr>
      <w:r>
        <w:rPr>
          <w:rFonts w:eastAsiaTheme="minorEastAsia"/>
          <w:b/>
          <w:snapToGrid w:val="0"/>
          <w:color w:val="auto"/>
          <w:kern w:val="0"/>
          <w:sz w:val="22"/>
          <w:szCs w:val="22"/>
        </w:rPr>
        <w:fldChar w:fldCharType="end"/>
      </w:r>
    </w:p>
    <w:p w14:paraId="1FF31AA7">
      <w:pPr>
        <w:spacing w:line="360" w:lineRule="auto"/>
        <w:ind w:firstLine="210" w:firstLineChars="100"/>
        <w:rPr>
          <w:color w:val="auto"/>
          <w:szCs w:val="22"/>
        </w:rPr>
      </w:pPr>
    </w:p>
    <w:p w14:paraId="63F7EFD7">
      <w:pPr>
        <w:spacing w:line="360" w:lineRule="auto"/>
        <w:ind w:firstLine="210" w:firstLineChars="100"/>
        <w:rPr>
          <w:color w:val="auto"/>
          <w:szCs w:val="22"/>
        </w:rPr>
        <w:sectPr>
          <w:headerReference r:id="rId5" w:type="default"/>
          <w:footerReference r:id="rId6"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27D63C1E">
      <w:pPr>
        <w:pStyle w:val="759"/>
        <w:rPr>
          <w:color w:val="auto"/>
        </w:rPr>
      </w:pPr>
      <w:bookmarkStart w:id="2" w:name="_Toc149054183"/>
      <w:bookmarkStart w:id="3" w:name="_Toc119316781"/>
      <w:r>
        <w:rPr>
          <w:color w:val="auto"/>
        </w:rPr>
        <w:t>1概述</w:t>
      </w:r>
      <w:bookmarkEnd w:id="1"/>
      <w:bookmarkEnd w:id="2"/>
      <w:bookmarkEnd w:id="3"/>
    </w:p>
    <w:p w14:paraId="75F00215">
      <w:pPr>
        <w:pStyle w:val="548"/>
        <w:rPr>
          <w:color w:val="auto"/>
        </w:rPr>
      </w:pPr>
      <w:bookmarkStart w:id="4" w:name="_Toc119316782"/>
      <w:bookmarkStart w:id="5" w:name="_Toc149054184"/>
      <w:r>
        <w:rPr>
          <w:color w:val="auto"/>
        </w:rPr>
        <w:t>1.1项目由来</w:t>
      </w:r>
      <w:bookmarkEnd w:id="4"/>
      <w:bookmarkEnd w:id="5"/>
    </w:p>
    <w:p w14:paraId="376F43E6">
      <w:pPr>
        <w:pStyle w:val="59"/>
        <w:ind w:firstLine="480"/>
        <w:rPr>
          <w:rFonts w:hint="eastAsia"/>
          <w:snapToGrid w:val="0"/>
          <w:color w:val="auto"/>
        </w:rPr>
      </w:pPr>
      <w:bookmarkStart w:id="6" w:name="_Hlk57016677"/>
      <w:bookmarkStart w:id="7" w:name="_Toc15991611"/>
      <w:bookmarkStart w:id="8" w:name="_Toc524431260"/>
      <w:r>
        <w:rPr>
          <w:rFonts w:hint="eastAsia"/>
          <w:snapToGrid w:val="0"/>
          <w:color w:val="auto"/>
          <w:lang w:val="en-US" w:eastAsia="zh-CN"/>
        </w:rPr>
        <w:t>依据《国家土壤污染防治行动计划》《土壤污染防治工作方案》相关工作要求，需全面推进工业固体废物规范化处置、工矿废弃场地生态整治修复工作，严厉遏制工业固废随意堆存、倾倒等问题，全面整改不规范固废堆场，通过资源化利用、规范化处置相结合的方式，解决固废污染隐患，规范工矿场地生态修复工作。随着我国生态环境保护体系不断完善，全民环保意识持续提升，区域水土保持、生态修复、污染防控及场地安全管控标准日趋严格，工矿开采后场地生态复原、工业固废资源化处置已成为区域生态环境提质的重点工作。为有效解决工业固废处置难题、修复采石场开采后破损场地生态环境，消除场地水土流失、边坡坍塌隐患，恢复场地原有生态地貌及土地利用价值，结合本场地最新生态修复专项方案要求，特启动本项目建设。</w:t>
      </w:r>
    </w:p>
    <w:p w14:paraId="34D6C459">
      <w:pPr>
        <w:pStyle w:val="59"/>
        <w:ind w:firstLine="480"/>
        <w:rPr>
          <w:rFonts w:hint="default" w:ascii="Times New Roman" w:hAnsi="Times New Roman" w:eastAsia="宋体" w:cs="Times New Roman"/>
          <w:snapToGrid w:val="0"/>
          <w:color w:val="auto"/>
          <w:lang w:val="en-US" w:eastAsia="zh-CN"/>
        </w:rPr>
      </w:pPr>
      <w:r>
        <w:rPr>
          <w:rFonts w:hint="eastAsia"/>
          <w:snapToGrid w:val="0"/>
          <w:color w:val="auto"/>
          <w:lang w:val="en-US" w:eastAsia="zh-CN"/>
        </w:rPr>
        <w:t>本项目场地为鸡东县新泉采石场露天开采场地，原有环评批复为鸡环审〔2015〕29号《关于鸡东县新泉采石场建设项目环境影响报告表的批复》（见附件），2015年取得环评审批，2020年12月完成自主验收（见附件），2021年编制完成《鸡东县新泉采石场矿山地质环境保护与土地复垦方案》，2021年5月10日该方案已经专家组评审通过（见附件），2021年编制的矿山地质环境保护与土地复垦方案修复以直接覆土种植为主，未考虑地貌重塑工程。矿山2024年11月已停采，形成7.8594hm²土地挖损、压占损毁区域，采坑深度大，原有直接覆土方案无法消解巨大采坑坑体，存在边坡失稳、地质灾害风险，对闭坑采石场治理提出更高治理要求；结合矿山实际开采结束后形成大规模挖损采坑的现实条件，原2021年编制的复垦方案直接覆土种植的模式难以实现采坑大坑洼地形的地貌重塑，无法有效消除高陡边坡地质安全隐患。本次2026年7月编制的《鸡东县新泉采石场矿山生态修复设计方案》，在原有矿山资料基础上重新开展地形实测、现场勘查，调整修复工程思路，采用地貌重塑</w:t>
      </w:r>
      <w:r>
        <w:rPr>
          <w:rFonts w:hint="eastAsia"/>
          <w:snapToGrid w:val="0"/>
          <w:color w:val="auto"/>
          <w:lang w:val="en-US" w:eastAsia="zh-CN"/>
        </w:rPr>
        <w:noBreakHyphen/>
      </w:r>
      <w:r>
        <w:rPr>
          <w:rFonts w:hint="eastAsia"/>
          <w:snapToGrid w:val="0"/>
          <w:color w:val="auto"/>
          <w:lang w:val="en-US" w:eastAsia="zh-CN"/>
        </w:rPr>
        <w:t>土壤重构</w:t>
      </w:r>
      <w:r>
        <w:rPr>
          <w:rFonts w:hint="eastAsia"/>
          <w:snapToGrid w:val="0"/>
          <w:color w:val="auto"/>
          <w:lang w:val="en-US" w:eastAsia="zh-CN"/>
        </w:rPr>
        <w:noBreakHyphen/>
      </w:r>
      <w:r>
        <w:rPr>
          <w:rFonts w:hint="eastAsia"/>
          <w:snapToGrid w:val="0"/>
          <w:color w:val="auto"/>
          <w:lang w:val="en-US" w:eastAsia="zh-CN"/>
        </w:rPr>
        <w:t>植被重建</w:t>
      </w:r>
      <w:r>
        <w:rPr>
          <w:rFonts w:hint="eastAsia"/>
          <w:snapToGrid w:val="0"/>
          <w:color w:val="auto"/>
          <w:lang w:val="en-US" w:eastAsia="zh-CN"/>
        </w:rPr>
        <w:noBreakHyphen/>
      </w:r>
      <w:r>
        <w:rPr>
          <w:rFonts w:hint="eastAsia"/>
          <w:snapToGrid w:val="0"/>
          <w:color w:val="auto"/>
          <w:lang w:val="en-US" w:eastAsia="zh-CN"/>
        </w:rPr>
        <w:t>长效监测管护的修复路线，利用矿山自身剥离物21.50万m</w:t>
      </w:r>
      <w:r>
        <w:rPr>
          <w:rFonts w:hint="eastAsia"/>
          <w:snapToGrid w:val="0"/>
          <w:color w:val="auto"/>
          <w:vertAlign w:val="superscript"/>
          <w:lang w:val="en-US" w:eastAsia="zh-CN"/>
        </w:rPr>
        <w:t>3</w:t>
      </w:r>
      <w:r>
        <w:rPr>
          <w:rFonts w:hint="eastAsia"/>
          <w:snapToGrid w:val="0"/>
          <w:color w:val="auto"/>
          <w:lang w:val="en-US" w:eastAsia="zh-CN"/>
        </w:rPr>
        <w:t>+外运电厂灰渣32.76万m</w:t>
      </w:r>
      <w:r>
        <w:rPr>
          <w:rFonts w:hint="eastAsia"/>
          <w:snapToGrid w:val="0"/>
          <w:color w:val="auto"/>
          <w:vertAlign w:val="superscript"/>
          <w:lang w:val="en-US" w:eastAsia="zh-CN"/>
        </w:rPr>
        <w:t>3</w:t>
      </w:r>
      <w:r>
        <w:rPr>
          <w:rFonts w:hint="eastAsia"/>
          <w:snapToGrid w:val="0"/>
          <w:color w:val="auto"/>
          <w:lang w:val="en-US" w:eastAsia="zh-CN"/>
        </w:rPr>
        <w:t>对采坑进行分层回填压实，实现采坑地形重塑，再实施覆土培肥、植被重建，复垦方向为旱地、乔木林地，</w:t>
      </w:r>
      <w:r>
        <w:rPr>
          <w:rFonts w:hint="default" w:ascii="Times New Roman" w:hAnsi="Times New Roman" w:cs="Times New Roman"/>
          <w:snapToGrid w:val="0"/>
          <w:color w:val="auto"/>
          <w:lang w:val="en-US" w:eastAsia="zh-CN"/>
        </w:rPr>
        <w:t>符合《</w:t>
      </w:r>
      <w:r>
        <w:rPr>
          <w:rFonts w:hint="default" w:ascii="Times New Roman" w:hAnsi="Times New Roman" w:eastAsia="宋体" w:cs="Times New Roman"/>
          <w:color w:val="auto"/>
          <w:sz w:val="24"/>
          <w:szCs w:val="24"/>
        </w:rPr>
        <w:t>中华人民共和国矿产资源法》（202</w:t>
      </w:r>
      <w:r>
        <w:rPr>
          <w:rFonts w:hint="eastAsia" w:ascii="Times New Roman" w:hAnsi="Times New Roman" w:eastAsia="宋体" w:cs="Times New Roman"/>
          <w:color w:val="auto"/>
          <w:sz w:val="24"/>
          <w:szCs w:val="24"/>
          <w:lang w:val="en-US" w:eastAsia="zh-CN"/>
        </w:rPr>
        <w:t>4年</w:t>
      </w:r>
      <w:r>
        <w:rPr>
          <w:rFonts w:hint="default" w:ascii="Times New Roman" w:hAnsi="Times New Roman" w:eastAsia="宋体" w:cs="Times New Roman"/>
          <w:color w:val="auto"/>
          <w:sz w:val="24"/>
          <w:szCs w:val="24"/>
        </w:rPr>
        <w:t>修订</w:t>
      </w:r>
      <w:r>
        <w:rPr>
          <w:rFonts w:hint="default" w:ascii="Times New Roman" w:hAnsi="Times New Roman" w:eastAsia="宋体" w:cs="Times New Roman"/>
          <w:color w:val="auto"/>
          <w:sz w:val="24"/>
          <w:szCs w:val="24"/>
          <w:lang w:eastAsia="zh-CN"/>
        </w:rPr>
        <w:t>》</w:t>
      </w:r>
      <w:r>
        <w:rPr>
          <w:rFonts w:hint="default" w:ascii="Times New Roman" w:hAnsi="Times New Roman" w:eastAsia="宋体" w:cs="Times New Roman"/>
          <w:color w:val="auto"/>
          <w:sz w:val="24"/>
          <w:szCs w:val="24"/>
          <w:lang w:val="en-US" w:eastAsia="zh-CN"/>
        </w:rPr>
        <w:t>中</w:t>
      </w:r>
      <w:r>
        <w:rPr>
          <w:rFonts w:hint="default" w:ascii="Times New Roman" w:hAnsi="Times New Roman" w:eastAsia="宋体" w:cs="Times New Roman"/>
          <w:i w:val="0"/>
          <w:iCs w:val="0"/>
          <w:caps w:val="0"/>
          <w:color w:val="auto"/>
          <w:spacing w:val="0"/>
          <w:sz w:val="24"/>
          <w:szCs w:val="24"/>
          <w:shd w:val="clear" w:fill="FFFFFF"/>
        </w:rPr>
        <w:t>矿区生态修复应当坚持自然恢复与人工修复相结合，遵循因地制宜、科学规划、系统治理、合理利用的原则，采取工程、技术、生物等措施，做好地质环境恢复治理、地貌重塑、植被恢复、土地复垦等</w:t>
      </w:r>
      <w:r>
        <w:rPr>
          <w:rFonts w:hint="default" w:ascii="Times New Roman" w:hAnsi="Times New Roman" w:eastAsia="宋体" w:cs="Times New Roman"/>
          <w:i w:val="0"/>
          <w:iCs w:val="0"/>
          <w:caps w:val="0"/>
          <w:color w:val="auto"/>
          <w:spacing w:val="0"/>
          <w:sz w:val="24"/>
          <w:szCs w:val="24"/>
          <w:shd w:val="clear" w:fill="FFFFFF"/>
          <w:lang w:val="en-US" w:eastAsia="zh-CN"/>
        </w:rPr>
        <w:t>相关要求</w:t>
      </w:r>
      <w:r>
        <w:rPr>
          <w:rFonts w:hint="default" w:ascii="Times New Roman" w:hAnsi="Times New Roman" w:eastAsia="宋体" w:cs="Times New Roman"/>
          <w:i w:val="0"/>
          <w:iCs w:val="0"/>
          <w:caps w:val="0"/>
          <w:color w:val="auto"/>
          <w:spacing w:val="0"/>
          <w:sz w:val="24"/>
          <w:szCs w:val="24"/>
          <w:shd w:val="clear" w:fill="FFFFFF"/>
        </w:rPr>
        <w:t>。</w:t>
      </w:r>
    </w:p>
    <w:p w14:paraId="6959380B">
      <w:pPr>
        <w:pStyle w:val="59"/>
        <w:ind w:firstLine="480"/>
        <w:rPr>
          <w:rFonts w:hint="eastAsia"/>
          <w:snapToGrid w:val="0"/>
          <w:color w:val="auto"/>
        </w:rPr>
      </w:pPr>
      <w:r>
        <w:rPr>
          <w:rFonts w:hint="eastAsia"/>
          <w:snapToGrid w:val="0"/>
          <w:color w:val="auto"/>
          <w:lang w:val="en-US" w:eastAsia="zh-CN"/>
        </w:rPr>
        <w:t>采石场开采作业结束后遗留的露天矿坑，打破了区域原有地形地貌，场地土体裸露、无植被覆盖，雨天极易引发水土流失问题，同时矿坑边坡存在松动、坍塌等地质安全隐患，区域原有生态地貌遭到破坏，土地资源无法正常利用，亟需按照专项生态修复方案开展原貌恢复治理工作。与此同时，周边火电企业常年产生大量灰渣一般工业固体废物，受市场消纳、利用渠道等因素限制，部分灰渣综合利用效率不足，长期堆存易产生扬尘、渗滤等环境污染问题，固废合规消纳处置压力较大。结合《一般工业固体废物贮存和填埋污染控制标准》（GB18599-2020）中关于一般工业固废回填、地貌修复的相关定义及技术要求，严格遵循本采石场最新生态修复方案的治理标准和施工要求，鸡东县新泉采石场拟实施土地复垦项目。本项目采用合规处置工艺，以鸡东县嘉翼商贸有限公司供应的黑龙江醇能热电有限公司产出的合规灰渣作为回填填充物料，对新泉采石场开采后遗留的露天矿坑进行分层回填处置，回填作业完成后实施场地顶部覆土平整、生态整治工作，逐步恢复场地原有自然地貌。本项目实施后，可实现灰渣固体废物的资源化高效利用，有效破解灰渣处置难题，杜绝固废堆存引发的各类环境污染问题，同时彻底消除露天矿坑水土流失、边坡坍塌的地质安全隐患，有效恢复采石场场地土地利用功能。通过标准化的回填、覆土及地貌复原治理，可全面修复开采破损的区域生态系统，提升场地生态结构稳定性与生态功能完整性，实现工业固废资源化利用、采石场生态原貌恢复、区域生态环境提质的多重社会效益与生态效益。</w:t>
      </w:r>
    </w:p>
    <w:p w14:paraId="7A53205B">
      <w:pPr>
        <w:pStyle w:val="59"/>
        <w:ind w:firstLine="480"/>
        <w:rPr>
          <w:rFonts w:hint="eastAsia"/>
          <w:color w:val="auto"/>
          <w:sz w:val="24"/>
          <w:szCs w:val="24"/>
          <w:lang w:val="en-US" w:eastAsia="zh-CN"/>
        </w:rPr>
      </w:pPr>
      <w:r>
        <w:rPr>
          <w:rFonts w:hint="eastAsia"/>
          <w:snapToGrid w:val="0"/>
          <w:color w:val="auto"/>
        </w:rPr>
        <w:t>项目区</w:t>
      </w:r>
      <w:r>
        <w:rPr>
          <w:snapToGrid w:val="0"/>
          <w:color w:val="auto"/>
        </w:rPr>
        <w:t>位于</w:t>
      </w:r>
      <w:r>
        <w:rPr>
          <w:rFonts w:hint="eastAsia"/>
          <w:snapToGrid w:val="0"/>
          <w:color w:val="auto"/>
        </w:rPr>
        <w:t>鸡西市</w:t>
      </w:r>
      <w:r>
        <w:rPr>
          <w:rFonts w:hint="eastAsia"/>
          <w:snapToGrid w:val="0"/>
          <w:color w:val="auto"/>
          <w:lang w:val="en-US" w:eastAsia="zh-CN"/>
        </w:rPr>
        <w:t>鸡东县新泉村五队</w:t>
      </w:r>
      <w:r>
        <w:rPr>
          <w:rFonts w:hint="eastAsia"/>
          <w:snapToGrid w:val="0"/>
          <w:color w:val="auto"/>
        </w:rPr>
        <w:t>，修复</w:t>
      </w:r>
      <w:r>
        <w:rPr>
          <w:rFonts w:hint="eastAsia"/>
          <w:snapToGrid w:val="0"/>
          <w:color w:val="auto"/>
          <w:lang w:val="en-US" w:eastAsia="zh-CN"/>
        </w:rPr>
        <w:t>区域为</w:t>
      </w:r>
      <w:r>
        <w:rPr>
          <w:rFonts w:hint="eastAsia"/>
          <w:color w:val="auto"/>
          <w:spacing w:val="-4"/>
          <w:lang w:val="en-US" w:eastAsia="zh-CN"/>
        </w:rPr>
        <w:t>新泉采石场矿区，</w:t>
      </w:r>
      <w:r>
        <w:rPr>
          <w:rFonts w:hint="eastAsia"/>
          <w:color w:val="auto"/>
          <w:lang w:eastAsia="zh-CN"/>
        </w:rPr>
        <w:t>总占地面积</w:t>
      </w:r>
      <w:r>
        <w:rPr>
          <w:rFonts w:hint="eastAsia"/>
          <w:color w:val="auto"/>
          <w:lang w:val="en-US" w:eastAsia="zh-CN"/>
        </w:rPr>
        <w:t>78594</w:t>
      </w:r>
      <w:r>
        <w:rPr>
          <w:color w:val="auto"/>
        </w:rPr>
        <w:t>m</w:t>
      </w:r>
      <w:r>
        <w:rPr>
          <w:color w:val="auto"/>
          <w:vertAlign w:val="superscript"/>
        </w:rPr>
        <w:t>2</w:t>
      </w:r>
      <w:r>
        <w:rPr>
          <w:rFonts w:hint="eastAsia"/>
          <w:color w:val="auto"/>
          <w:vertAlign w:val="baseline"/>
          <w:lang w:eastAsia="zh-CN"/>
        </w:rPr>
        <w:t>，其中</w:t>
      </w:r>
      <w:r>
        <w:rPr>
          <w:rFonts w:hint="eastAsia"/>
          <w:color w:val="auto"/>
        </w:rPr>
        <w:t>废弃采坑占地面积</w:t>
      </w:r>
      <w:r>
        <w:rPr>
          <w:rFonts w:hint="eastAsia"/>
          <w:color w:val="auto"/>
          <w:lang w:val="en-US" w:eastAsia="zh-CN"/>
        </w:rPr>
        <w:t>52320</w:t>
      </w:r>
      <w:r>
        <w:rPr>
          <w:color w:val="auto"/>
        </w:rPr>
        <w:t>m</w:t>
      </w:r>
      <w:r>
        <w:rPr>
          <w:color w:val="auto"/>
          <w:vertAlign w:val="superscript"/>
        </w:rPr>
        <w:t>2</w:t>
      </w:r>
      <w:r>
        <w:rPr>
          <w:rFonts w:hint="eastAsia"/>
          <w:color w:val="auto"/>
        </w:rPr>
        <w:t>，</w:t>
      </w:r>
      <w:r>
        <w:rPr>
          <w:rFonts w:hint="eastAsia"/>
          <w:color w:val="auto"/>
          <w:sz w:val="24"/>
          <w:szCs w:val="24"/>
          <w:lang w:eastAsia="zh-CN"/>
        </w:rPr>
        <w:t>工业场地面积</w:t>
      </w:r>
      <w:r>
        <w:rPr>
          <w:rFonts w:hint="eastAsia" w:ascii="Times New Roman" w:hAnsi="Times New Roman" w:eastAsia="宋体" w:cs="Times New Roman"/>
          <w:color w:val="auto"/>
          <w:sz w:val="24"/>
          <w:szCs w:val="24"/>
          <w:vertAlign w:val="baseline"/>
          <w:lang w:val="en-US" w:eastAsia="zh-CN"/>
        </w:rPr>
        <w:t>26274</w:t>
      </w:r>
      <w:r>
        <w:rPr>
          <w:rFonts w:hint="default" w:ascii="Times New Roman" w:hAnsi="Times New Roman" w:eastAsia="宋体" w:cs="Times New Roman"/>
          <w:color w:val="auto"/>
          <w:sz w:val="24"/>
          <w:szCs w:val="24"/>
          <w:vertAlign w:val="baseline"/>
          <w:lang w:val="en-US" w:eastAsia="zh-CN"/>
        </w:rPr>
        <w:t>m</w:t>
      </w:r>
      <w:r>
        <w:rPr>
          <w:rFonts w:hint="default" w:ascii="Times New Roman" w:hAnsi="Times New Roman" w:eastAsia="宋体" w:cs="Times New Roman"/>
          <w:color w:val="auto"/>
          <w:sz w:val="24"/>
          <w:szCs w:val="24"/>
          <w:vertAlign w:val="superscript"/>
          <w:lang w:val="en-US" w:eastAsia="zh-CN"/>
        </w:rPr>
        <w:t>2</w:t>
      </w:r>
      <w:r>
        <w:rPr>
          <w:rFonts w:hint="eastAsia" w:cs="Times New Roman"/>
          <w:color w:val="auto"/>
        </w:rPr>
        <w:t>，</w:t>
      </w:r>
      <w:r>
        <w:rPr>
          <w:rFonts w:hint="eastAsia" w:cs="Times New Roman"/>
          <w:color w:val="auto"/>
          <w:lang w:val="en-US" w:eastAsia="zh-CN"/>
        </w:rPr>
        <w:t>回填材料为鸡</w:t>
      </w:r>
      <w:r>
        <w:rPr>
          <w:rFonts w:hint="eastAsia"/>
          <w:snapToGrid w:val="0"/>
          <w:color w:val="auto"/>
          <w:lang w:val="en-US" w:eastAsia="zh-CN"/>
        </w:rPr>
        <w:t>东县嘉翼商贸有限公司供应的黑龙江醇能热电有限公司产出的灰渣，</w:t>
      </w:r>
      <w:r>
        <w:rPr>
          <w:rFonts w:hint="eastAsia"/>
          <w:color w:val="auto"/>
          <w:sz w:val="24"/>
          <w:szCs w:val="24"/>
          <w:lang w:val="en-US" w:eastAsia="zh-CN"/>
        </w:rPr>
        <w:t>根据企业环境信息依法披露系统（黑龙江）公开信息，黑龙江醇能热电有限公司年产灰渣量约为109715.935t/a，因此，本项目利用黑龙江醇能热电有限公司的部分灰渣回填至本项目场地，计划回填1089天，根据鸡东县新泉采石场矿山生态修复设计方案，</w:t>
      </w:r>
      <w:r>
        <w:rPr>
          <w:rFonts w:hint="default" w:ascii="Times New Roman" w:hAnsi="Times New Roman" w:eastAsia="宋体" w:cs="Times New Roman"/>
          <w:color w:val="auto"/>
          <w:kern w:val="0"/>
          <w:sz w:val="24"/>
          <w:szCs w:val="24"/>
          <w:highlight w:val="none"/>
          <w:lang w:val="en-US" w:eastAsia="zh-CN" w:bidi="ar"/>
        </w:rPr>
        <w:t>根据鸡东县新泉采石场矿山生态修复设计方案，回填灰渣量为32.76万m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/3a，电厂产渣能力可满足本项目回填物料需求。</w:t>
      </w:r>
      <w:r>
        <w:rPr>
          <w:rFonts w:hint="eastAsia"/>
          <w:color w:val="auto"/>
          <w:sz w:val="24"/>
          <w:szCs w:val="24"/>
          <w:lang w:val="en-US" w:eastAsia="zh-CN"/>
        </w:rPr>
        <w:t>本项目物料来源可行。</w:t>
      </w:r>
    </w:p>
    <w:p w14:paraId="4B465762">
      <w:pPr>
        <w:pStyle w:val="59"/>
        <w:ind w:firstLine="480"/>
        <w:rPr>
          <w:rFonts w:hint="eastAsia" w:eastAsia="宋体" w:cs="Times New Roman"/>
          <w:color w:val="auto"/>
          <w:lang w:eastAsia="zh-CN"/>
        </w:rPr>
      </w:pPr>
      <w:r>
        <w:rPr>
          <w:rFonts w:hint="eastAsia"/>
          <w:color w:val="auto"/>
          <w:lang w:val="en-US" w:eastAsia="zh-CN"/>
        </w:rPr>
        <w:t>项目</w:t>
      </w:r>
      <w:r>
        <w:rPr>
          <w:rFonts w:hint="eastAsia"/>
          <w:color w:val="auto"/>
        </w:rPr>
        <w:t>年工作</w:t>
      </w:r>
      <w:r>
        <w:rPr>
          <w:rFonts w:hint="eastAsia"/>
          <w:color w:val="auto"/>
          <w:lang w:val="en-US" w:eastAsia="zh-CN"/>
        </w:rPr>
        <w:t>363</w:t>
      </w:r>
      <w:r>
        <w:rPr>
          <w:rFonts w:hint="eastAsia"/>
          <w:color w:val="auto"/>
        </w:rPr>
        <w:t>天，</w:t>
      </w:r>
      <w:r>
        <w:rPr>
          <w:rFonts w:hint="eastAsia"/>
          <w:color w:val="auto"/>
          <w:lang w:eastAsia="zh-CN"/>
        </w:rPr>
        <w:t>一</w:t>
      </w:r>
      <w:r>
        <w:rPr>
          <w:rFonts w:hint="eastAsia"/>
          <w:color w:val="auto"/>
        </w:rPr>
        <w:t>班制，每班</w:t>
      </w:r>
      <w:r>
        <w:rPr>
          <w:rFonts w:hint="eastAsia"/>
          <w:color w:val="auto"/>
          <w:lang w:val="en-US" w:eastAsia="zh-CN"/>
        </w:rPr>
        <w:t>12</w:t>
      </w:r>
      <w:r>
        <w:rPr>
          <w:rFonts w:hint="eastAsia"/>
          <w:color w:val="auto"/>
        </w:rPr>
        <w:t>小时。回填的</w:t>
      </w:r>
      <w:r>
        <w:rPr>
          <w:rFonts w:hint="eastAsia"/>
          <w:color w:val="auto"/>
          <w:lang w:eastAsia="zh-CN"/>
        </w:rPr>
        <w:t>灰渣</w:t>
      </w:r>
      <w:r>
        <w:rPr>
          <w:rFonts w:hint="eastAsia"/>
          <w:color w:val="auto"/>
        </w:rPr>
        <w:t>属于第I类一般工业固体废物，回填至与周边环境持平后按标准要求进行土地复垦</w:t>
      </w:r>
      <w:r>
        <w:rPr>
          <w:rFonts w:hint="eastAsia"/>
          <w:color w:val="auto"/>
          <w:lang w:eastAsia="zh-CN"/>
        </w:rPr>
        <w:t>，复垦为乔木林地、旱地。</w:t>
      </w:r>
    </w:p>
    <w:p w14:paraId="02A14D25">
      <w:pPr>
        <w:pStyle w:val="59"/>
        <w:ind w:firstLine="480"/>
        <w:rPr>
          <w:color w:val="auto"/>
        </w:rPr>
      </w:pPr>
      <w:r>
        <w:rPr>
          <w:rFonts w:hint="eastAsia"/>
          <w:snapToGrid w:val="0"/>
          <w:color w:val="auto"/>
        </w:rPr>
        <w:t>根据《中华人民共和国环境保护法》、《中华人民共和国环境影响评价法》、《建设项目环境保护管理条例》等有关规定，</w:t>
      </w:r>
      <w:r>
        <w:rPr>
          <w:rFonts w:hint="eastAsia"/>
          <w:snapToGrid w:val="0"/>
          <w:color w:val="auto"/>
          <w:lang w:val="en-US" w:eastAsia="zh-CN"/>
        </w:rPr>
        <w:t>鸡东县新泉采石场</w:t>
      </w:r>
      <w:r>
        <w:rPr>
          <w:rFonts w:hint="eastAsia"/>
          <w:snapToGrid w:val="0"/>
          <w:color w:val="auto"/>
        </w:rPr>
        <w:t>委托</w:t>
      </w:r>
      <w:r>
        <w:rPr>
          <w:rFonts w:hint="eastAsia"/>
          <w:snapToGrid w:val="0"/>
          <w:color w:val="auto"/>
          <w:lang w:val="en-US" w:eastAsia="zh-CN"/>
        </w:rPr>
        <w:t>黑龙江绿水环保服务有限公司</w:t>
      </w:r>
      <w:r>
        <w:rPr>
          <w:rFonts w:hint="eastAsia"/>
          <w:snapToGrid w:val="0"/>
          <w:color w:val="auto"/>
        </w:rPr>
        <w:t>承担该项目的环境影响评价工作。根据《建设项目环境影响评价分类管理名录》（2021年版），本项目在废弃采坑的治理过程中采用以一般工业固体废物（</w:t>
      </w:r>
      <w:r>
        <w:rPr>
          <w:rFonts w:hint="eastAsia"/>
          <w:snapToGrid w:val="0"/>
          <w:color w:val="auto"/>
          <w:lang w:eastAsia="zh-CN"/>
        </w:rPr>
        <w:t>灰渣</w:t>
      </w:r>
      <w:r>
        <w:rPr>
          <w:rFonts w:hint="eastAsia"/>
          <w:snapToGrid w:val="0"/>
          <w:color w:val="auto"/>
        </w:rPr>
        <w:t>）进行回填，其影响与一般工业固体废物填埋场类似，属于名录中的“四十七、生态保护和环境治理业：103一般工业固体废物（含污水处理污泥）、建筑施工废弃物处置及综合利用”中“一般工业固体废物（含污水处理污泥）采取填埋、焚烧（水泥窑协同处置的改造项目除外）方式的”，因此，应编制环境影响报告书。在接到委托后，评价单位组成项目组，项目组评价人员对现场进行了实地踏查并收集了相关资料，委托相关单位进行现状监测，经资料整理、模式计算及统计分析，编制出该项目的环境影响报告书，现提交主管部门审查</w:t>
      </w:r>
      <w:r>
        <w:rPr>
          <w:rFonts w:hint="eastAsia"/>
          <w:color w:val="auto"/>
        </w:rPr>
        <w:t>。</w:t>
      </w:r>
    </w:p>
    <w:bookmarkEnd w:id="6"/>
    <w:p w14:paraId="7CB167D3">
      <w:pPr>
        <w:pStyle w:val="548"/>
        <w:rPr>
          <w:color w:val="auto"/>
        </w:rPr>
      </w:pPr>
      <w:bookmarkStart w:id="9" w:name="_Toc119316783"/>
      <w:bookmarkStart w:id="10" w:name="_Toc149054185"/>
      <w:r>
        <w:rPr>
          <w:color w:val="auto"/>
        </w:rPr>
        <w:t>1.2项目特点</w:t>
      </w:r>
      <w:bookmarkEnd w:id="7"/>
      <w:bookmarkEnd w:id="8"/>
      <w:bookmarkEnd w:id="9"/>
      <w:bookmarkEnd w:id="10"/>
    </w:p>
    <w:p w14:paraId="57002EEE">
      <w:pPr>
        <w:pStyle w:val="137"/>
        <w:rPr>
          <w:color w:val="auto"/>
        </w:rPr>
      </w:pPr>
      <w:r>
        <w:rPr>
          <w:rFonts w:hint="eastAsia"/>
          <w:color w:val="auto"/>
        </w:rPr>
        <w:t>1</w:t>
      </w:r>
      <w:r>
        <w:rPr>
          <w:color w:val="auto"/>
        </w:rPr>
        <w:t>.2.1</w:t>
      </w:r>
      <w:r>
        <w:rPr>
          <w:rFonts w:hint="eastAsia"/>
          <w:color w:val="auto"/>
        </w:rPr>
        <w:t>项目特点</w:t>
      </w:r>
    </w:p>
    <w:p w14:paraId="7FCC3E36">
      <w:pPr>
        <w:pStyle w:val="59"/>
        <w:ind w:firstLine="480"/>
        <w:rPr>
          <w:color w:val="auto"/>
        </w:rPr>
      </w:pPr>
      <w:r>
        <w:rPr>
          <w:color w:val="auto"/>
        </w:rPr>
        <w:t>本项目利用</w:t>
      </w:r>
      <w:r>
        <w:rPr>
          <w:rFonts w:hint="eastAsia"/>
          <w:snapToGrid w:val="0"/>
          <w:color w:val="auto"/>
          <w:lang w:val="en-US" w:eastAsia="zh-CN"/>
        </w:rPr>
        <w:t>黑龙江醇能热电有限公司产出的灰渣</w:t>
      </w:r>
      <w:r>
        <w:rPr>
          <w:bCs/>
          <w:color w:val="auto"/>
        </w:rPr>
        <w:t>对</w:t>
      </w:r>
      <w:r>
        <w:rPr>
          <w:color w:val="auto"/>
        </w:rPr>
        <w:t>位于</w:t>
      </w:r>
      <w:r>
        <w:rPr>
          <w:bCs/>
          <w:color w:val="auto"/>
        </w:rPr>
        <w:t>鸡西市</w:t>
      </w:r>
      <w:r>
        <w:rPr>
          <w:color w:val="auto"/>
        </w:rPr>
        <w:t>鸡东县</w:t>
      </w:r>
      <w:r>
        <w:rPr>
          <w:rFonts w:hint="eastAsia"/>
          <w:color w:val="auto"/>
          <w:lang w:val="en-US" w:eastAsia="zh-CN"/>
        </w:rPr>
        <w:t>东海镇新泉村五队</w:t>
      </w:r>
      <w:r>
        <w:rPr>
          <w:color w:val="auto"/>
        </w:rPr>
        <w:t>的</w:t>
      </w:r>
      <w:r>
        <w:rPr>
          <w:rFonts w:hint="eastAsia"/>
          <w:snapToGrid w:val="0"/>
          <w:color w:val="auto"/>
          <w:lang w:val="en-US" w:eastAsia="zh-CN"/>
        </w:rPr>
        <w:t>鸡东县新泉采石场</w:t>
      </w:r>
      <w:r>
        <w:rPr>
          <w:color w:val="auto"/>
        </w:rPr>
        <w:t>废弃</w:t>
      </w:r>
      <w:r>
        <w:rPr>
          <w:rFonts w:hint="eastAsia"/>
          <w:color w:val="auto"/>
        </w:rPr>
        <w:t>采坑</w:t>
      </w:r>
      <w:r>
        <w:rPr>
          <w:color w:val="auto"/>
        </w:rPr>
        <w:t>进行回填，</w:t>
      </w:r>
      <w:r>
        <w:rPr>
          <w:rFonts w:hint="eastAsia"/>
          <w:color w:val="auto"/>
        </w:rPr>
        <w:t>回填材料</w:t>
      </w:r>
      <w:r>
        <w:rPr>
          <w:rFonts w:hint="eastAsia"/>
          <w:color w:val="auto"/>
          <w:lang w:eastAsia="zh-CN"/>
        </w:rPr>
        <w:t>灰渣</w:t>
      </w:r>
      <w:r>
        <w:rPr>
          <w:color w:val="auto"/>
        </w:rPr>
        <w:t>属于第</w:t>
      </w:r>
      <w:r>
        <w:rPr>
          <w:color w:val="auto"/>
        </w:rPr>
        <w:fldChar w:fldCharType="begin"/>
      </w:r>
      <w:r>
        <w:rPr>
          <w:color w:val="auto"/>
        </w:rPr>
        <w:instrText xml:space="preserve"> = 1 \* ROMAN </w:instrText>
      </w:r>
      <w:r>
        <w:rPr>
          <w:color w:val="auto"/>
        </w:rPr>
        <w:fldChar w:fldCharType="separate"/>
      </w:r>
      <w:r>
        <w:rPr>
          <w:color w:val="auto"/>
        </w:rPr>
        <w:t>I</w:t>
      </w:r>
      <w:r>
        <w:rPr>
          <w:color w:val="auto"/>
        </w:rPr>
        <w:fldChar w:fldCharType="end"/>
      </w:r>
      <w:r>
        <w:rPr>
          <w:color w:val="auto"/>
        </w:rPr>
        <w:t>类一般工业固体废物。</w:t>
      </w:r>
      <w:r>
        <w:rPr>
          <w:rFonts w:hint="eastAsia"/>
          <w:color w:val="auto"/>
        </w:rPr>
        <w:t>项目不但将</w:t>
      </w:r>
      <w:r>
        <w:rPr>
          <w:rFonts w:hint="eastAsia"/>
          <w:color w:val="auto"/>
          <w:lang w:eastAsia="zh-CN"/>
        </w:rPr>
        <w:t>灰渣</w:t>
      </w:r>
      <w:r>
        <w:rPr>
          <w:rFonts w:hint="eastAsia"/>
          <w:color w:val="auto"/>
        </w:rPr>
        <w:t>进行资源化利用，又降低了生态恢复成本，同时可以恢复废弃采坑的土地使用功能，充分利用土地资源。该项目的特点如下：</w:t>
      </w:r>
    </w:p>
    <w:p w14:paraId="6C3D4377">
      <w:pPr>
        <w:pStyle w:val="59"/>
        <w:ind w:firstLine="480"/>
        <w:rPr>
          <w:rFonts w:hint="eastAsia" w:eastAsia="宋体"/>
          <w:color w:val="auto"/>
          <w:lang w:eastAsia="zh-CN"/>
        </w:rPr>
      </w:pPr>
      <w:r>
        <w:rPr>
          <w:rFonts w:hint="eastAsia"/>
          <w:color w:val="auto"/>
        </w:rPr>
        <w:t>（1）场地现状：</w:t>
      </w:r>
      <w:r>
        <w:rPr>
          <w:rFonts w:hint="eastAsia"/>
          <w:color w:val="auto"/>
          <w:lang w:eastAsia="zh-CN"/>
        </w:rPr>
        <w:t>项目总占地面积</w:t>
      </w:r>
      <w:r>
        <w:rPr>
          <w:rFonts w:hint="eastAsia"/>
          <w:color w:val="auto"/>
          <w:lang w:val="en-US" w:eastAsia="zh-CN"/>
        </w:rPr>
        <w:t>78594</w:t>
      </w:r>
      <w:r>
        <w:rPr>
          <w:color w:val="auto"/>
        </w:rPr>
        <w:t>m</w:t>
      </w:r>
      <w:r>
        <w:rPr>
          <w:color w:val="auto"/>
          <w:vertAlign w:val="superscript"/>
        </w:rPr>
        <w:t>2</w:t>
      </w:r>
      <w:r>
        <w:rPr>
          <w:rFonts w:hint="eastAsia"/>
          <w:color w:val="auto"/>
          <w:vertAlign w:val="baseline"/>
          <w:lang w:eastAsia="zh-CN"/>
        </w:rPr>
        <w:t>，其中</w:t>
      </w:r>
      <w:r>
        <w:rPr>
          <w:rFonts w:hint="eastAsia"/>
          <w:color w:val="auto"/>
        </w:rPr>
        <w:t>废弃采坑占地面积</w:t>
      </w:r>
      <w:r>
        <w:rPr>
          <w:rFonts w:hint="eastAsia"/>
          <w:color w:val="auto"/>
          <w:lang w:val="en-US" w:eastAsia="zh-CN"/>
        </w:rPr>
        <w:t>52320</w:t>
      </w:r>
      <w:r>
        <w:rPr>
          <w:color w:val="auto"/>
        </w:rPr>
        <w:t>m</w:t>
      </w:r>
      <w:r>
        <w:rPr>
          <w:color w:val="auto"/>
          <w:vertAlign w:val="superscript"/>
        </w:rPr>
        <w:t>2</w:t>
      </w:r>
      <w:r>
        <w:rPr>
          <w:rFonts w:hint="eastAsia"/>
          <w:color w:val="auto"/>
        </w:rPr>
        <w:t>，</w:t>
      </w:r>
      <w:r>
        <w:rPr>
          <w:rFonts w:hint="eastAsia"/>
          <w:color w:val="auto"/>
          <w:sz w:val="24"/>
          <w:szCs w:val="24"/>
          <w:lang w:eastAsia="zh-CN"/>
        </w:rPr>
        <w:t>工业场地面积</w:t>
      </w:r>
      <w:r>
        <w:rPr>
          <w:rFonts w:hint="eastAsia" w:ascii="Times New Roman" w:hAnsi="Times New Roman" w:eastAsia="宋体" w:cs="Times New Roman"/>
          <w:color w:val="auto"/>
          <w:sz w:val="24"/>
          <w:szCs w:val="24"/>
          <w:vertAlign w:val="baseline"/>
          <w:lang w:val="en-US" w:eastAsia="zh-CN"/>
        </w:rPr>
        <w:t>26274</w:t>
      </w:r>
      <w:r>
        <w:rPr>
          <w:rFonts w:hint="default" w:ascii="Times New Roman" w:hAnsi="Times New Roman" w:eastAsia="宋体" w:cs="Times New Roman"/>
          <w:color w:val="auto"/>
          <w:sz w:val="24"/>
          <w:szCs w:val="24"/>
          <w:vertAlign w:val="baseline"/>
          <w:lang w:val="en-US" w:eastAsia="zh-CN"/>
        </w:rPr>
        <w:t>m</w:t>
      </w:r>
      <w:r>
        <w:rPr>
          <w:rFonts w:hint="default" w:ascii="Times New Roman" w:hAnsi="Times New Roman" w:eastAsia="宋体" w:cs="Times New Roman"/>
          <w:color w:val="auto"/>
          <w:sz w:val="24"/>
          <w:szCs w:val="24"/>
          <w:vertAlign w:val="superscript"/>
          <w:lang w:val="en-US" w:eastAsia="zh-CN"/>
        </w:rPr>
        <w:t>2</w:t>
      </w:r>
      <w:r>
        <w:rPr>
          <w:rFonts w:hint="eastAsia"/>
          <w:color w:val="auto"/>
          <w:sz w:val="24"/>
          <w:szCs w:val="24"/>
          <w:lang w:eastAsia="zh-CN"/>
        </w:rPr>
        <w:t>，</w:t>
      </w:r>
      <w:r>
        <w:rPr>
          <w:rFonts w:hint="eastAsia"/>
          <w:color w:val="auto"/>
          <w:sz w:val="24"/>
          <w:szCs w:val="24"/>
        </w:rPr>
        <w:t>为</w:t>
      </w:r>
      <w:r>
        <w:rPr>
          <w:rFonts w:hint="eastAsia"/>
          <w:snapToGrid w:val="0"/>
          <w:color w:val="auto"/>
          <w:sz w:val="24"/>
          <w:szCs w:val="24"/>
          <w:lang w:val="en-US" w:eastAsia="zh-CN"/>
        </w:rPr>
        <w:t>鸡东</w:t>
      </w:r>
      <w:r>
        <w:rPr>
          <w:rFonts w:hint="eastAsia"/>
          <w:snapToGrid w:val="0"/>
          <w:color w:val="auto"/>
          <w:lang w:val="en-US" w:eastAsia="zh-CN"/>
        </w:rPr>
        <w:t>县新泉采石场</w:t>
      </w:r>
      <w:r>
        <w:rPr>
          <w:color w:val="auto"/>
        </w:rPr>
        <w:t>露天开采而形成</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西侧露天采场</w:t>
      </w:r>
      <w:r>
        <w:rPr>
          <w:rFonts w:hint="default" w:ascii="Times New Roman" w:hAnsi="Times New Roman" w:cs="Times New Roman"/>
          <w:color w:val="auto"/>
          <w:lang w:eastAsia="zh-CN"/>
        </w:rPr>
        <w:t>长约</w:t>
      </w:r>
      <w:r>
        <w:rPr>
          <w:rFonts w:hint="eastAsia" w:ascii="Times New Roman" w:hAnsi="Times New Roman" w:cs="Times New Roman"/>
          <w:color w:val="auto"/>
          <w:lang w:val="en-US" w:eastAsia="zh-CN"/>
        </w:rPr>
        <w:t>470</w:t>
      </w:r>
      <w:r>
        <w:rPr>
          <w:rFonts w:hint="default" w:ascii="Times New Roman" w:hAnsi="Times New Roman" w:cs="Times New Roman"/>
          <w:color w:val="auto"/>
          <w:lang w:eastAsia="zh-CN"/>
        </w:rPr>
        <w:t>m，宽约</w:t>
      </w:r>
      <w:r>
        <w:rPr>
          <w:rFonts w:hint="eastAsia" w:ascii="Times New Roman" w:hAnsi="Times New Roman" w:cs="Times New Roman"/>
          <w:color w:val="auto"/>
          <w:lang w:val="en-US" w:eastAsia="zh-CN"/>
        </w:rPr>
        <w:t>78</w:t>
      </w:r>
      <w:r>
        <w:rPr>
          <w:rFonts w:hint="default" w:ascii="Times New Roman" w:hAnsi="Times New Roman" w:cs="Times New Roman"/>
          <w:color w:val="auto"/>
          <w:lang w:eastAsia="zh-CN"/>
        </w:rPr>
        <w:t>m，</w:t>
      </w:r>
      <w:r>
        <w:rPr>
          <w:rFonts w:hint="eastAsia" w:ascii="Times New Roman" w:hAnsi="Times New Roman" w:cs="Times New Roman"/>
          <w:color w:val="auto"/>
          <w:lang w:val="en-US" w:eastAsia="zh-CN"/>
        </w:rPr>
        <w:t>东侧露天采场长约214</w:t>
      </w:r>
      <w:r>
        <w:rPr>
          <w:rFonts w:hint="default" w:ascii="Times New Roman" w:hAnsi="Times New Roman" w:cs="Times New Roman"/>
          <w:color w:val="auto"/>
          <w:lang w:eastAsia="zh-CN"/>
        </w:rPr>
        <w:t>m，宽约</w:t>
      </w:r>
      <w:r>
        <w:rPr>
          <w:rFonts w:hint="eastAsia" w:ascii="Times New Roman" w:hAnsi="Times New Roman" w:cs="Times New Roman"/>
          <w:color w:val="auto"/>
          <w:lang w:val="en-US" w:eastAsia="zh-CN"/>
        </w:rPr>
        <w:t>99</w:t>
      </w:r>
      <w:r>
        <w:rPr>
          <w:rFonts w:hint="default" w:ascii="Times New Roman" w:hAnsi="Times New Roman" w:cs="Times New Roman"/>
          <w:color w:val="auto"/>
          <w:lang w:eastAsia="zh-CN"/>
        </w:rPr>
        <w:t>m，地势总体北高南低。露天采场由采坑边坡和采坑底盘组成，底盘标高</w:t>
      </w:r>
      <w:r>
        <w:rPr>
          <w:rFonts w:hint="eastAsia" w:ascii="Times New Roman" w:hAnsi="Times New Roman" w:cs="Times New Roman"/>
          <w:color w:val="auto"/>
          <w:lang w:val="en-US" w:eastAsia="zh-CN"/>
        </w:rPr>
        <w:t>258</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286</w:t>
      </w:r>
      <w:r>
        <w:rPr>
          <w:rFonts w:hint="default" w:ascii="Times New Roman" w:hAnsi="Times New Roman" w:cs="Times New Roman"/>
          <w:color w:val="auto"/>
          <w:lang w:eastAsia="zh-CN"/>
        </w:rPr>
        <w:t>m</w:t>
      </w:r>
      <w:r>
        <w:rPr>
          <w:rFonts w:hint="eastAsia"/>
          <w:color w:val="auto"/>
          <w:lang w:eastAsia="zh-CN"/>
        </w:rPr>
        <w:t>。</w:t>
      </w:r>
    </w:p>
    <w:p w14:paraId="74672C8E">
      <w:pPr>
        <w:pStyle w:val="59"/>
        <w:ind w:firstLine="480"/>
        <w:rPr>
          <w:rFonts w:hint="eastAsia" w:eastAsia="宋体"/>
          <w:color w:val="auto"/>
          <w:lang w:eastAsia="zh-CN"/>
        </w:rPr>
      </w:pPr>
      <w:r>
        <w:rPr>
          <w:rFonts w:hint="eastAsia"/>
          <w:color w:val="auto"/>
        </w:rPr>
        <w:t>目前采坑属于荒废状态，在场地内没有发现残留化学品以及异常气味、表面金属析出等污染痕迹，该废弃采坑现土地裸露</w:t>
      </w:r>
      <w:r>
        <w:rPr>
          <w:rFonts w:hint="eastAsia"/>
          <w:color w:val="auto"/>
          <w:lang w:eastAsia="zh-CN"/>
        </w:rPr>
        <w:t>。</w:t>
      </w:r>
    </w:p>
    <w:p w14:paraId="5009CD00">
      <w:pPr>
        <w:pStyle w:val="59"/>
        <w:ind w:firstLine="480"/>
        <w:rPr>
          <w:color w:val="auto"/>
          <w:highlight w:val="cyan"/>
        </w:rPr>
      </w:pPr>
      <w:r>
        <w:rPr>
          <w:rFonts w:hint="eastAsia"/>
          <w:color w:val="auto"/>
        </w:rPr>
        <w:t>（2）回填材料：本项目修复回填材料为</w:t>
      </w:r>
      <w:r>
        <w:rPr>
          <w:rFonts w:hint="eastAsia"/>
          <w:snapToGrid w:val="0"/>
          <w:color w:val="auto"/>
          <w:lang w:val="en-US" w:eastAsia="zh-CN"/>
        </w:rPr>
        <w:t>黑龙江醇能热电有限公司</w:t>
      </w:r>
      <w:r>
        <w:rPr>
          <w:rFonts w:hint="eastAsia"/>
          <w:color w:val="auto"/>
        </w:rPr>
        <w:t>的</w:t>
      </w:r>
      <w:r>
        <w:rPr>
          <w:rFonts w:hint="eastAsia"/>
          <w:color w:val="auto"/>
          <w:lang w:eastAsia="zh-CN"/>
        </w:rPr>
        <w:t>灰渣</w:t>
      </w:r>
      <w:r>
        <w:rPr>
          <w:rFonts w:hint="eastAsia"/>
          <w:color w:val="auto"/>
        </w:rPr>
        <w:t>。回填量约为</w:t>
      </w:r>
      <w:bookmarkStart w:id="11" w:name="_Hlk35965352"/>
      <w:r>
        <w:rPr>
          <w:rFonts w:hint="eastAsia" w:cs="Times New Roman"/>
          <w:color w:val="auto"/>
          <w:lang w:val="en-US" w:eastAsia="zh-CN"/>
        </w:rPr>
        <w:t>32.76万</w:t>
      </w:r>
      <w:r>
        <w:rPr>
          <w:rFonts w:cs="Times New Roman"/>
          <w:color w:val="auto"/>
        </w:rPr>
        <w:t>m</w:t>
      </w:r>
      <w:r>
        <w:rPr>
          <w:rFonts w:cs="Times New Roman"/>
          <w:color w:val="auto"/>
          <w:vertAlign w:val="superscript"/>
        </w:rPr>
        <w:t>3</w:t>
      </w:r>
      <w:r>
        <w:rPr>
          <w:rFonts w:cs="Times New Roman"/>
          <w:color w:val="auto"/>
        </w:rPr>
        <w:t>，</w:t>
      </w:r>
      <w:r>
        <w:rPr>
          <w:rFonts w:hint="eastAsia"/>
          <w:color w:val="auto"/>
        </w:rPr>
        <w:t>年工作天数</w:t>
      </w:r>
      <w:r>
        <w:rPr>
          <w:rFonts w:hint="eastAsia"/>
          <w:color w:val="auto"/>
          <w:lang w:val="en-US" w:eastAsia="zh-CN"/>
        </w:rPr>
        <w:t>363</w:t>
      </w:r>
      <w:r>
        <w:rPr>
          <w:rFonts w:hint="eastAsia"/>
          <w:color w:val="auto"/>
        </w:rPr>
        <w:t>天，回填期约</w:t>
      </w:r>
      <w:r>
        <w:rPr>
          <w:rFonts w:hint="eastAsia"/>
          <w:color w:val="auto"/>
          <w:lang w:val="en-US" w:eastAsia="zh-CN"/>
        </w:rPr>
        <w:t>3</w:t>
      </w:r>
      <w:r>
        <w:rPr>
          <w:rFonts w:hint="eastAsia"/>
          <w:color w:val="auto"/>
        </w:rPr>
        <w:t>年，根据</w:t>
      </w:r>
      <w:bookmarkEnd w:id="11"/>
      <w:r>
        <w:rPr>
          <w:rFonts w:hint="eastAsia"/>
          <w:color w:val="auto"/>
          <w:lang w:eastAsia="zh-CN"/>
        </w:rPr>
        <w:t>灰渣</w:t>
      </w:r>
      <w:r>
        <w:rPr>
          <w:rFonts w:hint="eastAsia"/>
          <w:color w:val="auto"/>
        </w:rPr>
        <w:t>浸出液的检测</w:t>
      </w:r>
      <w:r>
        <w:rPr>
          <w:color w:val="auto"/>
        </w:rPr>
        <w:t>结</w:t>
      </w:r>
      <w:r>
        <w:rPr>
          <w:color w:val="auto"/>
          <w:highlight w:val="none"/>
        </w:rPr>
        <w:t>果可知</w:t>
      </w:r>
      <w:r>
        <w:rPr>
          <w:rFonts w:hint="eastAsia"/>
          <w:color w:val="auto"/>
          <w:highlight w:val="none"/>
        </w:rPr>
        <w:t>，回填材料</w:t>
      </w:r>
      <w:r>
        <w:rPr>
          <w:rFonts w:hint="eastAsia"/>
          <w:color w:val="auto"/>
          <w:highlight w:val="none"/>
          <w:lang w:eastAsia="zh-CN"/>
        </w:rPr>
        <w:t>灰渣</w:t>
      </w:r>
      <w:r>
        <w:rPr>
          <w:color w:val="auto"/>
          <w:highlight w:val="none"/>
        </w:rPr>
        <w:t>属第</w:t>
      </w:r>
      <w:r>
        <w:rPr>
          <w:color w:val="auto"/>
          <w:highlight w:val="none"/>
        </w:rPr>
        <w:fldChar w:fldCharType="begin"/>
      </w:r>
      <w:r>
        <w:rPr>
          <w:color w:val="auto"/>
          <w:highlight w:val="none"/>
        </w:rPr>
        <w:instrText xml:space="preserve"> </w:instrText>
      </w:r>
      <w:r>
        <w:rPr>
          <w:rFonts w:hint="eastAsia"/>
          <w:color w:val="auto"/>
          <w:highlight w:val="none"/>
        </w:rPr>
        <w:instrText xml:space="preserve">= 1 \* ROMAN</w:instrText>
      </w:r>
      <w:r>
        <w:rPr>
          <w:color w:val="auto"/>
          <w:highlight w:val="none"/>
        </w:rPr>
        <w:instrText xml:space="preserve"> </w:instrText>
      </w:r>
      <w:r>
        <w:rPr>
          <w:color w:val="auto"/>
          <w:highlight w:val="none"/>
        </w:rPr>
        <w:fldChar w:fldCharType="separate"/>
      </w:r>
      <w:r>
        <w:rPr>
          <w:color w:val="auto"/>
          <w:highlight w:val="none"/>
        </w:rPr>
        <w:t>I</w:t>
      </w:r>
      <w:r>
        <w:rPr>
          <w:color w:val="auto"/>
          <w:highlight w:val="none"/>
        </w:rPr>
        <w:fldChar w:fldCharType="end"/>
      </w:r>
      <w:r>
        <w:rPr>
          <w:color w:val="auto"/>
          <w:highlight w:val="none"/>
        </w:rPr>
        <w:t>类一般</w:t>
      </w:r>
      <w:r>
        <w:rPr>
          <w:rFonts w:hint="eastAsia"/>
          <w:color w:val="auto"/>
          <w:highlight w:val="none"/>
        </w:rPr>
        <w:t>工业固体废物</w:t>
      </w:r>
      <w:r>
        <w:rPr>
          <w:color w:val="auto"/>
          <w:highlight w:val="none"/>
        </w:rPr>
        <w:t>。</w:t>
      </w:r>
      <w:r>
        <w:rPr>
          <w:rFonts w:hint="eastAsia"/>
          <w:color w:val="auto"/>
          <w:highlight w:val="none"/>
          <w:lang w:eastAsia="zh-CN"/>
        </w:rPr>
        <w:t>灰渣</w:t>
      </w:r>
      <w:r>
        <w:rPr>
          <w:rFonts w:hint="eastAsia"/>
          <w:color w:val="auto"/>
          <w:highlight w:val="none"/>
        </w:rPr>
        <w:t>出场前将</w:t>
      </w:r>
      <w:r>
        <w:rPr>
          <w:rFonts w:hint="eastAsia"/>
          <w:color w:val="auto"/>
          <w:highlight w:val="none"/>
          <w:lang w:eastAsia="zh-CN"/>
        </w:rPr>
        <w:t>灰渣</w:t>
      </w:r>
      <w:r>
        <w:rPr>
          <w:rFonts w:hint="eastAsia"/>
          <w:color w:val="auto"/>
          <w:highlight w:val="none"/>
        </w:rPr>
        <w:t>含水量调至</w:t>
      </w:r>
      <w:r>
        <w:rPr>
          <w:color w:val="auto"/>
          <w:highlight w:val="none"/>
        </w:rPr>
        <w:t>20%左右</w:t>
      </w:r>
      <w:r>
        <w:rPr>
          <w:rFonts w:hint="eastAsia"/>
          <w:color w:val="auto"/>
          <w:highlight w:val="none"/>
        </w:rPr>
        <w:t>，</w:t>
      </w:r>
      <w:r>
        <w:rPr>
          <w:rFonts w:hint="eastAsia"/>
          <w:color w:val="auto"/>
          <w:highlight w:val="none"/>
          <w:lang w:eastAsia="zh-CN"/>
        </w:rPr>
        <w:t>灰渣</w:t>
      </w:r>
      <w:r>
        <w:rPr>
          <w:rFonts w:hint="eastAsia"/>
          <w:color w:val="auto"/>
          <w:highlight w:val="none"/>
        </w:rPr>
        <w:t>由</w:t>
      </w:r>
      <w:r>
        <w:rPr>
          <w:rFonts w:hint="eastAsia"/>
          <w:snapToGrid w:val="0"/>
          <w:color w:val="auto"/>
          <w:highlight w:val="none"/>
          <w:lang w:val="en-US" w:eastAsia="zh-CN"/>
        </w:rPr>
        <w:t>鸡东县嘉翼商贸有限公司</w:t>
      </w:r>
      <w:r>
        <w:rPr>
          <w:rFonts w:hint="eastAsia"/>
          <w:color w:val="auto"/>
          <w:highlight w:val="none"/>
        </w:rPr>
        <w:t>负责运输至项目场地。</w:t>
      </w:r>
    </w:p>
    <w:p w14:paraId="0C723FC7">
      <w:pPr>
        <w:pStyle w:val="59"/>
        <w:ind w:firstLine="480"/>
        <w:rPr>
          <w:color w:val="auto"/>
          <w:highlight w:val="none"/>
        </w:rPr>
      </w:pPr>
      <w:r>
        <w:rPr>
          <w:rFonts w:hint="eastAsia"/>
          <w:color w:val="auto"/>
          <w:highlight w:val="none"/>
        </w:rPr>
        <w:t>（3）回填工艺：本项目回填材料选用</w:t>
      </w:r>
      <w:r>
        <w:rPr>
          <w:rFonts w:hint="eastAsia"/>
          <w:color w:val="auto"/>
          <w:highlight w:val="none"/>
          <w:lang w:eastAsia="zh-CN"/>
        </w:rPr>
        <w:t>灰渣</w:t>
      </w:r>
      <w:r>
        <w:rPr>
          <w:rFonts w:hint="eastAsia"/>
          <w:color w:val="auto"/>
          <w:highlight w:val="none"/>
        </w:rPr>
        <w:t>，为保证修复治理效果，回填过程采用“分层摊铺、往返碾压、分单元作业”的回填处理工艺，摊铺作业方法采用下推法。每层摊铺厚度不大于1m，压实系数不小于0.9，单元作业面积</w:t>
      </w:r>
      <w:r>
        <w:rPr>
          <w:rFonts w:hint="eastAsia"/>
          <w:color w:val="auto"/>
          <w:highlight w:val="none"/>
          <w:lang w:val="en-US" w:eastAsia="zh-CN"/>
        </w:rPr>
        <w:t>220</w:t>
      </w:r>
      <w:r>
        <w:rPr>
          <w:rFonts w:hint="eastAsia"/>
          <w:color w:val="auto"/>
          <w:highlight w:val="none"/>
        </w:rPr>
        <w:t>m</w:t>
      </w:r>
      <w:r>
        <w:rPr>
          <w:rFonts w:hint="eastAsia"/>
          <w:color w:val="auto"/>
          <w:highlight w:val="none"/>
          <w:vertAlign w:val="superscript"/>
        </w:rPr>
        <w:t>2</w:t>
      </w:r>
      <w:r>
        <w:rPr>
          <w:rFonts w:hint="eastAsia"/>
          <w:color w:val="auto"/>
          <w:highlight w:val="none"/>
        </w:rPr>
        <w:t>，修复完毕后，在回填平整完成的基础上表层覆土并压实，</w:t>
      </w:r>
      <w:r>
        <w:rPr>
          <w:rFonts w:hint="eastAsia"/>
          <w:color w:val="auto"/>
          <w:lang w:val="en-US" w:eastAsia="zh-CN"/>
        </w:rPr>
        <w:t>回填复垦旱地有效土层厚度不低于80cm，回填复垦乔木林地有效土层厚度不低于30cm，</w:t>
      </w:r>
      <w:r>
        <w:rPr>
          <w:rFonts w:hint="eastAsia"/>
          <w:color w:val="auto"/>
          <w:highlight w:val="none"/>
        </w:rPr>
        <w:t>可保证回填后地质稳定性，本项目将恢复</w:t>
      </w:r>
      <w:r>
        <w:rPr>
          <w:rFonts w:hint="eastAsia"/>
          <w:color w:val="auto"/>
          <w:highlight w:val="none"/>
          <w:lang w:val="en-US" w:eastAsia="zh-CN"/>
        </w:rPr>
        <w:t>耕地</w:t>
      </w:r>
      <w:r>
        <w:rPr>
          <w:rFonts w:hint="eastAsia" w:ascii="Times New Roman" w:hAnsi="Times New Roman" w:cs="Times New Roman"/>
          <w:color w:val="auto"/>
          <w:highlight w:val="none"/>
          <w:lang w:val="en-US" w:eastAsia="zh-CN"/>
        </w:rPr>
        <w:t>0.946</w:t>
      </w:r>
      <w:r>
        <w:rPr>
          <w:rFonts w:hint="default" w:ascii="Times New Roman" w:hAnsi="Times New Roman" w:cs="Times New Roman"/>
          <w:color w:val="auto"/>
          <w:highlight w:val="none"/>
        </w:rPr>
        <w:t>h</w:t>
      </w:r>
      <w:r>
        <w:rPr>
          <w:rFonts w:hint="default" w:ascii="Times New Roman" w:hAnsi="Times New Roman" w:cs="Times New Roman"/>
          <w:color w:val="auto"/>
          <w:highlight w:val="none"/>
          <w:lang w:eastAsia="zh-CN"/>
        </w:rPr>
        <w:t>m</w:t>
      </w:r>
      <w:r>
        <w:rPr>
          <w:color w:val="auto"/>
          <w:highlight w:val="none"/>
          <w:vertAlign w:val="superscript"/>
        </w:rPr>
        <w:t>2</w:t>
      </w:r>
      <w:r>
        <w:rPr>
          <w:rFonts w:hint="eastAsia"/>
          <w:color w:val="auto"/>
          <w:highlight w:val="none"/>
        </w:rPr>
        <w:t>，</w:t>
      </w:r>
      <w:r>
        <w:rPr>
          <w:rFonts w:hint="default" w:ascii="Times New Roman" w:hAnsi="Times New Roman" w:cs="Times New Roman"/>
          <w:color w:val="auto"/>
          <w:highlight w:val="none"/>
        </w:rPr>
        <w:t>复垦乔木林地</w:t>
      </w:r>
      <w:r>
        <w:rPr>
          <w:rFonts w:hint="eastAsia" w:ascii="Times New Roman" w:hAnsi="Times New Roman" w:cs="Times New Roman"/>
          <w:color w:val="auto"/>
          <w:highlight w:val="none"/>
          <w:lang w:val="en-US" w:eastAsia="zh-CN"/>
        </w:rPr>
        <w:t>6.9134</w:t>
      </w:r>
      <w:r>
        <w:rPr>
          <w:rFonts w:hint="default" w:ascii="Times New Roman" w:hAnsi="Times New Roman" w:cs="Times New Roman"/>
          <w:color w:val="auto"/>
          <w:highlight w:val="none"/>
        </w:rPr>
        <w:t>h</w:t>
      </w:r>
      <w:r>
        <w:rPr>
          <w:rFonts w:hint="default" w:ascii="Times New Roman" w:hAnsi="Times New Roman" w:cs="Times New Roman"/>
          <w:color w:val="auto"/>
          <w:highlight w:val="none"/>
          <w:lang w:eastAsia="zh-CN"/>
        </w:rPr>
        <w:t>m</w:t>
      </w:r>
      <w:r>
        <w:rPr>
          <w:rFonts w:hint="default" w:ascii="Times New Roman" w:hAnsi="Times New Roman" w:cs="Times New Roman"/>
          <w:color w:val="auto"/>
          <w:highlight w:val="none"/>
          <w:vertAlign w:val="superscript"/>
          <w:lang w:eastAsia="zh-CN"/>
        </w:rPr>
        <w:t>2</w:t>
      </w:r>
      <w:r>
        <w:rPr>
          <w:rFonts w:hint="eastAsia" w:cs="Times New Roman"/>
          <w:color w:val="auto"/>
          <w:highlight w:val="none"/>
          <w:vertAlign w:val="baseline"/>
          <w:lang w:eastAsia="zh-CN"/>
        </w:rPr>
        <w:t>，</w:t>
      </w:r>
      <w:r>
        <w:rPr>
          <w:rFonts w:hint="eastAsia"/>
          <w:color w:val="auto"/>
          <w:highlight w:val="none"/>
        </w:rPr>
        <w:t>为下一步的生态建设提供有利条件。</w:t>
      </w:r>
    </w:p>
    <w:p w14:paraId="49E0E103">
      <w:pPr>
        <w:pStyle w:val="59"/>
        <w:ind w:firstLine="480"/>
        <w:rPr>
          <w:color w:val="auto"/>
        </w:rPr>
      </w:pPr>
      <w:r>
        <w:rPr>
          <w:rFonts w:hint="eastAsia"/>
          <w:color w:val="auto"/>
        </w:rPr>
        <w:t>按照《一般工业固体废物贮存和填埋污染控制标准》（GB 18599-2020）中的相关要求，本项目在回填活动前已按照《建设用地土壤污染风险评估技术导则》（HJ25.3-2019）等相关标准开展环境风险评估，重点评估对地下水、地表水及周边土壤的环境污染风险，确保环境风险可接受。根据《</w:t>
      </w:r>
      <w:r>
        <w:rPr>
          <w:rFonts w:hint="eastAsia"/>
          <w:color w:val="auto"/>
          <w:lang w:eastAsia="zh-CN"/>
        </w:rPr>
        <w:t>鸡东县新泉采石场土地复垦项目</w:t>
      </w:r>
      <w:r>
        <w:rPr>
          <w:rFonts w:hint="eastAsia"/>
          <w:color w:val="auto"/>
        </w:rPr>
        <w:t>环境风险评估报告》：根据对本项目</w:t>
      </w:r>
      <w:r>
        <w:rPr>
          <w:rFonts w:hint="eastAsia"/>
          <w:color w:val="auto"/>
          <w:lang w:eastAsia="zh-CN"/>
        </w:rPr>
        <w:t>灰渣</w:t>
      </w:r>
      <w:r>
        <w:rPr>
          <w:rFonts w:hint="eastAsia"/>
          <w:color w:val="auto"/>
        </w:rPr>
        <w:t>淋溶水的检测结果，项目</w:t>
      </w:r>
      <w:r>
        <w:rPr>
          <w:rFonts w:hint="eastAsia"/>
          <w:color w:val="auto"/>
          <w:lang w:eastAsia="zh-CN"/>
        </w:rPr>
        <w:t>灰渣</w:t>
      </w:r>
      <w:r>
        <w:rPr>
          <w:rFonts w:hint="eastAsia"/>
          <w:color w:val="auto"/>
        </w:rPr>
        <w:t>中可溶性重金属含量较低，对土壤和地下水水质的影响轻微，淋溶水不会对地下水和周边土壤环境造成明显影响，对周边环境风险可接受；距项目最近的地表水体</w:t>
      </w:r>
      <w:r>
        <w:rPr>
          <w:rFonts w:hint="eastAsia"/>
          <w:color w:val="auto"/>
          <w:lang w:val="en-US" w:eastAsia="zh-CN"/>
        </w:rPr>
        <w:t>三新沟</w:t>
      </w:r>
      <w:r>
        <w:rPr>
          <w:rFonts w:hint="eastAsia"/>
          <w:color w:val="auto"/>
        </w:rPr>
        <w:t>位于项目区东侧</w:t>
      </w:r>
      <w:r>
        <w:rPr>
          <w:rFonts w:hint="eastAsia"/>
          <w:color w:val="auto"/>
          <w:lang w:val="en-US" w:eastAsia="zh-CN"/>
        </w:rPr>
        <w:t>4</w:t>
      </w:r>
      <w:r>
        <w:rPr>
          <w:rFonts w:hint="eastAsia"/>
          <w:color w:val="auto"/>
        </w:rPr>
        <w:t>km</w:t>
      </w:r>
      <w:r>
        <w:rPr>
          <w:rFonts w:hint="eastAsia"/>
          <w:color w:val="auto"/>
          <w:lang w:eastAsia="zh-CN"/>
        </w:rPr>
        <w:t>，</w:t>
      </w:r>
      <w:r>
        <w:rPr>
          <w:rFonts w:hint="eastAsia"/>
          <w:color w:val="auto"/>
          <w:lang w:val="en-US" w:eastAsia="zh-CN"/>
        </w:rPr>
        <w:t>最终汇入穆棱河</w:t>
      </w:r>
      <w:r>
        <w:rPr>
          <w:rFonts w:hint="eastAsia"/>
          <w:color w:val="auto"/>
        </w:rPr>
        <w:t>，本项目不设置停车库，不产生地面冲洗水，工作人员产生的生活污水依托周围村屯防渗旱厕处理，定期清掏，外运堆肥，因此本项目建设不存在地表水污染风险。因此，本项目利用</w:t>
      </w:r>
      <w:r>
        <w:rPr>
          <w:rFonts w:hint="eastAsia"/>
          <w:snapToGrid w:val="0"/>
          <w:color w:val="auto"/>
          <w:lang w:val="en-US" w:eastAsia="zh-CN"/>
        </w:rPr>
        <w:t>黑龙江醇能热电有限公司</w:t>
      </w:r>
      <w:r>
        <w:rPr>
          <w:rFonts w:hint="eastAsia"/>
          <w:color w:val="auto"/>
        </w:rPr>
        <w:t>的</w:t>
      </w:r>
      <w:r>
        <w:rPr>
          <w:rFonts w:hint="eastAsia"/>
          <w:color w:val="auto"/>
          <w:lang w:eastAsia="zh-CN"/>
        </w:rPr>
        <w:t>灰渣</w:t>
      </w:r>
      <w:r>
        <w:rPr>
          <w:rFonts w:hint="eastAsia"/>
          <w:color w:val="auto"/>
        </w:rPr>
        <w:t>对废弃采坑进行回填复垦是可行的，对地下水、地表水及周边土壤的环境污染风险可接受。</w:t>
      </w:r>
    </w:p>
    <w:p w14:paraId="70307B40">
      <w:pPr>
        <w:pStyle w:val="59"/>
        <w:ind w:firstLine="480"/>
        <w:rPr>
          <w:rFonts w:hint="eastAsia"/>
          <w:color w:val="auto"/>
          <w:lang w:val="en-US" w:eastAsia="zh-CN"/>
        </w:rPr>
      </w:pPr>
      <w:r>
        <w:rPr>
          <w:rFonts w:hint="eastAsia"/>
          <w:color w:val="auto"/>
          <w:lang w:val="en-US" w:eastAsia="zh-CN"/>
        </w:rPr>
        <w:t>（4）覆土来源：本项目回填复垦旱地有效土层厚度不低于80cm，回填复垦乔木林地有效土层厚度不低于30cm，需要回填土约28308.2m</w:t>
      </w:r>
      <w:r>
        <w:rPr>
          <w:rFonts w:hint="eastAsia"/>
          <w:color w:val="auto"/>
          <w:vertAlign w:val="superscript"/>
          <w:lang w:val="en-US" w:eastAsia="zh-CN"/>
        </w:rPr>
        <w:t>3</w:t>
      </w:r>
      <w:r>
        <w:rPr>
          <w:rFonts w:hint="eastAsia"/>
          <w:color w:val="auto"/>
          <w:lang w:val="en-US" w:eastAsia="zh-CN"/>
        </w:rPr>
        <w:t>，其中矿区剥离表土回覆5000m</w:t>
      </w:r>
      <w:r>
        <w:rPr>
          <w:rFonts w:hint="eastAsia"/>
          <w:color w:val="auto"/>
          <w:vertAlign w:val="superscript"/>
          <w:lang w:val="en-US" w:eastAsia="zh-CN"/>
        </w:rPr>
        <w:t>3</w:t>
      </w:r>
      <w:r>
        <w:rPr>
          <w:rFonts w:hint="eastAsia"/>
          <w:color w:val="auto"/>
          <w:lang w:val="en-US" w:eastAsia="zh-CN"/>
        </w:rPr>
        <w:t>，剩余全部外购，土壤质量应满足《土壤环境质量 农用地土壤污染风险管控标准（试行）》（GB15618-2018）要求，土地复垦实施过程应满足《土地复垦质量控制标准》（TD/T1036-2013）规定的相关土地复垦质量控制要求。</w:t>
      </w:r>
    </w:p>
    <w:p w14:paraId="797C162A">
      <w:pPr>
        <w:pStyle w:val="59"/>
        <w:ind w:firstLine="480"/>
        <w:rPr>
          <w:color w:val="auto"/>
        </w:rPr>
      </w:pPr>
      <w:r>
        <w:rPr>
          <w:rFonts w:hint="eastAsia"/>
          <w:color w:val="auto"/>
        </w:rPr>
        <w:t>（5）建设内容：本项目不设置生产生活辅助管理区，均依托</w:t>
      </w:r>
      <w:r>
        <w:rPr>
          <w:rFonts w:hint="eastAsia"/>
          <w:color w:val="auto"/>
          <w:lang w:val="en-US" w:eastAsia="zh-CN"/>
        </w:rPr>
        <w:t>新泉村五队</w:t>
      </w:r>
      <w:r>
        <w:rPr>
          <w:rFonts w:hint="eastAsia"/>
          <w:color w:val="auto"/>
        </w:rPr>
        <w:t>租赁的民房。本项目</w:t>
      </w:r>
      <w:r>
        <w:rPr>
          <w:rFonts w:hint="eastAsia"/>
          <w:color w:val="auto"/>
          <w:highlight w:val="none"/>
          <w:lang w:eastAsia="zh-CN"/>
        </w:rPr>
        <w:t>灰渣</w:t>
      </w:r>
      <w:r>
        <w:rPr>
          <w:rFonts w:hint="eastAsia"/>
          <w:color w:val="auto"/>
          <w:highlight w:val="none"/>
        </w:rPr>
        <w:t>由建设单位指派</w:t>
      </w:r>
      <w:r>
        <w:rPr>
          <w:rFonts w:hint="eastAsia"/>
          <w:snapToGrid w:val="0"/>
          <w:color w:val="auto"/>
          <w:highlight w:val="none"/>
          <w:lang w:val="en-US" w:eastAsia="zh-CN"/>
        </w:rPr>
        <w:t>鸡东县嘉翼商贸有限公司</w:t>
      </w:r>
      <w:r>
        <w:rPr>
          <w:rFonts w:hint="eastAsia"/>
          <w:color w:val="auto"/>
          <w:highlight w:val="none"/>
        </w:rPr>
        <w:t>负责运输至项目场地，每次运输5</w:t>
      </w:r>
      <w:r>
        <w:rPr>
          <w:color w:val="auto"/>
          <w:highlight w:val="none"/>
        </w:rPr>
        <w:t>0</w:t>
      </w:r>
      <w:r>
        <w:rPr>
          <w:rFonts w:hint="eastAsia"/>
          <w:color w:val="auto"/>
          <w:highlight w:val="none"/>
        </w:rPr>
        <w:t>t，每天运输</w:t>
      </w:r>
      <w:r>
        <w:rPr>
          <w:rFonts w:hint="eastAsia"/>
          <w:color w:val="auto"/>
          <w:highlight w:val="none"/>
          <w:lang w:val="en-US" w:eastAsia="zh-CN"/>
        </w:rPr>
        <w:t>6</w:t>
      </w:r>
      <w:r>
        <w:rPr>
          <w:rFonts w:hint="eastAsia"/>
          <w:color w:val="auto"/>
          <w:highlight w:val="none"/>
        </w:rPr>
        <w:t>车。</w:t>
      </w:r>
      <w:bookmarkStart w:id="12" w:name="_Hlk148432453"/>
      <w:r>
        <w:rPr>
          <w:rFonts w:hint="eastAsia"/>
          <w:color w:val="auto"/>
          <w:highlight w:val="none"/>
        </w:rPr>
        <w:t>本项目建设内容分为场地平整、防渗系统、淋溶水收集导排系统、地下水监控井、淋溶水暂存池、</w:t>
      </w:r>
      <w:r>
        <w:rPr>
          <w:rFonts w:hint="eastAsia"/>
          <w:color w:val="auto"/>
        </w:rPr>
        <w:t>排水沟等。</w:t>
      </w:r>
    </w:p>
    <w:bookmarkEnd w:id="12"/>
    <w:p w14:paraId="4C8012A3">
      <w:pPr>
        <w:pStyle w:val="59"/>
        <w:ind w:firstLine="480"/>
        <w:rPr>
          <w:color w:val="auto"/>
        </w:rPr>
      </w:pPr>
      <w:r>
        <w:rPr>
          <w:rFonts w:hint="eastAsia"/>
          <w:color w:val="auto"/>
        </w:rPr>
        <w:t>（6）评价时段：本项目的评价时段分为施工期、回填复垦期及生态恢复期。施工期包括场地平整、防渗系统、淋溶水收集导排系统、排水沟、淋溶水暂存池的建设；回填复垦期主要</w:t>
      </w:r>
      <w:r>
        <w:rPr>
          <w:rFonts w:hint="eastAsia"/>
          <w:color w:val="auto"/>
          <w:highlight w:val="none"/>
        </w:rPr>
        <w:t>进行</w:t>
      </w:r>
      <w:r>
        <w:rPr>
          <w:rFonts w:hint="eastAsia"/>
          <w:color w:val="auto"/>
          <w:highlight w:val="none"/>
          <w:lang w:eastAsia="zh-CN"/>
        </w:rPr>
        <w:t>灰渣</w:t>
      </w:r>
      <w:r>
        <w:rPr>
          <w:rFonts w:hint="eastAsia"/>
          <w:color w:val="auto"/>
          <w:highlight w:val="none"/>
        </w:rPr>
        <w:t>的回填和土地复垦；生态恢复期为回填结束后耕地的自然恢复期</w:t>
      </w:r>
      <w:r>
        <w:rPr>
          <w:rFonts w:hint="eastAsia"/>
          <w:color w:val="auto"/>
          <w:highlight w:val="none"/>
          <w:lang w:val="en-US" w:eastAsia="zh-CN"/>
        </w:rPr>
        <w:t>以及林地的种植</w:t>
      </w:r>
      <w:r>
        <w:rPr>
          <w:rFonts w:hint="eastAsia"/>
          <w:color w:val="auto"/>
          <w:highlight w:val="none"/>
        </w:rPr>
        <w:t>。</w:t>
      </w:r>
    </w:p>
    <w:p w14:paraId="726D3BCA">
      <w:pPr>
        <w:pStyle w:val="137"/>
        <w:rPr>
          <w:color w:val="auto"/>
        </w:rPr>
      </w:pPr>
      <w:r>
        <w:rPr>
          <w:rFonts w:hint="eastAsia"/>
          <w:color w:val="auto"/>
        </w:rPr>
        <w:t>1</w:t>
      </w:r>
      <w:r>
        <w:rPr>
          <w:color w:val="auto"/>
        </w:rPr>
        <w:t>.2.2</w:t>
      </w:r>
      <w:r>
        <w:rPr>
          <w:rFonts w:hint="eastAsia"/>
          <w:color w:val="auto"/>
        </w:rPr>
        <w:t>项目排污特点</w:t>
      </w:r>
    </w:p>
    <w:p w14:paraId="7DB06851">
      <w:pPr>
        <w:pStyle w:val="59"/>
        <w:ind w:firstLine="480"/>
        <w:rPr>
          <w:color w:val="auto"/>
        </w:rPr>
      </w:pPr>
      <w:r>
        <w:rPr>
          <w:rFonts w:hint="eastAsia"/>
          <w:color w:val="auto"/>
        </w:rPr>
        <w:t>本项目为</w:t>
      </w:r>
      <w:r>
        <w:rPr>
          <w:rFonts w:hint="eastAsia" w:cs="Times New Roman"/>
          <w:color w:val="auto"/>
          <w:lang w:eastAsia="zh-CN"/>
        </w:rPr>
        <w:t>灰渣</w:t>
      </w:r>
      <w:r>
        <w:rPr>
          <w:rFonts w:hint="eastAsia" w:cs="Times New Roman"/>
          <w:color w:val="auto"/>
        </w:rPr>
        <w:t>回填及采坑修复项目</w:t>
      </w:r>
      <w:r>
        <w:rPr>
          <w:rFonts w:hint="eastAsia"/>
          <w:color w:val="auto"/>
        </w:rPr>
        <w:t>，其对环境的影响主要为扬尘、机械设备噪声以及淋溶水等对环境产生的不利影响。</w:t>
      </w:r>
    </w:p>
    <w:p w14:paraId="41A6C98E">
      <w:pPr>
        <w:pStyle w:val="59"/>
        <w:ind w:firstLine="480"/>
        <w:rPr>
          <w:color w:val="auto"/>
        </w:rPr>
      </w:pPr>
      <w:r>
        <w:rPr>
          <w:rFonts w:hint="eastAsia"/>
          <w:color w:val="auto"/>
        </w:rPr>
        <w:t>（1）废气</w:t>
      </w:r>
    </w:p>
    <w:p w14:paraId="6CFE9305">
      <w:pPr>
        <w:pStyle w:val="59"/>
        <w:ind w:firstLine="480"/>
        <w:rPr>
          <w:color w:val="auto"/>
        </w:rPr>
      </w:pPr>
      <w:r>
        <w:rPr>
          <w:rFonts w:hint="eastAsia"/>
          <w:color w:val="auto"/>
        </w:rPr>
        <w:t>回填复垦期废气主要为回填过程产生的扬尘，经洒水降尘、密目网覆盖等措施后对周围环境影响较小。道路运输过程中采用密闭运输方式，运输道路及时洒水降尘。</w:t>
      </w:r>
    </w:p>
    <w:p w14:paraId="101BB7F1">
      <w:pPr>
        <w:pStyle w:val="59"/>
        <w:ind w:firstLine="480"/>
        <w:rPr>
          <w:color w:val="auto"/>
        </w:rPr>
      </w:pPr>
      <w:r>
        <w:rPr>
          <w:rFonts w:hint="eastAsia"/>
          <w:color w:val="auto"/>
        </w:rPr>
        <w:t>（2）废水</w:t>
      </w:r>
    </w:p>
    <w:p w14:paraId="7F51AB3D">
      <w:pPr>
        <w:pStyle w:val="59"/>
        <w:ind w:firstLine="480"/>
        <w:rPr>
          <w:color w:val="auto"/>
        </w:rPr>
      </w:pPr>
      <w:r>
        <w:rPr>
          <w:rFonts w:hint="eastAsia"/>
          <w:color w:val="auto"/>
        </w:rPr>
        <w:t>本项目回填区不设置办公区，生活污水依托租赁民房的防渗旱厕，定期清掏，外运</w:t>
      </w:r>
      <w:r>
        <w:rPr>
          <w:rFonts w:hint="eastAsia"/>
          <w:color w:val="auto"/>
          <w:lang w:val="en-US" w:eastAsia="zh-CN"/>
        </w:rPr>
        <w:t>堆肥</w:t>
      </w:r>
      <w:r>
        <w:rPr>
          <w:rFonts w:hint="eastAsia"/>
          <w:color w:val="auto"/>
        </w:rPr>
        <w:t>；矿区外雨水通过矿区四周</w:t>
      </w:r>
      <w:r>
        <w:rPr>
          <w:rFonts w:hint="eastAsia"/>
          <w:color w:val="auto"/>
          <w:highlight w:val="none"/>
        </w:rPr>
        <w:t>排水沟，最终排入厂区</w:t>
      </w:r>
      <w:r>
        <w:rPr>
          <w:rFonts w:hint="eastAsia"/>
          <w:color w:val="auto"/>
          <w:highlight w:val="none"/>
          <w:lang w:eastAsia="zh-CN"/>
        </w:rPr>
        <w:t>西南</w:t>
      </w:r>
      <w:r>
        <w:rPr>
          <w:rFonts w:hint="eastAsia"/>
          <w:color w:val="auto"/>
          <w:highlight w:val="none"/>
        </w:rPr>
        <w:t>侧自然冲沟内；</w:t>
      </w:r>
      <w:r>
        <w:rPr>
          <w:rFonts w:hint="eastAsia"/>
          <w:color w:val="auto"/>
        </w:rPr>
        <w:t>回填复垦期产生的淋溶水经导排系统收集后排入暂存池，沉淀后回用于项目区洒水抑尘使用，不外排。</w:t>
      </w:r>
    </w:p>
    <w:p w14:paraId="589C5D6A">
      <w:pPr>
        <w:pStyle w:val="59"/>
        <w:ind w:firstLine="480"/>
        <w:rPr>
          <w:color w:val="auto"/>
        </w:rPr>
      </w:pPr>
      <w:r>
        <w:rPr>
          <w:rFonts w:hint="eastAsia"/>
          <w:color w:val="auto"/>
        </w:rPr>
        <w:t>（3）噪声</w:t>
      </w:r>
    </w:p>
    <w:p w14:paraId="3F712138">
      <w:pPr>
        <w:pStyle w:val="59"/>
        <w:ind w:firstLine="480"/>
        <w:rPr>
          <w:color w:val="auto"/>
        </w:rPr>
      </w:pPr>
      <w:r>
        <w:rPr>
          <w:rFonts w:hint="eastAsia"/>
          <w:color w:val="auto"/>
        </w:rPr>
        <w:t>回填过程噪声源主要是推土机、挖掘机、压实机、运输车辆等噪声，选用低噪声的运输车辆、作业设备，对车辆和设备加强保养，经距离衰减等措施后对周围环境影响较小。</w:t>
      </w:r>
    </w:p>
    <w:p w14:paraId="6E2F376C">
      <w:pPr>
        <w:pStyle w:val="59"/>
        <w:ind w:firstLine="480"/>
        <w:rPr>
          <w:color w:val="auto"/>
        </w:rPr>
      </w:pPr>
      <w:r>
        <w:rPr>
          <w:rFonts w:hint="eastAsia"/>
          <w:color w:val="auto"/>
        </w:rPr>
        <w:t>（4）固废</w:t>
      </w:r>
    </w:p>
    <w:p w14:paraId="380ACDE3">
      <w:pPr>
        <w:pStyle w:val="59"/>
        <w:ind w:firstLine="480"/>
        <w:rPr>
          <w:color w:val="auto"/>
        </w:rPr>
      </w:pPr>
      <w:r>
        <w:rPr>
          <w:rFonts w:hint="eastAsia"/>
          <w:color w:val="auto"/>
        </w:rPr>
        <w:t>回填区设置生活垃圾箱，生活垃圾集中收集，交由市政部门统一处理；暂存池沉渣定期清理后，回填至回填区。</w:t>
      </w:r>
    </w:p>
    <w:p w14:paraId="065C54B4">
      <w:pPr>
        <w:pStyle w:val="59"/>
        <w:ind w:firstLine="480"/>
        <w:rPr>
          <w:color w:val="auto"/>
        </w:rPr>
      </w:pPr>
      <w:r>
        <w:rPr>
          <w:rFonts w:hint="eastAsia"/>
          <w:color w:val="auto"/>
        </w:rPr>
        <w:t>（5）生态环境</w:t>
      </w:r>
    </w:p>
    <w:p w14:paraId="6D7E4974">
      <w:pPr>
        <w:pStyle w:val="59"/>
        <w:ind w:firstLine="480"/>
        <w:rPr>
          <w:color w:val="auto"/>
        </w:rPr>
      </w:pPr>
      <w:r>
        <w:rPr>
          <w:rFonts w:hint="eastAsia"/>
          <w:color w:val="auto"/>
        </w:rPr>
        <w:t>本项目区现状为废弃采坑，生态环境较差，回填结束后进行覆土恢复成</w:t>
      </w:r>
      <w:r>
        <w:rPr>
          <w:rFonts w:hint="eastAsia"/>
          <w:color w:val="auto"/>
          <w:lang w:eastAsia="zh-CN"/>
        </w:rPr>
        <w:t>乔木林地、旱地</w:t>
      </w:r>
      <w:r>
        <w:rPr>
          <w:rFonts w:hint="eastAsia"/>
          <w:color w:val="auto"/>
        </w:rPr>
        <w:t>，生态环境将有所好转。</w:t>
      </w:r>
    </w:p>
    <w:p w14:paraId="53DE59C7">
      <w:pPr>
        <w:pStyle w:val="137"/>
        <w:rPr>
          <w:color w:val="auto"/>
        </w:rPr>
      </w:pPr>
      <w:r>
        <w:rPr>
          <w:color w:val="auto"/>
        </w:rPr>
        <w:t>1.2.3</w:t>
      </w:r>
      <w:r>
        <w:rPr>
          <w:rFonts w:hint="eastAsia"/>
          <w:color w:val="auto"/>
        </w:rPr>
        <w:t>项目外环境特点</w:t>
      </w:r>
    </w:p>
    <w:p w14:paraId="1EA3B01C">
      <w:pPr>
        <w:pStyle w:val="59"/>
        <w:ind w:firstLine="480"/>
        <w:rPr>
          <w:color w:val="auto"/>
          <w:highlight w:val="none"/>
        </w:rPr>
      </w:pPr>
      <w:bookmarkStart w:id="13" w:name="_Hlk148107679"/>
      <w:r>
        <w:rPr>
          <w:rFonts w:hint="eastAsia"/>
          <w:color w:val="auto"/>
          <w:highlight w:val="none"/>
        </w:rPr>
        <w:t>本项目位于鸡西市鸡东县</w:t>
      </w:r>
      <w:r>
        <w:rPr>
          <w:rFonts w:hint="eastAsia"/>
          <w:color w:val="auto"/>
          <w:highlight w:val="none"/>
          <w:lang w:val="en-US" w:eastAsia="zh-CN"/>
        </w:rPr>
        <w:t>东海镇新泉村</w:t>
      </w:r>
      <w:r>
        <w:rPr>
          <w:rFonts w:hint="eastAsia"/>
          <w:color w:val="auto"/>
          <w:highlight w:val="none"/>
        </w:rPr>
        <w:t>，项目东侧</w:t>
      </w:r>
      <w:r>
        <w:rPr>
          <w:rFonts w:hint="eastAsia"/>
          <w:color w:val="auto"/>
          <w:highlight w:val="none"/>
          <w:lang w:eastAsia="zh-CN"/>
        </w:rPr>
        <w:t>、</w:t>
      </w:r>
      <w:r>
        <w:rPr>
          <w:rFonts w:hint="eastAsia"/>
          <w:color w:val="auto"/>
          <w:highlight w:val="none"/>
          <w:lang w:val="en-US" w:eastAsia="zh-CN"/>
        </w:rPr>
        <w:t>西侧</w:t>
      </w:r>
      <w:r>
        <w:rPr>
          <w:rFonts w:hint="eastAsia"/>
          <w:color w:val="auto"/>
          <w:highlight w:val="none"/>
        </w:rPr>
        <w:t>为农田和林地；</w:t>
      </w:r>
      <w:r>
        <w:rPr>
          <w:rFonts w:hint="eastAsia"/>
          <w:color w:val="auto"/>
          <w:highlight w:val="none"/>
          <w:lang w:val="en-US" w:eastAsia="zh-CN"/>
        </w:rPr>
        <w:t>北侧、南侧为农田</w:t>
      </w:r>
      <w:r>
        <w:rPr>
          <w:rFonts w:hint="eastAsia"/>
          <w:color w:val="auto"/>
          <w:highlight w:val="none"/>
        </w:rPr>
        <w:t>。</w:t>
      </w:r>
      <w:bookmarkEnd w:id="13"/>
      <w:r>
        <w:rPr>
          <w:rFonts w:hint="eastAsia"/>
          <w:color w:val="auto"/>
          <w:highlight w:val="none"/>
        </w:rPr>
        <w:t>本项目评价范围内无自然保护区、风景名胜区、森林公园、地质公园、重要湿地、饮用水源保护区等环境敏感区。</w:t>
      </w:r>
    </w:p>
    <w:p w14:paraId="0333A5D0">
      <w:pPr>
        <w:keepNext/>
        <w:keepLines/>
        <w:adjustRightInd w:val="0"/>
        <w:snapToGrid w:val="0"/>
        <w:spacing w:line="500" w:lineRule="exact"/>
        <w:outlineLvl w:val="2"/>
        <w:rPr>
          <w:rFonts w:eastAsia="黑体"/>
          <w:bCs/>
          <w:snapToGrid w:val="0"/>
          <w:color w:val="auto"/>
          <w:sz w:val="24"/>
          <w:szCs w:val="32"/>
        </w:rPr>
      </w:pPr>
      <w:r>
        <w:rPr>
          <w:rFonts w:eastAsia="黑体"/>
          <w:bCs/>
          <w:snapToGrid w:val="0"/>
          <w:color w:val="auto"/>
          <w:sz w:val="24"/>
          <w:szCs w:val="32"/>
        </w:rPr>
        <w:t>1.2.4</w:t>
      </w:r>
      <w:r>
        <w:rPr>
          <w:rFonts w:hint="eastAsia" w:eastAsia="黑体"/>
          <w:bCs/>
          <w:snapToGrid w:val="0"/>
          <w:color w:val="auto"/>
          <w:sz w:val="24"/>
          <w:szCs w:val="32"/>
        </w:rPr>
        <w:t>主要结论</w:t>
      </w:r>
    </w:p>
    <w:p w14:paraId="0598CD44">
      <w:pPr>
        <w:spacing w:line="500" w:lineRule="exact"/>
        <w:ind w:firstLine="480" w:firstLineChars="200"/>
        <w:rPr>
          <w:color w:val="auto"/>
          <w:sz w:val="24"/>
          <w:szCs w:val="22"/>
          <w:highlight w:val="none"/>
        </w:rPr>
      </w:pPr>
      <w:r>
        <w:rPr>
          <w:rFonts w:hint="eastAsia"/>
          <w:color w:val="auto"/>
          <w:sz w:val="24"/>
          <w:szCs w:val="22"/>
          <w:highlight w:val="none"/>
        </w:rPr>
        <w:t>本项目建设项目符合国家产业政策要求，项目本着从清洁生产入手，对项目产生的污染物采取的污染控制措施切实可行，在认真落实报告书所述各项污染防治措施后，可实现污染物稳定达标排放，通过加强环境管理和环境监测，杜绝事故发生，本项目建设可被周围环境所接受。</w:t>
      </w:r>
    </w:p>
    <w:p w14:paraId="3186363D">
      <w:pPr>
        <w:spacing w:line="500" w:lineRule="exact"/>
        <w:ind w:firstLine="480" w:firstLineChars="200"/>
        <w:rPr>
          <w:color w:val="auto"/>
          <w:sz w:val="24"/>
          <w:szCs w:val="22"/>
          <w:highlight w:val="none"/>
        </w:rPr>
      </w:pPr>
      <w:r>
        <w:rPr>
          <w:rFonts w:hint="eastAsia"/>
          <w:color w:val="auto"/>
          <w:sz w:val="24"/>
          <w:szCs w:val="22"/>
          <w:highlight w:val="none"/>
        </w:rPr>
        <w:t>因此，从环境保护角度分析，本项目具有可行性。</w:t>
      </w:r>
    </w:p>
    <w:p w14:paraId="57A51415">
      <w:pPr>
        <w:pStyle w:val="548"/>
        <w:rPr>
          <w:color w:val="auto"/>
        </w:rPr>
      </w:pPr>
      <w:bookmarkStart w:id="14" w:name="_Toc479252799"/>
      <w:bookmarkStart w:id="15" w:name="_Toc149054186"/>
      <w:bookmarkStart w:id="16" w:name="_Toc119316784"/>
      <w:r>
        <w:rPr>
          <w:color w:val="auto"/>
        </w:rPr>
        <w:t>1.3</w:t>
      </w:r>
      <w:bookmarkEnd w:id="14"/>
      <w:r>
        <w:rPr>
          <w:color w:val="auto"/>
        </w:rPr>
        <w:t>环境影响评价工作过程</w:t>
      </w:r>
      <w:bookmarkEnd w:id="15"/>
      <w:bookmarkEnd w:id="16"/>
    </w:p>
    <w:p w14:paraId="2831CD0B">
      <w:pPr>
        <w:spacing w:line="500" w:lineRule="exact"/>
        <w:ind w:firstLine="480" w:firstLineChars="200"/>
        <w:rPr>
          <w:snapToGrid w:val="0"/>
          <w:color w:val="auto"/>
          <w:sz w:val="24"/>
          <w:szCs w:val="22"/>
        </w:rPr>
      </w:pPr>
      <w:r>
        <w:rPr>
          <w:rFonts w:hint="eastAsia"/>
          <w:snapToGrid w:val="0"/>
          <w:color w:val="auto"/>
          <w:sz w:val="24"/>
          <w:szCs w:val="22"/>
        </w:rPr>
        <w:t>依据《建设项目环境影响评价技术导则</w:t>
      </w:r>
      <w:r>
        <w:rPr>
          <w:snapToGrid w:val="0"/>
          <w:color w:val="auto"/>
          <w:sz w:val="24"/>
          <w:szCs w:val="22"/>
        </w:rPr>
        <w:t xml:space="preserve"> </w:t>
      </w:r>
      <w:r>
        <w:rPr>
          <w:rFonts w:hint="eastAsia"/>
          <w:snapToGrid w:val="0"/>
          <w:color w:val="auto"/>
          <w:sz w:val="24"/>
          <w:szCs w:val="22"/>
        </w:rPr>
        <w:t>总纲》（</w:t>
      </w:r>
      <w:r>
        <w:rPr>
          <w:snapToGrid w:val="0"/>
          <w:color w:val="auto"/>
          <w:sz w:val="24"/>
          <w:szCs w:val="22"/>
        </w:rPr>
        <w:t>HJ2.1-2016</w:t>
      </w:r>
      <w:r>
        <w:rPr>
          <w:rFonts w:hint="eastAsia"/>
          <w:snapToGrid w:val="0"/>
          <w:color w:val="auto"/>
          <w:sz w:val="24"/>
          <w:szCs w:val="22"/>
        </w:rPr>
        <w:t>）要求，本次环评工作分为三个阶段进行。</w:t>
      </w:r>
    </w:p>
    <w:p w14:paraId="2A7467EC">
      <w:pPr>
        <w:spacing w:line="500" w:lineRule="exact"/>
        <w:ind w:firstLine="480" w:firstLineChars="200"/>
        <w:rPr>
          <w:color w:val="auto"/>
          <w:sz w:val="24"/>
          <w:szCs w:val="22"/>
        </w:rPr>
      </w:pPr>
      <w:r>
        <w:rPr>
          <w:rFonts w:hint="eastAsia"/>
          <w:snapToGrid w:val="0"/>
          <w:color w:val="auto"/>
          <w:sz w:val="24"/>
          <w:szCs w:val="22"/>
        </w:rPr>
        <w:t>（</w:t>
      </w:r>
      <w:r>
        <w:rPr>
          <w:snapToGrid w:val="0"/>
          <w:color w:val="auto"/>
          <w:sz w:val="24"/>
          <w:szCs w:val="22"/>
        </w:rPr>
        <w:t>1</w:t>
      </w:r>
      <w:r>
        <w:rPr>
          <w:rFonts w:hint="eastAsia"/>
          <w:snapToGrid w:val="0"/>
          <w:color w:val="auto"/>
          <w:sz w:val="24"/>
          <w:szCs w:val="22"/>
        </w:rPr>
        <w:t>）</w:t>
      </w:r>
      <w:bookmarkStart w:id="17" w:name="_Hlk83908174"/>
      <w:r>
        <w:rPr>
          <w:rFonts w:hint="eastAsia"/>
          <w:snapToGrid w:val="0"/>
          <w:color w:val="auto"/>
          <w:sz w:val="24"/>
          <w:szCs w:val="22"/>
        </w:rPr>
        <w:t>本项目是利用</w:t>
      </w:r>
      <w:r>
        <w:rPr>
          <w:rFonts w:hint="eastAsia"/>
          <w:snapToGrid w:val="0"/>
          <w:color w:val="auto"/>
          <w:sz w:val="24"/>
          <w:szCs w:val="22"/>
          <w:lang w:eastAsia="zh-CN"/>
        </w:rPr>
        <w:t>灰渣</w:t>
      </w:r>
      <w:r>
        <w:rPr>
          <w:rFonts w:hint="eastAsia"/>
          <w:snapToGrid w:val="0"/>
          <w:color w:val="auto"/>
          <w:sz w:val="24"/>
          <w:szCs w:val="22"/>
        </w:rPr>
        <w:t>对废弃采坑进行回填治理，根据生态环境部对于“关于一般工业固体废物代替土、砂、石回填有关问题的请示”的回复，“一般工业固体废物填埋属于一般工业固体废物综合利用，应编制环境影响报告书。”且根据黑龙江省生态环境厅“关于</w:t>
      </w:r>
      <w:r>
        <w:rPr>
          <w:snapToGrid w:val="0"/>
          <w:color w:val="auto"/>
          <w:sz w:val="24"/>
          <w:szCs w:val="22"/>
        </w:rPr>
        <w:t>2022</w:t>
      </w:r>
      <w:r>
        <w:rPr>
          <w:rFonts w:hint="eastAsia"/>
          <w:snapToGrid w:val="0"/>
          <w:color w:val="auto"/>
          <w:sz w:val="24"/>
          <w:szCs w:val="22"/>
        </w:rPr>
        <w:t>年第一批环评文件复核发现问题及处理意见的函”对于该类项目的靶向复核且咨询当地生态环境主管部门意见，本项目的环境影响类似于名录中的</w:t>
      </w:r>
      <w:r>
        <w:rPr>
          <w:color w:val="auto"/>
          <w:sz w:val="24"/>
          <w:szCs w:val="22"/>
        </w:rPr>
        <w:t>“</w:t>
      </w:r>
      <w:r>
        <w:rPr>
          <w:rFonts w:hint="eastAsia"/>
          <w:color w:val="auto"/>
          <w:sz w:val="24"/>
          <w:szCs w:val="22"/>
        </w:rPr>
        <w:t>四十七、生态保护和环境治理业：</w:t>
      </w:r>
      <w:r>
        <w:rPr>
          <w:color w:val="auto"/>
          <w:sz w:val="24"/>
          <w:szCs w:val="22"/>
        </w:rPr>
        <w:t>103</w:t>
      </w:r>
      <w:r>
        <w:rPr>
          <w:rFonts w:hint="eastAsia"/>
          <w:color w:val="auto"/>
          <w:sz w:val="24"/>
          <w:szCs w:val="22"/>
        </w:rPr>
        <w:t>一般工业固体废物（含污水处理污泥）、建筑施工废弃物处置及综合利用</w:t>
      </w:r>
      <w:r>
        <w:rPr>
          <w:color w:val="auto"/>
          <w:sz w:val="24"/>
          <w:szCs w:val="22"/>
        </w:rPr>
        <w:t>”</w:t>
      </w:r>
      <w:r>
        <w:rPr>
          <w:rFonts w:hint="eastAsia"/>
          <w:color w:val="auto"/>
          <w:sz w:val="24"/>
          <w:szCs w:val="22"/>
        </w:rPr>
        <w:t>中</w:t>
      </w:r>
      <w:r>
        <w:rPr>
          <w:color w:val="auto"/>
          <w:sz w:val="24"/>
          <w:szCs w:val="22"/>
        </w:rPr>
        <w:t>“</w:t>
      </w:r>
      <w:r>
        <w:rPr>
          <w:rFonts w:hint="eastAsia"/>
          <w:color w:val="auto"/>
          <w:sz w:val="24"/>
          <w:szCs w:val="22"/>
        </w:rPr>
        <w:t>一般工业固体废物（含污水处理污泥）采取填埋、焚烧（水泥窑协同处置的改造项目除外）方式的</w:t>
      </w:r>
      <w:r>
        <w:rPr>
          <w:color w:val="auto"/>
          <w:sz w:val="24"/>
          <w:szCs w:val="22"/>
        </w:rPr>
        <w:t>”</w:t>
      </w:r>
      <w:r>
        <w:rPr>
          <w:rFonts w:hint="eastAsia"/>
          <w:color w:val="auto"/>
          <w:sz w:val="24"/>
          <w:szCs w:val="22"/>
        </w:rPr>
        <w:t>，故本次环境影响评价参照</w:t>
      </w:r>
      <w:r>
        <w:rPr>
          <w:rFonts w:hint="eastAsia"/>
          <w:snapToGrid w:val="0"/>
          <w:color w:val="auto"/>
          <w:sz w:val="24"/>
          <w:szCs w:val="22"/>
        </w:rPr>
        <w:t>《建设项目环境影响评价分类管理名录》（</w:t>
      </w:r>
      <w:r>
        <w:rPr>
          <w:snapToGrid w:val="0"/>
          <w:color w:val="auto"/>
          <w:sz w:val="24"/>
          <w:szCs w:val="22"/>
        </w:rPr>
        <w:t>2021</w:t>
      </w:r>
      <w:r>
        <w:rPr>
          <w:rFonts w:hint="eastAsia"/>
          <w:snapToGrid w:val="0"/>
          <w:color w:val="auto"/>
          <w:sz w:val="24"/>
          <w:szCs w:val="22"/>
        </w:rPr>
        <w:t>版）中</w:t>
      </w:r>
      <w:r>
        <w:rPr>
          <w:rFonts w:hint="eastAsia"/>
          <w:color w:val="auto"/>
          <w:sz w:val="24"/>
          <w:szCs w:val="22"/>
        </w:rPr>
        <w:t>“四十七、生态保护和环境治理业，</w:t>
      </w:r>
      <w:r>
        <w:rPr>
          <w:color w:val="auto"/>
          <w:sz w:val="24"/>
          <w:szCs w:val="22"/>
        </w:rPr>
        <w:t xml:space="preserve">103 </w:t>
      </w:r>
      <w:r>
        <w:rPr>
          <w:rFonts w:hint="eastAsia"/>
          <w:color w:val="auto"/>
          <w:sz w:val="24"/>
          <w:szCs w:val="22"/>
        </w:rPr>
        <w:t>一般工业固体废物（含污水处理污泥）、建筑施工废弃物处置及综合利用（采取填埋方式）编制环境影响报告书。</w:t>
      </w:r>
    </w:p>
    <w:p w14:paraId="4D637EF6">
      <w:pPr>
        <w:spacing w:line="500" w:lineRule="exact"/>
        <w:ind w:firstLine="480" w:firstLineChars="200"/>
        <w:rPr>
          <w:snapToGrid w:val="0"/>
          <w:color w:val="auto"/>
          <w:sz w:val="24"/>
          <w:szCs w:val="22"/>
        </w:rPr>
      </w:pPr>
      <w:r>
        <w:rPr>
          <w:rFonts w:hint="eastAsia"/>
          <w:color w:val="auto"/>
          <w:sz w:val="24"/>
          <w:szCs w:val="22"/>
        </w:rPr>
        <w:t>因此，本项目编制环境影响报告书</w:t>
      </w:r>
      <w:bookmarkEnd w:id="17"/>
      <w:r>
        <w:rPr>
          <w:rFonts w:hint="eastAsia"/>
          <w:color w:val="auto"/>
          <w:sz w:val="24"/>
          <w:szCs w:val="22"/>
        </w:rPr>
        <w:t>。</w:t>
      </w:r>
    </w:p>
    <w:p w14:paraId="4587EF98">
      <w:pPr>
        <w:spacing w:line="500" w:lineRule="exact"/>
        <w:ind w:firstLine="480" w:firstLineChars="200"/>
        <w:rPr>
          <w:color w:val="auto"/>
          <w:sz w:val="24"/>
          <w:szCs w:val="22"/>
        </w:rPr>
      </w:pPr>
      <w:r>
        <w:rPr>
          <w:rFonts w:hint="eastAsia"/>
          <w:color w:val="auto"/>
          <w:sz w:val="24"/>
          <w:szCs w:val="22"/>
        </w:rPr>
        <w:t>在研究相关技术及其他有关文件基础上进行初步工程分析，开展了初步环境现状调查，进行了环境影响识别和评价因子筛选。明确了评价重点为水环境影响、大气环境影响、土壤环境影响、生态环境影响，确定了保护目标，进一步确定评价工作等级、范围及评价标准，制定出相应工作方案。</w:t>
      </w:r>
    </w:p>
    <w:p w14:paraId="7BDAF03E">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2</w:t>
      </w:r>
      <w:r>
        <w:rPr>
          <w:rFonts w:hint="eastAsia"/>
          <w:snapToGrid w:val="0"/>
          <w:color w:val="auto"/>
          <w:sz w:val="24"/>
          <w:szCs w:val="22"/>
        </w:rPr>
        <w:t>）根据第一阶段工作成果，对环境现状的大气环境、地下水环境、声环境、土壤环境等进行了调查、监测与评价，详细进行工程分析，确定了主要环境影响因素为回填对地下水和土壤的影响，作业过程扬尘对大气环境的影响，设备噪声对周边声环境的影响，一般固体废物对周边环境的影响，并采取相应的模式对各环境要素影响进行了预测与分析。</w:t>
      </w:r>
    </w:p>
    <w:p w14:paraId="200A06E7">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3</w:t>
      </w:r>
      <w:r>
        <w:rPr>
          <w:rFonts w:hint="eastAsia"/>
          <w:snapToGrid w:val="0"/>
          <w:color w:val="auto"/>
          <w:sz w:val="24"/>
          <w:szCs w:val="22"/>
        </w:rPr>
        <w:t>）对作业废气提出了大气环境保护措施，对噪声采取了隔声减振等措施，对产生的固废采取了相应处理处置措施，并进行经济技术可行性论证，给出污染物排放清单并给出评价结论。</w:t>
      </w:r>
    </w:p>
    <w:p w14:paraId="30EB233F">
      <w:pPr>
        <w:pStyle w:val="59"/>
        <w:ind w:firstLine="480"/>
        <w:rPr>
          <w:snapToGrid w:val="0"/>
          <w:color w:val="auto"/>
          <w:kern w:val="0"/>
        </w:rPr>
      </w:pPr>
      <w:r>
        <w:rPr>
          <w:snapToGrid w:val="0"/>
          <w:color w:val="auto"/>
          <w:kern w:val="0"/>
        </w:rPr>
        <w:t>具体过程见图1-3-1。</w:t>
      </w:r>
    </w:p>
    <w:p w14:paraId="15311254">
      <w:pPr>
        <w:jc w:val="center"/>
        <w:rPr>
          <w:rStyle w:val="75"/>
          <w:color w:val="auto"/>
        </w:rPr>
      </w:pPr>
      <w:r>
        <w:rPr>
          <w:color w:val="auto"/>
          <w:kern w:val="0"/>
        </w:rPr>
        <w:drawing>
          <wp:inline distT="0" distB="0" distL="0" distR="0">
            <wp:extent cx="5182870" cy="4963795"/>
            <wp:effectExtent l="19050" t="0" r="0" b="0"/>
            <wp:docPr id="1"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6"/>
                    <pic:cNvPicPr>
                      <a:picLocks noChangeAspect="1" noChangeArrowheads="1"/>
                    </pic:cNvPicPr>
                  </pic:nvPicPr>
                  <pic:blipFill>
                    <a:blip r:embed="rId16" cstate="print"/>
                    <a:srcRect l="2990" t="2215" r="3015" b="3780"/>
                    <a:stretch>
                      <a:fillRect/>
                    </a:stretch>
                  </pic:blipFill>
                  <pic:spPr>
                    <a:xfrm>
                      <a:off x="0" y="0"/>
                      <a:ext cx="5191949" cy="4971934"/>
                    </a:xfrm>
                    <a:prstGeom prst="rect">
                      <a:avLst/>
                    </a:prstGeom>
                    <a:noFill/>
                    <a:ln w="9525">
                      <a:noFill/>
                      <a:miter lim="800000"/>
                      <a:headEnd/>
                      <a:tailEnd/>
                    </a:ln>
                  </pic:spPr>
                </pic:pic>
              </a:graphicData>
            </a:graphic>
          </wp:inline>
        </w:drawing>
      </w:r>
      <w:r>
        <w:rPr>
          <w:rStyle w:val="75"/>
          <w:color w:val="auto"/>
        </w:rPr>
        <w:t>图1-3-1环境影响评价工作程序</w:t>
      </w:r>
    </w:p>
    <w:p w14:paraId="2D6045EF">
      <w:pPr>
        <w:pStyle w:val="548"/>
        <w:rPr>
          <w:color w:val="auto"/>
        </w:rPr>
      </w:pPr>
      <w:bookmarkStart w:id="18" w:name="_Toc149054187"/>
      <w:bookmarkStart w:id="19" w:name="_Toc486932294"/>
      <w:bookmarkStart w:id="20" w:name="_Toc119316785"/>
      <w:bookmarkStart w:id="21" w:name="_Toc488072911"/>
      <w:r>
        <w:rPr>
          <w:color w:val="auto"/>
        </w:rPr>
        <w:t>1.4分析判定相关情况</w:t>
      </w:r>
      <w:bookmarkEnd w:id="18"/>
      <w:bookmarkEnd w:id="19"/>
      <w:bookmarkEnd w:id="20"/>
      <w:bookmarkEnd w:id="21"/>
    </w:p>
    <w:p w14:paraId="467F7A85">
      <w:pPr>
        <w:pStyle w:val="137"/>
        <w:rPr>
          <w:color w:val="auto"/>
        </w:rPr>
      </w:pPr>
      <w:r>
        <w:rPr>
          <w:color w:val="auto"/>
        </w:rPr>
        <w:t>1.4.1产业政策符合性分析</w:t>
      </w:r>
    </w:p>
    <w:p w14:paraId="18F95C51">
      <w:pPr>
        <w:pStyle w:val="59"/>
        <w:ind w:firstLine="480"/>
        <w:rPr>
          <w:bCs/>
          <w:color w:val="auto"/>
        </w:rPr>
      </w:pPr>
      <w:r>
        <w:rPr>
          <w:rFonts w:hint="eastAsia"/>
          <w:bCs/>
          <w:color w:val="auto"/>
        </w:rPr>
        <w:t>本项目属于</w:t>
      </w:r>
      <w:r>
        <w:rPr>
          <w:rFonts w:hint="eastAsia"/>
          <w:bCs/>
          <w:color w:val="auto"/>
          <w:lang w:eastAsia="zh-CN"/>
        </w:rPr>
        <w:t>《产业结构调整指导目录（2024年本）》</w:t>
      </w:r>
      <w:r>
        <w:rPr>
          <w:rFonts w:hint="eastAsia"/>
          <w:bCs/>
          <w:color w:val="auto"/>
          <w:lang w:val="en-US" w:eastAsia="zh-CN"/>
        </w:rPr>
        <w:t>中</w:t>
      </w:r>
      <w:r>
        <w:rPr>
          <w:rFonts w:hint="default"/>
          <w:bCs/>
          <w:color w:val="auto"/>
          <w:lang w:val="en-US" w:eastAsia="zh-CN"/>
        </w:rPr>
        <w:t>“</w:t>
      </w:r>
      <w:r>
        <w:rPr>
          <w:rFonts w:hint="eastAsia"/>
          <w:bCs/>
          <w:color w:val="auto"/>
          <w:lang w:val="en-US" w:eastAsia="zh-CN"/>
        </w:rPr>
        <w:t>第一类鼓励类</w:t>
      </w:r>
      <w:r>
        <w:rPr>
          <w:rFonts w:hint="default"/>
          <w:bCs/>
          <w:color w:val="auto"/>
          <w:lang w:val="en-US" w:eastAsia="zh-CN"/>
        </w:rPr>
        <w:t>——</w:t>
      </w:r>
      <w:r>
        <w:rPr>
          <w:rFonts w:hint="eastAsia"/>
          <w:bCs/>
          <w:color w:val="auto"/>
          <w:lang w:val="en-US" w:eastAsia="zh-CN"/>
        </w:rPr>
        <w:t>四十二、环境保护与资源节约综合利用</w:t>
      </w:r>
      <w:r>
        <w:rPr>
          <w:rFonts w:hint="default"/>
          <w:bCs/>
          <w:color w:val="auto"/>
          <w:lang w:val="en-US" w:eastAsia="zh-CN"/>
        </w:rPr>
        <w:t>——2</w:t>
      </w:r>
      <w:r>
        <w:rPr>
          <w:rFonts w:hint="eastAsia"/>
          <w:bCs/>
          <w:color w:val="auto"/>
          <w:lang w:val="en-US" w:eastAsia="zh-CN"/>
        </w:rPr>
        <w:t>、生态环境修复和资源利用：矿山生态环境恢复工程以及</w:t>
      </w:r>
      <w:r>
        <w:rPr>
          <w:rFonts w:hint="default"/>
          <w:bCs/>
          <w:color w:val="auto"/>
          <w:lang w:val="en-US" w:eastAsia="zh-CN"/>
        </w:rPr>
        <w:t>10</w:t>
      </w:r>
      <w:r>
        <w:rPr>
          <w:rFonts w:hint="eastAsia"/>
          <w:bCs/>
          <w:color w:val="auto"/>
          <w:lang w:val="en-US" w:eastAsia="zh-CN"/>
        </w:rPr>
        <w:t>、工</w:t>
      </w:r>
      <w:r>
        <w:rPr>
          <w:rFonts w:hint="eastAsia" w:ascii="宋体" w:hAnsi="宋体" w:eastAsia="宋体" w:cs="宋体"/>
          <w:bCs/>
          <w:color w:val="auto"/>
          <w:lang w:val="en-US" w:eastAsia="zh-CN"/>
        </w:rPr>
        <w:t>业“三废”循环利用：“三废”综合</w:t>
      </w:r>
      <w:r>
        <w:rPr>
          <w:rFonts w:hint="eastAsia"/>
          <w:bCs/>
          <w:color w:val="auto"/>
          <w:lang w:val="en-US" w:eastAsia="zh-CN"/>
        </w:rPr>
        <w:t>利用与治理技术、装备和工程</w:t>
      </w:r>
      <w:r>
        <w:rPr>
          <w:rFonts w:hint="default"/>
          <w:bCs/>
          <w:color w:val="auto"/>
          <w:lang w:val="en-US" w:eastAsia="zh-CN"/>
        </w:rPr>
        <w:t>”</w:t>
      </w:r>
      <w:r>
        <w:rPr>
          <w:rFonts w:hint="eastAsia"/>
          <w:bCs/>
          <w:color w:val="auto"/>
          <w:lang w:val="en-US" w:eastAsia="zh-CN"/>
        </w:rPr>
        <w:t>，本项目符合国家产业政策的要求。</w:t>
      </w:r>
    </w:p>
    <w:p w14:paraId="53DF7CB9">
      <w:pPr>
        <w:pStyle w:val="137"/>
        <w:keepNext w:val="0"/>
        <w:pageBreakBefore w:val="0"/>
        <w:kinsoku/>
        <w:wordWrap/>
        <w:overflowPunct/>
        <w:topLinePunct w:val="0"/>
        <w:autoSpaceDE/>
        <w:autoSpaceDN/>
        <w:bidi w:val="0"/>
        <w:adjustRightInd w:val="0"/>
        <w:snapToGrid w:val="0"/>
        <w:spacing w:line="500" w:lineRule="exact"/>
        <w:textAlignment w:val="auto"/>
        <w:rPr>
          <w:color w:val="auto"/>
          <w:highlight w:val="none"/>
          <w:lang w:val="en-US" w:eastAsia="zh-CN"/>
        </w:rPr>
      </w:pPr>
      <w:r>
        <w:rPr>
          <w:color w:val="auto"/>
          <w:highlight w:val="none"/>
          <w:lang w:val="en-US" w:eastAsia="zh-CN"/>
        </w:rPr>
        <w:t>1.4.2</w:t>
      </w:r>
      <w:r>
        <w:rPr>
          <w:rFonts w:hint="eastAsia"/>
          <w:color w:val="auto"/>
          <w:highlight w:val="none"/>
          <w:lang w:val="en-US" w:eastAsia="zh-CN"/>
        </w:rPr>
        <w:t>生态环境分区管控符合性分析</w:t>
      </w:r>
    </w:p>
    <w:p w14:paraId="47AB268C">
      <w:pPr>
        <w:pStyle w:val="59"/>
        <w:ind w:left="0" w:leftChars="0" w:firstLine="0" w:firstLineChars="0"/>
        <w:rPr>
          <w:rFonts w:hint="eastAsia"/>
          <w:bCs/>
          <w:color w:val="auto"/>
        </w:rPr>
      </w:pPr>
      <w:r>
        <w:rPr>
          <w:rFonts w:hint="eastAsia"/>
          <w:bCs/>
          <w:color w:val="auto"/>
          <w:lang w:val="en-US" w:eastAsia="zh-CN"/>
        </w:rPr>
        <w:t>（</w:t>
      </w:r>
      <w:r>
        <w:rPr>
          <w:rFonts w:hint="default"/>
          <w:bCs/>
          <w:color w:val="auto"/>
          <w:lang w:val="en-US" w:eastAsia="zh-CN"/>
        </w:rPr>
        <w:t>1</w:t>
      </w:r>
      <w:r>
        <w:rPr>
          <w:rFonts w:hint="eastAsia"/>
          <w:bCs/>
          <w:color w:val="auto"/>
          <w:lang w:val="en-US" w:eastAsia="zh-CN"/>
        </w:rPr>
        <w:t>）各单元交汇情况</w:t>
      </w:r>
    </w:p>
    <w:p w14:paraId="1D68695D">
      <w:pPr>
        <w:pStyle w:val="59"/>
        <w:ind w:firstLine="480"/>
        <w:rPr>
          <w:rFonts w:hint="eastAsia"/>
          <w:bCs/>
          <w:color w:val="auto"/>
          <w:lang w:val="en-US" w:eastAsia="zh-CN"/>
        </w:rPr>
      </w:pPr>
      <w:r>
        <w:rPr>
          <w:rFonts w:hint="eastAsia"/>
          <w:bCs/>
          <w:color w:val="auto"/>
          <w:lang w:val="en-US" w:eastAsia="zh-CN"/>
        </w:rPr>
        <w:t>新泉采石场项目位置涉及鸡西市鸡东县；项目占地总面积</w:t>
      </w:r>
      <w:r>
        <w:rPr>
          <w:rFonts w:hint="default"/>
          <w:bCs/>
          <w:color w:val="auto"/>
          <w:lang w:val="en-US" w:eastAsia="zh-CN"/>
        </w:rPr>
        <w:t>0.10</w:t>
      </w:r>
      <w:r>
        <w:rPr>
          <w:rFonts w:hint="eastAsia"/>
          <w:bCs/>
          <w:color w:val="auto"/>
          <w:lang w:val="en-US" w:eastAsia="zh-CN"/>
        </w:rPr>
        <w:t>平方公里。</w:t>
      </w:r>
    </w:p>
    <w:p w14:paraId="1A95C7E0">
      <w:pPr>
        <w:pStyle w:val="59"/>
        <w:ind w:left="0" w:leftChars="0" w:firstLine="0" w:firstLineChars="0"/>
        <w:rPr>
          <w:rFonts w:hint="eastAsia"/>
          <w:bCs/>
          <w:color w:val="auto"/>
          <w:lang w:val="en-US" w:eastAsia="zh-CN"/>
        </w:rPr>
      </w:pPr>
      <w:r>
        <w:rPr>
          <w:rFonts w:hint="eastAsia"/>
          <w:bCs/>
          <w:color w:val="auto"/>
          <w:lang w:val="en-US" w:eastAsia="zh-CN"/>
        </w:rPr>
        <w:t>与生态保护红线交集面积为</w:t>
      </w:r>
      <w:r>
        <w:rPr>
          <w:rFonts w:hint="default"/>
          <w:bCs/>
          <w:color w:val="auto"/>
          <w:lang w:val="en-US" w:eastAsia="zh-CN"/>
        </w:rPr>
        <w:t>0.00</w:t>
      </w:r>
      <w:r>
        <w:rPr>
          <w:rFonts w:hint="eastAsia"/>
          <w:bCs/>
          <w:color w:val="auto"/>
          <w:lang w:val="en-US" w:eastAsia="zh-CN"/>
        </w:rPr>
        <w:t>平方公里，占项目占地面积的</w:t>
      </w:r>
      <w:r>
        <w:rPr>
          <w:rFonts w:hint="default"/>
          <w:bCs/>
          <w:color w:val="auto"/>
          <w:lang w:val="en-US" w:eastAsia="zh-CN"/>
        </w:rPr>
        <w:t>0.00%</w:t>
      </w:r>
      <w:r>
        <w:rPr>
          <w:rFonts w:hint="eastAsia"/>
          <w:bCs/>
          <w:color w:val="auto"/>
          <w:lang w:val="en-US" w:eastAsia="zh-CN"/>
        </w:rPr>
        <w:t>。与自然保护地整合优化方案数据交集面积为</w:t>
      </w:r>
      <w:r>
        <w:rPr>
          <w:rFonts w:hint="default"/>
          <w:bCs/>
          <w:color w:val="auto"/>
          <w:lang w:val="en-US" w:eastAsia="zh-CN"/>
        </w:rPr>
        <w:t>0.00</w:t>
      </w:r>
      <w:r>
        <w:rPr>
          <w:rFonts w:hint="eastAsia"/>
          <w:bCs/>
          <w:color w:val="auto"/>
          <w:lang w:val="en-US" w:eastAsia="zh-CN"/>
        </w:rPr>
        <w:t>平方公里，占项目占地面积的</w:t>
      </w:r>
      <w:r>
        <w:rPr>
          <w:rFonts w:hint="default"/>
          <w:bCs/>
          <w:color w:val="auto"/>
          <w:lang w:val="en-US" w:eastAsia="zh-CN"/>
        </w:rPr>
        <w:t>0.00%</w:t>
      </w:r>
      <w:r>
        <w:rPr>
          <w:rFonts w:hint="eastAsia"/>
          <w:bCs/>
          <w:color w:val="auto"/>
          <w:lang w:val="en-US" w:eastAsia="zh-CN"/>
        </w:rPr>
        <w:t>。与自然保护地（现状管理数据）交集面积为</w:t>
      </w:r>
      <w:r>
        <w:rPr>
          <w:rFonts w:hint="default"/>
          <w:bCs/>
          <w:color w:val="auto"/>
          <w:lang w:val="en-US" w:eastAsia="zh-CN"/>
        </w:rPr>
        <w:t>0.00</w:t>
      </w:r>
      <w:r>
        <w:rPr>
          <w:rFonts w:hint="eastAsia"/>
          <w:bCs/>
          <w:color w:val="auto"/>
          <w:lang w:val="en-US" w:eastAsia="zh-CN"/>
        </w:rPr>
        <w:t>平方公里，占项目占地面积的</w:t>
      </w:r>
      <w:r>
        <w:rPr>
          <w:rFonts w:hint="default"/>
          <w:bCs/>
          <w:color w:val="auto"/>
          <w:lang w:val="en-US" w:eastAsia="zh-CN"/>
        </w:rPr>
        <w:t>0.00%</w:t>
      </w:r>
      <w:r>
        <w:rPr>
          <w:rFonts w:hint="eastAsia"/>
          <w:bCs/>
          <w:color w:val="auto"/>
          <w:lang w:val="en-US" w:eastAsia="zh-CN"/>
        </w:rPr>
        <w:t>。保护地涉及等类型。</w:t>
      </w:r>
    </w:p>
    <w:p w14:paraId="331494C3">
      <w:pPr>
        <w:pStyle w:val="59"/>
        <w:ind w:left="0" w:leftChars="0" w:firstLine="480" w:firstLineChars="200"/>
        <w:rPr>
          <w:rFonts w:hint="eastAsia"/>
          <w:bCs/>
          <w:color w:val="auto"/>
          <w:lang w:val="en-US" w:eastAsia="zh-CN"/>
        </w:rPr>
      </w:pPr>
      <w:r>
        <w:rPr>
          <w:rFonts w:hint="eastAsia"/>
          <w:bCs/>
          <w:color w:val="auto"/>
          <w:lang w:val="en-US" w:eastAsia="zh-CN"/>
        </w:rPr>
        <w:t>与饮用水水源保护区交集面积为</w:t>
      </w:r>
      <w:r>
        <w:rPr>
          <w:rFonts w:hint="default"/>
          <w:bCs/>
          <w:color w:val="auto"/>
          <w:lang w:val="en-US" w:eastAsia="zh-CN"/>
        </w:rPr>
        <w:t>0.00</w:t>
      </w:r>
      <w:r>
        <w:rPr>
          <w:rFonts w:hint="eastAsia"/>
          <w:bCs/>
          <w:color w:val="auto"/>
          <w:lang w:val="en-US" w:eastAsia="zh-CN"/>
        </w:rPr>
        <w:t>平方里，占项目占地面积的</w:t>
      </w:r>
      <w:r>
        <w:rPr>
          <w:rFonts w:hint="default"/>
          <w:bCs/>
          <w:color w:val="auto"/>
          <w:lang w:val="en-US" w:eastAsia="zh-CN"/>
        </w:rPr>
        <w:t>0.00%</w:t>
      </w:r>
      <w:r>
        <w:rPr>
          <w:rFonts w:hint="eastAsia"/>
          <w:bCs/>
          <w:color w:val="auto"/>
          <w:lang w:val="en-US" w:eastAsia="zh-CN"/>
        </w:rPr>
        <w:t>。与国家级水产种质资源保护区交集面积为</w:t>
      </w:r>
      <w:r>
        <w:rPr>
          <w:rFonts w:hint="default"/>
          <w:bCs/>
          <w:color w:val="auto"/>
          <w:lang w:val="en-US" w:eastAsia="zh-CN"/>
        </w:rPr>
        <w:t>0.00</w:t>
      </w:r>
      <w:r>
        <w:rPr>
          <w:rFonts w:hint="eastAsia"/>
          <w:bCs/>
          <w:color w:val="auto"/>
          <w:lang w:val="en-US" w:eastAsia="zh-CN"/>
        </w:rPr>
        <w:t>平方公里，占项目占地面积的</w:t>
      </w:r>
      <w:r>
        <w:rPr>
          <w:rFonts w:hint="default"/>
          <w:bCs/>
          <w:color w:val="auto"/>
          <w:lang w:val="en-US" w:eastAsia="zh-CN"/>
        </w:rPr>
        <w:t>0.00%</w:t>
      </w:r>
      <w:r>
        <w:rPr>
          <w:rFonts w:hint="eastAsia"/>
          <w:bCs/>
          <w:color w:val="auto"/>
          <w:lang w:val="en-US" w:eastAsia="zh-CN"/>
        </w:rPr>
        <w:t>。</w:t>
      </w:r>
    </w:p>
    <w:p w14:paraId="3C620F38">
      <w:pPr>
        <w:pStyle w:val="59"/>
        <w:ind w:left="0" w:leftChars="0" w:firstLine="480" w:firstLineChars="200"/>
        <w:rPr>
          <w:rFonts w:hint="eastAsia"/>
          <w:bCs/>
          <w:color w:val="auto"/>
          <w:lang w:val="en-US" w:eastAsia="zh-CN"/>
        </w:rPr>
      </w:pPr>
      <w:r>
        <w:rPr>
          <w:rFonts w:hint="eastAsia"/>
          <w:bCs/>
          <w:color w:val="auto"/>
          <w:lang w:val="en-US" w:eastAsia="zh-CN"/>
        </w:rPr>
        <w:t>与环境管控单元优先保护单元交集面积为</w:t>
      </w:r>
      <w:r>
        <w:rPr>
          <w:rFonts w:hint="default"/>
          <w:bCs/>
          <w:color w:val="auto"/>
          <w:lang w:val="en-US" w:eastAsia="zh-CN"/>
        </w:rPr>
        <w:t>0.00</w:t>
      </w:r>
      <w:r>
        <w:rPr>
          <w:rFonts w:hint="eastAsia"/>
          <w:bCs/>
          <w:color w:val="auto"/>
          <w:lang w:val="en-US" w:eastAsia="zh-CN"/>
        </w:rPr>
        <w:t>平方公里，占项目占地面积的</w:t>
      </w:r>
      <w:r>
        <w:rPr>
          <w:rFonts w:hint="default"/>
          <w:bCs/>
          <w:color w:val="auto"/>
          <w:lang w:val="en-US" w:eastAsia="zh-CN"/>
        </w:rPr>
        <w:t>0.00%</w:t>
      </w:r>
      <w:r>
        <w:rPr>
          <w:rFonts w:hint="eastAsia"/>
          <w:bCs/>
          <w:color w:val="auto"/>
          <w:lang w:val="en-US" w:eastAsia="zh-CN"/>
        </w:rPr>
        <w:t>；与重点管控单元交集面积为</w:t>
      </w:r>
      <w:r>
        <w:rPr>
          <w:rFonts w:hint="default"/>
          <w:bCs/>
          <w:color w:val="auto"/>
          <w:lang w:val="en-US" w:eastAsia="zh-CN"/>
        </w:rPr>
        <w:t>0.0</w:t>
      </w:r>
      <w:r>
        <w:rPr>
          <w:rFonts w:hint="eastAsia"/>
          <w:bCs/>
          <w:color w:val="auto"/>
          <w:lang w:val="en-US" w:eastAsia="zh-CN"/>
        </w:rPr>
        <w:t>0平方公里占项目占地面积的</w:t>
      </w:r>
      <w:r>
        <w:rPr>
          <w:rFonts w:hint="default"/>
          <w:bCs/>
          <w:color w:val="auto"/>
          <w:lang w:val="en-US" w:eastAsia="zh-CN"/>
        </w:rPr>
        <w:t>0.00%</w:t>
      </w:r>
      <w:r>
        <w:rPr>
          <w:rFonts w:hint="eastAsia"/>
          <w:bCs/>
          <w:color w:val="auto"/>
          <w:lang w:val="en-US" w:eastAsia="zh-CN"/>
        </w:rPr>
        <w:t>；一般管控单元交集面积为</w:t>
      </w:r>
      <w:r>
        <w:rPr>
          <w:rFonts w:hint="default"/>
          <w:bCs/>
          <w:color w:val="auto"/>
          <w:lang w:val="en-US" w:eastAsia="zh-CN"/>
        </w:rPr>
        <w:t>0.</w:t>
      </w:r>
      <w:r>
        <w:rPr>
          <w:rFonts w:hint="eastAsia"/>
          <w:bCs/>
          <w:color w:val="auto"/>
          <w:lang w:val="en-US" w:eastAsia="zh-CN"/>
        </w:rPr>
        <w:t>1平方公里，占项目占地面积的10</w:t>
      </w:r>
      <w:r>
        <w:rPr>
          <w:rFonts w:hint="default"/>
          <w:bCs/>
          <w:color w:val="auto"/>
          <w:lang w:val="en-US" w:eastAsia="zh-CN"/>
        </w:rPr>
        <w:t>0.00%</w:t>
      </w:r>
      <w:r>
        <w:rPr>
          <w:rFonts w:hint="eastAsia"/>
          <w:bCs/>
          <w:color w:val="auto"/>
          <w:lang w:val="en-US" w:eastAsia="zh-CN"/>
        </w:rPr>
        <w:t>。与地下水环境优先保护区交集面积为</w:t>
      </w:r>
      <w:r>
        <w:rPr>
          <w:rFonts w:hint="default"/>
          <w:bCs/>
          <w:color w:val="auto"/>
          <w:lang w:val="en-US" w:eastAsia="zh-CN"/>
        </w:rPr>
        <w:t>0.00</w:t>
      </w:r>
      <w:r>
        <w:rPr>
          <w:rFonts w:hint="eastAsia"/>
          <w:bCs/>
          <w:color w:val="auto"/>
          <w:lang w:val="en-US" w:eastAsia="zh-CN"/>
        </w:rPr>
        <w:t>平方公里，占项目占地面积的</w:t>
      </w:r>
      <w:r>
        <w:rPr>
          <w:rFonts w:hint="default"/>
          <w:bCs/>
          <w:color w:val="auto"/>
          <w:lang w:val="en-US" w:eastAsia="zh-CN"/>
        </w:rPr>
        <w:t>0.00%</w:t>
      </w:r>
      <w:r>
        <w:rPr>
          <w:rFonts w:hint="eastAsia"/>
          <w:bCs/>
          <w:color w:val="auto"/>
          <w:lang w:val="en-US" w:eastAsia="zh-CN"/>
        </w:rPr>
        <w:t>；与地下水环境重点管控区交集面积为</w:t>
      </w:r>
      <w:r>
        <w:rPr>
          <w:rFonts w:hint="default"/>
          <w:bCs/>
          <w:color w:val="auto"/>
          <w:lang w:val="en-US" w:eastAsia="zh-CN"/>
        </w:rPr>
        <w:t>0.</w:t>
      </w:r>
      <w:r>
        <w:rPr>
          <w:rFonts w:hint="eastAsia"/>
          <w:bCs/>
          <w:color w:val="auto"/>
          <w:lang w:val="en-US" w:eastAsia="zh-CN"/>
        </w:rPr>
        <w:t>00平方公里，占项目占地面积的</w:t>
      </w:r>
      <w:r>
        <w:rPr>
          <w:rFonts w:hint="default"/>
          <w:bCs/>
          <w:color w:val="auto"/>
          <w:lang w:val="en-US" w:eastAsia="zh-CN"/>
        </w:rPr>
        <w:t>0.00%</w:t>
      </w:r>
      <w:r>
        <w:rPr>
          <w:rFonts w:hint="eastAsia"/>
          <w:bCs/>
          <w:color w:val="auto"/>
          <w:lang w:val="en-US" w:eastAsia="zh-CN"/>
        </w:rPr>
        <w:t>，与地下水环境一般管控区交集面积为</w:t>
      </w:r>
      <w:r>
        <w:rPr>
          <w:rFonts w:hint="default"/>
          <w:bCs/>
          <w:color w:val="auto"/>
          <w:lang w:val="en-US" w:eastAsia="zh-CN"/>
        </w:rPr>
        <w:t>0</w:t>
      </w:r>
      <w:r>
        <w:rPr>
          <w:rFonts w:hint="eastAsia"/>
          <w:bCs/>
          <w:color w:val="auto"/>
          <w:lang w:val="en-US" w:eastAsia="zh-CN"/>
        </w:rPr>
        <w:t>.1平方公里，占项目占地面积的100.00</w:t>
      </w:r>
      <w:r>
        <w:rPr>
          <w:rFonts w:hint="default"/>
          <w:bCs/>
          <w:color w:val="auto"/>
          <w:lang w:val="en-US" w:eastAsia="zh-CN"/>
        </w:rPr>
        <w:t>%</w:t>
      </w:r>
      <w:r>
        <w:rPr>
          <w:rFonts w:hint="eastAsia"/>
          <w:bCs/>
          <w:color w:val="auto"/>
          <w:lang w:val="en-US" w:eastAsia="zh-CN"/>
        </w:rPr>
        <w:t>。</w:t>
      </w:r>
    </w:p>
    <w:p w14:paraId="10942E38">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）生态保护红线</w:t>
      </w:r>
    </w:p>
    <w:p w14:paraId="7B6D8F57">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项目位于</w:t>
      </w:r>
      <w:r>
        <w:rPr>
          <w:rFonts w:hint="eastAsia" w:ascii="宋体" w:hAnsi="宋体" w:cs="宋体"/>
          <w:color w:val="auto"/>
          <w:kern w:val="0"/>
          <w:sz w:val="24"/>
          <w:szCs w:val="24"/>
          <w:highlight w:val="none"/>
          <w:lang w:val="en-US" w:eastAsia="zh-CN" w:bidi="ar"/>
        </w:rPr>
        <w:t>鸡西市鸡东县东海镇新泉村</w:t>
      </w:r>
      <w:r>
        <w:rPr>
          <w:rFonts w:hint="eastAsia" w:ascii="宋体" w:hAnsi="宋体" w:eastAsia="宋体" w:cs="宋体"/>
          <w:color w:val="auto"/>
          <w:kern w:val="0"/>
          <w:sz w:val="24"/>
          <w:szCs w:val="24"/>
          <w:highlight w:val="none"/>
          <w:lang w:val="en-US" w:eastAsia="zh-CN" w:bidi="ar"/>
        </w:rPr>
        <w:t>，根据《</w:t>
      </w:r>
      <w:r>
        <w:rPr>
          <w:rFonts w:hint="eastAsia" w:ascii="宋体" w:hAnsi="宋体" w:cs="宋体"/>
          <w:color w:val="auto"/>
          <w:kern w:val="0"/>
          <w:sz w:val="24"/>
          <w:szCs w:val="24"/>
          <w:highlight w:val="none"/>
          <w:lang w:val="en-US" w:eastAsia="zh-CN" w:bidi="ar"/>
        </w:rPr>
        <w:t>新泉采石场</w:t>
      </w:r>
      <w:r>
        <w:rPr>
          <w:rFonts w:hint="eastAsia" w:ascii="宋体" w:hAnsi="宋体" w:eastAsia="宋体" w:cs="宋体"/>
          <w:color w:val="auto"/>
          <w:kern w:val="0"/>
          <w:sz w:val="24"/>
          <w:szCs w:val="24"/>
          <w:highlight w:val="none"/>
          <w:lang w:val="en-US" w:eastAsia="zh-CN" w:bidi="ar"/>
        </w:rPr>
        <w:t>生态环境分区管控分析报告》项目不在生态保护红线范围内，符合生态保护红线要求。</w:t>
      </w:r>
    </w:p>
    <w:p w14:paraId="0C9665AA">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3</w:t>
      </w:r>
      <w:r>
        <w:rPr>
          <w:rFonts w:hint="eastAsia" w:ascii="宋体" w:hAnsi="宋体" w:eastAsia="宋体" w:cs="宋体"/>
          <w:color w:val="auto"/>
          <w:kern w:val="0"/>
          <w:sz w:val="24"/>
          <w:szCs w:val="24"/>
          <w:highlight w:val="none"/>
          <w:lang w:val="en-US" w:eastAsia="zh-CN" w:bidi="ar"/>
        </w:rPr>
        <w:t>）环境质量底线根据环境现状调查与评价可知，环境空气补充监测点监测值可满足《环境空气质量标准》（</w:t>
      </w:r>
      <w:r>
        <w:rPr>
          <w:rFonts w:hint="default" w:ascii="Times New Roman" w:hAnsi="Times New Roman" w:eastAsia="宋体" w:cs="Times New Roman"/>
          <w:color w:val="auto"/>
          <w:kern w:val="0"/>
          <w:sz w:val="24"/>
          <w:szCs w:val="24"/>
          <w:highlight w:val="none"/>
          <w:lang w:val="en-US" w:eastAsia="zh-CN" w:bidi="ar"/>
        </w:rPr>
        <w:t>GB 3095-2012</w:t>
      </w:r>
      <w:r>
        <w:rPr>
          <w:rFonts w:hint="eastAsia" w:ascii="宋体" w:hAnsi="宋体" w:eastAsia="宋体" w:cs="宋体"/>
          <w:color w:val="auto"/>
          <w:kern w:val="0"/>
          <w:sz w:val="24"/>
          <w:szCs w:val="24"/>
          <w:highlight w:val="none"/>
          <w:lang w:val="en-US" w:eastAsia="zh-CN" w:bidi="ar"/>
        </w:rPr>
        <w:t>）中表</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浓度限值，项目区域内环境空气质量良好。本次现状监测的各监测点昼、夜间监测值均可满足《声环境质量标准》（</w:t>
      </w:r>
      <w:r>
        <w:rPr>
          <w:rFonts w:hint="default" w:ascii="Times New Roman" w:hAnsi="Times New Roman" w:eastAsia="宋体" w:cs="Times New Roman"/>
          <w:color w:val="auto"/>
          <w:kern w:val="0"/>
          <w:sz w:val="24"/>
          <w:szCs w:val="24"/>
          <w:highlight w:val="none"/>
          <w:lang w:val="en-US" w:eastAsia="zh-CN" w:bidi="ar"/>
        </w:rPr>
        <w:t>GB 3096-2008</w:t>
      </w:r>
      <w:r>
        <w:rPr>
          <w:rFonts w:hint="eastAsia" w:ascii="宋体" w:hAnsi="宋体" w:eastAsia="宋体" w:cs="宋体"/>
          <w:color w:val="auto"/>
          <w:kern w:val="0"/>
          <w:sz w:val="24"/>
          <w:szCs w:val="24"/>
          <w:highlight w:val="none"/>
          <w:lang w:val="en-US" w:eastAsia="zh-CN" w:bidi="ar"/>
        </w:rPr>
        <w:t>）表</w:t>
      </w:r>
      <w:r>
        <w:rPr>
          <w:rFonts w:hint="default" w:ascii="Times New Roman" w:hAnsi="Times New Roman" w:eastAsia="宋体" w:cs="Times New Roman"/>
          <w:color w:val="auto"/>
          <w:kern w:val="0"/>
          <w:sz w:val="24"/>
          <w:szCs w:val="24"/>
          <w:highlight w:val="none"/>
          <w:lang w:val="en-US" w:eastAsia="zh-CN" w:bidi="ar"/>
        </w:rPr>
        <w:t>1</w:t>
      </w:r>
      <w:r>
        <w:rPr>
          <w:rFonts w:hint="eastAsia" w:ascii="宋体" w:hAnsi="宋体" w:eastAsia="宋体" w:cs="宋体"/>
          <w:color w:val="auto"/>
          <w:kern w:val="0"/>
          <w:sz w:val="24"/>
          <w:szCs w:val="24"/>
          <w:highlight w:val="none"/>
          <w:lang w:val="en-US" w:eastAsia="zh-CN" w:bidi="ar"/>
        </w:rPr>
        <w:t>中</w:t>
      </w:r>
      <w:r>
        <w:rPr>
          <w:rFonts w:hint="default" w:ascii="Times New Roman" w:hAnsi="Times New Roman" w:eastAsia="宋体" w:cs="Times New Roman"/>
          <w:color w:val="auto"/>
          <w:kern w:val="0"/>
          <w:sz w:val="24"/>
          <w:szCs w:val="24"/>
          <w:highlight w:val="none"/>
          <w:lang w:val="en-US" w:eastAsia="zh-CN" w:bidi="ar"/>
        </w:rPr>
        <w:t>2</w:t>
      </w:r>
      <w:r>
        <w:rPr>
          <w:rFonts w:hint="eastAsia" w:ascii="宋体" w:hAnsi="宋体" w:eastAsia="宋体" w:cs="宋体"/>
          <w:color w:val="auto"/>
          <w:kern w:val="0"/>
          <w:sz w:val="24"/>
          <w:szCs w:val="24"/>
          <w:highlight w:val="none"/>
          <w:lang w:val="en-US" w:eastAsia="zh-CN" w:bidi="ar"/>
        </w:rPr>
        <w:t>类功能区限值，区域内声环境质量良好。项目用地性质主要为采矿用地，不占用黑土地，并且项目的建设不会超越环境质量底线，可以满足环境质量底线要求。</w:t>
      </w:r>
    </w:p>
    <w:p w14:paraId="588DAB11">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rFonts w:hint="eastAsia" w:ascii="宋体" w:hAnsi="宋体" w:eastAsia="宋体" w:cs="宋体"/>
          <w:color w:val="auto"/>
          <w:kern w:val="0"/>
          <w:sz w:val="24"/>
          <w:szCs w:val="24"/>
          <w:highlight w:val="none"/>
          <w:lang w:val="en-US" w:eastAsia="zh-CN" w:bidi="ar"/>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4</w:t>
      </w:r>
      <w:r>
        <w:rPr>
          <w:rFonts w:hint="eastAsia" w:ascii="宋体" w:hAnsi="宋体" w:eastAsia="宋体" w:cs="宋体"/>
          <w:color w:val="auto"/>
          <w:kern w:val="0"/>
          <w:sz w:val="24"/>
          <w:szCs w:val="24"/>
          <w:highlight w:val="none"/>
          <w:lang w:val="en-US" w:eastAsia="zh-CN" w:bidi="ar"/>
        </w:rPr>
        <w:t>）资源利用上线项目不消耗煤炭能源，用水依托周边水井，项目用地性质主要为采矿用地，不占用黑土地，符合资源利用上线要求。</w:t>
      </w:r>
    </w:p>
    <w:p w14:paraId="23B9157C">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bCs/>
          <w:color w:val="auto"/>
          <w:highlight w:val="none"/>
        </w:rPr>
      </w:pPr>
      <w:r>
        <w:rPr>
          <w:rFonts w:hint="eastAsia" w:ascii="宋体" w:hAnsi="宋体" w:eastAsia="宋体" w:cs="宋体"/>
          <w:color w:val="auto"/>
          <w:kern w:val="0"/>
          <w:sz w:val="24"/>
          <w:szCs w:val="24"/>
          <w:highlight w:val="none"/>
          <w:lang w:val="en-US" w:eastAsia="zh-CN" w:bidi="ar"/>
        </w:rPr>
        <w:t>（</w:t>
      </w:r>
      <w:r>
        <w:rPr>
          <w:rFonts w:hint="default" w:ascii="Times New Roman" w:hAnsi="Times New Roman" w:eastAsia="宋体" w:cs="Times New Roman"/>
          <w:color w:val="auto"/>
          <w:kern w:val="0"/>
          <w:sz w:val="24"/>
          <w:szCs w:val="24"/>
          <w:highlight w:val="none"/>
          <w:lang w:val="en-US" w:eastAsia="zh-CN" w:bidi="ar"/>
        </w:rPr>
        <w:t>5</w:t>
      </w:r>
      <w:r>
        <w:rPr>
          <w:rFonts w:hint="eastAsia" w:ascii="宋体" w:hAnsi="宋体" w:eastAsia="宋体" w:cs="宋体"/>
          <w:color w:val="auto"/>
          <w:kern w:val="0"/>
          <w:sz w:val="24"/>
          <w:szCs w:val="24"/>
          <w:highlight w:val="none"/>
          <w:lang w:val="en-US" w:eastAsia="zh-CN" w:bidi="ar"/>
        </w:rPr>
        <w:t>）生态环境准入清单</w:t>
      </w:r>
      <w:r>
        <w:rPr>
          <w:rFonts w:hint="eastAsia" w:ascii="宋体" w:hAnsi="宋体" w:cs="宋体"/>
          <w:color w:val="auto"/>
          <w:kern w:val="0"/>
          <w:sz w:val="24"/>
          <w:szCs w:val="24"/>
          <w:highlight w:val="none"/>
          <w:lang w:val="en-US" w:eastAsia="zh-CN" w:bidi="ar"/>
        </w:rPr>
        <w:t>根据</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新泉采石场</w:t>
      </w:r>
      <w:r>
        <w:rPr>
          <w:rFonts w:hint="eastAsia" w:ascii="宋体" w:hAnsi="宋体" w:eastAsia="宋体" w:cs="宋体"/>
          <w:color w:val="auto"/>
          <w:kern w:val="0"/>
          <w:sz w:val="24"/>
          <w:szCs w:val="24"/>
          <w:highlight w:val="none"/>
          <w:lang w:val="en-US" w:eastAsia="zh-CN" w:bidi="ar"/>
        </w:rPr>
        <w:t>生态环境分区管控分析报告》《鸡西市生态环境准入清单》（</w:t>
      </w:r>
      <w:r>
        <w:rPr>
          <w:rFonts w:hint="default" w:ascii="Times New Roman" w:hAnsi="Times New Roman" w:eastAsia="宋体" w:cs="Times New Roman"/>
          <w:color w:val="auto"/>
          <w:kern w:val="0"/>
          <w:sz w:val="24"/>
          <w:szCs w:val="24"/>
          <w:highlight w:val="none"/>
          <w:lang w:val="en-US" w:eastAsia="zh-CN" w:bidi="ar"/>
        </w:rPr>
        <w:t>2023</w:t>
      </w:r>
      <w:r>
        <w:rPr>
          <w:rFonts w:hint="eastAsia" w:ascii="宋体" w:hAnsi="宋体" w:eastAsia="宋体" w:cs="宋体"/>
          <w:color w:val="auto"/>
          <w:kern w:val="0"/>
          <w:sz w:val="24"/>
          <w:szCs w:val="24"/>
          <w:highlight w:val="none"/>
          <w:lang w:val="en-US" w:eastAsia="zh-CN" w:bidi="ar"/>
        </w:rPr>
        <w:t>年版），项目与生态环境准入清单符合性分析见下表。</w:t>
      </w:r>
    </w:p>
    <w:p w14:paraId="5205E296">
      <w:pPr>
        <w:pStyle w:val="76"/>
        <w:rPr>
          <w:color w:val="auto"/>
          <w:highlight w:val="none"/>
        </w:rPr>
      </w:pPr>
      <w:r>
        <w:rPr>
          <w:color w:val="auto"/>
          <w:highlight w:val="none"/>
        </w:rPr>
        <w:t>表1-</w:t>
      </w:r>
      <w:r>
        <w:rPr>
          <w:rFonts w:hint="eastAsia"/>
          <w:color w:val="auto"/>
          <w:highlight w:val="none"/>
        </w:rPr>
        <w:t>4-</w:t>
      </w:r>
      <w:r>
        <w:rPr>
          <w:color w:val="auto"/>
          <w:highlight w:val="none"/>
        </w:rPr>
        <w:t>1生态环境准入清单管控要求符合性分析</w:t>
      </w:r>
    </w:p>
    <w:tbl>
      <w:tblPr>
        <w:tblStyle w:val="77"/>
        <w:tblpPr w:leftFromText="180" w:rightFromText="180" w:vertAnchor="text" w:tblpXSpec="center" w:tblpY="1"/>
        <w:tblW w:w="4747"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71"/>
        <w:gridCol w:w="642"/>
        <w:gridCol w:w="629"/>
        <w:gridCol w:w="973"/>
        <w:gridCol w:w="2789"/>
        <w:gridCol w:w="2082"/>
      </w:tblGrid>
      <w:tr w14:paraId="32420C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Align w:val="center"/>
          </w:tcPr>
          <w:p w14:paraId="362DA452">
            <w:pPr>
              <w:pStyle w:val="84"/>
              <w:jc w:val="center"/>
              <w:rPr>
                <w:color w:val="auto"/>
                <w:highlight w:val="none"/>
              </w:rPr>
            </w:pPr>
            <w:r>
              <w:rPr>
                <w:color w:val="auto"/>
                <w:highlight w:val="none"/>
              </w:rPr>
              <w:t>环境管控单元编码</w:t>
            </w:r>
          </w:p>
        </w:tc>
        <w:tc>
          <w:tcPr>
            <w:tcW w:w="642" w:type="dxa"/>
            <w:vAlign w:val="center"/>
          </w:tcPr>
          <w:p w14:paraId="2CC45F60">
            <w:pPr>
              <w:pStyle w:val="84"/>
              <w:jc w:val="center"/>
              <w:rPr>
                <w:color w:val="auto"/>
                <w:highlight w:val="none"/>
              </w:rPr>
            </w:pPr>
            <w:r>
              <w:rPr>
                <w:color w:val="auto"/>
                <w:highlight w:val="none"/>
              </w:rPr>
              <w:t>环境管控单元名称</w:t>
            </w:r>
          </w:p>
        </w:tc>
        <w:tc>
          <w:tcPr>
            <w:tcW w:w="629" w:type="dxa"/>
            <w:vAlign w:val="center"/>
          </w:tcPr>
          <w:p w14:paraId="4191F279">
            <w:pPr>
              <w:pStyle w:val="84"/>
              <w:jc w:val="center"/>
              <w:rPr>
                <w:color w:val="auto"/>
                <w:highlight w:val="none"/>
              </w:rPr>
            </w:pPr>
            <w:r>
              <w:rPr>
                <w:color w:val="auto"/>
                <w:highlight w:val="none"/>
              </w:rPr>
              <w:t>管控单元类别</w:t>
            </w:r>
          </w:p>
        </w:tc>
        <w:tc>
          <w:tcPr>
            <w:tcW w:w="3762" w:type="dxa"/>
            <w:gridSpan w:val="2"/>
            <w:vAlign w:val="center"/>
          </w:tcPr>
          <w:p w14:paraId="3261BE08">
            <w:pPr>
              <w:pStyle w:val="84"/>
              <w:jc w:val="center"/>
              <w:rPr>
                <w:color w:val="auto"/>
                <w:highlight w:val="none"/>
              </w:rPr>
            </w:pPr>
            <w:r>
              <w:rPr>
                <w:color w:val="auto"/>
                <w:highlight w:val="none"/>
              </w:rPr>
              <w:t>管控要求</w:t>
            </w:r>
          </w:p>
        </w:tc>
        <w:tc>
          <w:tcPr>
            <w:tcW w:w="2082" w:type="dxa"/>
            <w:vAlign w:val="center"/>
          </w:tcPr>
          <w:p w14:paraId="68221E0D">
            <w:pPr>
              <w:pStyle w:val="84"/>
              <w:jc w:val="center"/>
              <w:rPr>
                <w:color w:val="auto"/>
                <w:highlight w:val="none"/>
              </w:rPr>
            </w:pPr>
            <w:r>
              <w:rPr>
                <w:color w:val="auto"/>
                <w:highlight w:val="none"/>
              </w:rPr>
              <w:t>符合性分析</w:t>
            </w:r>
          </w:p>
        </w:tc>
      </w:tr>
      <w:tr w14:paraId="18187C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2738CF1B">
            <w:pPr>
              <w:pStyle w:val="84"/>
              <w:jc w:val="center"/>
              <w:rPr>
                <w:color w:val="auto"/>
                <w:highlight w:val="none"/>
              </w:rPr>
            </w:pPr>
            <w:r>
              <w:rPr>
                <w:rFonts w:hint="eastAsia"/>
                <w:color w:val="auto"/>
                <w:highlight w:val="none"/>
              </w:rPr>
              <w:t>ZH2303212000</w:t>
            </w:r>
            <w:r>
              <w:rPr>
                <w:color w:val="auto"/>
                <w:highlight w:val="none"/>
              </w:rPr>
              <w:t>4</w:t>
            </w:r>
          </w:p>
        </w:tc>
        <w:tc>
          <w:tcPr>
            <w:tcW w:w="642" w:type="dxa"/>
            <w:vMerge w:val="restart"/>
            <w:vAlign w:val="center"/>
          </w:tcPr>
          <w:p w14:paraId="30D54F38">
            <w:pPr>
              <w:pStyle w:val="84"/>
              <w:jc w:val="center"/>
              <w:rPr>
                <w:color w:val="auto"/>
                <w:highlight w:val="none"/>
              </w:rPr>
            </w:pPr>
            <w:r>
              <w:rPr>
                <w:rFonts w:hint="eastAsia"/>
                <w:color w:val="auto"/>
                <w:highlight w:val="none"/>
              </w:rPr>
              <w:t>鸡东县水环境农业污染重点管控区</w:t>
            </w:r>
          </w:p>
        </w:tc>
        <w:tc>
          <w:tcPr>
            <w:tcW w:w="629" w:type="dxa"/>
            <w:vMerge w:val="restart"/>
            <w:vAlign w:val="center"/>
          </w:tcPr>
          <w:p w14:paraId="2766AA61">
            <w:pPr>
              <w:pStyle w:val="84"/>
              <w:jc w:val="center"/>
              <w:rPr>
                <w:color w:val="auto"/>
                <w:highlight w:val="none"/>
              </w:rPr>
            </w:pPr>
            <w:r>
              <w:rPr>
                <w:color w:val="auto"/>
                <w:highlight w:val="none"/>
              </w:rPr>
              <w:t>重点管控单元</w:t>
            </w:r>
          </w:p>
        </w:tc>
        <w:tc>
          <w:tcPr>
            <w:tcW w:w="973" w:type="dxa"/>
            <w:vAlign w:val="center"/>
          </w:tcPr>
          <w:p w14:paraId="7F500BEF">
            <w:pPr>
              <w:pStyle w:val="84"/>
              <w:jc w:val="center"/>
              <w:rPr>
                <w:color w:val="auto"/>
                <w:highlight w:val="none"/>
              </w:rPr>
            </w:pPr>
            <w:r>
              <w:rPr>
                <w:color w:val="auto"/>
                <w:highlight w:val="none"/>
              </w:rPr>
              <w:t>空间布局约束</w:t>
            </w:r>
          </w:p>
        </w:tc>
        <w:tc>
          <w:tcPr>
            <w:tcW w:w="2789" w:type="dxa"/>
            <w:vAlign w:val="center"/>
          </w:tcPr>
          <w:p w14:paraId="5E37906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color w:val="auto"/>
                <w:highlight w:val="cyan"/>
              </w:rPr>
            </w:pPr>
            <w:r>
              <w:rPr>
                <w:rFonts w:hint="default" w:ascii="Times New Roman" w:hAnsi="Times New Roman" w:eastAsia="宋体" w:cs="Times New Roman"/>
                <w:color w:val="auto"/>
                <w:kern w:val="0"/>
                <w:sz w:val="21"/>
                <w:szCs w:val="21"/>
                <w:lang w:val="en-US" w:eastAsia="zh-CN" w:bidi="ar"/>
              </w:rPr>
              <w:t>1.引导工业项目向开发区集中，促进产业集聚、资源集约、绿色发展。2.强化节能环保标准约束，严格行业规范、准入管理和节能审查，对电力、钢铁、建材、有色、化工、石油石化、船舶、煤炭、印染、造纸、制革、染料、焦化、电镀等行业中，环保、能耗、安全等不达标或生产、使用淘汰类产品的企业和产能，要依法依规有序退出。</w:t>
            </w:r>
          </w:p>
        </w:tc>
        <w:tc>
          <w:tcPr>
            <w:tcW w:w="2082" w:type="dxa"/>
            <w:vAlign w:val="center"/>
          </w:tcPr>
          <w:p w14:paraId="36C8C3C9">
            <w:pPr>
              <w:pStyle w:val="84"/>
              <w:jc w:val="center"/>
              <w:rPr>
                <w:rFonts w:hint="default" w:eastAsia="宋体"/>
                <w:color w:val="auto"/>
                <w:highlight w:val="none"/>
                <w:lang w:val="en-US" w:eastAsia="zh-CN"/>
              </w:rPr>
            </w:pPr>
            <w:r>
              <w:rPr>
                <w:color w:val="auto"/>
                <w:highlight w:val="none"/>
              </w:rPr>
              <w:t>本项目</w:t>
            </w:r>
            <w:r>
              <w:rPr>
                <w:rFonts w:hint="eastAsia"/>
                <w:color w:val="auto"/>
                <w:highlight w:val="none"/>
              </w:rPr>
              <w:t>不属于</w:t>
            </w:r>
            <w:r>
              <w:rPr>
                <w:rFonts w:hint="eastAsia"/>
                <w:color w:val="auto"/>
                <w:highlight w:val="none"/>
                <w:lang w:val="en-US" w:eastAsia="zh-CN"/>
              </w:rPr>
              <w:t>管控要求中的太太累产品的企业和产能</w:t>
            </w:r>
            <w:r>
              <w:rPr>
                <w:rFonts w:hint="eastAsia"/>
                <w:color w:val="auto"/>
                <w:highlight w:val="none"/>
              </w:rPr>
              <w:t>，利用</w:t>
            </w:r>
            <w:r>
              <w:rPr>
                <w:rFonts w:hint="eastAsia"/>
                <w:color w:val="auto"/>
                <w:highlight w:val="none"/>
                <w:lang w:eastAsia="zh-CN"/>
              </w:rPr>
              <w:t>灰渣</w:t>
            </w:r>
            <w:r>
              <w:rPr>
                <w:rFonts w:hint="eastAsia"/>
                <w:color w:val="auto"/>
                <w:highlight w:val="none"/>
              </w:rPr>
              <w:t>回填采坑，最终复垦为</w:t>
            </w:r>
            <w:r>
              <w:rPr>
                <w:rFonts w:hint="eastAsia"/>
                <w:color w:val="auto"/>
                <w:highlight w:val="none"/>
                <w:lang w:val="en-US" w:eastAsia="zh-CN"/>
              </w:rPr>
              <w:t>乔木林地、旱地。</w:t>
            </w:r>
          </w:p>
        </w:tc>
      </w:tr>
      <w:tr w14:paraId="18829C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42533342">
            <w:pPr>
              <w:pStyle w:val="84"/>
              <w:jc w:val="center"/>
              <w:rPr>
                <w:color w:val="auto"/>
                <w:highlight w:val="none"/>
              </w:rPr>
            </w:pPr>
          </w:p>
        </w:tc>
        <w:tc>
          <w:tcPr>
            <w:tcW w:w="642" w:type="dxa"/>
            <w:vMerge w:val="continue"/>
            <w:vAlign w:val="center"/>
          </w:tcPr>
          <w:p w14:paraId="3C2E3AF0">
            <w:pPr>
              <w:pStyle w:val="84"/>
              <w:jc w:val="center"/>
              <w:rPr>
                <w:color w:val="auto"/>
                <w:highlight w:val="none"/>
              </w:rPr>
            </w:pPr>
          </w:p>
        </w:tc>
        <w:tc>
          <w:tcPr>
            <w:tcW w:w="629" w:type="dxa"/>
            <w:vMerge w:val="continue"/>
            <w:vAlign w:val="center"/>
          </w:tcPr>
          <w:p w14:paraId="37A88F62">
            <w:pPr>
              <w:pStyle w:val="84"/>
              <w:jc w:val="center"/>
              <w:rPr>
                <w:color w:val="auto"/>
                <w:highlight w:val="none"/>
              </w:rPr>
            </w:pPr>
          </w:p>
        </w:tc>
        <w:tc>
          <w:tcPr>
            <w:tcW w:w="973" w:type="dxa"/>
            <w:vAlign w:val="center"/>
          </w:tcPr>
          <w:p w14:paraId="65AA4678">
            <w:pPr>
              <w:pStyle w:val="84"/>
              <w:jc w:val="center"/>
              <w:rPr>
                <w:bCs/>
                <w:color w:val="auto"/>
                <w:highlight w:val="none"/>
              </w:rPr>
            </w:pPr>
            <w:r>
              <w:rPr>
                <w:bCs/>
                <w:color w:val="auto"/>
                <w:highlight w:val="none"/>
              </w:rPr>
              <w:t>污染物排放管控</w:t>
            </w:r>
          </w:p>
        </w:tc>
        <w:tc>
          <w:tcPr>
            <w:tcW w:w="2789" w:type="dxa"/>
            <w:vAlign w:val="center"/>
          </w:tcPr>
          <w:p w14:paraId="1CD739F3">
            <w:pPr>
              <w:pStyle w:val="84"/>
              <w:jc w:val="center"/>
              <w:rPr>
                <w:rFonts w:hint="eastAsia" w:eastAsia="宋体"/>
                <w:bCs/>
                <w:color w:val="auto"/>
                <w:highlight w:val="none"/>
                <w:lang w:val="en-US" w:eastAsia="zh-CN"/>
              </w:rPr>
            </w:pPr>
            <w:r>
              <w:rPr>
                <w:rFonts w:hint="eastAsia"/>
                <w:bCs/>
                <w:color w:val="auto"/>
                <w:highlight w:val="none"/>
                <w:lang w:val="en-US" w:eastAsia="zh-CN"/>
              </w:rPr>
              <w:t>/</w:t>
            </w:r>
          </w:p>
        </w:tc>
        <w:tc>
          <w:tcPr>
            <w:tcW w:w="2082" w:type="dxa"/>
            <w:vAlign w:val="center"/>
          </w:tcPr>
          <w:p w14:paraId="69729B27">
            <w:pPr>
              <w:pStyle w:val="84"/>
              <w:jc w:val="center"/>
              <w:rPr>
                <w:color w:val="auto"/>
                <w:highlight w:val="cyan"/>
              </w:rPr>
            </w:pPr>
            <w:r>
              <w:rPr>
                <w:rFonts w:hint="eastAsia"/>
                <w:bCs/>
                <w:color w:val="auto"/>
                <w:highlight w:val="none"/>
                <w:lang w:val="en-US" w:eastAsia="zh-CN"/>
              </w:rPr>
              <w:t>/</w:t>
            </w:r>
          </w:p>
        </w:tc>
      </w:tr>
      <w:tr w14:paraId="3840E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51ACF265">
            <w:pPr>
              <w:pStyle w:val="84"/>
              <w:jc w:val="center"/>
              <w:rPr>
                <w:color w:val="auto"/>
                <w:highlight w:val="none"/>
              </w:rPr>
            </w:pPr>
          </w:p>
        </w:tc>
        <w:tc>
          <w:tcPr>
            <w:tcW w:w="642" w:type="dxa"/>
            <w:vMerge w:val="continue"/>
            <w:vAlign w:val="center"/>
          </w:tcPr>
          <w:p w14:paraId="478AFC45">
            <w:pPr>
              <w:pStyle w:val="84"/>
              <w:jc w:val="center"/>
              <w:rPr>
                <w:color w:val="auto"/>
                <w:highlight w:val="none"/>
              </w:rPr>
            </w:pPr>
          </w:p>
        </w:tc>
        <w:tc>
          <w:tcPr>
            <w:tcW w:w="629" w:type="dxa"/>
            <w:vMerge w:val="continue"/>
            <w:vAlign w:val="center"/>
          </w:tcPr>
          <w:p w14:paraId="72D60007">
            <w:pPr>
              <w:pStyle w:val="84"/>
              <w:jc w:val="center"/>
              <w:rPr>
                <w:color w:val="auto"/>
                <w:highlight w:val="none"/>
              </w:rPr>
            </w:pPr>
          </w:p>
        </w:tc>
        <w:tc>
          <w:tcPr>
            <w:tcW w:w="973" w:type="dxa"/>
            <w:vAlign w:val="center"/>
          </w:tcPr>
          <w:p w14:paraId="61EFD351">
            <w:pPr>
              <w:pStyle w:val="84"/>
              <w:jc w:val="center"/>
              <w:rPr>
                <w:color w:val="auto"/>
                <w:highlight w:val="none"/>
              </w:rPr>
            </w:pPr>
            <w:r>
              <w:rPr>
                <w:color w:val="auto"/>
                <w:highlight w:val="none"/>
              </w:rPr>
              <w:t>环境风险防控</w:t>
            </w:r>
          </w:p>
        </w:tc>
        <w:tc>
          <w:tcPr>
            <w:tcW w:w="2789" w:type="dxa"/>
            <w:vAlign w:val="center"/>
          </w:tcPr>
          <w:p w14:paraId="1C38A7D4">
            <w:pPr>
              <w:pStyle w:val="84"/>
              <w:jc w:val="center"/>
              <w:rPr>
                <w:rFonts w:hint="eastAsia" w:eastAsia="宋体"/>
                <w:color w:val="auto"/>
                <w:highlight w:val="none"/>
                <w:lang w:val="en-US" w:eastAsia="zh-CN"/>
              </w:rPr>
            </w:pPr>
            <w:r>
              <w:rPr>
                <w:rFonts w:hint="eastAsia"/>
                <w:color w:val="auto"/>
                <w:highlight w:val="none"/>
                <w:lang w:val="en-US" w:eastAsia="zh-CN"/>
              </w:rPr>
              <w:t>/</w:t>
            </w:r>
          </w:p>
        </w:tc>
        <w:tc>
          <w:tcPr>
            <w:tcW w:w="2082" w:type="dxa"/>
            <w:vAlign w:val="center"/>
          </w:tcPr>
          <w:p w14:paraId="4FFA8B28">
            <w:pPr>
              <w:pStyle w:val="84"/>
              <w:jc w:val="center"/>
              <w:rPr>
                <w:color w:val="auto"/>
                <w:highlight w:val="cyan"/>
              </w:rPr>
            </w:pPr>
            <w:r>
              <w:rPr>
                <w:rFonts w:hint="eastAsia"/>
                <w:color w:val="auto"/>
                <w:highlight w:val="none"/>
                <w:lang w:val="en-US" w:eastAsia="zh-CN"/>
              </w:rPr>
              <w:t>/</w:t>
            </w:r>
          </w:p>
        </w:tc>
      </w:tr>
      <w:tr w14:paraId="77EED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76F6FF8F">
            <w:pPr>
              <w:pStyle w:val="84"/>
              <w:jc w:val="center"/>
              <w:rPr>
                <w:color w:val="auto"/>
                <w:highlight w:val="none"/>
              </w:rPr>
            </w:pPr>
          </w:p>
        </w:tc>
        <w:tc>
          <w:tcPr>
            <w:tcW w:w="642" w:type="dxa"/>
            <w:vMerge w:val="continue"/>
            <w:vAlign w:val="center"/>
          </w:tcPr>
          <w:p w14:paraId="4B3837FE">
            <w:pPr>
              <w:pStyle w:val="84"/>
              <w:jc w:val="center"/>
              <w:rPr>
                <w:color w:val="auto"/>
                <w:highlight w:val="none"/>
              </w:rPr>
            </w:pPr>
          </w:p>
        </w:tc>
        <w:tc>
          <w:tcPr>
            <w:tcW w:w="629" w:type="dxa"/>
            <w:vMerge w:val="continue"/>
            <w:vAlign w:val="center"/>
          </w:tcPr>
          <w:p w14:paraId="4E37F63A">
            <w:pPr>
              <w:pStyle w:val="84"/>
              <w:jc w:val="center"/>
              <w:rPr>
                <w:color w:val="auto"/>
                <w:highlight w:val="none"/>
              </w:rPr>
            </w:pPr>
          </w:p>
        </w:tc>
        <w:tc>
          <w:tcPr>
            <w:tcW w:w="973" w:type="dxa"/>
            <w:vAlign w:val="center"/>
          </w:tcPr>
          <w:p w14:paraId="7906D012">
            <w:pPr>
              <w:pStyle w:val="84"/>
              <w:jc w:val="center"/>
              <w:rPr>
                <w:color w:val="auto"/>
                <w:highlight w:val="none"/>
              </w:rPr>
            </w:pPr>
            <w:r>
              <w:rPr>
                <w:rFonts w:hint="eastAsia"/>
                <w:color w:val="auto"/>
                <w:highlight w:val="none"/>
              </w:rPr>
              <w:t>资源利用</w:t>
            </w:r>
          </w:p>
          <w:p w14:paraId="0BEB26FD">
            <w:pPr>
              <w:pStyle w:val="84"/>
              <w:jc w:val="center"/>
              <w:rPr>
                <w:color w:val="auto"/>
                <w:highlight w:val="none"/>
              </w:rPr>
            </w:pPr>
            <w:r>
              <w:rPr>
                <w:rFonts w:hint="eastAsia"/>
                <w:color w:val="auto"/>
                <w:highlight w:val="none"/>
              </w:rPr>
              <w:t>效率要求</w:t>
            </w:r>
          </w:p>
        </w:tc>
        <w:tc>
          <w:tcPr>
            <w:tcW w:w="2789" w:type="dxa"/>
            <w:vAlign w:val="center"/>
          </w:tcPr>
          <w:p w14:paraId="288007B6">
            <w:pPr>
              <w:pStyle w:val="84"/>
              <w:jc w:val="center"/>
              <w:rPr>
                <w:rFonts w:hint="default" w:eastAsia="宋体"/>
                <w:color w:val="auto"/>
                <w:highlight w:val="none"/>
                <w:lang w:val="en-US" w:eastAsia="zh-CN"/>
              </w:rPr>
            </w:pPr>
            <w:r>
              <w:rPr>
                <w:rFonts w:hint="eastAsia"/>
                <w:color w:val="auto"/>
                <w:highlight w:val="none"/>
                <w:lang w:val="en-US" w:eastAsia="zh-CN"/>
              </w:rPr>
              <w:t>/</w:t>
            </w:r>
          </w:p>
        </w:tc>
        <w:tc>
          <w:tcPr>
            <w:tcW w:w="2082" w:type="dxa"/>
            <w:vAlign w:val="center"/>
          </w:tcPr>
          <w:p w14:paraId="32323852">
            <w:pPr>
              <w:pStyle w:val="84"/>
              <w:jc w:val="center"/>
              <w:rPr>
                <w:color w:val="auto"/>
                <w:highlight w:val="cyan"/>
              </w:rPr>
            </w:pPr>
            <w:r>
              <w:rPr>
                <w:rFonts w:hint="eastAsia"/>
                <w:color w:val="auto"/>
                <w:highlight w:val="none"/>
                <w:lang w:val="en-US" w:eastAsia="zh-CN"/>
              </w:rPr>
              <w:t>/</w:t>
            </w:r>
          </w:p>
        </w:tc>
      </w:tr>
      <w:tr w14:paraId="22F6EE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restart"/>
            <w:vAlign w:val="center"/>
          </w:tcPr>
          <w:p w14:paraId="502199BF">
            <w:pPr>
              <w:keepNext w:val="0"/>
              <w:keepLines w:val="0"/>
              <w:widowControl/>
              <w:suppressLineNumbers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ZH23032130001</w:t>
            </w:r>
          </w:p>
          <w:p w14:paraId="195D0C4D">
            <w:pPr>
              <w:pStyle w:val="84"/>
              <w:jc w:val="center"/>
              <w:rPr>
                <w:rFonts w:hint="eastAsia" w:ascii="Times New Roman" w:hAnsi="Times New Roman" w:eastAsia="宋体" w:cs="Times New Roman"/>
                <w:color w:val="auto"/>
                <w:kern w:val="2"/>
                <w:sz w:val="21"/>
                <w:szCs w:val="21"/>
                <w:highlight w:val="none"/>
                <w:lang w:val="en-US" w:eastAsia="zh-CN" w:bidi="ar-SA"/>
              </w:rPr>
            </w:pPr>
          </w:p>
        </w:tc>
        <w:tc>
          <w:tcPr>
            <w:tcW w:w="642" w:type="dxa"/>
            <w:vMerge w:val="restart"/>
            <w:vAlign w:val="center"/>
          </w:tcPr>
          <w:p w14:paraId="590B0A0A">
            <w:pPr>
              <w:keepNext w:val="0"/>
              <w:keepLines w:val="0"/>
              <w:widowControl/>
              <w:suppressLineNumbers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鸡东县永久基本农田</w:t>
            </w:r>
          </w:p>
          <w:p w14:paraId="210B2F29">
            <w:pPr>
              <w:pStyle w:val="84"/>
              <w:jc w:val="center"/>
              <w:rPr>
                <w:rFonts w:hint="eastAsia" w:ascii="Times New Roman" w:hAnsi="Times New Roman" w:eastAsia="宋体" w:cs="Times New Roman"/>
                <w:color w:val="auto"/>
                <w:kern w:val="2"/>
                <w:sz w:val="21"/>
                <w:szCs w:val="21"/>
                <w:highlight w:val="none"/>
                <w:lang w:val="en-US" w:eastAsia="zh-CN" w:bidi="ar-SA"/>
              </w:rPr>
            </w:pPr>
          </w:p>
        </w:tc>
        <w:tc>
          <w:tcPr>
            <w:tcW w:w="629" w:type="dxa"/>
            <w:vMerge w:val="restart"/>
            <w:vAlign w:val="center"/>
          </w:tcPr>
          <w:p w14:paraId="77E7DF51">
            <w:pPr>
              <w:keepNext w:val="0"/>
              <w:keepLines w:val="0"/>
              <w:widowControl/>
              <w:suppressLineNumbers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宋体" w:hAnsi="宋体" w:eastAsia="宋体" w:cs="宋体"/>
                <w:color w:val="auto"/>
                <w:kern w:val="0"/>
                <w:sz w:val="21"/>
                <w:szCs w:val="21"/>
                <w:lang w:val="en-US" w:eastAsia="zh-CN" w:bidi="ar"/>
              </w:rPr>
              <w:t>鸡东县永久基本 农田</w:t>
            </w:r>
          </w:p>
        </w:tc>
        <w:tc>
          <w:tcPr>
            <w:tcW w:w="973" w:type="dxa"/>
            <w:shd w:val="clear" w:color="auto" w:fill="auto"/>
            <w:vAlign w:val="center"/>
          </w:tcPr>
          <w:p w14:paraId="2A4BFC78">
            <w:pPr>
              <w:keepNext w:val="0"/>
              <w:keepLines w:val="0"/>
              <w:widowControl/>
              <w:suppressLineNumbers w:val="0"/>
              <w:snapToGrid w:val="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空间布局约束</w:t>
            </w:r>
          </w:p>
        </w:tc>
        <w:tc>
          <w:tcPr>
            <w:tcW w:w="2789" w:type="dxa"/>
            <w:shd w:val="clear" w:color="auto" w:fill="auto"/>
            <w:vAlign w:val="center"/>
          </w:tcPr>
          <w:p w14:paraId="1A7FF6D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1.严格永久基本农田占用和补划，永久基本农田经依法划定后，任何单位和个人不得擅自占用或者改变其用途。2.在永久基本农田集中区域，不得新建可能造成土壤污染的建设项目；已经建成的，应当限期关闭拆除。3.严禁占用永久基本农田发展林果业和挖塘养鱼；严禁占用永久基本农田种植苗木、草皮等用于绿化装饰以及其他破坏耕作层的植物；严禁占用永久基本农田挖湖造景、建设绿化带；严禁新增占用永久基本农田建设畜禽养殖设施、水产养殖设施和破坏耕作层的种植业设施。4.禁止任何单位和个人破坏永久基本农田耕作层。5.禁止以设施农用地为名违规占用永久基本农田建设休闲旅游、仓储厂房等设施。6.禁止向农用地排放重金属或者其他有毒有害物质含量超标的污水、污泥，以及可能造成土壤污染的清淤底泥、尾矿、矿渣等。7.国家能源、交通、水利、军事设施等重点项目确实难以避让永久基本农田的，涉及农用地转用或者土地征收的，必须经过国务院批准。8.一般建设项目不得占用永久基本农田；重大建设项目选址确实难以避让永久基本农田的，要按照</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数量不减、质量不降、布局稳定</w:t>
            </w:r>
            <w:r>
              <w:rPr>
                <w:rFonts w:hint="eastAsia"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的要求，在储备区内选择数量相等、质量相当的地块进行补划。9.非农业建设依法占用永久基本农田的，建设单位应当将所占用耕地耕作层的土壤用于新开垦的耕地、劣质地或其他耕地的土壤改良。位于优先保护单元和重点管控单元内永久基本农田也同时执行此要求。</w:t>
            </w:r>
          </w:p>
        </w:tc>
        <w:tc>
          <w:tcPr>
            <w:tcW w:w="2082" w:type="dxa"/>
            <w:vAlign w:val="center"/>
          </w:tcPr>
          <w:p w14:paraId="6BF5E531">
            <w:pPr>
              <w:keepNext w:val="0"/>
              <w:keepLines w:val="0"/>
              <w:pageBreakBefore w:val="0"/>
              <w:widowControl/>
              <w:suppressLineNumbers w:val="0"/>
              <w:kinsoku/>
              <w:wordWrap/>
              <w:overflowPunct/>
              <w:topLinePunct w:val="0"/>
              <w:autoSpaceDE/>
              <w:autoSpaceDN/>
              <w:bidi w:val="0"/>
              <w:adjustRightInd w:val="0"/>
              <w:snapToGrid w:val="0"/>
              <w:jc w:val="left"/>
              <w:textAlignment w:val="auto"/>
              <w:rPr>
                <w:rFonts w:hint="default" w:ascii="Times New Roman" w:hAnsi="Times New Roman" w:eastAsia="宋体" w:cs="Times New Roman"/>
                <w:color w:val="auto"/>
                <w:kern w:val="2"/>
                <w:sz w:val="21"/>
                <w:szCs w:val="21"/>
                <w:highlight w:val="cyan"/>
                <w:lang w:val="en-US" w:eastAsia="zh-CN" w:bidi="ar-SA"/>
              </w:rPr>
            </w:pPr>
            <w:r>
              <w:rPr>
                <w:rFonts w:hint="default" w:ascii="Times New Roman" w:hAnsi="Times New Roman" w:eastAsia="宋体" w:cs="Times New Roman"/>
                <w:color w:val="auto"/>
                <w:kern w:val="2"/>
                <w:sz w:val="21"/>
                <w:szCs w:val="21"/>
                <w:highlight w:val="none"/>
                <w:lang w:val="en-US" w:eastAsia="zh-CN" w:bidi="ar-SA"/>
              </w:rPr>
              <w:t>本项目回填复垦区域为新泉采石场矿区范围，最终复垦为乔木林地、旱地，</w:t>
            </w:r>
            <w:r>
              <w:rPr>
                <w:rFonts w:hint="eastAsia" w:ascii="Times New Roman" w:hAnsi="Times New Roman" w:eastAsia="宋体" w:cs="Times New Roman"/>
                <w:color w:val="auto"/>
                <w:kern w:val="2"/>
                <w:sz w:val="21"/>
                <w:szCs w:val="21"/>
                <w:highlight w:val="none"/>
                <w:lang w:val="en-US" w:eastAsia="zh-CN" w:bidi="ar-SA"/>
              </w:rPr>
              <w:t>不涉及</w:t>
            </w:r>
            <w:r>
              <w:rPr>
                <w:rFonts w:hint="default" w:ascii="Times New Roman" w:hAnsi="Times New Roman" w:eastAsia="宋体" w:cs="Times New Roman"/>
                <w:color w:val="auto"/>
                <w:kern w:val="2"/>
                <w:sz w:val="21"/>
                <w:szCs w:val="21"/>
                <w:highlight w:val="none"/>
                <w:lang w:val="en-US" w:eastAsia="zh-CN" w:bidi="ar-SA"/>
              </w:rPr>
              <w:t>改变永久基本农田用途情形，符合永久基本农田相关管控要求。</w:t>
            </w:r>
            <w:r>
              <w:rPr>
                <w:rFonts w:hint="eastAsia" w:ascii="Times New Roman" w:hAnsi="Times New Roman" w:eastAsia="宋体" w:cs="Times New Roman"/>
                <w:color w:val="auto"/>
                <w:kern w:val="2"/>
                <w:sz w:val="21"/>
                <w:szCs w:val="21"/>
                <w:highlight w:val="none"/>
                <w:lang w:val="en-US" w:eastAsia="zh-CN" w:bidi="ar-SA"/>
              </w:rPr>
              <w:t>根据《鸡东县新泉采石场</w:t>
            </w:r>
            <w:r>
              <w:rPr>
                <w:rFonts w:hint="default" w:ascii="Times New Roman" w:hAnsi="Times New Roman" w:eastAsia="宋体" w:cs="Times New Roman"/>
                <w:color w:val="auto"/>
                <w:kern w:val="2"/>
                <w:sz w:val="21"/>
                <w:szCs w:val="21"/>
                <w:highlight w:val="none"/>
                <w:lang w:val="en-US" w:eastAsia="zh-CN" w:bidi="ar-SA"/>
              </w:rPr>
              <w:t>矿区生态修复</w:t>
            </w:r>
            <w:r>
              <w:rPr>
                <w:rFonts w:hint="eastAsia" w:ascii="Times New Roman" w:hAnsi="Times New Roman" w:eastAsia="宋体" w:cs="Times New Roman"/>
                <w:color w:val="auto"/>
                <w:kern w:val="2"/>
                <w:sz w:val="21"/>
                <w:szCs w:val="21"/>
                <w:highlight w:val="none"/>
                <w:lang w:val="en-US" w:eastAsia="zh-CN" w:bidi="ar-SA"/>
              </w:rPr>
              <w:t>设计</w:t>
            </w:r>
            <w:r>
              <w:rPr>
                <w:rFonts w:hint="default" w:ascii="Times New Roman" w:hAnsi="Times New Roman" w:eastAsia="宋体" w:cs="Times New Roman"/>
                <w:color w:val="auto"/>
                <w:kern w:val="2"/>
                <w:sz w:val="21"/>
                <w:szCs w:val="21"/>
                <w:highlight w:val="none"/>
                <w:lang w:val="en-US" w:eastAsia="zh-CN" w:bidi="ar-SA"/>
              </w:rPr>
              <w:t>方案</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cs="Times New Roman"/>
                <w:color w:val="auto"/>
              </w:rPr>
              <w:t>矿区范围占地面积</w:t>
            </w:r>
            <w:r>
              <w:rPr>
                <w:rFonts w:hint="eastAsia" w:ascii="Times New Roman" w:hAnsi="Times New Roman" w:cs="Times New Roman"/>
                <w:color w:val="auto"/>
                <w:lang w:val="en-US" w:eastAsia="zh-CN"/>
              </w:rPr>
              <w:t>7.8594</w:t>
            </w:r>
            <w:r>
              <w:rPr>
                <w:rFonts w:hint="default" w:ascii="Times New Roman" w:hAnsi="Times New Roman" w:cs="Times New Roman"/>
                <w:color w:val="auto"/>
              </w:rPr>
              <w:t>h</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2</w:t>
            </w:r>
            <w:r>
              <w:rPr>
                <w:rFonts w:hint="eastAsia" w:ascii="Times New Roman" w:hAnsi="Times New Roman" w:cs="Times New Roman"/>
                <w:color w:val="auto"/>
                <w:vertAlign w:val="baseline"/>
                <w:lang w:eastAsia="zh-CN"/>
              </w:rPr>
              <w:t>，</w:t>
            </w:r>
            <w:r>
              <w:rPr>
                <w:rFonts w:hint="eastAsia" w:ascii="Times New Roman" w:hAnsi="Times New Roman" w:cs="Times New Roman"/>
                <w:color w:val="auto"/>
                <w:vertAlign w:val="baseline"/>
                <w:lang w:val="en-US" w:eastAsia="zh-CN"/>
              </w:rPr>
              <w:t>其中矿区范围总面积5.232</w:t>
            </w:r>
            <w:r>
              <w:rPr>
                <w:rFonts w:hint="default" w:ascii="Times New Roman" w:hAnsi="Times New Roman" w:cs="Times New Roman"/>
                <w:color w:val="auto"/>
              </w:rPr>
              <w:t>h</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2</w:t>
            </w:r>
            <w:r>
              <w:rPr>
                <w:rFonts w:hint="eastAsia" w:ascii="Times New Roman" w:hAnsi="Times New Roman" w:cs="Times New Roman"/>
                <w:color w:val="auto"/>
                <w:vertAlign w:val="baseline"/>
                <w:lang w:eastAsia="zh-CN"/>
              </w:rPr>
              <w:t>，</w:t>
            </w:r>
            <w:r>
              <w:rPr>
                <w:rFonts w:hint="default" w:ascii="Times New Roman" w:hAnsi="Times New Roman" w:cs="Times New Roman"/>
                <w:color w:val="auto"/>
                <w:vertAlign w:val="baseline"/>
                <w:lang w:eastAsia="zh-CN"/>
              </w:rPr>
              <w:t>矿区范围外工业广场用地面积2.6274hm</w:t>
            </w:r>
            <w:r>
              <w:rPr>
                <w:rFonts w:hint="default" w:ascii="Times New Roman" w:hAnsi="Times New Roman" w:cs="Times New Roman"/>
                <w:color w:val="auto"/>
                <w:vertAlign w:val="superscript"/>
                <w:lang w:eastAsia="zh-CN"/>
              </w:rPr>
              <w:t>2</w:t>
            </w:r>
            <w:r>
              <w:rPr>
                <w:rFonts w:hint="default" w:ascii="Times New Roman" w:hAnsi="Times New Roman" w:cs="Times New Roman"/>
                <w:color w:val="auto"/>
              </w:rPr>
              <w:t>。参照全国土地利用现状调查技术规程、全国土地利用现状分类标准（GB/T 21010-2017），结合第三次土地调查土地利用现状图，</w:t>
            </w:r>
            <w:r>
              <w:rPr>
                <w:rFonts w:hint="eastAsia" w:ascii="Times New Roman" w:hAnsi="Times New Roman" w:cs="Times New Roman"/>
                <w:color w:val="auto"/>
                <w:lang w:val="en-US" w:eastAsia="zh-CN"/>
              </w:rPr>
              <w:t>根据</w:t>
            </w:r>
            <w:r>
              <w:rPr>
                <w:rFonts w:hint="default" w:ascii="Times New Roman" w:hAnsi="Times New Roman" w:cs="Times New Roman"/>
                <w:color w:val="auto"/>
              </w:rPr>
              <w:t>项目区内各用地类型土地利用现状数据。矿区</w:t>
            </w:r>
            <w:r>
              <w:rPr>
                <w:rFonts w:hint="default" w:ascii="Times New Roman" w:hAnsi="Times New Roman" w:cs="Times New Roman"/>
                <w:color w:val="auto"/>
                <w:lang w:val="en-US" w:eastAsia="zh-CN"/>
              </w:rPr>
              <w:t>所占耕地等级为12等，</w:t>
            </w:r>
            <w:r>
              <w:rPr>
                <w:rFonts w:hint="default" w:ascii="Times New Roman" w:hAnsi="Times New Roman" w:cs="Times New Roman"/>
                <w:color w:val="auto"/>
              </w:rPr>
              <w:t>不占用基本农田</w:t>
            </w:r>
            <w:r>
              <w:rPr>
                <w:rFonts w:hint="default" w:ascii="Times New Roman" w:hAnsi="Times New Roman" w:cs="Times New Roman"/>
                <w:color w:val="auto"/>
                <w:lang w:eastAsia="zh-CN"/>
              </w:rPr>
              <w:t>。</w:t>
            </w:r>
          </w:p>
        </w:tc>
      </w:tr>
      <w:tr w14:paraId="6D6F41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57C09A68">
            <w:pPr>
              <w:pStyle w:val="84"/>
              <w:jc w:val="center"/>
              <w:rPr>
                <w:color w:val="auto"/>
                <w:highlight w:val="cyan"/>
              </w:rPr>
            </w:pPr>
          </w:p>
        </w:tc>
        <w:tc>
          <w:tcPr>
            <w:tcW w:w="642" w:type="dxa"/>
            <w:vMerge w:val="continue"/>
            <w:vAlign w:val="center"/>
          </w:tcPr>
          <w:p w14:paraId="3C13D592">
            <w:pPr>
              <w:pStyle w:val="84"/>
              <w:jc w:val="center"/>
              <w:rPr>
                <w:color w:val="auto"/>
                <w:highlight w:val="cyan"/>
              </w:rPr>
            </w:pPr>
          </w:p>
        </w:tc>
        <w:tc>
          <w:tcPr>
            <w:tcW w:w="629" w:type="dxa"/>
            <w:vMerge w:val="continue"/>
            <w:vAlign w:val="center"/>
          </w:tcPr>
          <w:p w14:paraId="4B16F1D8">
            <w:pPr>
              <w:pStyle w:val="84"/>
              <w:jc w:val="center"/>
              <w:rPr>
                <w:color w:val="auto"/>
                <w:highlight w:val="cyan"/>
              </w:rPr>
            </w:pPr>
          </w:p>
        </w:tc>
        <w:tc>
          <w:tcPr>
            <w:tcW w:w="973" w:type="dxa"/>
            <w:shd w:val="clear" w:color="auto" w:fill="auto"/>
            <w:vAlign w:val="center"/>
          </w:tcPr>
          <w:p w14:paraId="48134FB5">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auto"/>
                <w:kern w:val="2"/>
                <w:sz w:val="21"/>
                <w:szCs w:val="24"/>
                <w:highlight w:val="cyan"/>
                <w:lang w:val="en-US" w:eastAsia="zh-CN" w:bidi="ar-SA"/>
              </w:rPr>
            </w:pPr>
            <w:r>
              <w:rPr>
                <w:rFonts w:hint="eastAsia" w:ascii="宋体" w:hAnsi="宋体" w:eastAsia="宋体" w:cs="宋体"/>
                <w:b w:val="0"/>
                <w:bCs w:val="0"/>
                <w:color w:val="auto"/>
                <w:kern w:val="0"/>
                <w:sz w:val="21"/>
                <w:szCs w:val="21"/>
                <w:lang w:val="en-US" w:eastAsia="zh-CN" w:bidi="ar"/>
              </w:rPr>
              <w:t>污染物排放管控</w:t>
            </w:r>
          </w:p>
        </w:tc>
        <w:tc>
          <w:tcPr>
            <w:tcW w:w="2789" w:type="dxa"/>
            <w:shd w:val="clear" w:color="auto" w:fill="auto"/>
            <w:vAlign w:val="center"/>
          </w:tcPr>
          <w:p w14:paraId="619CAAA9">
            <w:pPr>
              <w:pStyle w:val="84"/>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2082" w:type="dxa"/>
            <w:vAlign w:val="center"/>
          </w:tcPr>
          <w:p w14:paraId="5B1F723E">
            <w:pPr>
              <w:pStyle w:val="84"/>
              <w:jc w:val="center"/>
              <w:rPr>
                <w:color w:val="auto"/>
                <w:highlight w:val="cyan"/>
              </w:rPr>
            </w:pPr>
            <w:r>
              <w:rPr>
                <w:rFonts w:hint="eastAsia"/>
                <w:bCs/>
                <w:color w:val="auto"/>
                <w:highlight w:val="none"/>
                <w:lang w:val="en-US" w:eastAsia="zh-CN"/>
              </w:rPr>
              <w:t>/</w:t>
            </w:r>
          </w:p>
        </w:tc>
      </w:tr>
      <w:tr w14:paraId="070E00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697E69A">
            <w:pPr>
              <w:pStyle w:val="84"/>
              <w:jc w:val="center"/>
              <w:rPr>
                <w:color w:val="auto"/>
                <w:highlight w:val="cyan"/>
              </w:rPr>
            </w:pPr>
          </w:p>
        </w:tc>
        <w:tc>
          <w:tcPr>
            <w:tcW w:w="642" w:type="dxa"/>
            <w:vMerge w:val="continue"/>
            <w:vAlign w:val="center"/>
          </w:tcPr>
          <w:p w14:paraId="1F5EFDA5">
            <w:pPr>
              <w:pStyle w:val="84"/>
              <w:jc w:val="center"/>
              <w:rPr>
                <w:color w:val="auto"/>
                <w:highlight w:val="cyan"/>
              </w:rPr>
            </w:pPr>
          </w:p>
        </w:tc>
        <w:tc>
          <w:tcPr>
            <w:tcW w:w="629" w:type="dxa"/>
            <w:vMerge w:val="continue"/>
            <w:vAlign w:val="center"/>
          </w:tcPr>
          <w:p w14:paraId="7DEC7825">
            <w:pPr>
              <w:pStyle w:val="84"/>
              <w:jc w:val="center"/>
              <w:rPr>
                <w:color w:val="auto"/>
                <w:highlight w:val="cyan"/>
              </w:rPr>
            </w:pPr>
          </w:p>
        </w:tc>
        <w:tc>
          <w:tcPr>
            <w:tcW w:w="973" w:type="dxa"/>
            <w:shd w:val="clear" w:color="auto" w:fill="auto"/>
            <w:vAlign w:val="center"/>
          </w:tcPr>
          <w:p w14:paraId="44A24534">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auto"/>
                <w:kern w:val="2"/>
                <w:sz w:val="21"/>
                <w:szCs w:val="24"/>
                <w:highlight w:val="cyan"/>
                <w:lang w:val="en-US" w:eastAsia="zh-CN" w:bidi="ar-SA"/>
              </w:rPr>
            </w:pPr>
            <w:r>
              <w:rPr>
                <w:rFonts w:hint="eastAsia" w:ascii="宋体" w:hAnsi="宋体" w:eastAsia="宋体" w:cs="宋体"/>
                <w:b w:val="0"/>
                <w:bCs w:val="0"/>
                <w:color w:val="auto"/>
                <w:kern w:val="0"/>
                <w:sz w:val="21"/>
                <w:szCs w:val="21"/>
                <w:lang w:val="en-US" w:eastAsia="zh-CN" w:bidi="ar"/>
              </w:rPr>
              <w:t>环境风险防控</w:t>
            </w:r>
          </w:p>
        </w:tc>
        <w:tc>
          <w:tcPr>
            <w:tcW w:w="2789" w:type="dxa"/>
            <w:shd w:val="clear" w:color="auto" w:fill="auto"/>
            <w:vAlign w:val="center"/>
          </w:tcPr>
          <w:p w14:paraId="499ACE90">
            <w:pPr>
              <w:pStyle w:val="84"/>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2082" w:type="dxa"/>
            <w:vAlign w:val="center"/>
          </w:tcPr>
          <w:p w14:paraId="07EC074F">
            <w:pPr>
              <w:pStyle w:val="84"/>
              <w:jc w:val="center"/>
              <w:rPr>
                <w:color w:val="auto"/>
                <w:highlight w:val="cyan"/>
              </w:rPr>
            </w:pPr>
            <w:r>
              <w:rPr>
                <w:rFonts w:hint="eastAsia"/>
                <w:color w:val="auto"/>
                <w:highlight w:val="none"/>
                <w:lang w:val="en-US" w:eastAsia="zh-CN"/>
              </w:rPr>
              <w:t>/</w:t>
            </w:r>
          </w:p>
        </w:tc>
      </w:tr>
      <w:tr w14:paraId="64D2F8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71" w:type="dxa"/>
            <w:vMerge w:val="continue"/>
            <w:vAlign w:val="center"/>
          </w:tcPr>
          <w:p w14:paraId="66B77B21">
            <w:pPr>
              <w:pStyle w:val="84"/>
              <w:jc w:val="center"/>
              <w:rPr>
                <w:color w:val="auto"/>
                <w:highlight w:val="cyan"/>
              </w:rPr>
            </w:pPr>
          </w:p>
        </w:tc>
        <w:tc>
          <w:tcPr>
            <w:tcW w:w="642" w:type="dxa"/>
            <w:vMerge w:val="continue"/>
            <w:vAlign w:val="center"/>
          </w:tcPr>
          <w:p w14:paraId="7C116ECD">
            <w:pPr>
              <w:pStyle w:val="84"/>
              <w:jc w:val="center"/>
              <w:rPr>
                <w:color w:val="auto"/>
                <w:highlight w:val="cyan"/>
              </w:rPr>
            </w:pPr>
          </w:p>
        </w:tc>
        <w:tc>
          <w:tcPr>
            <w:tcW w:w="629" w:type="dxa"/>
            <w:vMerge w:val="continue"/>
            <w:vAlign w:val="center"/>
          </w:tcPr>
          <w:p w14:paraId="1F56026F">
            <w:pPr>
              <w:pStyle w:val="84"/>
              <w:jc w:val="center"/>
              <w:rPr>
                <w:color w:val="auto"/>
                <w:highlight w:val="cyan"/>
              </w:rPr>
            </w:pPr>
          </w:p>
        </w:tc>
        <w:tc>
          <w:tcPr>
            <w:tcW w:w="973" w:type="dxa"/>
            <w:shd w:val="clear" w:color="auto" w:fill="auto"/>
            <w:vAlign w:val="center"/>
          </w:tcPr>
          <w:p w14:paraId="7B52B59F">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b w:val="0"/>
                <w:bCs w:val="0"/>
                <w:color w:val="auto"/>
                <w:kern w:val="2"/>
                <w:sz w:val="21"/>
                <w:szCs w:val="24"/>
                <w:highlight w:val="cyan"/>
                <w:lang w:val="en-US" w:eastAsia="zh-CN" w:bidi="ar-SA"/>
              </w:rPr>
            </w:pPr>
            <w:r>
              <w:rPr>
                <w:rFonts w:hint="eastAsia" w:ascii="宋体" w:hAnsi="宋体" w:eastAsia="宋体" w:cs="宋体"/>
                <w:b w:val="0"/>
                <w:bCs w:val="0"/>
                <w:color w:val="auto"/>
                <w:kern w:val="0"/>
                <w:sz w:val="21"/>
                <w:szCs w:val="21"/>
                <w:lang w:val="en-US" w:eastAsia="zh-CN" w:bidi="ar"/>
              </w:rPr>
              <w:t>资源开发效率要求</w:t>
            </w:r>
          </w:p>
        </w:tc>
        <w:tc>
          <w:tcPr>
            <w:tcW w:w="2789" w:type="dxa"/>
            <w:shd w:val="clear" w:color="auto" w:fill="auto"/>
            <w:vAlign w:val="center"/>
          </w:tcPr>
          <w:p w14:paraId="7BEF7BB4">
            <w:pPr>
              <w:pStyle w:val="84"/>
              <w:keepNext w:val="0"/>
              <w:keepLines w:val="0"/>
              <w:pageBreakBefore w:val="0"/>
              <w:kinsoku/>
              <w:wordWrap/>
              <w:overflowPunct/>
              <w:topLinePunct w:val="0"/>
              <w:autoSpaceDE/>
              <w:autoSpaceDN/>
              <w:bidi w:val="0"/>
              <w:adjustRightInd w:val="0"/>
              <w:snapToGrid w:val="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w:t>
            </w:r>
          </w:p>
        </w:tc>
        <w:tc>
          <w:tcPr>
            <w:tcW w:w="2082" w:type="dxa"/>
            <w:vAlign w:val="center"/>
          </w:tcPr>
          <w:p w14:paraId="0E899759">
            <w:pPr>
              <w:pStyle w:val="84"/>
              <w:jc w:val="center"/>
              <w:rPr>
                <w:color w:val="auto"/>
                <w:highlight w:val="cyan"/>
              </w:rPr>
            </w:pPr>
            <w:r>
              <w:rPr>
                <w:rFonts w:hint="eastAsia"/>
                <w:color w:val="auto"/>
                <w:highlight w:val="none"/>
                <w:lang w:val="en-US" w:eastAsia="zh-CN"/>
              </w:rPr>
              <w:t>/</w:t>
            </w:r>
          </w:p>
        </w:tc>
      </w:tr>
    </w:tbl>
    <w:p w14:paraId="355E92F1">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 xml:space="preserve">（6）生态环境分区管控符合性分析结论 </w:t>
      </w:r>
    </w:p>
    <w:p w14:paraId="0E51B14E">
      <w:pPr>
        <w:keepNext w:val="0"/>
        <w:keepLines w:val="0"/>
        <w:pageBreakBefore w:val="0"/>
        <w:widowControl/>
        <w:suppressLineNumbers w:val="0"/>
        <w:kinsoku/>
        <w:wordWrap/>
        <w:overflowPunct/>
        <w:topLinePunct w:val="0"/>
        <w:autoSpaceDE/>
        <w:autoSpaceDN/>
        <w:bidi w:val="0"/>
        <w:adjustRightInd w:val="0"/>
        <w:snapToGrid w:val="0"/>
        <w:spacing w:line="500" w:lineRule="exact"/>
        <w:ind w:firstLine="480" w:firstLineChars="200"/>
        <w:jc w:val="left"/>
        <w:textAlignment w:val="auto"/>
        <w:rPr>
          <w:rFonts w:hint="default" w:ascii="Times New Roman" w:hAnsi="Times New Roman" w:eastAsia="宋体" w:cs="Times New Roman"/>
          <w:color w:val="auto"/>
          <w:kern w:val="0"/>
          <w:sz w:val="24"/>
          <w:szCs w:val="24"/>
          <w:highlight w:val="none"/>
          <w:lang w:val="en-US" w:eastAsia="zh-CN" w:bidi="ar"/>
        </w:rPr>
      </w:pPr>
      <w:r>
        <w:rPr>
          <w:rFonts w:hint="default" w:ascii="Times New Roman" w:hAnsi="Times New Roman" w:eastAsia="宋体" w:cs="Times New Roman"/>
          <w:color w:val="auto"/>
          <w:kern w:val="0"/>
          <w:sz w:val="24"/>
          <w:szCs w:val="24"/>
          <w:highlight w:val="none"/>
          <w:lang w:val="en-US" w:eastAsia="zh-CN" w:bidi="ar"/>
        </w:rPr>
        <w:t>根据《生态环境分区管控分析报告》及</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新泉采石场</w:t>
      </w:r>
      <w:r>
        <w:rPr>
          <w:rFonts w:hint="eastAsia" w:ascii="宋体" w:hAnsi="宋体" w:eastAsia="宋体" w:cs="宋体"/>
          <w:color w:val="auto"/>
          <w:kern w:val="0"/>
          <w:sz w:val="24"/>
          <w:szCs w:val="24"/>
          <w:highlight w:val="none"/>
          <w:lang w:val="en-US" w:eastAsia="zh-CN" w:bidi="ar"/>
        </w:rPr>
        <w:t>生态环境分区管控分析报告》</w:t>
      </w:r>
      <w:r>
        <w:rPr>
          <w:rFonts w:hint="default" w:ascii="Times New Roman" w:hAnsi="Times New Roman" w:eastAsia="宋体" w:cs="Times New Roman"/>
          <w:color w:val="auto"/>
          <w:kern w:val="0"/>
          <w:sz w:val="24"/>
          <w:szCs w:val="24"/>
          <w:highlight w:val="none"/>
          <w:lang w:val="en-US" w:eastAsia="zh-CN" w:bidi="ar"/>
        </w:rPr>
        <w:t>，项目不在生态保护红线范围内，符合生态保护红线要求，并且项目的建设不会超越环境质量底线，可以满足环境质量底线要求。项目不消耗煤炭能源，用水依托周边水井，项目用地性质主要为采矿用地，不占用黑土地，符合资源利用上线要求。项目符合</w:t>
      </w:r>
      <w:r>
        <w:rPr>
          <w:rFonts w:hint="eastAsia" w:ascii="宋体" w:hAnsi="宋体" w:eastAsia="宋体" w:cs="宋体"/>
          <w:color w:val="auto"/>
          <w:kern w:val="0"/>
          <w:sz w:val="24"/>
          <w:szCs w:val="24"/>
          <w:highlight w:val="none"/>
          <w:lang w:val="en-US" w:eastAsia="zh-CN" w:bidi="ar"/>
        </w:rPr>
        <w:t>《</w:t>
      </w:r>
      <w:r>
        <w:rPr>
          <w:rFonts w:hint="eastAsia" w:ascii="宋体" w:hAnsi="宋体" w:cs="宋体"/>
          <w:color w:val="auto"/>
          <w:kern w:val="0"/>
          <w:sz w:val="24"/>
          <w:szCs w:val="24"/>
          <w:highlight w:val="none"/>
          <w:lang w:val="en-US" w:eastAsia="zh-CN" w:bidi="ar"/>
        </w:rPr>
        <w:t>新泉采石场</w:t>
      </w:r>
      <w:r>
        <w:rPr>
          <w:rFonts w:hint="eastAsia" w:ascii="宋体" w:hAnsi="宋体" w:eastAsia="宋体" w:cs="宋体"/>
          <w:color w:val="auto"/>
          <w:kern w:val="0"/>
          <w:sz w:val="24"/>
          <w:szCs w:val="24"/>
          <w:highlight w:val="none"/>
          <w:lang w:val="en-US" w:eastAsia="zh-CN" w:bidi="ar"/>
        </w:rPr>
        <w:t>生态环境分区管控分析报告》</w:t>
      </w:r>
      <w:r>
        <w:rPr>
          <w:rFonts w:hint="default" w:ascii="Times New Roman" w:hAnsi="Times New Roman" w:eastAsia="宋体" w:cs="Times New Roman"/>
          <w:color w:val="auto"/>
          <w:kern w:val="0"/>
          <w:sz w:val="24"/>
          <w:szCs w:val="24"/>
          <w:highlight w:val="none"/>
          <w:lang w:val="en-US" w:eastAsia="zh-CN" w:bidi="ar"/>
        </w:rPr>
        <w:t>及《鸡西市生态环境准入清单》（2023 年版）。综上所述，项目符合生态环境分区管控要求。</w:t>
      </w:r>
    </w:p>
    <w:p w14:paraId="14F78F2D">
      <w:pPr>
        <w:keepNext/>
        <w:keepLines/>
        <w:adjustRightInd w:val="0"/>
        <w:snapToGrid w:val="0"/>
        <w:spacing w:line="500" w:lineRule="exact"/>
        <w:outlineLvl w:val="2"/>
        <w:rPr>
          <w:rFonts w:eastAsia="黑体"/>
          <w:bCs/>
          <w:color w:val="auto"/>
          <w:sz w:val="24"/>
          <w:szCs w:val="32"/>
        </w:rPr>
      </w:pPr>
      <w:r>
        <w:rPr>
          <w:rFonts w:eastAsia="黑体"/>
          <w:bCs/>
          <w:color w:val="auto"/>
          <w:sz w:val="24"/>
          <w:szCs w:val="32"/>
        </w:rPr>
        <w:t>1.4.3</w:t>
      </w:r>
      <w:r>
        <w:rPr>
          <w:rFonts w:hint="eastAsia" w:eastAsia="黑体"/>
          <w:bCs/>
          <w:color w:val="auto"/>
          <w:sz w:val="24"/>
          <w:szCs w:val="32"/>
        </w:rPr>
        <w:t>与相关规划、政策和规范的符合性分析</w:t>
      </w:r>
    </w:p>
    <w:p w14:paraId="43D99FEA">
      <w:pPr>
        <w:pStyle w:val="5"/>
        <w:keepNext/>
        <w:keepLines/>
        <w:pageBreakBefore w:val="0"/>
        <w:widowControl w:val="0"/>
        <w:kinsoku/>
        <w:wordWrap/>
        <w:overflowPunct/>
        <w:topLinePunct w:val="0"/>
        <w:autoSpaceDE/>
        <w:autoSpaceDN/>
        <w:bidi w:val="0"/>
        <w:adjustRightInd w:val="0"/>
        <w:snapToGrid w:val="0"/>
        <w:spacing w:before="0" w:after="0" w:line="500" w:lineRule="exact"/>
        <w:ind w:firstLine="480" w:firstLineChars="200"/>
        <w:textAlignment w:val="auto"/>
        <w:rPr>
          <w:rFonts w:hint="eastAsia" w:ascii="宋体" w:hAnsi="宋体" w:eastAsia="宋体" w:cs="宋体"/>
          <w:b w:val="0"/>
          <w:bCs w:val="0"/>
          <w:color w:val="auto"/>
          <w:sz w:val="24"/>
          <w:szCs w:val="24"/>
        </w:rPr>
      </w:pPr>
      <w:r>
        <w:rPr>
          <w:rFonts w:hint="default" w:ascii="Times New Roman" w:hAnsi="Times New Roman" w:eastAsia="宋体" w:cs="Times New Roman"/>
          <w:b w:val="0"/>
          <w:bCs w:val="0"/>
          <w:color w:val="auto"/>
          <w:sz w:val="24"/>
          <w:szCs w:val="24"/>
          <w:lang w:val="zh-CN"/>
        </w:rPr>
        <w:t>1.4.3.1</w:t>
      </w:r>
      <w:r>
        <w:rPr>
          <w:rFonts w:hint="eastAsia" w:ascii="宋体" w:hAnsi="宋体" w:eastAsia="宋体" w:cs="宋体"/>
          <w:b w:val="0"/>
          <w:bCs w:val="0"/>
          <w:color w:val="auto"/>
          <w:sz w:val="24"/>
          <w:szCs w:val="24"/>
        </w:rPr>
        <w:t>与《黑龙江省城乡固体废物分类治理布局规划（2019-2035年）（2021年修订版）》符合性分析</w:t>
      </w:r>
    </w:p>
    <w:p w14:paraId="7498348B">
      <w:pPr>
        <w:spacing w:line="500" w:lineRule="exact"/>
        <w:ind w:firstLine="480" w:firstLineChars="200"/>
        <w:rPr>
          <w:color w:val="auto"/>
          <w:sz w:val="24"/>
        </w:rPr>
      </w:pPr>
      <w:r>
        <w:rPr>
          <w:rFonts w:hint="eastAsia"/>
          <w:color w:val="auto"/>
          <w:sz w:val="24"/>
        </w:rPr>
        <w:t>根据《黑龙江省城乡固体废物分类治理布局规划</w:t>
      </w:r>
      <w:r>
        <w:rPr>
          <w:color w:val="auto"/>
          <w:sz w:val="24"/>
        </w:rPr>
        <w:t>(2019-2035</w:t>
      </w:r>
      <w:r>
        <w:rPr>
          <w:rFonts w:hint="eastAsia"/>
          <w:color w:val="auto"/>
          <w:sz w:val="24"/>
        </w:rPr>
        <w:t>年</w:t>
      </w:r>
      <w:r>
        <w:rPr>
          <w:color w:val="auto"/>
          <w:sz w:val="24"/>
        </w:rPr>
        <w:t>)</w:t>
      </w:r>
      <w:r>
        <w:rPr>
          <w:rFonts w:hint="eastAsia"/>
          <w:color w:val="auto"/>
          <w:sz w:val="24"/>
        </w:rPr>
        <w:t>》</w:t>
      </w:r>
      <w:r>
        <w:rPr>
          <w:color w:val="auto"/>
          <w:sz w:val="24"/>
        </w:rPr>
        <w:t>(2021</w:t>
      </w:r>
      <w:r>
        <w:rPr>
          <w:rFonts w:hint="eastAsia"/>
          <w:color w:val="auto"/>
          <w:sz w:val="24"/>
        </w:rPr>
        <w:t>年修订版</w:t>
      </w:r>
      <w:r>
        <w:rPr>
          <w:color w:val="auto"/>
          <w:sz w:val="24"/>
        </w:rPr>
        <w:t>)</w:t>
      </w:r>
      <w:r>
        <w:rPr>
          <w:rFonts w:hint="eastAsia"/>
          <w:color w:val="auto"/>
          <w:sz w:val="24"/>
        </w:rPr>
        <w:t>规划总原则：</w:t>
      </w:r>
      <w:r>
        <w:rPr>
          <w:color w:val="auto"/>
          <w:sz w:val="24"/>
        </w:rPr>
        <w:t>“</w:t>
      </w:r>
      <w:r>
        <w:rPr>
          <w:rFonts w:hint="eastAsia"/>
          <w:color w:val="auto"/>
          <w:sz w:val="24"/>
        </w:rPr>
        <w:t>根据经济社会发展要求和城市化进程，科学规划、合理布局各类固体废物利用处理设施，坚持城乡协调发展，统筹考虑城市、现成、建制镇以及乡村的固体废物收集运输处理系统建设</w:t>
      </w:r>
      <w:r>
        <w:rPr>
          <w:color w:val="auto"/>
          <w:sz w:val="24"/>
        </w:rPr>
        <w:t>……”</w:t>
      </w:r>
    </w:p>
    <w:p w14:paraId="62EE6164">
      <w:pPr>
        <w:spacing w:line="500" w:lineRule="exact"/>
        <w:ind w:firstLine="480" w:firstLineChars="200"/>
        <w:rPr>
          <w:color w:val="auto"/>
          <w:sz w:val="24"/>
        </w:rPr>
      </w:pPr>
      <w:r>
        <w:rPr>
          <w:rFonts w:hint="eastAsia"/>
          <w:snapToGrid w:val="0"/>
          <w:color w:val="auto"/>
          <w:sz w:val="24"/>
          <w:szCs w:val="22"/>
        </w:rPr>
        <w:t>本项目是利用</w:t>
      </w:r>
      <w:r>
        <w:rPr>
          <w:rFonts w:hint="eastAsia"/>
          <w:snapToGrid w:val="0"/>
          <w:color w:val="auto"/>
          <w:sz w:val="24"/>
          <w:szCs w:val="22"/>
          <w:lang w:val="en-US" w:eastAsia="zh-CN"/>
        </w:rPr>
        <w:t>黑龙江醇能热电有限公司</w:t>
      </w:r>
      <w:r>
        <w:rPr>
          <w:rFonts w:hint="eastAsia"/>
          <w:snapToGrid w:val="0"/>
          <w:color w:val="auto"/>
          <w:sz w:val="24"/>
          <w:szCs w:val="22"/>
          <w:lang w:eastAsia="zh-CN"/>
        </w:rPr>
        <w:t>灰渣</w:t>
      </w:r>
      <w:r>
        <w:rPr>
          <w:rFonts w:hint="eastAsia"/>
          <w:snapToGrid w:val="0"/>
          <w:color w:val="auto"/>
          <w:sz w:val="24"/>
          <w:szCs w:val="22"/>
        </w:rPr>
        <w:t>作为回填材料进行废弃采坑的修复治理项目，</w:t>
      </w:r>
      <w:r>
        <w:rPr>
          <w:rFonts w:hint="eastAsia"/>
          <w:color w:val="auto"/>
          <w:sz w:val="24"/>
        </w:rPr>
        <w:t>可做到科学规划、合理布局的要求，满足《黑龙江省城乡固体废物分类治理布局规划</w:t>
      </w:r>
      <w:r>
        <w:rPr>
          <w:color w:val="auto"/>
          <w:sz w:val="24"/>
        </w:rPr>
        <w:t>(2019-2035</w:t>
      </w:r>
      <w:r>
        <w:rPr>
          <w:rFonts w:hint="eastAsia"/>
          <w:color w:val="auto"/>
          <w:sz w:val="24"/>
        </w:rPr>
        <w:t>年</w:t>
      </w:r>
      <w:r>
        <w:rPr>
          <w:color w:val="auto"/>
          <w:sz w:val="24"/>
        </w:rPr>
        <w:t>)</w:t>
      </w:r>
      <w:r>
        <w:rPr>
          <w:rFonts w:hint="eastAsia"/>
          <w:color w:val="auto"/>
          <w:sz w:val="24"/>
        </w:rPr>
        <w:t>》</w:t>
      </w:r>
      <w:r>
        <w:rPr>
          <w:color w:val="auto"/>
          <w:sz w:val="24"/>
        </w:rPr>
        <w:t>(2021</w:t>
      </w:r>
      <w:r>
        <w:rPr>
          <w:rFonts w:hint="eastAsia"/>
          <w:color w:val="auto"/>
          <w:sz w:val="24"/>
        </w:rPr>
        <w:t>年修订版</w:t>
      </w:r>
      <w:r>
        <w:rPr>
          <w:color w:val="auto"/>
          <w:sz w:val="24"/>
        </w:rPr>
        <w:t>)</w:t>
      </w:r>
      <w:r>
        <w:rPr>
          <w:rFonts w:hint="eastAsia"/>
          <w:color w:val="auto"/>
          <w:sz w:val="24"/>
        </w:rPr>
        <w:t>的要求。</w:t>
      </w:r>
    </w:p>
    <w:p w14:paraId="42FD1DFE">
      <w:pPr>
        <w:keepNext/>
        <w:keepLines/>
        <w:adjustRightInd w:val="0"/>
        <w:snapToGrid w:val="0"/>
        <w:spacing w:line="500" w:lineRule="exact"/>
        <w:ind w:firstLine="480" w:firstLineChars="200"/>
        <w:outlineLvl w:val="3"/>
        <w:rPr>
          <w:color w:val="auto"/>
          <w:sz w:val="24"/>
          <w:lang w:val="zh-CN"/>
        </w:rPr>
      </w:pPr>
      <w:r>
        <w:rPr>
          <w:color w:val="auto"/>
          <w:sz w:val="24"/>
          <w:lang w:val="zh-CN"/>
        </w:rPr>
        <w:t>1.4.3.</w:t>
      </w:r>
      <w:r>
        <w:rPr>
          <w:rFonts w:hint="eastAsia"/>
          <w:color w:val="auto"/>
          <w:sz w:val="24"/>
          <w:lang w:val="en-US" w:eastAsia="zh-CN"/>
        </w:rPr>
        <w:t>2</w:t>
      </w:r>
      <w:r>
        <w:rPr>
          <w:rFonts w:hint="eastAsia"/>
          <w:color w:val="auto"/>
          <w:sz w:val="24"/>
          <w:lang w:val="zh-CN"/>
        </w:rPr>
        <w:t>与《大气污染防治行动计划》、《黑龙江省大气污染防治条例》（</w:t>
      </w:r>
      <w:r>
        <w:rPr>
          <w:color w:val="auto"/>
          <w:sz w:val="24"/>
          <w:lang w:val="zh-CN"/>
        </w:rPr>
        <w:t>2017</w:t>
      </w:r>
      <w:r>
        <w:rPr>
          <w:rFonts w:hint="eastAsia"/>
          <w:color w:val="auto"/>
          <w:sz w:val="24"/>
          <w:lang w:val="zh-CN"/>
        </w:rPr>
        <w:t>年</w:t>
      </w:r>
      <w:r>
        <w:rPr>
          <w:color w:val="auto"/>
          <w:sz w:val="24"/>
          <w:lang w:val="zh-CN"/>
        </w:rPr>
        <w:t>5</w:t>
      </w:r>
      <w:r>
        <w:rPr>
          <w:rFonts w:hint="eastAsia"/>
          <w:color w:val="auto"/>
          <w:sz w:val="24"/>
          <w:lang w:val="zh-CN"/>
        </w:rPr>
        <w:t>月</w:t>
      </w:r>
      <w:r>
        <w:rPr>
          <w:color w:val="auto"/>
          <w:sz w:val="24"/>
          <w:lang w:val="zh-CN"/>
        </w:rPr>
        <w:t>1</w:t>
      </w:r>
      <w:r>
        <w:rPr>
          <w:rFonts w:hint="eastAsia"/>
          <w:color w:val="auto"/>
          <w:sz w:val="24"/>
          <w:lang w:val="zh-CN"/>
        </w:rPr>
        <w:t>日实施）的符合性</w:t>
      </w:r>
    </w:p>
    <w:p w14:paraId="6F6C1334">
      <w:pPr>
        <w:spacing w:line="500" w:lineRule="exact"/>
        <w:ind w:firstLine="480" w:firstLineChars="200"/>
        <w:rPr>
          <w:color w:val="auto"/>
          <w:sz w:val="24"/>
        </w:rPr>
      </w:pPr>
      <w:r>
        <w:rPr>
          <w:rFonts w:hint="eastAsia"/>
          <w:color w:val="auto"/>
          <w:sz w:val="24"/>
        </w:rPr>
        <w:t>根据《大气污染防治行动计划》：深化面源污染治理综合整治城市扬尘。加强施工扬尘监管，积极推进绿色施工，建设工程施工现场应全封闭设置围挡墙，严禁敞开式作业，施工现场道路应进行地面硬化。渣土运输车辆应采取密闭措施，并逐步安装卫星定位系统。推行道路机械化清扫等低尘作业方式。大型煤堆、料堆要实现封闭储存或建设抑尘设施。推进城市及周边绿化和防风防沙林建设，扩大城市建成区绿地规模。</w:t>
      </w:r>
    </w:p>
    <w:p w14:paraId="32ABAD36">
      <w:pPr>
        <w:spacing w:line="500" w:lineRule="exact"/>
        <w:ind w:firstLine="480" w:firstLineChars="200"/>
        <w:rPr>
          <w:color w:val="auto"/>
          <w:sz w:val="24"/>
        </w:rPr>
      </w:pPr>
      <w:r>
        <w:rPr>
          <w:rFonts w:hint="eastAsia"/>
          <w:color w:val="auto"/>
          <w:sz w:val="24"/>
        </w:rPr>
        <w:t>《黑龙江省大气污染防治条例》于</w:t>
      </w:r>
      <w:r>
        <w:rPr>
          <w:color w:val="auto"/>
          <w:sz w:val="24"/>
        </w:rPr>
        <w:t>2017</w:t>
      </w:r>
      <w:r>
        <w:rPr>
          <w:rFonts w:hint="eastAsia"/>
          <w:color w:val="auto"/>
          <w:sz w:val="24"/>
        </w:rPr>
        <w:t>年</w:t>
      </w:r>
      <w:r>
        <w:rPr>
          <w:color w:val="auto"/>
          <w:sz w:val="24"/>
        </w:rPr>
        <w:t>1</w:t>
      </w:r>
      <w:r>
        <w:rPr>
          <w:rFonts w:hint="eastAsia"/>
          <w:color w:val="auto"/>
          <w:sz w:val="24"/>
        </w:rPr>
        <w:t>月</w:t>
      </w:r>
      <w:r>
        <w:rPr>
          <w:color w:val="auto"/>
          <w:sz w:val="24"/>
        </w:rPr>
        <w:t>20</w:t>
      </w:r>
      <w:r>
        <w:rPr>
          <w:rFonts w:hint="eastAsia"/>
          <w:color w:val="auto"/>
          <w:sz w:val="24"/>
        </w:rPr>
        <w:t>日黑龙江省第十二届人民代表大会第六次会议通过，</w:t>
      </w:r>
      <w:r>
        <w:rPr>
          <w:color w:val="auto"/>
          <w:sz w:val="24"/>
        </w:rPr>
        <w:t>2017</w:t>
      </w:r>
      <w:r>
        <w:rPr>
          <w:rFonts w:hint="eastAsia"/>
          <w:color w:val="auto"/>
          <w:sz w:val="24"/>
        </w:rPr>
        <w:t>年</w:t>
      </w:r>
      <w:r>
        <w:rPr>
          <w:color w:val="auto"/>
          <w:sz w:val="24"/>
        </w:rPr>
        <w:t>5</w:t>
      </w:r>
      <w:r>
        <w:rPr>
          <w:rFonts w:hint="eastAsia"/>
          <w:color w:val="auto"/>
          <w:sz w:val="24"/>
        </w:rPr>
        <w:t>月</w:t>
      </w:r>
      <w:r>
        <w:rPr>
          <w:color w:val="auto"/>
          <w:sz w:val="24"/>
        </w:rPr>
        <w:t>1</w:t>
      </w:r>
      <w:r>
        <w:rPr>
          <w:rFonts w:hint="eastAsia"/>
          <w:color w:val="auto"/>
          <w:sz w:val="24"/>
        </w:rPr>
        <w:t>日实施。在条例中</w:t>
      </w:r>
      <w:r>
        <w:rPr>
          <w:color w:val="auto"/>
          <w:sz w:val="24"/>
        </w:rPr>
        <w:t>“</w:t>
      </w:r>
      <w:r>
        <w:rPr>
          <w:rFonts w:hint="eastAsia"/>
          <w:color w:val="auto"/>
          <w:sz w:val="24"/>
        </w:rPr>
        <w:t>第三章</w:t>
      </w:r>
      <w:r>
        <w:rPr>
          <w:color w:val="auto"/>
          <w:sz w:val="24"/>
        </w:rPr>
        <w:t xml:space="preserve"> </w:t>
      </w:r>
      <w:r>
        <w:rPr>
          <w:rFonts w:hint="eastAsia"/>
          <w:color w:val="auto"/>
          <w:sz w:val="24"/>
        </w:rPr>
        <w:t>大气污染防治措施，第一节</w:t>
      </w:r>
      <w:r>
        <w:rPr>
          <w:color w:val="auto"/>
          <w:sz w:val="24"/>
        </w:rPr>
        <w:t xml:space="preserve"> </w:t>
      </w:r>
      <w:r>
        <w:rPr>
          <w:rFonts w:hint="eastAsia"/>
          <w:color w:val="auto"/>
          <w:sz w:val="24"/>
        </w:rPr>
        <w:t>燃煤污染防治</w:t>
      </w:r>
      <w:r>
        <w:rPr>
          <w:color w:val="auto"/>
          <w:sz w:val="24"/>
        </w:rPr>
        <w:t>”</w:t>
      </w:r>
      <w:r>
        <w:rPr>
          <w:rFonts w:hint="eastAsia"/>
          <w:color w:val="auto"/>
          <w:sz w:val="24"/>
        </w:rPr>
        <w:t>中第二十九条各级人民政府应当调整能源结构，推广清洁能源的生产和使用，制定并组织实施煤炭消费总量控制规划，减少煤炭生产、使用、转化过程中的大气污染物排放。</w:t>
      </w:r>
      <w:r>
        <w:rPr>
          <w:color w:val="auto"/>
          <w:sz w:val="24"/>
        </w:rPr>
        <w:t>“</w:t>
      </w:r>
      <w:r>
        <w:rPr>
          <w:rFonts w:hint="eastAsia"/>
          <w:color w:val="auto"/>
          <w:sz w:val="24"/>
        </w:rPr>
        <w:t>第四十一条</w:t>
      </w:r>
      <w:r>
        <w:rPr>
          <w:color w:val="auto"/>
          <w:sz w:val="24"/>
        </w:rPr>
        <w:t xml:space="preserve"> </w:t>
      </w:r>
      <w:r>
        <w:rPr>
          <w:rFonts w:hint="eastAsia"/>
          <w:color w:val="auto"/>
          <w:sz w:val="24"/>
        </w:rPr>
        <w:t>垃圾填埋活动产生的可燃性气体应当回收利用，不具备回收利用条件的，应当进行污染防治处理。普遍推行垃圾分类制度。垃圾焚烧设施的运营单位，应当按照国家规定，采取有效措施，实现达标排放。”“第五节扬尘和其他污染防治</w:t>
      </w:r>
      <w:r>
        <w:rPr>
          <w:color w:val="auto"/>
          <w:sz w:val="24"/>
        </w:rPr>
        <w:t xml:space="preserve"> </w:t>
      </w:r>
      <w:r>
        <w:rPr>
          <w:rFonts w:hint="eastAsia"/>
          <w:color w:val="auto"/>
          <w:sz w:val="24"/>
        </w:rPr>
        <w:t>第五十六条</w:t>
      </w:r>
      <w:r>
        <w:rPr>
          <w:color w:val="auto"/>
          <w:sz w:val="24"/>
        </w:rPr>
        <w:t xml:space="preserve"> </w:t>
      </w:r>
      <w:r>
        <w:rPr>
          <w:rFonts w:hint="eastAsia"/>
          <w:color w:val="auto"/>
          <w:sz w:val="24"/>
        </w:rPr>
        <w:t>运输煤炭、垃圾、渣土、砂石、土方、灰浆等散装、流体物料的车辆，应当采取密闭或者其他措施防止物料遗撒、泄漏，并按照规定的路线和时间行驶。</w:t>
      </w:r>
      <w:r>
        <w:rPr>
          <w:color w:val="auto"/>
          <w:sz w:val="24"/>
        </w:rPr>
        <w:t>”</w:t>
      </w:r>
    </w:p>
    <w:p w14:paraId="00A1E42E">
      <w:pPr>
        <w:spacing w:line="500" w:lineRule="exact"/>
        <w:ind w:firstLine="480" w:firstLineChars="200"/>
        <w:rPr>
          <w:color w:val="auto"/>
          <w:sz w:val="24"/>
        </w:rPr>
      </w:pPr>
      <w:r>
        <w:rPr>
          <w:rFonts w:hint="eastAsia"/>
          <w:color w:val="auto"/>
          <w:sz w:val="24"/>
        </w:rPr>
        <w:t>本项目回填区不需要供热，回填区接收的</w:t>
      </w:r>
      <w:r>
        <w:rPr>
          <w:rFonts w:hint="eastAsia"/>
          <w:color w:val="auto"/>
          <w:sz w:val="24"/>
          <w:lang w:eastAsia="zh-CN"/>
        </w:rPr>
        <w:t>灰渣</w:t>
      </w:r>
      <w:r>
        <w:rPr>
          <w:rFonts w:hint="eastAsia"/>
          <w:color w:val="auto"/>
          <w:sz w:val="24"/>
        </w:rPr>
        <w:t>，属于无机废物，不存在可产生大量沼气的生物降解性物质以及相互通过化学反应产生气体的物质。回填</w:t>
      </w:r>
      <w:r>
        <w:rPr>
          <w:rFonts w:hint="eastAsia"/>
          <w:color w:val="auto"/>
          <w:sz w:val="24"/>
          <w:lang w:eastAsia="zh-CN"/>
        </w:rPr>
        <w:t>灰渣</w:t>
      </w:r>
      <w:r>
        <w:rPr>
          <w:rFonts w:hint="eastAsia"/>
          <w:color w:val="auto"/>
          <w:sz w:val="24"/>
        </w:rPr>
        <w:t>均采用封闭运输，并按照规定的路线和时间行驶，因此本项目建设符合《大气污治行动计划》、《黑龙江省大气污染防治条例》（</w:t>
      </w:r>
      <w:r>
        <w:rPr>
          <w:color w:val="auto"/>
          <w:sz w:val="24"/>
        </w:rPr>
        <w:t>2017</w:t>
      </w:r>
      <w:r>
        <w:rPr>
          <w:rFonts w:hint="eastAsia"/>
          <w:color w:val="auto"/>
          <w:sz w:val="24"/>
        </w:rPr>
        <w:t>年</w:t>
      </w:r>
      <w:r>
        <w:rPr>
          <w:color w:val="auto"/>
          <w:sz w:val="24"/>
        </w:rPr>
        <w:t>5</w:t>
      </w:r>
      <w:r>
        <w:rPr>
          <w:rFonts w:hint="eastAsia"/>
          <w:color w:val="auto"/>
          <w:sz w:val="24"/>
        </w:rPr>
        <w:t>月</w:t>
      </w:r>
      <w:r>
        <w:rPr>
          <w:color w:val="auto"/>
          <w:sz w:val="24"/>
        </w:rPr>
        <w:t>1</w:t>
      </w:r>
      <w:r>
        <w:rPr>
          <w:rFonts w:hint="eastAsia"/>
          <w:color w:val="auto"/>
          <w:sz w:val="24"/>
        </w:rPr>
        <w:t>日实施）。</w:t>
      </w:r>
    </w:p>
    <w:p w14:paraId="372A1CDD">
      <w:pPr>
        <w:keepNext/>
        <w:keepLines/>
        <w:adjustRightInd w:val="0"/>
        <w:snapToGrid w:val="0"/>
        <w:spacing w:line="500" w:lineRule="exact"/>
        <w:outlineLvl w:val="3"/>
        <w:rPr>
          <w:color w:val="auto"/>
          <w:sz w:val="24"/>
          <w:szCs w:val="20"/>
          <w:lang w:val="zh-CN"/>
        </w:rPr>
      </w:pPr>
      <w:r>
        <w:rPr>
          <w:color w:val="auto"/>
          <w:sz w:val="24"/>
          <w:szCs w:val="20"/>
          <w:lang w:val="zh-CN"/>
        </w:rPr>
        <w:t>1.4.3.</w:t>
      </w:r>
      <w:r>
        <w:rPr>
          <w:rFonts w:hint="eastAsia"/>
          <w:color w:val="auto"/>
          <w:sz w:val="24"/>
          <w:szCs w:val="20"/>
          <w:lang w:val="en-US" w:eastAsia="zh-CN"/>
        </w:rPr>
        <w:t>3</w:t>
      </w:r>
      <w:r>
        <w:rPr>
          <w:rFonts w:hint="eastAsia"/>
          <w:color w:val="auto"/>
          <w:sz w:val="24"/>
          <w:szCs w:val="20"/>
          <w:lang w:val="zh-CN"/>
        </w:rPr>
        <w:t>与《中华人民共和国土壤污染防治法》（</w:t>
      </w:r>
      <w:r>
        <w:rPr>
          <w:color w:val="auto"/>
          <w:sz w:val="24"/>
          <w:szCs w:val="20"/>
          <w:lang w:val="zh-CN"/>
        </w:rPr>
        <w:t>2018</w:t>
      </w:r>
      <w:r>
        <w:rPr>
          <w:rFonts w:hint="eastAsia"/>
          <w:color w:val="auto"/>
          <w:sz w:val="24"/>
          <w:szCs w:val="20"/>
          <w:lang w:val="zh-CN"/>
        </w:rPr>
        <w:t>年修订）符合性分析</w:t>
      </w:r>
    </w:p>
    <w:p w14:paraId="28B63FDE">
      <w:pPr>
        <w:spacing w:line="500" w:lineRule="exact"/>
        <w:ind w:firstLine="480" w:firstLineChars="200"/>
        <w:rPr>
          <w:color w:val="auto"/>
          <w:sz w:val="24"/>
        </w:rPr>
      </w:pPr>
      <w:r>
        <w:rPr>
          <w:rFonts w:hint="eastAsia"/>
          <w:color w:val="auto"/>
          <w:sz w:val="24"/>
        </w:rPr>
        <w:t>（</w:t>
      </w:r>
      <w:r>
        <w:rPr>
          <w:color w:val="auto"/>
          <w:sz w:val="24"/>
        </w:rPr>
        <w:t>1</w:t>
      </w:r>
      <w:r>
        <w:rPr>
          <w:rFonts w:hint="eastAsia"/>
          <w:color w:val="auto"/>
          <w:sz w:val="24"/>
        </w:rPr>
        <w:t>）相关内容</w:t>
      </w:r>
    </w:p>
    <w:p w14:paraId="1FF4B61C">
      <w:pPr>
        <w:spacing w:line="500" w:lineRule="exact"/>
        <w:ind w:firstLine="480" w:firstLineChars="200"/>
        <w:rPr>
          <w:color w:val="auto"/>
          <w:sz w:val="24"/>
        </w:rPr>
      </w:pPr>
      <w:r>
        <w:rPr>
          <w:rFonts w:hint="eastAsia"/>
          <w:color w:val="auto"/>
          <w:sz w:val="24"/>
        </w:rPr>
        <w:t>第十八条</w:t>
      </w:r>
      <w:r>
        <w:rPr>
          <w:color w:val="auto"/>
          <w:sz w:val="24"/>
        </w:rPr>
        <w:t xml:space="preserve"> </w:t>
      </w:r>
      <w:r>
        <w:rPr>
          <w:rFonts w:hint="eastAsia"/>
          <w:color w:val="auto"/>
          <w:sz w:val="24"/>
        </w:rPr>
        <w:t>各类涉及土地利用的规划和可能造成土壤污染的建设项目，应当依法进行环境影响评价。环境影响评价文件应当包括对土壤可能造成的不良影响及应当采取的相应预防措施等内容。</w:t>
      </w:r>
    </w:p>
    <w:p w14:paraId="0393CDEF">
      <w:pPr>
        <w:spacing w:line="500" w:lineRule="exact"/>
        <w:ind w:firstLine="480" w:firstLineChars="200"/>
        <w:rPr>
          <w:color w:val="auto"/>
          <w:sz w:val="24"/>
        </w:rPr>
      </w:pPr>
      <w:r>
        <w:rPr>
          <w:rFonts w:hint="eastAsia"/>
          <w:color w:val="auto"/>
          <w:sz w:val="24"/>
        </w:rPr>
        <w:t>第十九条</w:t>
      </w:r>
      <w:r>
        <w:rPr>
          <w:color w:val="auto"/>
          <w:sz w:val="24"/>
        </w:rPr>
        <w:t xml:space="preserve"> </w:t>
      </w:r>
      <w:r>
        <w:rPr>
          <w:rFonts w:hint="eastAsia"/>
          <w:color w:val="auto"/>
          <w:sz w:val="24"/>
        </w:rPr>
        <w:t>生产、使用、贮存、运输、回收、处置、排放有毒有害物质的单位和个人，应当采取有效措施，防止有毒有害物质渗漏、流失、扬散，避免土壤受到污染。</w:t>
      </w:r>
    </w:p>
    <w:p w14:paraId="69EC3730">
      <w:pPr>
        <w:spacing w:line="500" w:lineRule="exact"/>
        <w:ind w:firstLine="480" w:firstLineChars="200"/>
        <w:rPr>
          <w:color w:val="auto"/>
          <w:sz w:val="24"/>
        </w:rPr>
      </w:pPr>
      <w:r>
        <w:rPr>
          <w:rFonts w:hint="eastAsia"/>
          <w:color w:val="auto"/>
          <w:sz w:val="24"/>
        </w:rPr>
        <w:t>（</w:t>
      </w:r>
      <w:r>
        <w:rPr>
          <w:color w:val="auto"/>
          <w:sz w:val="24"/>
        </w:rPr>
        <w:t>2</w:t>
      </w:r>
      <w:r>
        <w:rPr>
          <w:rFonts w:hint="eastAsia"/>
          <w:color w:val="auto"/>
          <w:sz w:val="24"/>
        </w:rPr>
        <w:t>）符合性分析</w:t>
      </w:r>
    </w:p>
    <w:p w14:paraId="1B4D2B11">
      <w:pPr>
        <w:spacing w:line="500" w:lineRule="exact"/>
        <w:ind w:firstLine="480" w:firstLineChars="200"/>
        <w:rPr>
          <w:color w:val="auto"/>
          <w:sz w:val="24"/>
        </w:rPr>
      </w:pPr>
      <w:r>
        <w:rPr>
          <w:rFonts w:hint="eastAsia"/>
          <w:snapToGrid w:val="0"/>
          <w:color w:val="auto"/>
          <w:sz w:val="24"/>
          <w:szCs w:val="22"/>
        </w:rPr>
        <w:t>本项目是利用</w:t>
      </w:r>
      <w:r>
        <w:rPr>
          <w:rFonts w:hint="eastAsia"/>
          <w:snapToGrid w:val="0"/>
          <w:color w:val="auto"/>
          <w:sz w:val="24"/>
          <w:szCs w:val="22"/>
          <w:lang w:eastAsia="zh-CN"/>
        </w:rPr>
        <w:t>灰渣</w:t>
      </w:r>
      <w:r>
        <w:rPr>
          <w:rFonts w:hint="eastAsia"/>
          <w:snapToGrid w:val="0"/>
          <w:color w:val="auto"/>
          <w:sz w:val="24"/>
          <w:szCs w:val="22"/>
        </w:rPr>
        <w:t>作为回填材料进行废弃采坑治理项目，回填材料为</w:t>
      </w:r>
      <w:r>
        <w:rPr>
          <w:rFonts w:hint="eastAsia"/>
          <w:snapToGrid w:val="0"/>
          <w:color w:val="auto"/>
          <w:sz w:val="24"/>
          <w:szCs w:val="22"/>
          <w:lang w:val="en-US" w:eastAsia="zh-CN"/>
        </w:rPr>
        <w:t>黑龙江醇能热电有限公司的灰渣</w:t>
      </w:r>
      <w:r>
        <w:rPr>
          <w:rFonts w:hint="eastAsia"/>
          <w:snapToGrid w:val="0"/>
          <w:color w:val="auto"/>
          <w:sz w:val="24"/>
          <w:szCs w:val="22"/>
        </w:rPr>
        <w:t>，</w:t>
      </w:r>
      <w:r>
        <w:rPr>
          <w:rFonts w:hint="eastAsia"/>
          <w:snapToGrid w:val="0"/>
          <w:color w:val="auto"/>
          <w:sz w:val="24"/>
          <w:szCs w:val="22"/>
          <w:lang w:val="en-US" w:eastAsia="zh-CN"/>
        </w:rPr>
        <w:t>灰渣</w:t>
      </w:r>
      <w:r>
        <w:rPr>
          <w:rFonts w:hint="eastAsia"/>
          <w:snapToGrid w:val="0"/>
          <w:color w:val="auto"/>
          <w:sz w:val="24"/>
          <w:szCs w:val="22"/>
        </w:rPr>
        <w:t>的项目运输过程中采取密闭运输，回填完成后进行土地复垦，可以做到防扬散、防流失，根据本次土壤的预测结</w:t>
      </w:r>
      <w:r>
        <w:rPr>
          <w:rFonts w:hint="eastAsia"/>
          <w:color w:val="auto"/>
          <w:sz w:val="24"/>
        </w:rPr>
        <w:t>果及</w:t>
      </w:r>
      <w:r>
        <w:rPr>
          <w:rFonts w:hint="eastAsia"/>
          <w:color w:val="auto"/>
          <w:sz w:val="24"/>
          <w:szCs w:val="22"/>
        </w:rPr>
        <w:t>环境风险评估报告结论</w:t>
      </w:r>
      <w:r>
        <w:rPr>
          <w:rFonts w:hint="eastAsia"/>
          <w:color w:val="auto"/>
          <w:sz w:val="24"/>
        </w:rPr>
        <w:t>，</w:t>
      </w:r>
      <w:r>
        <w:rPr>
          <w:rFonts w:hint="eastAsia"/>
          <w:color w:val="auto"/>
          <w:sz w:val="24"/>
          <w:szCs w:val="22"/>
        </w:rPr>
        <w:t>本项目回填材料为第</w:t>
      </w:r>
      <w:r>
        <w:rPr>
          <w:color w:val="auto"/>
          <w:sz w:val="24"/>
          <w:szCs w:val="22"/>
        </w:rPr>
        <w:fldChar w:fldCharType="begin"/>
      </w:r>
      <w:r>
        <w:rPr>
          <w:color w:val="auto"/>
          <w:sz w:val="24"/>
          <w:szCs w:val="22"/>
        </w:rPr>
        <w:instrText xml:space="preserve"> = 1 \* ROMAN </w:instrText>
      </w:r>
      <w:r>
        <w:rPr>
          <w:color w:val="auto"/>
          <w:sz w:val="24"/>
          <w:szCs w:val="22"/>
        </w:rPr>
        <w:fldChar w:fldCharType="separate"/>
      </w:r>
      <w:r>
        <w:rPr>
          <w:color w:val="auto"/>
          <w:sz w:val="24"/>
          <w:szCs w:val="22"/>
        </w:rPr>
        <w:t>I</w:t>
      </w:r>
      <w:r>
        <w:rPr>
          <w:color w:val="auto"/>
          <w:sz w:val="24"/>
          <w:szCs w:val="22"/>
        </w:rPr>
        <w:fldChar w:fldCharType="end"/>
      </w:r>
      <w:r>
        <w:rPr>
          <w:rFonts w:hint="eastAsia"/>
          <w:color w:val="auto"/>
          <w:sz w:val="24"/>
          <w:szCs w:val="22"/>
        </w:rPr>
        <w:t>类一般工业固体废物，</w:t>
      </w:r>
      <w:r>
        <w:rPr>
          <w:rFonts w:hint="eastAsia"/>
          <w:color w:val="auto"/>
          <w:sz w:val="24"/>
          <w:szCs w:val="22"/>
          <w:lang w:eastAsia="zh-CN"/>
        </w:rPr>
        <w:t>灰渣</w:t>
      </w:r>
      <w:r>
        <w:rPr>
          <w:rFonts w:hint="eastAsia"/>
          <w:color w:val="auto"/>
          <w:sz w:val="24"/>
          <w:szCs w:val="22"/>
        </w:rPr>
        <w:t>大气沉降对周围土壤增量影响较小，大气沉降对土壤环境影响较小，</w:t>
      </w:r>
      <w:r>
        <w:rPr>
          <w:rFonts w:hint="eastAsia"/>
          <w:color w:val="auto"/>
          <w:sz w:val="24"/>
          <w:szCs w:val="22"/>
          <w:lang w:eastAsia="zh-CN"/>
        </w:rPr>
        <w:t>灰渣</w:t>
      </w:r>
      <w:r>
        <w:rPr>
          <w:rFonts w:hint="eastAsia"/>
          <w:color w:val="auto"/>
          <w:sz w:val="24"/>
          <w:szCs w:val="22"/>
        </w:rPr>
        <w:t>淋溶液垂直入渗对土壤环境的影响可接受，淋溶水不会对土壤环境造成明显影响，不存在土壤污染环境风险。本项目土壤污染源头控制措施主要是减少项目废气、废水、固废等污染物的产生及排放量，回填或回填活动结束后，对土壤开展长期监测，监测频次至少每年</w:t>
      </w:r>
      <w:r>
        <w:rPr>
          <w:color w:val="auto"/>
          <w:sz w:val="24"/>
          <w:szCs w:val="22"/>
        </w:rPr>
        <w:t>1</w:t>
      </w:r>
      <w:r>
        <w:rPr>
          <w:rFonts w:hint="eastAsia"/>
          <w:color w:val="auto"/>
          <w:sz w:val="24"/>
          <w:szCs w:val="22"/>
        </w:rPr>
        <w:t>次。通过采取以上措施，可将对土壤可能造成的不良影响降到最低，避免土壤受到污染，</w:t>
      </w:r>
      <w:r>
        <w:rPr>
          <w:rFonts w:hint="eastAsia"/>
          <w:color w:val="auto"/>
          <w:sz w:val="24"/>
        </w:rPr>
        <w:t>满足</w:t>
      </w:r>
      <w:r>
        <w:rPr>
          <w:rFonts w:hint="eastAsia"/>
          <w:color w:val="auto"/>
          <w:sz w:val="24"/>
          <w:szCs w:val="22"/>
        </w:rPr>
        <w:t>《中华人民共和国土壤污染防治法》（</w:t>
      </w:r>
      <w:r>
        <w:rPr>
          <w:color w:val="auto"/>
          <w:sz w:val="24"/>
          <w:szCs w:val="22"/>
        </w:rPr>
        <w:t>2018</w:t>
      </w:r>
      <w:r>
        <w:rPr>
          <w:rFonts w:hint="eastAsia"/>
          <w:color w:val="auto"/>
          <w:sz w:val="24"/>
          <w:szCs w:val="22"/>
        </w:rPr>
        <w:t>年修订）</w:t>
      </w:r>
      <w:r>
        <w:rPr>
          <w:rFonts w:hint="eastAsia"/>
          <w:color w:val="auto"/>
          <w:sz w:val="24"/>
        </w:rPr>
        <w:t>相关要求。</w:t>
      </w:r>
    </w:p>
    <w:p w14:paraId="08C8DD9E">
      <w:pPr>
        <w:keepNext/>
        <w:keepLines/>
        <w:adjustRightInd w:val="0"/>
        <w:snapToGrid w:val="0"/>
        <w:spacing w:line="500" w:lineRule="exact"/>
        <w:outlineLvl w:val="3"/>
        <w:rPr>
          <w:color w:val="auto"/>
          <w:sz w:val="24"/>
          <w:lang w:val="zh-CN"/>
        </w:rPr>
      </w:pPr>
      <w:r>
        <w:rPr>
          <w:color w:val="auto"/>
          <w:sz w:val="24"/>
          <w:lang w:val="zh-CN"/>
        </w:rPr>
        <w:t>1.4.3.</w:t>
      </w:r>
      <w:r>
        <w:rPr>
          <w:rFonts w:hint="eastAsia"/>
          <w:color w:val="auto"/>
          <w:sz w:val="24"/>
          <w:lang w:val="en-US" w:eastAsia="zh-CN"/>
        </w:rPr>
        <w:t>4</w:t>
      </w:r>
      <w:r>
        <w:rPr>
          <w:rFonts w:hint="eastAsia"/>
          <w:color w:val="auto"/>
          <w:sz w:val="24"/>
          <w:lang w:val="zh-CN"/>
        </w:rPr>
        <w:t>与《黑龙江省土壤污防治实施方案》符合性</w:t>
      </w:r>
    </w:p>
    <w:p w14:paraId="00667F61">
      <w:pPr>
        <w:spacing w:line="500" w:lineRule="exact"/>
        <w:ind w:firstLine="480" w:firstLineChars="200"/>
        <w:rPr>
          <w:color w:val="auto"/>
          <w:sz w:val="24"/>
        </w:rPr>
      </w:pPr>
      <w:r>
        <w:rPr>
          <w:rFonts w:hint="eastAsia"/>
          <w:color w:val="auto"/>
          <w:sz w:val="24"/>
        </w:rPr>
        <w:t>根据《黑龙江省土壤污染防治实施方案》：</w:t>
      </w:r>
      <w:r>
        <w:rPr>
          <w:color w:val="auto"/>
          <w:sz w:val="24"/>
        </w:rPr>
        <w:t>“</w:t>
      </w:r>
      <w:r>
        <w:rPr>
          <w:rFonts w:hint="eastAsia"/>
          <w:color w:val="auto"/>
          <w:sz w:val="24"/>
        </w:rPr>
        <w:t>加强工业废物处理处置。全面整治尾矿、煤研石、工业副产石膏、粉煤灰、冶炼渣、电石渣、铬渣、砷渣以及脱硫、脱硝、除尘产生固体废物的堆存场所，完善防扬散、防流失、防渗漏等设施，制定整治方案并有序实施。加强工业固体废物综合利用。对电子废物、废轮胎、废塑料等再生利用活动进行清理整顿，引导有关企业采用先进适用加工工艺集聚发展，集中建设和运营污染治理设施，防止污染土壤和地下水。</w:t>
      </w:r>
      <w:r>
        <w:rPr>
          <w:color w:val="auto"/>
          <w:sz w:val="24"/>
        </w:rPr>
        <w:t>”</w:t>
      </w:r>
    </w:p>
    <w:p w14:paraId="28D99057">
      <w:pPr>
        <w:spacing w:line="500" w:lineRule="exact"/>
        <w:ind w:firstLine="480" w:firstLineChars="200"/>
        <w:rPr>
          <w:color w:val="auto"/>
          <w:sz w:val="24"/>
        </w:rPr>
      </w:pPr>
      <w:r>
        <w:rPr>
          <w:rFonts w:hint="eastAsia"/>
          <w:color w:val="auto"/>
          <w:sz w:val="24"/>
        </w:rPr>
        <w:t>本项目属于</w:t>
      </w:r>
      <w:r>
        <w:rPr>
          <w:rFonts w:hint="eastAsia"/>
          <w:color w:val="auto"/>
          <w:sz w:val="24"/>
          <w:lang w:eastAsia="zh-CN"/>
        </w:rPr>
        <w:t>灰渣</w:t>
      </w:r>
      <w:r>
        <w:rPr>
          <w:rFonts w:hint="eastAsia"/>
          <w:color w:val="auto"/>
          <w:sz w:val="24"/>
        </w:rPr>
        <w:t>回填复垦项目，项目运输过程中采取密闭运输，回填完成后进行土地复垦，可以做到防扬散、防流失，根据本次土壤及地下水预测结果及</w:t>
      </w:r>
      <w:r>
        <w:rPr>
          <w:rFonts w:hint="eastAsia"/>
          <w:color w:val="auto"/>
          <w:sz w:val="24"/>
          <w:szCs w:val="22"/>
        </w:rPr>
        <w:t>环境风险评估报告结论</w:t>
      </w:r>
      <w:r>
        <w:rPr>
          <w:rFonts w:hint="eastAsia"/>
          <w:color w:val="auto"/>
          <w:sz w:val="24"/>
        </w:rPr>
        <w:t>，项目对土壤及地下水影响可以接受，项目对地下水设置定期监测，满足《黑龙江省土壤污染防治实施方案》相关要求。</w:t>
      </w:r>
    </w:p>
    <w:p w14:paraId="01083D29">
      <w:pPr>
        <w:pStyle w:val="135"/>
        <w:rPr>
          <w:color w:val="auto"/>
        </w:rPr>
      </w:pPr>
      <w:r>
        <w:rPr>
          <w:color w:val="auto"/>
        </w:rPr>
        <w:t>1.4.3.</w:t>
      </w:r>
      <w:r>
        <w:rPr>
          <w:rFonts w:hint="eastAsia"/>
          <w:color w:val="auto"/>
          <w:lang w:val="en-US" w:eastAsia="zh-CN"/>
        </w:rPr>
        <w:t>5</w:t>
      </w:r>
      <w:r>
        <w:rPr>
          <w:color w:val="auto"/>
        </w:rPr>
        <w:t>与《地下水管理条例》的符合性分析</w:t>
      </w:r>
    </w:p>
    <w:p w14:paraId="1085A411">
      <w:pPr>
        <w:pStyle w:val="76"/>
        <w:rPr>
          <w:color w:val="auto"/>
        </w:rPr>
      </w:pPr>
      <w:r>
        <w:rPr>
          <w:color w:val="auto"/>
        </w:rPr>
        <w:t>表1-4</w:t>
      </w:r>
      <w:r>
        <w:rPr>
          <w:rFonts w:hint="eastAsia"/>
          <w:color w:val="auto"/>
        </w:rPr>
        <w:t>-</w:t>
      </w:r>
      <w:r>
        <w:rPr>
          <w:color w:val="auto"/>
        </w:rPr>
        <w:t>2本项目与《地下水管理条例》符合性分析一览表</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665"/>
        <w:gridCol w:w="2848"/>
        <w:gridCol w:w="793"/>
      </w:tblGrid>
      <w:tr w14:paraId="7804F5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08" w:type="pct"/>
            <w:vAlign w:val="center"/>
          </w:tcPr>
          <w:p w14:paraId="0687D002">
            <w:pPr>
              <w:pStyle w:val="132"/>
              <w:jc w:val="center"/>
              <w:rPr>
                <w:rFonts w:ascii="Times New Roman" w:hAnsi="Times New Roman" w:cs="Times New Roman"/>
                <w:color w:val="auto"/>
                <w:sz w:val="21"/>
                <w:szCs w:val="21"/>
              </w:rPr>
            </w:pPr>
            <w:r>
              <w:rPr>
                <w:rFonts w:ascii="Times New Roman" w:cs="Times New Roman"/>
                <w:color w:val="auto"/>
                <w:sz w:val="21"/>
                <w:szCs w:val="21"/>
              </w:rPr>
              <w:t>地下水管理条例</w:t>
            </w:r>
          </w:p>
        </w:tc>
        <w:tc>
          <w:tcPr>
            <w:tcW w:w="1714" w:type="pct"/>
            <w:vAlign w:val="center"/>
          </w:tcPr>
          <w:p w14:paraId="6A2E1277">
            <w:pPr>
              <w:pStyle w:val="132"/>
              <w:jc w:val="center"/>
              <w:rPr>
                <w:rFonts w:ascii="Times New Roman" w:hAnsi="Times New Roman" w:cs="Times New Roman"/>
                <w:color w:val="auto"/>
                <w:sz w:val="21"/>
                <w:szCs w:val="21"/>
              </w:rPr>
            </w:pPr>
            <w:r>
              <w:rPr>
                <w:rFonts w:ascii="Times New Roman" w:cs="Times New Roman"/>
                <w:color w:val="auto"/>
                <w:sz w:val="21"/>
                <w:szCs w:val="21"/>
              </w:rPr>
              <w:t>项目情况</w:t>
            </w:r>
          </w:p>
        </w:tc>
        <w:tc>
          <w:tcPr>
            <w:tcW w:w="477" w:type="pct"/>
            <w:vAlign w:val="center"/>
          </w:tcPr>
          <w:p w14:paraId="36F1C4CB">
            <w:pPr>
              <w:pStyle w:val="132"/>
              <w:jc w:val="center"/>
              <w:rPr>
                <w:rFonts w:ascii="Times New Roman" w:hAnsi="Times New Roman" w:cs="Times New Roman"/>
                <w:color w:val="auto"/>
                <w:sz w:val="21"/>
                <w:szCs w:val="21"/>
              </w:rPr>
            </w:pPr>
            <w:r>
              <w:rPr>
                <w:rFonts w:ascii="Times New Roman" w:cs="Times New Roman"/>
                <w:color w:val="auto"/>
                <w:sz w:val="21"/>
                <w:szCs w:val="21"/>
              </w:rPr>
              <w:t>是否</w:t>
            </w:r>
            <w:r>
              <w:rPr>
                <w:rFonts w:hint="eastAsia" w:ascii="Times New Roman" w:cs="Times New Roman"/>
                <w:color w:val="auto"/>
                <w:sz w:val="21"/>
                <w:szCs w:val="21"/>
              </w:rPr>
              <w:t>符合</w:t>
            </w:r>
          </w:p>
        </w:tc>
      </w:tr>
      <w:tr w14:paraId="5D568B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08" w:type="pct"/>
            <w:vAlign w:val="center"/>
          </w:tcPr>
          <w:p w14:paraId="183EC973">
            <w:pPr>
              <w:pStyle w:val="132"/>
              <w:rPr>
                <w:rFonts w:ascii="Times New Roman" w:hAnsi="Times New Roman" w:cs="Times New Roman"/>
                <w:color w:val="auto"/>
                <w:sz w:val="21"/>
                <w:szCs w:val="21"/>
              </w:rPr>
            </w:pPr>
            <w:r>
              <w:rPr>
                <w:rFonts w:ascii="Times New Roman" w:hAnsi="Times New Roman" w:cs="Times New Roman"/>
                <w:color w:val="auto"/>
                <w:sz w:val="21"/>
                <w:szCs w:val="21"/>
              </w:rPr>
              <w:t>第四十条 禁止下列污染或者可能污染地下水的行为：</w:t>
            </w:r>
          </w:p>
          <w:p w14:paraId="3299F254">
            <w:pPr>
              <w:pStyle w:val="132"/>
              <w:rPr>
                <w:rFonts w:ascii="Times New Roman" w:hAnsi="Times New Roman" w:cs="Times New Roman"/>
                <w:color w:val="auto"/>
                <w:sz w:val="21"/>
                <w:szCs w:val="21"/>
              </w:rPr>
            </w:pPr>
            <w:r>
              <w:rPr>
                <w:rFonts w:ascii="Times New Roman" w:hAnsi="Times New Roman" w:cs="Times New Roman"/>
                <w:color w:val="auto"/>
                <w:sz w:val="21"/>
                <w:szCs w:val="21"/>
              </w:rPr>
              <w:t>（一）利用渗井、渗坑、裂隙、溶洞以及私设暗管等逃避监管的方式排放水污染物；</w:t>
            </w:r>
          </w:p>
          <w:p w14:paraId="09B2F269">
            <w:pPr>
              <w:pStyle w:val="132"/>
              <w:rPr>
                <w:rFonts w:ascii="Times New Roman" w:hAnsi="Times New Roman" w:cs="Times New Roman"/>
                <w:color w:val="auto"/>
                <w:sz w:val="21"/>
                <w:szCs w:val="21"/>
              </w:rPr>
            </w:pPr>
            <w:r>
              <w:rPr>
                <w:rFonts w:ascii="Times New Roman" w:hAnsi="Times New Roman" w:cs="Times New Roman"/>
                <w:color w:val="auto"/>
                <w:sz w:val="21"/>
                <w:szCs w:val="21"/>
              </w:rPr>
              <w:t>（二）利用岩层孔隙、裂隙、溶洞、废弃矿坑等贮存石化原料及产品、农药、危险废物、城镇污水处理设施产生的污泥和处理后的污泥或者其他有毒有害物质；</w:t>
            </w:r>
          </w:p>
          <w:p w14:paraId="6A3C01FB">
            <w:pPr>
              <w:pStyle w:val="132"/>
              <w:rPr>
                <w:rFonts w:ascii="Times New Roman" w:hAnsi="Times New Roman" w:cs="Times New Roman"/>
                <w:color w:val="auto"/>
                <w:sz w:val="21"/>
                <w:szCs w:val="21"/>
              </w:rPr>
            </w:pPr>
            <w:r>
              <w:rPr>
                <w:rFonts w:ascii="Times New Roman" w:hAnsi="Times New Roman" w:cs="Times New Roman"/>
                <w:color w:val="auto"/>
                <w:sz w:val="21"/>
                <w:szCs w:val="21"/>
              </w:rPr>
              <w:t>（三）利用无防渗漏措施的沟渠、坑塘等输送或者贮存含有毒污染物的废水、含病原体的污水和其他废弃物；</w:t>
            </w:r>
          </w:p>
          <w:p w14:paraId="169AEA9B">
            <w:pPr>
              <w:pStyle w:val="132"/>
              <w:rPr>
                <w:rFonts w:ascii="Times New Roman" w:hAnsi="Times New Roman" w:cs="Times New Roman"/>
                <w:color w:val="auto"/>
                <w:sz w:val="21"/>
                <w:szCs w:val="21"/>
              </w:rPr>
            </w:pPr>
            <w:r>
              <w:rPr>
                <w:rFonts w:ascii="Times New Roman" w:hAnsi="Times New Roman" w:cs="Times New Roman"/>
                <w:color w:val="auto"/>
                <w:sz w:val="21"/>
                <w:szCs w:val="21"/>
              </w:rPr>
              <w:t>（四）法律、法规禁止的其他污染或者可能污染地下水的行为。</w:t>
            </w:r>
          </w:p>
        </w:tc>
        <w:tc>
          <w:tcPr>
            <w:tcW w:w="1714" w:type="pct"/>
            <w:vAlign w:val="center"/>
          </w:tcPr>
          <w:p w14:paraId="5C69ADCD">
            <w:pPr>
              <w:pStyle w:val="132"/>
              <w:rPr>
                <w:rFonts w:ascii="Times New Roman" w:hAnsi="Times New Roman" w:cs="Times New Roman"/>
                <w:color w:val="auto"/>
                <w:sz w:val="21"/>
                <w:szCs w:val="21"/>
              </w:rPr>
            </w:pPr>
            <w:r>
              <w:rPr>
                <w:rFonts w:hint="eastAsia" w:ascii="Times New Roman" w:hAnsi="Times New Roman" w:cs="Times New Roman"/>
                <w:color w:val="auto"/>
                <w:sz w:val="21"/>
                <w:szCs w:val="21"/>
              </w:rPr>
              <w:t>本项目回填区不设置办公区，生活污水依托租赁民房的防渗旱厕，定期清掏，外运积肥；矿区外雨水通过矿区四周排水沟</w:t>
            </w:r>
            <w:r>
              <w:rPr>
                <w:rFonts w:hint="eastAsia" w:ascii="Times New Roman" w:hAnsi="Times New Roman" w:cs="Times New Roman"/>
                <w:color w:val="auto"/>
                <w:sz w:val="21"/>
                <w:szCs w:val="21"/>
                <w:highlight w:val="none"/>
              </w:rPr>
              <w:t>，最终排入厂区</w:t>
            </w:r>
            <w:r>
              <w:rPr>
                <w:rFonts w:hint="eastAsia" w:ascii="Times New Roman" w:hAnsi="Times New Roman" w:cs="Times New Roman"/>
                <w:color w:val="auto"/>
                <w:sz w:val="21"/>
                <w:szCs w:val="21"/>
                <w:highlight w:val="none"/>
                <w:lang w:eastAsia="zh-CN"/>
              </w:rPr>
              <w:t>西南</w:t>
            </w:r>
            <w:r>
              <w:rPr>
                <w:rFonts w:hint="eastAsia" w:ascii="Times New Roman" w:hAnsi="Times New Roman" w:cs="Times New Roman"/>
                <w:color w:val="auto"/>
                <w:sz w:val="21"/>
                <w:szCs w:val="21"/>
                <w:highlight w:val="none"/>
              </w:rPr>
              <w:t>侧自然冲沟内；回填复垦期产生的淋溶水经导排系统收集后排入暂存池，沉淀后</w:t>
            </w:r>
            <w:r>
              <w:rPr>
                <w:rFonts w:hint="eastAsia" w:ascii="Times New Roman" w:hAnsi="Times New Roman" w:cs="Times New Roman"/>
                <w:color w:val="auto"/>
                <w:sz w:val="21"/>
                <w:szCs w:val="21"/>
              </w:rPr>
              <w:t>回用于项目区洒水抑尘使用，不外排。根据地下水预测结果，在非正常渗漏状态下，污染物不会对区域地下水造成较大影响。同时应加强跟踪监测，监测周期至少为每季度一次，可监测反映有无渗漏现象，并及时采取相应处理措施，可有效避免对下游其他区域地下水环境造成影响，因此本项目对地下水环境影响可接受。</w:t>
            </w:r>
          </w:p>
        </w:tc>
        <w:tc>
          <w:tcPr>
            <w:tcW w:w="477" w:type="pct"/>
            <w:vAlign w:val="center"/>
          </w:tcPr>
          <w:p w14:paraId="66F9987D">
            <w:pPr>
              <w:pStyle w:val="132"/>
              <w:rPr>
                <w:rFonts w:ascii="Times New Roman" w:hAnsi="Times New Roman" w:cs="Times New Roman"/>
                <w:color w:val="auto"/>
                <w:sz w:val="21"/>
                <w:szCs w:val="21"/>
              </w:rPr>
            </w:pPr>
            <w:r>
              <w:rPr>
                <w:rFonts w:hint="eastAsia" w:ascii="Times New Roman" w:hAnsi="Times New Roman" w:cs="Times New Roman"/>
                <w:color w:val="auto"/>
                <w:sz w:val="21"/>
                <w:szCs w:val="21"/>
              </w:rPr>
              <w:t>符合</w:t>
            </w:r>
          </w:p>
        </w:tc>
      </w:tr>
      <w:tr w14:paraId="0E36D9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2808" w:type="pct"/>
            <w:vAlign w:val="center"/>
          </w:tcPr>
          <w:p w14:paraId="14901B76">
            <w:pPr>
              <w:pStyle w:val="132"/>
              <w:rPr>
                <w:rFonts w:ascii="Times New Roman" w:hAnsi="Times New Roman" w:cs="Times New Roman"/>
                <w:color w:val="auto"/>
                <w:sz w:val="21"/>
                <w:szCs w:val="21"/>
              </w:rPr>
            </w:pPr>
            <w:r>
              <w:rPr>
                <w:rFonts w:ascii="Times New Roman" w:hAnsi="Times New Roman" w:cs="Times New Roman"/>
                <w:color w:val="auto"/>
                <w:sz w:val="21"/>
                <w:szCs w:val="21"/>
              </w:rPr>
              <w:t>第四十二条 在泉域保护范围以及岩溶强发育、存在较多落水洞和岩溶漏斗的区域内，不得新建、改建、扩建可能造成地下水污染的建设项目。</w:t>
            </w:r>
          </w:p>
        </w:tc>
        <w:tc>
          <w:tcPr>
            <w:tcW w:w="1714" w:type="pct"/>
            <w:vAlign w:val="center"/>
          </w:tcPr>
          <w:p w14:paraId="0E149558">
            <w:pPr>
              <w:pStyle w:val="132"/>
              <w:rPr>
                <w:rFonts w:ascii="Times New Roman" w:hAnsi="Times New Roman" w:cs="Times New Roman"/>
                <w:color w:val="auto"/>
                <w:sz w:val="21"/>
                <w:szCs w:val="21"/>
                <w:highlight w:val="none"/>
              </w:rPr>
            </w:pPr>
            <w:r>
              <w:rPr>
                <w:rFonts w:ascii="Times New Roman" w:hAnsi="Times New Roman" w:cs="Times New Roman"/>
                <w:color w:val="auto"/>
                <w:sz w:val="21"/>
                <w:szCs w:val="21"/>
                <w:highlight w:val="none"/>
              </w:rPr>
              <w:t>本项目位于</w:t>
            </w:r>
            <w:r>
              <w:rPr>
                <w:rFonts w:ascii="Times New Roman" w:hAnsi="Times New Roman" w:cs="Times New Roman"/>
                <w:bCs/>
                <w:color w:val="auto"/>
                <w:sz w:val="21"/>
                <w:szCs w:val="21"/>
                <w:highlight w:val="none"/>
              </w:rPr>
              <w:t>鸡西市鸡东县</w:t>
            </w:r>
            <w:r>
              <w:rPr>
                <w:rFonts w:hint="eastAsia" w:ascii="Times New Roman" w:hAnsi="Times New Roman" w:cs="Times New Roman"/>
                <w:bCs/>
                <w:color w:val="auto"/>
                <w:sz w:val="21"/>
                <w:szCs w:val="21"/>
                <w:highlight w:val="none"/>
                <w:lang w:eastAsia="zh-CN"/>
              </w:rPr>
              <w:t>东海镇新泉村五队</w:t>
            </w:r>
            <w:r>
              <w:rPr>
                <w:rFonts w:ascii="Times New Roman" w:hAnsi="Times New Roman" w:cs="Times New Roman"/>
                <w:color w:val="auto"/>
                <w:sz w:val="21"/>
                <w:szCs w:val="21"/>
                <w:highlight w:val="none"/>
              </w:rPr>
              <w:t>，不在泉域保护范围以及岩溶强发育、存在较多落水洞和岩溶漏斗的区域，对场地内进行了防渗处理且建设完善的排水设施，因此项目的建设不会对当地的地下水造成污染。</w:t>
            </w:r>
          </w:p>
        </w:tc>
        <w:tc>
          <w:tcPr>
            <w:tcW w:w="477" w:type="pct"/>
            <w:vAlign w:val="center"/>
          </w:tcPr>
          <w:p w14:paraId="08CABC7E">
            <w:pPr>
              <w:pStyle w:val="132"/>
              <w:jc w:val="center"/>
              <w:rPr>
                <w:rFonts w:ascii="Times New Roman" w:hAnsi="Times New Roman" w:cs="Times New Roman"/>
                <w:color w:val="auto"/>
                <w:sz w:val="21"/>
                <w:szCs w:val="21"/>
              </w:rPr>
            </w:pPr>
            <w:r>
              <w:rPr>
                <w:rFonts w:hint="eastAsia" w:ascii="Times New Roman" w:hAnsi="Times New Roman" w:cs="Times New Roman"/>
                <w:color w:val="auto"/>
                <w:sz w:val="21"/>
                <w:szCs w:val="21"/>
              </w:rPr>
              <w:t>符合</w:t>
            </w:r>
          </w:p>
        </w:tc>
      </w:tr>
    </w:tbl>
    <w:p w14:paraId="44C9BE6A">
      <w:pPr>
        <w:pStyle w:val="59"/>
        <w:ind w:firstLine="480"/>
        <w:rPr>
          <w:color w:val="auto"/>
        </w:rPr>
      </w:pPr>
      <w:r>
        <w:rPr>
          <w:color w:val="auto"/>
        </w:rPr>
        <w:t>综上所述，本项目</w:t>
      </w:r>
      <w:r>
        <w:rPr>
          <w:rFonts w:hint="eastAsia"/>
          <w:color w:val="auto"/>
        </w:rPr>
        <w:t>符合</w:t>
      </w:r>
      <w:r>
        <w:rPr>
          <w:color w:val="auto"/>
        </w:rPr>
        <w:t>《地下水管理条例》中相关要求。</w:t>
      </w:r>
    </w:p>
    <w:p w14:paraId="40717553">
      <w:pPr>
        <w:keepNext/>
        <w:keepLines/>
        <w:adjustRightInd w:val="0"/>
        <w:snapToGrid w:val="0"/>
        <w:spacing w:line="500" w:lineRule="exact"/>
        <w:outlineLvl w:val="3"/>
        <w:rPr>
          <w:color w:val="auto"/>
          <w:sz w:val="24"/>
          <w:szCs w:val="20"/>
          <w:lang w:val="zh-CN"/>
        </w:rPr>
      </w:pPr>
      <w:r>
        <w:rPr>
          <w:color w:val="auto"/>
          <w:sz w:val="24"/>
          <w:szCs w:val="20"/>
          <w:lang w:val="zh-CN"/>
        </w:rPr>
        <w:t>1.4.3.</w:t>
      </w:r>
      <w:r>
        <w:rPr>
          <w:rFonts w:hint="eastAsia"/>
          <w:color w:val="auto"/>
          <w:sz w:val="24"/>
          <w:szCs w:val="20"/>
          <w:lang w:val="en-US" w:eastAsia="zh-CN"/>
        </w:rPr>
        <w:t>6</w:t>
      </w:r>
      <w:r>
        <w:rPr>
          <w:rFonts w:hint="eastAsia"/>
          <w:color w:val="auto"/>
          <w:sz w:val="24"/>
          <w:szCs w:val="20"/>
          <w:lang w:val="zh-CN"/>
        </w:rPr>
        <w:t>与《中华人民共和国水污染防治法》</w:t>
      </w:r>
      <w:r>
        <w:rPr>
          <w:color w:val="auto"/>
          <w:sz w:val="24"/>
          <w:szCs w:val="20"/>
          <w:lang w:val="zh-CN"/>
        </w:rPr>
        <w:t>(2017</w:t>
      </w:r>
      <w:r>
        <w:rPr>
          <w:rFonts w:hint="eastAsia"/>
          <w:color w:val="auto"/>
          <w:sz w:val="24"/>
          <w:szCs w:val="20"/>
          <w:lang w:val="zh-CN"/>
        </w:rPr>
        <w:t>年</w:t>
      </w:r>
      <w:r>
        <w:rPr>
          <w:color w:val="auto"/>
          <w:sz w:val="24"/>
          <w:szCs w:val="20"/>
          <w:lang w:val="zh-CN"/>
        </w:rPr>
        <w:t>6</w:t>
      </w:r>
      <w:r>
        <w:rPr>
          <w:rFonts w:hint="eastAsia"/>
          <w:color w:val="auto"/>
          <w:sz w:val="24"/>
          <w:szCs w:val="20"/>
          <w:lang w:val="zh-CN"/>
        </w:rPr>
        <w:t>月</w:t>
      </w:r>
      <w:r>
        <w:rPr>
          <w:color w:val="auto"/>
          <w:sz w:val="24"/>
          <w:szCs w:val="20"/>
          <w:lang w:val="zh-CN"/>
        </w:rPr>
        <w:t>27</w:t>
      </w:r>
      <w:r>
        <w:rPr>
          <w:rFonts w:hint="eastAsia"/>
          <w:color w:val="auto"/>
          <w:sz w:val="24"/>
          <w:szCs w:val="20"/>
          <w:lang w:val="zh-CN"/>
        </w:rPr>
        <w:t>日第二次修正</w:t>
      </w:r>
      <w:r>
        <w:rPr>
          <w:color w:val="auto"/>
          <w:sz w:val="24"/>
          <w:szCs w:val="20"/>
          <w:lang w:val="zh-CN"/>
        </w:rPr>
        <w:t>)</w:t>
      </w:r>
      <w:r>
        <w:rPr>
          <w:rFonts w:hint="eastAsia"/>
          <w:color w:val="auto"/>
          <w:sz w:val="24"/>
          <w:szCs w:val="20"/>
          <w:lang w:val="zh-CN"/>
        </w:rPr>
        <w:t>符合性分析</w:t>
      </w:r>
    </w:p>
    <w:p w14:paraId="6924ADB9">
      <w:pPr>
        <w:spacing w:line="500" w:lineRule="exact"/>
        <w:ind w:firstLine="480" w:firstLineChars="200"/>
        <w:rPr>
          <w:color w:val="auto"/>
          <w:sz w:val="24"/>
        </w:rPr>
      </w:pPr>
      <w:r>
        <w:rPr>
          <w:rFonts w:hint="eastAsia"/>
          <w:color w:val="auto"/>
          <w:sz w:val="24"/>
        </w:rPr>
        <w:t>（</w:t>
      </w:r>
      <w:r>
        <w:rPr>
          <w:color w:val="auto"/>
          <w:sz w:val="24"/>
        </w:rPr>
        <w:t>1</w:t>
      </w:r>
      <w:r>
        <w:rPr>
          <w:rFonts w:hint="eastAsia"/>
          <w:color w:val="auto"/>
          <w:sz w:val="24"/>
        </w:rPr>
        <w:t>）相关内容</w:t>
      </w:r>
    </w:p>
    <w:p w14:paraId="5E271717">
      <w:pPr>
        <w:spacing w:line="500" w:lineRule="exact"/>
        <w:ind w:firstLine="480" w:firstLineChars="200"/>
        <w:rPr>
          <w:color w:val="auto"/>
          <w:sz w:val="24"/>
        </w:rPr>
      </w:pPr>
      <w:r>
        <w:rPr>
          <w:rFonts w:hint="eastAsia"/>
          <w:color w:val="auto"/>
          <w:sz w:val="24"/>
        </w:rPr>
        <w:t>第四十条</w:t>
      </w:r>
      <w:r>
        <w:rPr>
          <w:color w:val="auto"/>
          <w:sz w:val="24"/>
        </w:rPr>
        <w:t xml:space="preserve"> </w:t>
      </w:r>
      <w:r>
        <w:rPr>
          <w:rFonts w:hint="eastAsia"/>
          <w:color w:val="auto"/>
          <w:sz w:val="24"/>
        </w:rPr>
        <w:t>化学品生产企业以及工业集聚区、矿山开采区、尾矿库、危险废物处置场、垃圾填埋场等的运营、管理单位，应当采取防渗漏等措施，并建设地下水水质监测井进行监测，防止地下水污染。</w:t>
      </w:r>
    </w:p>
    <w:p w14:paraId="2CD9BAA8">
      <w:pPr>
        <w:spacing w:line="500" w:lineRule="exact"/>
        <w:ind w:firstLine="480" w:firstLineChars="200"/>
        <w:rPr>
          <w:color w:val="auto"/>
          <w:sz w:val="24"/>
        </w:rPr>
      </w:pPr>
      <w:r>
        <w:rPr>
          <w:rFonts w:hint="eastAsia"/>
          <w:color w:val="auto"/>
          <w:sz w:val="24"/>
        </w:rPr>
        <w:t>加油站等的地下油罐应当使用双层罐或者采取建造防渗池等其他有效措施，并进行防渗漏监测，防止地下水污染。</w:t>
      </w:r>
    </w:p>
    <w:p w14:paraId="5DBF4721">
      <w:pPr>
        <w:spacing w:line="500" w:lineRule="exact"/>
        <w:ind w:firstLine="480" w:firstLineChars="200"/>
        <w:rPr>
          <w:color w:val="auto"/>
          <w:sz w:val="24"/>
        </w:rPr>
      </w:pPr>
      <w:r>
        <w:rPr>
          <w:rFonts w:hint="eastAsia"/>
          <w:color w:val="auto"/>
          <w:sz w:val="24"/>
        </w:rPr>
        <w:t>禁止利用无防渗漏措施的沟渠、坑塘等输送或者存贮含有毒污染物的废水、含病原体的污水和其他废弃物。</w:t>
      </w:r>
    </w:p>
    <w:p w14:paraId="1E169C41">
      <w:pPr>
        <w:spacing w:line="500" w:lineRule="exact"/>
        <w:ind w:firstLine="480" w:firstLineChars="200"/>
        <w:rPr>
          <w:color w:val="auto"/>
          <w:sz w:val="24"/>
        </w:rPr>
      </w:pPr>
      <w:r>
        <w:rPr>
          <w:rFonts w:hint="eastAsia"/>
          <w:color w:val="auto"/>
          <w:sz w:val="24"/>
        </w:rPr>
        <w:t>（</w:t>
      </w:r>
      <w:r>
        <w:rPr>
          <w:color w:val="auto"/>
          <w:sz w:val="24"/>
        </w:rPr>
        <w:t>2</w:t>
      </w:r>
      <w:r>
        <w:rPr>
          <w:rFonts w:hint="eastAsia"/>
          <w:color w:val="auto"/>
          <w:sz w:val="24"/>
        </w:rPr>
        <w:t>）符合性分析</w:t>
      </w:r>
    </w:p>
    <w:p w14:paraId="3E346AD8">
      <w:pPr>
        <w:spacing w:line="500" w:lineRule="exact"/>
        <w:ind w:firstLine="480" w:firstLineChars="200"/>
        <w:rPr>
          <w:color w:val="auto"/>
        </w:rPr>
      </w:pPr>
      <w:r>
        <w:rPr>
          <w:rFonts w:hint="eastAsia"/>
          <w:color w:val="auto"/>
          <w:sz w:val="24"/>
        </w:rPr>
        <w:t>本项目是利用</w:t>
      </w:r>
      <w:r>
        <w:rPr>
          <w:rFonts w:hint="eastAsia"/>
          <w:color w:val="auto"/>
          <w:sz w:val="24"/>
          <w:lang w:eastAsia="zh-CN"/>
        </w:rPr>
        <w:t>灰渣</w:t>
      </w:r>
      <w:r>
        <w:rPr>
          <w:rFonts w:hint="eastAsia"/>
          <w:color w:val="auto"/>
          <w:sz w:val="24"/>
        </w:rPr>
        <w:t>作为回填材料进行废弃采坑治理项目</w:t>
      </w:r>
      <w:r>
        <w:rPr>
          <w:rFonts w:hint="eastAsia"/>
          <w:color w:val="auto"/>
          <w:sz w:val="24"/>
          <w:highlight w:val="none"/>
        </w:rPr>
        <w:t>，回填材料为</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Style w:val="60"/>
          <w:rFonts w:hint="eastAsia"/>
          <w:color w:val="auto"/>
          <w:highlight w:val="none"/>
        </w:rPr>
        <w:t>，</w:t>
      </w:r>
      <w:r>
        <w:rPr>
          <w:rFonts w:hint="eastAsia"/>
          <w:color w:val="auto"/>
          <w:sz w:val="24"/>
          <w:szCs w:val="22"/>
          <w:highlight w:val="none"/>
        </w:rPr>
        <w:t>为第</w:t>
      </w:r>
      <w:r>
        <w:rPr>
          <w:color w:val="auto"/>
          <w:sz w:val="24"/>
          <w:szCs w:val="22"/>
          <w:highlight w:val="none"/>
        </w:rPr>
        <w:fldChar w:fldCharType="begin"/>
      </w:r>
      <w:r>
        <w:rPr>
          <w:color w:val="auto"/>
          <w:sz w:val="24"/>
          <w:szCs w:val="22"/>
          <w:highlight w:val="none"/>
        </w:rPr>
        <w:instrText xml:space="preserve"> = 1 \* ROMAN </w:instrText>
      </w:r>
      <w:r>
        <w:rPr>
          <w:color w:val="auto"/>
          <w:sz w:val="24"/>
          <w:szCs w:val="22"/>
          <w:highlight w:val="none"/>
        </w:rPr>
        <w:fldChar w:fldCharType="separate"/>
      </w:r>
      <w:r>
        <w:rPr>
          <w:color w:val="auto"/>
          <w:sz w:val="24"/>
          <w:szCs w:val="22"/>
          <w:highlight w:val="none"/>
        </w:rPr>
        <w:t>I</w:t>
      </w:r>
      <w:r>
        <w:rPr>
          <w:color w:val="auto"/>
          <w:sz w:val="24"/>
          <w:szCs w:val="22"/>
          <w:highlight w:val="none"/>
        </w:rPr>
        <w:fldChar w:fldCharType="end"/>
      </w:r>
      <w:r>
        <w:rPr>
          <w:rFonts w:hint="eastAsia"/>
          <w:color w:val="auto"/>
          <w:sz w:val="24"/>
          <w:szCs w:val="22"/>
          <w:highlight w:val="none"/>
        </w:rPr>
        <w:t>类一般工业固体废物。本项目在进行场地清理后在底部覆盖30cm厚的改性压实粘土层作为防渗层（其防渗性能能够</w:t>
      </w:r>
      <w:r>
        <w:rPr>
          <w:rFonts w:hint="eastAsia"/>
          <w:color w:val="auto"/>
          <w:sz w:val="24"/>
          <w:szCs w:val="22"/>
        </w:rPr>
        <w:t>小于渗透系数为1.0×10</w:t>
      </w:r>
      <w:r>
        <w:rPr>
          <w:rFonts w:hint="eastAsia"/>
          <w:color w:val="auto"/>
          <w:sz w:val="24"/>
          <w:szCs w:val="22"/>
          <w:vertAlign w:val="superscript"/>
        </w:rPr>
        <w:t>-5</w:t>
      </w:r>
      <w:r>
        <w:rPr>
          <w:rFonts w:hint="eastAsia"/>
          <w:color w:val="auto"/>
          <w:sz w:val="24"/>
          <w:szCs w:val="22"/>
        </w:rPr>
        <w:t>cm/s且厚度为0.75m的天然基础层），可达到良好的防渗效果，正常情况下</w:t>
      </w:r>
      <w:r>
        <w:rPr>
          <w:rFonts w:hint="eastAsia"/>
          <w:color w:val="auto"/>
          <w:sz w:val="24"/>
          <w:szCs w:val="22"/>
          <w:lang w:eastAsia="zh-CN"/>
        </w:rPr>
        <w:t>灰渣</w:t>
      </w:r>
      <w:r>
        <w:rPr>
          <w:rFonts w:hint="eastAsia"/>
          <w:color w:val="auto"/>
          <w:sz w:val="24"/>
          <w:szCs w:val="22"/>
        </w:rPr>
        <w:t>回填不会对地下水环境造成影响；</w:t>
      </w:r>
      <w:r>
        <w:rPr>
          <w:rFonts w:hint="eastAsia"/>
          <w:color w:val="auto"/>
          <w:sz w:val="24"/>
        </w:rPr>
        <w:t>根据本次地下水的预测结果及</w:t>
      </w:r>
      <w:r>
        <w:rPr>
          <w:rFonts w:hint="eastAsia"/>
          <w:color w:val="auto"/>
          <w:sz w:val="24"/>
          <w:szCs w:val="22"/>
        </w:rPr>
        <w:t>环境风险评估报告结论</w:t>
      </w:r>
      <w:r>
        <w:rPr>
          <w:rFonts w:hint="eastAsia"/>
          <w:color w:val="auto"/>
          <w:sz w:val="24"/>
        </w:rPr>
        <w:t>，</w:t>
      </w:r>
      <w:r>
        <w:rPr>
          <w:rFonts w:hint="eastAsia"/>
          <w:color w:val="auto"/>
          <w:sz w:val="24"/>
          <w:szCs w:val="22"/>
        </w:rPr>
        <w:t>在非正常渗漏状态下，污染物不会对区域地下水造成较大影响。同时应加强跟踪监测，监测周期至少为每季度一次，可监测反映有无渗漏现象，并及时采取相应处理措施，可有效避免对下游其他区域地下水环境造成影响，因此本项目对地下水环境影响可接受。</w:t>
      </w:r>
      <w:r>
        <w:rPr>
          <w:rFonts w:hint="eastAsia"/>
          <w:color w:val="auto"/>
          <w:sz w:val="24"/>
        </w:rPr>
        <w:t>因此，本项目符合</w:t>
      </w:r>
      <w:r>
        <w:rPr>
          <w:rFonts w:hint="eastAsia"/>
          <w:color w:val="auto"/>
          <w:sz w:val="24"/>
          <w:szCs w:val="22"/>
        </w:rPr>
        <w:t>《中华人民共和国水污染防治法》</w:t>
      </w:r>
      <w:r>
        <w:rPr>
          <w:color w:val="auto"/>
          <w:sz w:val="24"/>
          <w:szCs w:val="22"/>
        </w:rPr>
        <w:t>(2017</w:t>
      </w:r>
      <w:r>
        <w:rPr>
          <w:rFonts w:hint="eastAsia"/>
          <w:color w:val="auto"/>
          <w:sz w:val="24"/>
          <w:szCs w:val="22"/>
        </w:rPr>
        <w:t>年</w:t>
      </w:r>
      <w:r>
        <w:rPr>
          <w:color w:val="auto"/>
          <w:sz w:val="24"/>
          <w:szCs w:val="22"/>
        </w:rPr>
        <w:t>6</w:t>
      </w:r>
      <w:r>
        <w:rPr>
          <w:rFonts w:hint="eastAsia"/>
          <w:color w:val="auto"/>
          <w:sz w:val="24"/>
          <w:szCs w:val="22"/>
        </w:rPr>
        <w:t>月</w:t>
      </w:r>
      <w:r>
        <w:rPr>
          <w:color w:val="auto"/>
          <w:sz w:val="24"/>
          <w:szCs w:val="22"/>
        </w:rPr>
        <w:t>27</w:t>
      </w:r>
      <w:r>
        <w:rPr>
          <w:rFonts w:hint="eastAsia"/>
          <w:color w:val="auto"/>
          <w:sz w:val="24"/>
          <w:szCs w:val="22"/>
        </w:rPr>
        <w:t>日第二次修正</w:t>
      </w:r>
      <w:r>
        <w:rPr>
          <w:color w:val="auto"/>
          <w:sz w:val="24"/>
          <w:szCs w:val="22"/>
        </w:rPr>
        <w:t>)</w:t>
      </w:r>
      <w:r>
        <w:rPr>
          <w:rFonts w:hint="eastAsia"/>
          <w:color w:val="auto"/>
          <w:sz w:val="24"/>
          <w:szCs w:val="22"/>
        </w:rPr>
        <w:t>的相关要求。</w:t>
      </w:r>
    </w:p>
    <w:p w14:paraId="37DCE756">
      <w:pPr>
        <w:keepNext/>
        <w:keepLines/>
        <w:adjustRightInd w:val="0"/>
        <w:snapToGrid w:val="0"/>
        <w:spacing w:line="500" w:lineRule="exact"/>
        <w:outlineLvl w:val="3"/>
        <w:rPr>
          <w:color w:val="auto"/>
          <w:sz w:val="24"/>
          <w:lang w:val="zh-CN"/>
        </w:rPr>
      </w:pPr>
      <w:r>
        <w:rPr>
          <w:color w:val="auto"/>
          <w:sz w:val="24"/>
          <w:lang w:val="zh-CN"/>
        </w:rPr>
        <w:t>1.4.3.</w:t>
      </w:r>
      <w:r>
        <w:rPr>
          <w:rFonts w:hint="eastAsia"/>
          <w:color w:val="auto"/>
          <w:sz w:val="24"/>
          <w:lang w:val="en-US" w:eastAsia="zh-CN"/>
        </w:rPr>
        <w:t>7</w:t>
      </w:r>
      <w:r>
        <w:rPr>
          <w:rFonts w:hint="eastAsia"/>
          <w:color w:val="auto"/>
          <w:sz w:val="24"/>
          <w:lang w:val="zh-CN"/>
        </w:rPr>
        <w:t>与《土地复垦条例》（国务院令第</w:t>
      </w:r>
      <w:r>
        <w:rPr>
          <w:color w:val="auto"/>
          <w:sz w:val="24"/>
          <w:lang w:val="zh-CN"/>
        </w:rPr>
        <w:t>592</w:t>
      </w:r>
      <w:r>
        <w:rPr>
          <w:rFonts w:hint="eastAsia"/>
          <w:color w:val="auto"/>
          <w:sz w:val="24"/>
          <w:lang w:val="zh-CN"/>
        </w:rPr>
        <w:t>号）符合性分析</w:t>
      </w:r>
    </w:p>
    <w:p w14:paraId="4D3D6EEF">
      <w:pPr>
        <w:spacing w:line="500" w:lineRule="exact"/>
        <w:ind w:firstLine="480" w:firstLineChars="200"/>
        <w:rPr>
          <w:color w:val="auto"/>
          <w:sz w:val="24"/>
          <w:szCs w:val="22"/>
          <w:lang w:val="zh-CN"/>
        </w:rPr>
      </w:pPr>
      <w:r>
        <w:rPr>
          <w:rFonts w:hint="eastAsia"/>
          <w:color w:val="auto"/>
          <w:sz w:val="24"/>
          <w:szCs w:val="22"/>
          <w:lang w:val="zh-CN"/>
        </w:rPr>
        <w:t>（</w:t>
      </w:r>
      <w:r>
        <w:rPr>
          <w:color w:val="auto"/>
          <w:sz w:val="24"/>
          <w:szCs w:val="22"/>
          <w:lang w:val="zh-CN"/>
        </w:rPr>
        <w:t>1</w:t>
      </w:r>
      <w:r>
        <w:rPr>
          <w:rFonts w:hint="eastAsia"/>
          <w:color w:val="auto"/>
          <w:sz w:val="24"/>
          <w:szCs w:val="22"/>
          <w:lang w:val="zh-CN"/>
        </w:rPr>
        <w:t>）相关内容</w:t>
      </w:r>
    </w:p>
    <w:p w14:paraId="368C8965">
      <w:pPr>
        <w:spacing w:line="500" w:lineRule="exact"/>
        <w:ind w:firstLine="480" w:firstLineChars="200"/>
        <w:rPr>
          <w:color w:val="auto"/>
          <w:sz w:val="24"/>
          <w:szCs w:val="22"/>
          <w:lang w:val="zh-CN"/>
        </w:rPr>
      </w:pPr>
      <w:r>
        <w:rPr>
          <w:rFonts w:hint="eastAsia"/>
          <w:color w:val="auto"/>
          <w:sz w:val="24"/>
          <w:szCs w:val="22"/>
          <w:lang w:val="zh-CN"/>
        </w:rPr>
        <w:t>第十六条</w:t>
      </w:r>
      <w:r>
        <w:rPr>
          <w:color w:val="auto"/>
          <w:sz w:val="24"/>
          <w:szCs w:val="22"/>
          <w:lang w:val="zh-CN"/>
        </w:rPr>
        <w:t xml:space="preserve"> </w:t>
      </w:r>
      <w:r>
        <w:rPr>
          <w:rFonts w:hint="eastAsia"/>
          <w:color w:val="auto"/>
          <w:sz w:val="24"/>
          <w:szCs w:val="22"/>
          <w:lang w:val="zh-CN"/>
        </w:rPr>
        <w:t>土地复垦义务人应当建立土地复垦质量控制制度，遵守土地复垦标准和环境保护标准，保护土壤质量与生态环境，避免污染土壤和地下水。</w:t>
      </w:r>
    </w:p>
    <w:p w14:paraId="2C838478">
      <w:pPr>
        <w:spacing w:line="500" w:lineRule="exact"/>
        <w:ind w:firstLine="480" w:firstLineChars="200"/>
        <w:rPr>
          <w:color w:val="auto"/>
          <w:sz w:val="24"/>
          <w:szCs w:val="22"/>
          <w:lang w:val="zh-CN"/>
        </w:rPr>
      </w:pPr>
      <w:r>
        <w:rPr>
          <w:rFonts w:hint="eastAsia"/>
          <w:color w:val="auto"/>
          <w:sz w:val="24"/>
          <w:szCs w:val="22"/>
          <w:lang w:val="zh-CN"/>
        </w:rPr>
        <w:t>禁止将重金属污染物或者其他有毒有害物质用作回填或者充填材料。受重金属污染物或者其他有毒有害物质污染的土地复垦后，达不到国家有关标准的，不得用于种植食用农作物。</w:t>
      </w:r>
    </w:p>
    <w:p w14:paraId="2A4B703A">
      <w:pPr>
        <w:spacing w:line="500" w:lineRule="exact"/>
        <w:ind w:firstLine="480" w:firstLineChars="200"/>
        <w:rPr>
          <w:color w:val="auto"/>
          <w:sz w:val="24"/>
          <w:szCs w:val="22"/>
          <w:lang w:val="zh-CN"/>
        </w:rPr>
      </w:pPr>
      <w:r>
        <w:rPr>
          <w:rFonts w:hint="eastAsia"/>
          <w:color w:val="auto"/>
          <w:sz w:val="24"/>
          <w:szCs w:val="22"/>
          <w:lang w:val="zh-CN"/>
        </w:rPr>
        <w:t>（</w:t>
      </w:r>
      <w:r>
        <w:rPr>
          <w:color w:val="auto"/>
          <w:sz w:val="24"/>
          <w:szCs w:val="22"/>
          <w:lang w:val="zh-CN"/>
        </w:rPr>
        <w:t>2</w:t>
      </w:r>
      <w:r>
        <w:rPr>
          <w:rFonts w:hint="eastAsia"/>
          <w:color w:val="auto"/>
          <w:sz w:val="24"/>
          <w:szCs w:val="22"/>
          <w:lang w:val="zh-CN"/>
        </w:rPr>
        <w:t>）符合性分析</w:t>
      </w:r>
    </w:p>
    <w:p w14:paraId="3E3EBD19">
      <w:pPr>
        <w:spacing w:line="500" w:lineRule="exact"/>
        <w:ind w:firstLine="480" w:firstLineChars="200"/>
        <w:rPr>
          <w:color w:val="auto"/>
          <w:sz w:val="24"/>
          <w:szCs w:val="22"/>
          <w:lang w:val="zh-CN"/>
        </w:rPr>
      </w:pPr>
      <w:r>
        <w:rPr>
          <w:rFonts w:hint="eastAsia"/>
          <w:color w:val="auto"/>
          <w:sz w:val="24"/>
          <w:szCs w:val="22"/>
          <w:lang w:val="zh-CN"/>
        </w:rPr>
        <w:t>本项</w:t>
      </w:r>
      <w:r>
        <w:rPr>
          <w:rFonts w:hint="eastAsia"/>
          <w:color w:val="auto"/>
          <w:sz w:val="24"/>
          <w:szCs w:val="22"/>
          <w:highlight w:val="none"/>
          <w:lang w:val="zh-CN"/>
        </w:rPr>
        <w:t>目回填材料为</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color w:val="auto"/>
          <w:sz w:val="24"/>
          <w:szCs w:val="22"/>
          <w:highlight w:val="none"/>
          <w:lang w:val="zh-CN"/>
        </w:rPr>
        <w:t>，根据浸出液监测结果，回填材料为第</w:t>
      </w:r>
      <w:r>
        <w:rPr>
          <w:color w:val="auto"/>
          <w:sz w:val="24"/>
          <w:szCs w:val="22"/>
          <w:highlight w:val="none"/>
          <w:lang w:val="zh-CN"/>
        </w:rPr>
        <w:t>I</w:t>
      </w:r>
      <w:r>
        <w:rPr>
          <w:rFonts w:hint="eastAsia"/>
          <w:color w:val="auto"/>
          <w:sz w:val="24"/>
          <w:szCs w:val="22"/>
          <w:highlight w:val="none"/>
          <w:lang w:val="zh-CN"/>
        </w:rPr>
        <w:t>类一般工业固</w:t>
      </w:r>
      <w:r>
        <w:rPr>
          <w:rFonts w:hint="eastAsia"/>
          <w:color w:val="auto"/>
          <w:sz w:val="24"/>
          <w:szCs w:val="22"/>
          <w:lang w:val="zh-CN"/>
        </w:rPr>
        <w:t>体废物；本项目在回填活动前已开展环境本底调查，并按照《建设用地土壤污染风险评估技术导则》（</w:t>
      </w:r>
      <w:r>
        <w:rPr>
          <w:color w:val="auto"/>
          <w:sz w:val="24"/>
          <w:szCs w:val="22"/>
          <w:lang w:val="zh-CN"/>
        </w:rPr>
        <w:t>HJ25.3-2019</w:t>
      </w:r>
      <w:r>
        <w:rPr>
          <w:rFonts w:hint="eastAsia"/>
          <w:color w:val="auto"/>
          <w:sz w:val="24"/>
          <w:szCs w:val="22"/>
          <w:lang w:val="zh-CN"/>
        </w:rPr>
        <w:t>）等相关标准开展环境风险评估，形成了环境风险评估报告并通过专家评审，风险评估报告重点评估项目对地下水、地表水及周边土壤的环境污染风险，评估结论为环境风险可以接受。本项目回填活动结束后，对可能受到影响的土壤及地下水开展长期监测，土壤的监测频次至少每年</w:t>
      </w:r>
      <w:r>
        <w:rPr>
          <w:color w:val="auto"/>
          <w:sz w:val="24"/>
          <w:szCs w:val="22"/>
          <w:lang w:val="zh-CN"/>
        </w:rPr>
        <w:t>1</w:t>
      </w:r>
      <w:r>
        <w:rPr>
          <w:rFonts w:hint="eastAsia"/>
          <w:color w:val="auto"/>
          <w:sz w:val="24"/>
          <w:szCs w:val="22"/>
          <w:lang w:val="zh-CN"/>
        </w:rPr>
        <w:t>次，地下水的监测频次为每季度</w:t>
      </w:r>
      <w:r>
        <w:rPr>
          <w:color w:val="auto"/>
          <w:sz w:val="24"/>
          <w:szCs w:val="22"/>
          <w:lang w:val="zh-CN"/>
        </w:rPr>
        <w:t>1</w:t>
      </w:r>
      <w:r>
        <w:rPr>
          <w:rFonts w:hint="eastAsia"/>
          <w:color w:val="auto"/>
          <w:sz w:val="24"/>
          <w:szCs w:val="22"/>
          <w:lang w:val="zh-CN"/>
        </w:rPr>
        <w:t>次。</w:t>
      </w:r>
      <w:bookmarkStart w:id="22" w:name="_Hlk135054170"/>
      <w:r>
        <w:rPr>
          <w:rFonts w:hint="eastAsia"/>
          <w:color w:val="auto"/>
          <w:sz w:val="24"/>
          <w:szCs w:val="22"/>
          <w:lang w:val="zh-CN"/>
        </w:rPr>
        <w:t>本项目一般工业固体废物回填作业结束后立即实施土地复垦，土地复垦实施过程按《土地复垦质量控制标准》（</w:t>
      </w:r>
      <w:r>
        <w:rPr>
          <w:color w:val="auto"/>
          <w:sz w:val="24"/>
          <w:szCs w:val="22"/>
          <w:lang w:val="zh-CN"/>
        </w:rPr>
        <w:t>TD/T1036-2013</w:t>
      </w:r>
      <w:r>
        <w:rPr>
          <w:rFonts w:hint="eastAsia"/>
          <w:color w:val="auto"/>
          <w:sz w:val="24"/>
          <w:szCs w:val="22"/>
          <w:lang w:val="zh-CN"/>
        </w:rPr>
        <w:t>）规定的相关土地复垦质量控制要求执行。</w:t>
      </w:r>
    </w:p>
    <w:bookmarkEnd w:id="22"/>
    <w:p w14:paraId="74BB6C1D">
      <w:pPr>
        <w:keepNext/>
        <w:keepLines/>
        <w:adjustRightInd w:val="0"/>
        <w:snapToGrid w:val="0"/>
        <w:spacing w:line="500" w:lineRule="exact"/>
        <w:outlineLvl w:val="3"/>
        <w:rPr>
          <w:color w:val="auto"/>
          <w:sz w:val="24"/>
          <w:szCs w:val="20"/>
          <w:lang w:val="zh-CN"/>
        </w:rPr>
      </w:pPr>
      <w:r>
        <w:rPr>
          <w:color w:val="auto"/>
          <w:sz w:val="24"/>
          <w:szCs w:val="20"/>
          <w:lang w:val="zh-CN"/>
        </w:rPr>
        <w:t>1.4.3.</w:t>
      </w:r>
      <w:r>
        <w:rPr>
          <w:rFonts w:hint="eastAsia"/>
          <w:color w:val="auto"/>
          <w:sz w:val="24"/>
          <w:szCs w:val="20"/>
          <w:lang w:val="en-US" w:eastAsia="zh-CN"/>
        </w:rPr>
        <w:t>8</w:t>
      </w:r>
      <w:r>
        <w:rPr>
          <w:rFonts w:hint="eastAsia"/>
          <w:color w:val="auto"/>
          <w:sz w:val="24"/>
          <w:szCs w:val="20"/>
          <w:lang w:val="zh-CN"/>
        </w:rPr>
        <w:t>与《土地复垦条例实施办法》符合性</w:t>
      </w:r>
    </w:p>
    <w:p w14:paraId="4D28B710">
      <w:pPr>
        <w:spacing w:line="500" w:lineRule="exact"/>
        <w:ind w:firstLine="480" w:firstLineChars="200"/>
        <w:rPr>
          <w:color w:val="auto"/>
          <w:sz w:val="24"/>
          <w:szCs w:val="22"/>
        </w:rPr>
      </w:pPr>
      <w:r>
        <w:rPr>
          <w:rFonts w:hint="eastAsia"/>
          <w:color w:val="auto"/>
          <w:sz w:val="24"/>
          <w:szCs w:val="22"/>
        </w:rPr>
        <w:t>本项目与《土地复垦条例实施办法》符合性分析见下表，本项目土地复垦严格按照《土地复垦条例实施办法》要求执行，本项目与《土地复垦条例实施办法》要求相符。</w:t>
      </w:r>
    </w:p>
    <w:p w14:paraId="47217B18">
      <w:pPr>
        <w:adjustRightInd w:val="0"/>
        <w:snapToGrid w:val="0"/>
        <w:spacing w:line="500" w:lineRule="exact"/>
        <w:jc w:val="center"/>
        <w:rPr>
          <w:rFonts w:eastAsia="黑体"/>
          <w:snapToGrid w:val="0"/>
          <w:color w:val="auto"/>
          <w:sz w:val="24"/>
          <w:szCs w:val="22"/>
          <w:lang w:val="zh-CN"/>
        </w:rPr>
      </w:pPr>
      <w:r>
        <w:rPr>
          <w:rFonts w:hint="eastAsia" w:eastAsia="黑体"/>
          <w:snapToGrid w:val="0"/>
          <w:color w:val="auto"/>
          <w:sz w:val="24"/>
          <w:szCs w:val="22"/>
          <w:lang w:val="zh-CN"/>
        </w:rPr>
        <w:t>表</w:t>
      </w:r>
      <w:r>
        <w:rPr>
          <w:rFonts w:eastAsia="黑体"/>
          <w:snapToGrid w:val="0"/>
          <w:color w:val="auto"/>
          <w:sz w:val="24"/>
          <w:szCs w:val="22"/>
          <w:lang w:val="zh-CN"/>
        </w:rPr>
        <w:t>1-4-3</w:t>
      </w:r>
      <w:r>
        <w:rPr>
          <w:rFonts w:hint="eastAsia" w:eastAsia="黑体"/>
          <w:snapToGrid w:val="0"/>
          <w:color w:val="auto"/>
          <w:sz w:val="24"/>
          <w:szCs w:val="22"/>
          <w:lang w:val="zh-CN"/>
        </w:rPr>
        <w:t>与《土地复垦条例实施办法》符合性分析</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656"/>
        <w:gridCol w:w="3999"/>
        <w:gridCol w:w="651"/>
      </w:tblGrid>
      <w:tr w14:paraId="511CC1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01" w:type="pct"/>
            <w:tcBorders>
              <w:top w:val="single" w:color="auto" w:sz="12" w:space="0"/>
              <w:left w:val="nil"/>
              <w:bottom w:val="single" w:color="auto" w:sz="4" w:space="0"/>
              <w:right w:val="single" w:color="auto" w:sz="4" w:space="0"/>
            </w:tcBorders>
            <w:vAlign w:val="center"/>
          </w:tcPr>
          <w:p w14:paraId="3A86FFC5">
            <w:pPr>
              <w:jc w:val="center"/>
              <w:rPr>
                <w:rFonts w:ascii="Calibri" w:hAnsi="Calibri"/>
                <w:color w:val="auto"/>
                <w:szCs w:val="22"/>
              </w:rPr>
            </w:pPr>
            <w:r>
              <w:rPr>
                <w:rFonts w:hint="eastAsia" w:ascii="Calibri" w:hAnsi="Calibri"/>
                <w:color w:val="auto"/>
                <w:szCs w:val="22"/>
                <w:lang w:val="zh-CN"/>
              </w:rPr>
              <w:t>土地复垦条例实施办法</w:t>
            </w:r>
            <w:r>
              <w:rPr>
                <w:rFonts w:hint="eastAsia" w:ascii="Calibri" w:hAnsi="Calibri"/>
                <w:color w:val="auto"/>
                <w:szCs w:val="22"/>
              </w:rPr>
              <w:t>要求</w:t>
            </w:r>
          </w:p>
        </w:tc>
        <w:tc>
          <w:tcPr>
            <w:tcW w:w="2407" w:type="pct"/>
            <w:tcBorders>
              <w:top w:val="single" w:color="auto" w:sz="12" w:space="0"/>
              <w:left w:val="single" w:color="auto" w:sz="4" w:space="0"/>
              <w:bottom w:val="single" w:color="auto" w:sz="4" w:space="0"/>
              <w:right w:val="single" w:color="auto" w:sz="4" w:space="0"/>
            </w:tcBorders>
            <w:vAlign w:val="center"/>
          </w:tcPr>
          <w:p w14:paraId="61BDDAF3">
            <w:pPr>
              <w:jc w:val="center"/>
              <w:rPr>
                <w:rFonts w:ascii="Calibri" w:hAnsi="Calibri"/>
                <w:color w:val="auto"/>
                <w:szCs w:val="22"/>
              </w:rPr>
            </w:pPr>
            <w:r>
              <w:rPr>
                <w:rFonts w:hint="eastAsia" w:ascii="Calibri" w:hAnsi="Calibri"/>
                <w:color w:val="auto"/>
                <w:szCs w:val="22"/>
                <w:lang w:val="zh-CN"/>
              </w:rPr>
              <w:t>本项目情况</w:t>
            </w:r>
          </w:p>
        </w:tc>
        <w:tc>
          <w:tcPr>
            <w:tcW w:w="392" w:type="pct"/>
            <w:tcBorders>
              <w:top w:val="single" w:color="auto" w:sz="12" w:space="0"/>
              <w:left w:val="single" w:color="auto" w:sz="4" w:space="0"/>
              <w:bottom w:val="single" w:color="auto" w:sz="4" w:space="0"/>
              <w:right w:val="nil"/>
            </w:tcBorders>
            <w:vAlign w:val="center"/>
          </w:tcPr>
          <w:p w14:paraId="6783EE7B">
            <w:pPr>
              <w:jc w:val="center"/>
              <w:rPr>
                <w:rFonts w:ascii="Calibri" w:hAnsi="Calibri"/>
                <w:color w:val="auto"/>
                <w:szCs w:val="22"/>
              </w:rPr>
            </w:pPr>
            <w:r>
              <w:rPr>
                <w:rFonts w:hint="eastAsia" w:ascii="Calibri" w:hAnsi="Calibri"/>
                <w:color w:val="auto"/>
                <w:szCs w:val="22"/>
                <w:lang w:val="zh-CN"/>
              </w:rPr>
              <w:t>符合性</w:t>
            </w:r>
          </w:p>
        </w:tc>
      </w:tr>
      <w:tr w14:paraId="760C15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01" w:type="pct"/>
            <w:tcBorders>
              <w:top w:val="single" w:color="auto" w:sz="4" w:space="0"/>
              <w:left w:val="nil"/>
              <w:bottom w:val="single" w:color="auto" w:sz="4" w:space="0"/>
              <w:right w:val="single" w:color="auto" w:sz="4" w:space="0"/>
            </w:tcBorders>
            <w:vAlign w:val="center"/>
          </w:tcPr>
          <w:p w14:paraId="2B0B7A09">
            <w:pPr>
              <w:rPr>
                <w:rFonts w:ascii="Calibri" w:hAnsi="Calibri"/>
                <w:color w:val="auto"/>
                <w:szCs w:val="22"/>
                <w:lang w:val="zh-CN"/>
              </w:rPr>
            </w:pPr>
            <w:r>
              <w:rPr>
                <w:rFonts w:hint="eastAsia" w:ascii="Calibri" w:hAnsi="Calibri"/>
                <w:color w:val="auto"/>
                <w:szCs w:val="22"/>
                <w:lang w:val="zh-CN"/>
              </w:rPr>
              <w:t>第二条土地复垦应当综合考虑复垦后土地利用的社会效益、经济效益和生态效益。</w:t>
            </w:r>
          </w:p>
          <w:p w14:paraId="3C0EC4E3">
            <w:pPr>
              <w:rPr>
                <w:rFonts w:ascii="Calibri" w:hAnsi="Calibri"/>
                <w:color w:val="auto"/>
                <w:szCs w:val="22"/>
                <w:lang w:val="zh-CN"/>
              </w:rPr>
            </w:pPr>
            <w:r>
              <w:rPr>
                <w:rFonts w:hint="eastAsia" w:ascii="Calibri" w:hAnsi="Calibri"/>
                <w:color w:val="auto"/>
                <w:szCs w:val="22"/>
                <w:lang w:val="zh-CN"/>
              </w:rPr>
              <w:t>生产建设活动造成耕地损毁的，能够复垦为耕地的，应当优先复垦为耕地。</w:t>
            </w:r>
          </w:p>
        </w:tc>
        <w:tc>
          <w:tcPr>
            <w:tcW w:w="2407" w:type="pct"/>
            <w:tcBorders>
              <w:top w:val="single" w:color="auto" w:sz="4" w:space="0"/>
              <w:left w:val="single" w:color="auto" w:sz="4" w:space="0"/>
              <w:bottom w:val="single" w:color="auto" w:sz="4" w:space="0"/>
              <w:right w:val="single" w:color="auto" w:sz="4" w:space="0"/>
            </w:tcBorders>
            <w:vAlign w:val="center"/>
          </w:tcPr>
          <w:p w14:paraId="4576952D">
            <w:pPr>
              <w:rPr>
                <w:rFonts w:ascii="Calibri" w:hAnsi="Calibri"/>
                <w:color w:val="auto"/>
                <w:szCs w:val="22"/>
              </w:rPr>
            </w:pPr>
            <w:r>
              <w:rPr>
                <w:rFonts w:hint="eastAsia" w:ascii="Calibri" w:hAnsi="Calibri"/>
                <w:color w:val="auto"/>
                <w:szCs w:val="22"/>
              </w:rPr>
              <w:t>结合治理区地质环境条件、所处的地理位置、土地规划和周边土地利用性质等因素，本项目最终土地复垦为耕地。</w:t>
            </w:r>
          </w:p>
        </w:tc>
        <w:tc>
          <w:tcPr>
            <w:tcW w:w="392" w:type="pct"/>
            <w:tcBorders>
              <w:top w:val="single" w:color="auto" w:sz="4" w:space="0"/>
              <w:left w:val="single" w:color="auto" w:sz="4" w:space="0"/>
              <w:bottom w:val="single" w:color="auto" w:sz="4" w:space="0"/>
              <w:right w:val="nil"/>
            </w:tcBorders>
            <w:vAlign w:val="center"/>
          </w:tcPr>
          <w:p w14:paraId="5ECAD28B">
            <w:pPr>
              <w:jc w:val="center"/>
              <w:rPr>
                <w:rFonts w:ascii="Calibri" w:hAnsi="Calibri"/>
                <w:color w:val="auto"/>
                <w:szCs w:val="22"/>
              </w:rPr>
            </w:pPr>
            <w:r>
              <w:rPr>
                <w:rFonts w:hint="eastAsia" w:ascii="Calibri" w:hAnsi="Calibri"/>
                <w:color w:val="auto"/>
                <w:szCs w:val="22"/>
              </w:rPr>
              <w:t>符合</w:t>
            </w:r>
          </w:p>
        </w:tc>
      </w:tr>
      <w:tr w14:paraId="76D9B2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01" w:type="pct"/>
            <w:tcBorders>
              <w:top w:val="single" w:color="auto" w:sz="4" w:space="0"/>
              <w:left w:val="nil"/>
              <w:bottom w:val="single" w:color="auto" w:sz="4" w:space="0"/>
              <w:right w:val="single" w:color="auto" w:sz="4" w:space="0"/>
            </w:tcBorders>
            <w:vAlign w:val="center"/>
          </w:tcPr>
          <w:p w14:paraId="3BE5E560">
            <w:pPr>
              <w:rPr>
                <w:rFonts w:ascii="Calibri" w:hAnsi="Calibri"/>
                <w:color w:val="auto"/>
                <w:szCs w:val="22"/>
              </w:rPr>
            </w:pPr>
            <w:r>
              <w:rPr>
                <w:rFonts w:hint="eastAsia" w:ascii="Calibri" w:hAnsi="Calibri"/>
                <w:color w:val="auto"/>
                <w:szCs w:val="22"/>
              </w:rPr>
              <w:t>第二十五条土地复垦义务人应当对生产建设活动损毁土地的规模、程度和复垦过程中土地复垦工程质量、土地复垦效果等实施全程控制，并对验收合格后的复垦土地采取管护措施，保证土地复垦效果。</w:t>
            </w:r>
          </w:p>
        </w:tc>
        <w:tc>
          <w:tcPr>
            <w:tcW w:w="2407" w:type="pct"/>
            <w:tcBorders>
              <w:top w:val="single" w:color="auto" w:sz="4" w:space="0"/>
              <w:left w:val="single" w:color="auto" w:sz="4" w:space="0"/>
              <w:bottom w:val="single" w:color="auto" w:sz="4" w:space="0"/>
              <w:right w:val="single" w:color="auto" w:sz="4" w:space="0"/>
            </w:tcBorders>
            <w:vAlign w:val="center"/>
          </w:tcPr>
          <w:p w14:paraId="64FDE953">
            <w:pPr>
              <w:rPr>
                <w:rFonts w:ascii="Calibri" w:hAnsi="Calibri"/>
                <w:color w:val="auto"/>
                <w:szCs w:val="22"/>
              </w:rPr>
            </w:pPr>
            <w:r>
              <w:rPr>
                <w:rFonts w:hint="eastAsia" w:ascii="宋体" w:hAnsi="宋体" w:cs="宋体"/>
                <w:color w:val="auto"/>
                <w:szCs w:val="22"/>
              </w:rPr>
              <w:t>本项目建设单位对废弃采坑</w:t>
            </w:r>
            <w:r>
              <w:rPr>
                <w:rFonts w:hint="eastAsia" w:ascii="Calibri" w:hAnsi="Calibri"/>
                <w:color w:val="auto"/>
                <w:szCs w:val="22"/>
              </w:rPr>
              <w:t>复垦过程中土地复垦工程质量、土地复垦效果等实施全程控制，并对验收合格后的复垦土地采取管护措施，保证土地复垦效果。</w:t>
            </w:r>
          </w:p>
        </w:tc>
        <w:tc>
          <w:tcPr>
            <w:tcW w:w="392" w:type="pct"/>
            <w:tcBorders>
              <w:top w:val="single" w:color="auto" w:sz="4" w:space="0"/>
              <w:left w:val="single" w:color="auto" w:sz="4" w:space="0"/>
              <w:bottom w:val="single" w:color="auto" w:sz="4" w:space="0"/>
              <w:right w:val="nil"/>
            </w:tcBorders>
            <w:vAlign w:val="center"/>
          </w:tcPr>
          <w:p w14:paraId="760959DE">
            <w:pPr>
              <w:jc w:val="center"/>
              <w:rPr>
                <w:rFonts w:ascii="Calibri" w:hAnsi="Calibri"/>
                <w:color w:val="auto"/>
                <w:szCs w:val="22"/>
              </w:rPr>
            </w:pPr>
            <w:r>
              <w:rPr>
                <w:rFonts w:hint="eastAsia" w:ascii="Calibri" w:hAnsi="Calibri"/>
                <w:color w:val="auto"/>
                <w:szCs w:val="22"/>
              </w:rPr>
              <w:t>符合</w:t>
            </w:r>
          </w:p>
        </w:tc>
      </w:tr>
      <w:tr w14:paraId="4B8B20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2201" w:type="pct"/>
            <w:tcBorders>
              <w:top w:val="single" w:color="auto" w:sz="4" w:space="0"/>
              <w:left w:val="nil"/>
              <w:bottom w:val="single" w:color="auto" w:sz="12" w:space="0"/>
              <w:right w:val="single" w:color="auto" w:sz="4" w:space="0"/>
            </w:tcBorders>
            <w:vAlign w:val="center"/>
          </w:tcPr>
          <w:p w14:paraId="2E79CE42">
            <w:pPr>
              <w:rPr>
                <w:rFonts w:ascii="Calibri" w:hAnsi="Calibri"/>
                <w:color w:val="auto"/>
                <w:szCs w:val="22"/>
              </w:rPr>
            </w:pPr>
            <w:r>
              <w:rPr>
                <w:rFonts w:hint="eastAsia" w:ascii="Calibri" w:hAnsi="Calibri"/>
                <w:color w:val="auto"/>
                <w:szCs w:val="22"/>
              </w:rPr>
              <w:t>第三十三条土地复垦义务人完成土地复垦任务后，应当组织自查，向项目所在地县级自然资源主管部门提出验收书面申请，并提供下列材料：</w:t>
            </w:r>
          </w:p>
          <w:p w14:paraId="5C45D964">
            <w:pPr>
              <w:rPr>
                <w:rFonts w:ascii="Calibri" w:hAnsi="Calibri"/>
                <w:color w:val="auto"/>
                <w:szCs w:val="22"/>
              </w:rPr>
            </w:pPr>
            <w:r>
              <w:rPr>
                <w:rFonts w:ascii="Calibri" w:hAnsi="Calibri"/>
                <w:color w:val="auto"/>
                <w:szCs w:val="22"/>
              </w:rPr>
              <w:t>(</w:t>
            </w:r>
            <w:r>
              <w:rPr>
                <w:rFonts w:hint="eastAsia" w:ascii="Calibri" w:hAnsi="Calibri"/>
                <w:color w:val="auto"/>
                <w:szCs w:val="22"/>
              </w:rPr>
              <w:t>一</w:t>
            </w:r>
            <w:r>
              <w:rPr>
                <w:rFonts w:ascii="Calibri" w:hAnsi="Calibri"/>
                <w:color w:val="auto"/>
                <w:szCs w:val="22"/>
              </w:rPr>
              <w:t>)</w:t>
            </w:r>
            <w:r>
              <w:rPr>
                <w:rFonts w:hint="eastAsia" w:ascii="Calibri" w:hAnsi="Calibri"/>
                <w:color w:val="auto"/>
                <w:szCs w:val="22"/>
              </w:rPr>
              <w:t>验收调查报告及相关图件；</w:t>
            </w:r>
          </w:p>
          <w:p w14:paraId="18190791">
            <w:pPr>
              <w:rPr>
                <w:rFonts w:ascii="Calibri" w:hAnsi="Calibri"/>
                <w:color w:val="auto"/>
                <w:szCs w:val="22"/>
              </w:rPr>
            </w:pPr>
            <w:r>
              <w:rPr>
                <w:rFonts w:ascii="Calibri" w:hAnsi="Calibri"/>
                <w:color w:val="auto"/>
                <w:szCs w:val="22"/>
              </w:rPr>
              <w:t>(</w:t>
            </w:r>
            <w:r>
              <w:rPr>
                <w:rFonts w:hint="eastAsia" w:ascii="Calibri" w:hAnsi="Calibri"/>
                <w:color w:val="auto"/>
                <w:szCs w:val="22"/>
              </w:rPr>
              <w:t>二</w:t>
            </w:r>
            <w:r>
              <w:rPr>
                <w:rFonts w:ascii="Calibri" w:hAnsi="Calibri"/>
                <w:color w:val="auto"/>
                <w:szCs w:val="22"/>
              </w:rPr>
              <w:t>)</w:t>
            </w:r>
            <w:r>
              <w:rPr>
                <w:rFonts w:hint="eastAsia" w:ascii="Calibri" w:hAnsi="Calibri"/>
                <w:color w:val="auto"/>
                <w:szCs w:val="22"/>
              </w:rPr>
              <w:t>规划设计执行报告；</w:t>
            </w:r>
          </w:p>
          <w:p w14:paraId="18A72083">
            <w:pPr>
              <w:rPr>
                <w:rFonts w:ascii="Calibri" w:hAnsi="Calibri"/>
                <w:color w:val="auto"/>
                <w:szCs w:val="22"/>
              </w:rPr>
            </w:pPr>
            <w:r>
              <w:rPr>
                <w:rFonts w:ascii="Calibri" w:hAnsi="Calibri"/>
                <w:color w:val="auto"/>
                <w:szCs w:val="22"/>
              </w:rPr>
              <w:t>(</w:t>
            </w:r>
            <w:r>
              <w:rPr>
                <w:rFonts w:hint="eastAsia" w:ascii="Calibri" w:hAnsi="Calibri"/>
                <w:color w:val="auto"/>
                <w:szCs w:val="22"/>
              </w:rPr>
              <w:t>三</w:t>
            </w:r>
            <w:r>
              <w:rPr>
                <w:rFonts w:ascii="Calibri" w:hAnsi="Calibri"/>
                <w:color w:val="auto"/>
                <w:szCs w:val="22"/>
              </w:rPr>
              <w:t>)</w:t>
            </w:r>
            <w:r>
              <w:rPr>
                <w:rFonts w:hint="eastAsia" w:ascii="Calibri" w:hAnsi="Calibri"/>
                <w:color w:val="auto"/>
                <w:szCs w:val="22"/>
              </w:rPr>
              <w:t>质量评估报告；</w:t>
            </w:r>
          </w:p>
          <w:p w14:paraId="17169BC5">
            <w:pPr>
              <w:rPr>
                <w:rFonts w:ascii="Calibri" w:hAnsi="Calibri"/>
                <w:color w:val="auto"/>
                <w:szCs w:val="22"/>
              </w:rPr>
            </w:pPr>
            <w:r>
              <w:rPr>
                <w:rFonts w:ascii="Calibri" w:hAnsi="Calibri"/>
                <w:color w:val="auto"/>
                <w:szCs w:val="22"/>
              </w:rPr>
              <w:t>(</w:t>
            </w:r>
            <w:r>
              <w:rPr>
                <w:rFonts w:hint="eastAsia" w:ascii="Calibri" w:hAnsi="Calibri"/>
                <w:color w:val="auto"/>
                <w:szCs w:val="22"/>
              </w:rPr>
              <w:t>四</w:t>
            </w:r>
            <w:r>
              <w:rPr>
                <w:rFonts w:ascii="Calibri" w:hAnsi="Calibri"/>
                <w:color w:val="auto"/>
                <w:szCs w:val="22"/>
              </w:rPr>
              <w:t>)</w:t>
            </w:r>
            <w:r>
              <w:rPr>
                <w:rFonts w:hint="eastAsia" w:ascii="Calibri" w:hAnsi="Calibri"/>
                <w:color w:val="auto"/>
                <w:szCs w:val="22"/>
              </w:rPr>
              <w:t>检测等其他报告。</w:t>
            </w:r>
          </w:p>
        </w:tc>
        <w:tc>
          <w:tcPr>
            <w:tcW w:w="2407" w:type="pct"/>
            <w:tcBorders>
              <w:top w:val="single" w:color="auto" w:sz="4" w:space="0"/>
              <w:left w:val="single" w:color="auto" w:sz="4" w:space="0"/>
              <w:bottom w:val="single" w:color="auto" w:sz="12" w:space="0"/>
              <w:right w:val="single" w:color="auto" w:sz="4" w:space="0"/>
            </w:tcBorders>
            <w:vAlign w:val="center"/>
          </w:tcPr>
          <w:p w14:paraId="77C1B17E">
            <w:pPr>
              <w:rPr>
                <w:rFonts w:ascii="Calibri" w:hAnsi="Calibri"/>
                <w:color w:val="auto"/>
                <w:szCs w:val="22"/>
              </w:rPr>
            </w:pPr>
            <w:r>
              <w:rPr>
                <w:rFonts w:hint="eastAsia" w:ascii="宋体" w:hAnsi="宋体" w:cs="宋体"/>
                <w:color w:val="auto"/>
                <w:szCs w:val="22"/>
              </w:rPr>
              <w:t>本项目建设单位在</w:t>
            </w:r>
            <w:r>
              <w:rPr>
                <w:rFonts w:hint="eastAsia" w:ascii="Calibri" w:hAnsi="Calibri"/>
                <w:color w:val="auto"/>
                <w:szCs w:val="22"/>
              </w:rPr>
              <w:t>完成土地复垦任务后，应当组织自查，向项目所在地县级自然资源主管部门提出验收书面申请。</w:t>
            </w:r>
          </w:p>
        </w:tc>
        <w:tc>
          <w:tcPr>
            <w:tcW w:w="392" w:type="pct"/>
            <w:tcBorders>
              <w:top w:val="single" w:color="auto" w:sz="4" w:space="0"/>
              <w:left w:val="single" w:color="auto" w:sz="4" w:space="0"/>
              <w:bottom w:val="single" w:color="auto" w:sz="12" w:space="0"/>
              <w:right w:val="nil"/>
            </w:tcBorders>
            <w:vAlign w:val="center"/>
          </w:tcPr>
          <w:p w14:paraId="3AD0D513">
            <w:pPr>
              <w:jc w:val="center"/>
              <w:rPr>
                <w:rFonts w:ascii="Calibri" w:hAnsi="Calibri"/>
                <w:color w:val="auto"/>
                <w:szCs w:val="22"/>
              </w:rPr>
            </w:pPr>
            <w:r>
              <w:rPr>
                <w:rFonts w:hint="eastAsia" w:ascii="Calibri" w:hAnsi="Calibri"/>
                <w:color w:val="auto"/>
                <w:szCs w:val="22"/>
              </w:rPr>
              <w:t>符合</w:t>
            </w:r>
          </w:p>
        </w:tc>
      </w:tr>
    </w:tbl>
    <w:p w14:paraId="488EEF8E">
      <w:pPr>
        <w:pStyle w:val="135"/>
        <w:bidi w:val="0"/>
        <w:rPr>
          <w:color w:val="auto"/>
          <w:lang w:val="zh-CN"/>
        </w:rPr>
      </w:pPr>
      <w:r>
        <w:rPr>
          <w:color w:val="auto"/>
          <w:lang w:val="zh-CN"/>
        </w:rPr>
        <w:t>1.4.3.</w:t>
      </w:r>
      <w:r>
        <w:rPr>
          <w:rFonts w:hint="eastAsia"/>
          <w:color w:val="auto"/>
          <w:lang w:val="en-US" w:eastAsia="zh-CN"/>
        </w:rPr>
        <w:t>9</w:t>
      </w:r>
      <w:r>
        <w:rPr>
          <w:rFonts w:hint="eastAsia"/>
          <w:color w:val="auto"/>
          <w:lang w:val="zh-CN"/>
        </w:rPr>
        <w:t>与《一般工业固体废物贮存和填埋污染控制标准》（</w:t>
      </w:r>
      <w:r>
        <w:rPr>
          <w:color w:val="auto"/>
          <w:lang w:val="zh-CN"/>
        </w:rPr>
        <w:t>GB18599-2020</w:t>
      </w:r>
      <w:r>
        <w:rPr>
          <w:rFonts w:hint="eastAsia"/>
          <w:color w:val="auto"/>
          <w:lang w:val="zh-CN"/>
        </w:rPr>
        <w:t>）符合性分析</w:t>
      </w:r>
    </w:p>
    <w:p w14:paraId="2AD80B62">
      <w:pPr>
        <w:spacing w:line="360" w:lineRule="auto"/>
        <w:ind w:firstLine="480" w:firstLineChars="200"/>
        <w:rPr>
          <w:color w:val="auto"/>
          <w:sz w:val="24"/>
        </w:rPr>
      </w:pPr>
      <w:r>
        <w:rPr>
          <w:rFonts w:hint="eastAsia"/>
          <w:color w:val="auto"/>
          <w:sz w:val="24"/>
        </w:rPr>
        <w:t>本项目为回填复垦项目，</w:t>
      </w:r>
      <w:r>
        <w:rPr>
          <w:rFonts w:hint="eastAsia"/>
          <w:color w:val="auto"/>
          <w:sz w:val="24"/>
          <w:lang w:eastAsia="zh-CN"/>
        </w:rPr>
        <w:t>灰渣</w:t>
      </w:r>
      <w:r>
        <w:rPr>
          <w:rFonts w:hint="eastAsia"/>
          <w:color w:val="auto"/>
          <w:sz w:val="24"/>
        </w:rPr>
        <w:t>属于第</w:t>
      </w:r>
      <w:r>
        <w:rPr>
          <w:color w:val="auto"/>
          <w:sz w:val="24"/>
        </w:rPr>
        <w:t>Ⅰ</w:t>
      </w:r>
      <w:r>
        <w:rPr>
          <w:rFonts w:hint="eastAsia"/>
          <w:color w:val="auto"/>
          <w:sz w:val="24"/>
        </w:rPr>
        <w:t>类一般工业固体废物，本项目与《一般工业固体废物贮存和填埋污染控制标准》（</w:t>
      </w:r>
      <w:r>
        <w:rPr>
          <w:color w:val="auto"/>
          <w:sz w:val="24"/>
        </w:rPr>
        <w:t>GB18599-2020</w:t>
      </w:r>
      <w:r>
        <w:rPr>
          <w:rFonts w:hint="eastAsia"/>
          <w:color w:val="auto"/>
          <w:sz w:val="24"/>
        </w:rPr>
        <w:t>）相符性分析如下。</w:t>
      </w:r>
    </w:p>
    <w:p w14:paraId="12A64318">
      <w:pPr>
        <w:adjustRightInd w:val="0"/>
        <w:snapToGrid w:val="0"/>
        <w:spacing w:line="500" w:lineRule="exact"/>
        <w:jc w:val="center"/>
        <w:rPr>
          <w:rFonts w:eastAsia="黑体"/>
          <w:color w:val="auto"/>
          <w:sz w:val="24"/>
          <w:szCs w:val="22"/>
          <w:lang w:val="zh-CN"/>
        </w:rPr>
      </w:pPr>
      <w:r>
        <w:rPr>
          <w:rFonts w:hint="eastAsia" w:eastAsia="黑体"/>
          <w:color w:val="auto"/>
          <w:sz w:val="24"/>
          <w:szCs w:val="22"/>
          <w:lang w:val="zh-CN"/>
        </w:rPr>
        <w:t>表</w:t>
      </w:r>
      <w:r>
        <w:rPr>
          <w:rFonts w:eastAsia="黑体"/>
          <w:color w:val="auto"/>
          <w:sz w:val="24"/>
          <w:szCs w:val="22"/>
          <w:lang w:val="zh-CN"/>
        </w:rPr>
        <w:t>1-4-4</w:t>
      </w:r>
      <w:r>
        <w:rPr>
          <w:rFonts w:hint="eastAsia" w:eastAsia="黑体"/>
          <w:color w:val="auto"/>
          <w:sz w:val="24"/>
          <w:szCs w:val="22"/>
          <w:lang w:val="zh-CN"/>
        </w:rPr>
        <w:t>与</w:t>
      </w:r>
      <w:r>
        <w:rPr>
          <w:rFonts w:eastAsia="黑体"/>
          <w:color w:val="auto"/>
          <w:sz w:val="24"/>
          <w:szCs w:val="22"/>
          <w:lang w:val="zh-CN"/>
        </w:rPr>
        <w:t>GB18599-2020</w:t>
      </w:r>
      <w:r>
        <w:rPr>
          <w:rFonts w:hint="eastAsia" w:eastAsia="黑体"/>
          <w:color w:val="auto"/>
          <w:sz w:val="24"/>
          <w:szCs w:val="22"/>
          <w:lang w:val="zh-CN"/>
        </w:rPr>
        <w:t>符合性分析</w:t>
      </w:r>
    </w:p>
    <w:tbl>
      <w:tblPr>
        <w:tblStyle w:val="4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40"/>
        <w:gridCol w:w="888"/>
        <w:gridCol w:w="3467"/>
        <w:gridCol w:w="2836"/>
        <w:gridCol w:w="772"/>
      </w:tblGrid>
      <w:tr w14:paraId="036692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827" w:type="pct"/>
            <w:gridSpan w:val="3"/>
            <w:tcBorders>
              <w:top w:val="single" w:color="auto" w:sz="12" w:space="0"/>
              <w:left w:val="nil"/>
              <w:bottom w:val="single" w:color="auto" w:sz="4" w:space="0"/>
              <w:right w:val="single" w:color="auto" w:sz="4" w:space="0"/>
            </w:tcBorders>
            <w:vAlign w:val="center"/>
          </w:tcPr>
          <w:p w14:paraId="3E09AFCB">
            <w:pPr>
              <w:jc w:val="center"/>
              <w:rPr>
                <w:color w:val="auto"/>
                <w:szCs w:val="22"/>
                <w:lang w:val="zh-CN"/>
              </w:rPr>
            </w:pPr>
            <w:r>
              <w:rPr>
                <w:rFonts w:hint="eastAsia"/>
                <w:color w:val="auto"/>
                <w:szCs w:val="22"/>
                <w:lang w:val="zh-CN"/>
              </w:rPr>
              <w:t>相关要求</w:t>
            </w:r>
          </w:p>
        </w:tc>
        <w:tc>
          <w:tcPr>
            <w:tcW w:w="1708" w:type="pct"/>
            <w:tcBorders>
              <w:top w:val="single" w:color="auto" w:sz="12" w:space="0"/>
              <w:left w:val="single" w:color="auto" w:sz="4" w:space="0"/>
              <w:bottom w:val="single" w:color="auto" w:sz="4" w:space="0"/>
              <w:right w:val="single" w:color="auto" w:sz="4" w:space="0"/>
            </w:tcBorders>
            <w:vAlign w:val="center"/>
          </w:tcPr>
          <w:p w14:paraId="300688A0">
            <w:pPr>
              <w:jc w:val="center"/>
              <w:rPr>
                <w:color w:val="auto"/>
                <w:szCs w:val="22"/>
                <w:lang w:val="zh-CN"/>
              </w:rPr>
            </w:pPr>
            <w:r>
              <w:rPr>
                <w:rFonts w:hint="eastAsia"/>
                <w:color w:val="auto"/>
                <w:szCs w:val="22"/>
                <w:lang w:val="zh-CN"/>
              </w:rPr>
              <w:t>本项目情况</w:t>
            </w:r>
          </w:p>
        </w:tc>
        <w:tc>
          <w:tcPr>
            <w:tcW w:w="465" w:type="pct"/>
            <w:tcBorders>
              <w:top w:val="single" w:color="auto" w:sz="12" w:space="0"/>
              <w:left w:val="single" w:color="auto" w:sz="4" w:space="0"/>
              <w:bottom w:val="single" w:color="auto" w:sz="4" w:space="0"/>
              <w:right w:val="nil"/>
            </w:tcBorders>
            <w:vAlign w:val="center"/>
          </w:tcPr>
          <w:p w14:paraId="5126E320">
            <w:pPr>
              <w:jc w:val="center"/>
              <w:rPr>
                <w:color w:val="auto"/>
                <w:szCs w:val="22"/>
                <w:lang w:val="zh-CN"/>
              </w:rPr>
            </w:pPr>
            <w:r>
              <w:rPr>
                <w:rFonts w:hint="eastAsia"/>
                <w:color w:val="auto"/>
                <w:szCs w:val="22"/>
                <w:lang w:val="zh-CN"/>
              </w:rPr>
              <w:t>符合性</w:t>
            </w:r>
          </w:p>
        </w:tc>
      </w:tr>
      <w:tr w14:paraId="4BCE75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95" w:hRule="atLeast"/>
        </w:trPr>
        <w:tc>
          <w:tcPr>
            <w:tcW w:w="205" w:type="pct"/>
            <w:vMerge w:val="restart"/>
            <w:tcBorders>
              <w:top w:val="single" w:color="auto" w:sz="4" w:space="0"/>
              <w:left w:val="nil"/>
              <w:bottom w:val="single" w:color="auto" w:sz="4" w:space="0"/>
              <w:right w:val="single" w:color="auto" w:sz="4" w:space="0"/>
            </w:tcBorders>
            <w:vAlign w:val="center"/>
          </w:tcPr>
          <w:p w14:paraId="630576C6">
            <w:pPr>
              <w:rPr>
                <w:color w:val="auto"/>
                <w:szCs w:val="22"/>
                <w:lang w:val="zh-CN"/>
              </w:rPr>
            </w:pPr>
            <w:r>
              <w:rPr>
                <w:color w:val="auto"/>
                <w:szCs w:val="22"/>
                <w:lang w:val="zh-CN"/>
              </w:rPr>
              <w:t>8</w:t>
            </w:r>
          </w:p>
        </w:tc>
        <w:tc>
          <w:tcPr>
            <w:tcW w:w="535" w:type="pct"/>
            <w:vMerge w:val="restart"/>
            <w:tcBorders>
              <w:top w:val="single" w:color="auto" w:sz="4" w:space="0"/>
              <w:left w:val="single" w:color="auto" w:sz="4" w:space="0"/>
              <w:bottom w:val="single" w:color="auto" w:sz="4" w:space="0"/>
              <w:right w:val="single" w:color="auto" w:sz="4" w:space="0"/>
            </w:tcBorders>
            <w:vAlign w:val="center"/>
          </w:tcPr>
          <w:p w14:paraId="63A44EEF">
            <w:pPr>
              <w:rPr>
                <w:color w:val="auto"/>
                <w:szCs w:val="22"/>
                <w:lang w:val="zh-CN"/>
              </w:rPr>
            </w:pPr>
            <w:r>
              <w:rPr>
                <w:rFonts w:hint="eastAsia"/>
                <w:color w:val="auto"/>
                <w:szCs w:val="22"/>
                <w:lang w:val="zh-CN"/>
              </w:rPr>
              <w:t>充填及回填利用污染控制要求</w:t>
            </w:r>
          </w:p>
        </w:tc>
        <w:tc>
          <w:tcPr>
            <w:tcW w:w="2088" w:type="pct"/>
            <w:tcBorders>
              <w:top w:val="single" w:color="auto" w:sz="4" w:space="0"/>
              <w:left w:val="single" w:color="auto" w:sz="4" w:space="0"/>
              <w:bottom w:val="single" w:color="auto" w:sz="4" w:space="0"/>
              <w:right w:val="single" w:color="auto" w:sz="4" w:space="0"/>
            </w:tcBorders>
            <w:vAlign w:val="center"/>
          </w:tcPr>
          <w:p w14:paraId="4677A7F0">
            <w:pPr>
              <w:rPr>
                <w:color w:val="auto"/>
                <w:szCs w:val="22"/>
                <w:lang w:val="zh-CN"/>
              </w:rPr>
            </w:pPr>
            <w:r>
              <w:rPr>
                <w:color w:val="auto"/>
                <w:szCs w:val="22"/>
                <w:lang w:val="zh-CN"/>
              </w:rPr>
              <w:t>8.1</w:t>
            </w:r>
            <w:r>
              <w:rPr>
                <w:rFonts w:hint="eastAsia"/>
                <w:color w:val="auto"/>
                <w:szCs w:val="22"/>
                <w:lang w:val="zh-CN"/>
              </w:rPr>
              <w:t>第</w:t>
            </w:r>
            <w:r>
              <w:rPr>
                <w:color w:val="auto"/>
                <w:szCs w:val="22"/>
                <w:lang w:val="zh-CN"/>
              </w:rPr>
              <w:t>I</w:t>
            </w:r>
            <w:r>
              <w:rPr>
                <w:rFonts w:hint="eastAsia"/>
                <w:color w:val="auto"/>
                <w:szCs w:val="22"/>
                <w:lang w:val="zh-CN"/>
              </w:rPr>
              <w:t>类一般工业固体废物可按下列途径进行充填或回填作业：</w:t>
            </w:r>
          </w:p>
          <w:p w14:paraId="74A9B40C">
            <w:pPr>
              <w:rPr>
                <w:color w:val="auto"/>
                <w:szCs w:val="22"/>
                <w:lang w:val="zh-CN"/>
              </w:rPr>
            </w:pPr>
            <w:r>
              <w:rPr>
                <w:color w:val="auto"/>
                <w:szCs w:val="22"/>
                <w:lang w:val="zh-CN"/>
              </w:rPr>
              <w:t>a</w:t>
            </w:r>
            <w:r>
              <w:rPr>
                <w:rFonts w:hint="eastAsia"/>
                <w:color w:val="auto"/>
                <w:szCs w:val="22"/>
                <w:lang w:val="zh-CN"/>
              </w:rPr>
              <w:t>）粉煤灰可在煤炭开采矿区的采空区中充填或回填；</w:t>
            </w:r>
          </w:p>
          <w:p w14:paraId="7099701F">
            <w:pPr>
              <w:rPr>
                <w:color w:val="auto"/>
                <w:szCs w:val="22"/>
                <w:lang w:val="zh-CN"/>
              </w:rPr>
            </w:pPr>
            <w:r>
              <w:rPr>
                <w:color w:val="auto"/>
                <w:szCs w:val="22"/>
                <w:lang w:val="zh-CN"/>
              </w:rPr>
              <w:t>b</w:t>
            </w:r>
            <w:r>
              <w:rPr>
                <w:rFonts w:hint="eastAsia"/>
                <w:color w:val="auto"/>
                <w:szCs w:val="22"/>
                <w:lang w:val="zh-CN"/>
              </w:rPr>
              <w:t>）煤矸石可在煤炭开采矿井、矿坑等采空区中充填或回填；</w:t>
            </w:r>
          </w:p>
          <w:p w14:paraId="7D4B24B0">
            <w:pPr>
              <w:rPr>
                <w:color w:val="auto"/>
                <w:szCs w:val="22"/>
                <w:lang w:val="zh-CN"/>
              </w:rPr>
            </w:pPr>
            <w:r>
              <w:rPr>
                <w:color w:val="auto"/>
                <w:szCs w:val="22"/>
                <w:lang w:val="zh-CN"/>
              </w:rPr>
              <w:t>c</w:t>
            </w:r>
            <w:r>
              <w:rPr>
                <w:rFonts w:hint="eastAsia"/>
                <w:color w:val="auto"/>
                <w:szCs w:val="22"/>
                <w:lang w:val="zh-CN"/>
              </w:rPr>
              <w:t>）尾矿、矿山废石等可在原矿开采区的矿井、矿坑等采空区中充填或回填。</w:t>
            </w:r>
          </w:p>
        </w:tc>
        <w:tc>
          <w:tcPr>
            <w:tcW w:w="1708" w:type="pct"/>
            <w:tcBorders>
              <w:top w:val="single" w:color="auto" w:sz="4" w:space="0"/>
              <w:left w:val="single" w:color="auto" w:sz="4" w:space="0"/>
              <w:bottom w:val="single" w:color="auto" w:sz="4" w:space="0"/>
              <w:right w:val="single" w:color="auto" w:sz="4" w:space="0"/>
            </w:tcBorders>
            <w:vAlign w:val="center"/>
          </w:tcPr>
          <w:p w14:paraId="2B59BA1B">
            <w:pPr>
              <w:rPr>
                <w:color w:val="auto"/>
                <w:szCs w:val="22"/>
                <w:lang w:val="zh-CN"/>
              </w:rPr>
            </w:pPr>
            <w:r>
              <w:rPr>
                <w:rFonts w:hint="eastAsia"/>
                <w:color w:val="auto"/>
                <w:szCs w:val="22"/>
                <w:lang w:val="zh-CN"/>
              </w:rPr>
              <w:t>本项目属于不符合</w:t>
            </w:r>
            <w:r>
              <w:rPr>
                <w:color w:val="auto"/>
                <w:szCs w:val="22"/>
                <w:lang w:val="zh-CN"/>
              </w:rPr>
              <w:t>8.1</w:t>
            </w:r>
            <w:r>
              <w:rPr>
                <w:rFonts w:hint="eastAsia"/>
                <w:color w:val="auto"/>
                <w:szCs w:val="22"/>
                <w:lang w:val="zh-CN"/>
              </w:rPr>
              <w:t>条充填或回填途径的第</w:t>
            </w:r>
            <w:r>
              <w:rPr>
                <w:color w:val="auto"/>
                <w:szCs w:val="22"/>
                <w:lang w:val="zh-CN"/>
              </w:rPr>
              <w:t>I</w:t>
            </w:r>
            <w:r>
              <w:rPr>
                <w:rFonts w:hint="eastAsia"/>
                <w:color w:val="auto"/>
                <w:szCs w:val="22"/>
                <w:lang w:val="zh-CN"/>
              </w:rPr>
              <w:t>类一般工业固体废物。满足</w:t>
            </w:r>
            <w:r>
              <w:rPr>
                <w:color w:val="auto"/>
                <w:szCs w:val="22"/>
                <w:lang w:val="zh-CN"/>
              </w:rPr>
              <w:t>8.2</w:t>
            </w:r>
            <w:r>
              <w:rPr>
                <w:rFonts w:hint="eastAsia"/>
                <w:color w:val="auto"/>
                <w:szCs w:val="22"/>
                <w:lang w:val="zh-CN"/>
              </w:rPr>
              <w:t>条要求。</w:t>
            </w:r>
          </w:p>
        </w:tc>
        <w:tc>
          <w:tcPr>
            <w:tcW w:w="465" w:type="pct"/>
            <w:tcBorders>
              <w:top w:val="single" w:color="auto" w:sz="4" w:space="0"/>
              <w:left w:val="single" w:color="auto" w:sz="4" w:space="0"/>
              <w:bottom w:val="single" w:color="auto" w:sz="4" w:space="0"/>
              <w:right w:val="nil"/>
            </w:tcBorders>
            <w:vAlign w:val="center"/>
          </w:tcPr>
          <w:p w14:paraId="49E8E3BF">
            <w:pPr>
              <w:jc w:val="center"/>
              <w:rPr>
                <w:color w:val="auto"/>
                <w:szCs w:val="22"/>
                <w:lang w:val="zh-CN"/>
              </w:rPr>
            </w:pPr>
            <w:r>
              <w:rPr>
                <w:rFonts w:hint="eastAsia"/>
                <w:color w:val="auto"/>
                <w:szCs w:val="22"/>
                <w:lang w:val="zh-CN"/>
              </w:rPr>
              <w:t>符合</w:t>
            </w:r>
          </w:p>
        </w:tc>
      </w:tr>
      <w:tr w14:paraId="1EA5E7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3441C055">
            <w:pPr>
              <w:widowControl/>
              <w:jc w:val="left"/>
              <w:rPr>
                <w:color w:val="auto"/>
                <w:szCs w:val="22"/>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DFD029A">
            <w:pPr>
              <w:widowControl/>
              <w:jc w:val="left"/>
              <w:rPr>
                <w:color w:val="auto"/>
                <w:szCs w:val="22"/>
                <w:lang w:val="zh-CN"/>
              </w:rPr>
            </w:pPr>
          </w:p>
        </w:tc>
        <w:tc>
          <w:tcPr>
            <w:tcW w:w="2088" w:type="pct"/>
            <w:tcBorders>
              <w:top w:val="single" w:color="auto" w:sz="4" w:space="0"/>
              <w:left w:val="single" w:color="auto" w:sz="4" w:space="0"/>
              <w:bottom w:val="single" w:color="auto" w:sz="4" w:space="0"/>
              <w:right w:val="single" w:color="auto" w:sz="4" w:space="0"/>
            </w:tcBorders>
            <w:vAlign w:val="center"/>
          </w:tcPr>
          <w:p w14:paraId="2500E555">
            <w:pPr>
              <w:rPr>
                <w:color w:val="auto"/>
                <w:szCs w:val="22"/>
                <w:lang w:val="zh-CN"/>
              </w:rPr>
            </w:pPr>
            <w:r>
              <w:rPr>
                <w:color w:val="auto"/>
                <w:szCs w:val="22"/>
                <w:lang w:val="zh-CN"/>
              </w:rPr>
              <w:t>8.2</w:t>
            </w:r>
            <w:r>
              <w:rPr>
                <w:rFonts w:hint="eastAsia"/>
                <w:color w:val="auto"/>
                <w:szCs w:val="22"/>
                <w:lang w:val="zh-CN"/>
              </w:rPr>
              <w:t>第</w:t>
            </w:r>
            <w:r>
              <w:rPr>
                <w:color w:val="auto"/>
                <w:szCs w:val="22"/>
                <w:lang w:val="zh-CN"/>
              </w:rPr>
              <w:t>II</w:t>
            </w:r>
            <w:r>
              <w:rPr>
                <w:rFonts w:hint="eastAsia"/>
                <w:color w:val="auto"/>
                <w:szCs w:val="22"/>
                <w:lang w:val="zh-CN"/>
              </w:rPr>
              <w:t>类一般工业固体废物以及不符合</w:t>
            </w:r>
            <w:r>
              <w:rPr>
                <w:color w:val="auto"/>
                <w:szCs w:val="22"/>
                <w:lang w:val="zh-CN"/>
              </w:rPr>
              <w:t>8.1</w:t>
            </w:r>
            <w:r>
              <w:rPr>
                <w:rFonts w:hint="eastAsia"/>
                <w:color w:val="auto"/>
                <w:szCs w:val="22"/>
                <w:lang w:val="zh-CN"/>
              </w:rPr>
              <w:t>条充填或回填途径的第</w:t>
            </w:r>
            <w:r>
              <w:rPr>
                <w:color w:val="auto"/>
                <w:szCs w:val="22"/>
                <w:lang w:val="zh-CN"/>
              </w:rPr>
              <w:t>I</w:t>
            </w:r>
            <w:r>
              <w:rPr>
                <w:rFonts w:hint="eastAsia"/>
                <w:color w:val="auto"/>
                <w:szCs w:val="22"/>
                <w:lang w:val="zh-CN"/>
              </w:rPr>
              <w:t>类一般工业固体废物，其充填或回填活动前应开展环境本底调查，并按照</w:t>
            </w:r>
            <w:r>
              <w:rPr>
                <w:color w:val="auto"/>
                <w:szCs w:val="22"/>
                <w:lang w:val="zh-CN"/>
              </w:rPr>
              <w:t>HJ25.3</w:t>
            </w:r>
            <w:r>
              <w:rPr>
                <w:rFonts w:hint="eastAsia"/>
                <w:color w:val="auto"/>
                <w:szCs w:val="22"/>
                <w:lang w:val="zh-CN"/>
              </w:rPr>
              <w:t>等相关标准进行环境风险评估，重点评估对地下水、地表水及周边土壤的环境污染风险，确保环境风险可以接受。充填或回填活动结束后，应根据风险评估结果对可能受到影响的土壤、地表水及地下水开展长期监测，监测频次至少每年</w:t>
            </w:r>
            <w:r>
              <w:rPr>
                <w:color w:val="auto"/>
                <w:szCs w:val="22"/>
                <w:lang w:val="zh-CN"/>
              </w:rPr>
              <w:t>1</w:t>
            </w:r>
            <w:r>
              <w:rPr>
                <w:rFonts w:hint="eastAsia"/>
                <w:color w:val="auto"/>
                <w:szCs w:val="22"/>
                <w:lang w:val="zh-CN"/>
              </w:rPr>
              <w:t>次。</w:t>
            </w:r>
          </w:p>
        </w:tc>
        <w:tc>
          <w:tcPr>
            <w:tcW w:w="1708" w:type="pct"/>
            <w:tcBorders>
              <w:top w:val="single" w:color="auto" w:sz="4" w:space="0"/>
              <w:left w:val="single" w:color="auto" w:sz="4" w:space="0"/>
              <w:bottom w:val="single" w:color="auto" w:sz="4" w:space="0"/>
              <w:right w:val="single" w:color="auto" w:sz="4" w:space="0"/>
            </w:tcBorders>
            <w:vAlign w:val="center"/>
          </w:tcPr>
          <w:p w14:paraId="73983274">
            <w:pPr>
              <w:rPr>
                <w:color w:val="auto"/>
                <w:szCs w:val="22"/>
                <w:lang w:val="zh-CN"/>
              </w:rPr>
            </w:pPr>
            <w:r>
              <w:rPr>
                <w:rFonts w:hint="eastAsia"/>
                <w:color w:val="auto"/>
                <w:szCs w:val="22"/>
                <w:lang w:val="zh-CN"/>
              </w:rPr>
              <w:t>本项目在回填活动前已开展环境本底调查，并按照《建设用地土壤污染风险评估技术导则》（</w:t>
            </w:r>
            <w:r>
              <w:rPr>
                <w:color w:val="auto"/>
                <w:szCs w:val="22"/>
                <w:lang w:val="zh-CN"/>
              </w:rPr>
              <w:t>HJ25.3-2019</w:t>
            </w:r>
            <w:r>
              <w:rPr>
                <w:rFonts w:hint="eastAsia"/>
                <w:color w:val="auto"/>
                <w:szCs w:val="22"/>
                <w:lang w:val="zh-CN"/>
              </w:rPr>
              <w:t>）等相关标准开展环境风险评估，形成了环境风险评估报告并通过专家评审，风险评估报告重点评估项目对地下水及周边土壤的环境污染风险，评估结论为环境风险可以接受。本项目回填活动结束后，对可能受到影响的土壤及地下水开展长期监测，土壤的监测频次至少每年</w:t>
            </w:r>
            <w:r>
              <w:rPr>
                <w:color w:val="auto"/>
                <w:szCs w:val="22"/>
                <w:lang w:val="zh-CN"/>
              </w:rPr>
              <w:t>1</w:t>
            </w:r>
            <w:r>
              <w:rPr>
                <w:rFonts w:hint="eastAsia"/>
                <w:color w:val="auto"/>
                <w:szCs w:val="22"/>
                <w:lang w:val="zh-CN"/>
              </w:rPr>
              <w:t>次，地下水的监测频次为每季度</w:t>
            </w:r>
            <w:r>
              <w:rPr>
                <w:color w:val="auto"/>
                <w:szCs w:val="22"/>
                <w:lang w:val="zh-CN"/>
              </w:rPr>
              <w:t>1</w:t>
            </w:r>
            <w:r>
              <w:rPr>
                <w:rFonts w:hint="eastAsia"/>
                <w:color w:val="auto"/>
                <w:szCs w:val="22"/>
                <w:lang w:val="zh-CN"/>
              </w:rPr>
              <w:t>次。</w:t>
            </w:r>
          </w:p>
        </w:tc>
        <w:tc>
          <w:tcPr>
            <w:tcW w:w="465" w:type="pct"/>
            <w:tcBorders>
              <w:top w:val="single" w:color="auto" w:sz="4" w:space="0"/>
              <w:left w:val="single" w:color="auto" w:sz="4" w:space="0"/>
              <w:bottom w:val="single" w:color="auto" w:sz="4" w:space="0"/>
              <w:right w:val="nil"/>
            </w:tcBorders>
            <w:vAlign w:val="center"/>
          </w:tcPr>
          <w:p w14:paraId="73CDCF97">
            <w:pPr>
              <w:jc w:val="center"/>
              <w:rPr>
                <w:color w:val="auto"/>
                <w:szCs w:val="22"/>
                <w:lang w:val="zh-CN"/>
              </w:rPr>
            </w:pPr>
            <w:r>
              <w:rPr>
                <w:rFonts w:hint="eastAsia"/>
                <w:color w:val="auto"/>
                <w:szCs w:val="22"/>
                <w:lang w:val="zh-CN"/>
              </w:rPr>
              <w:t>符合</w:t>
            </w:r>
          </w:p>
        </w:tc>
      </w:tr>
      <w:tr w14:paraId="78FC57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142C7C7A">
            <w:pPr>
              <w:widowControl/>
              <w:jc w:val="left"/>
              <w:rPr>
                <w:color w:val="auto"/>
                <w:szCs w:val="22"/>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06B9C81">
            <w:pPr>
              <w:widowControl/>
              <w:jc w:val="left"/>
              <w:rPr>
                <w:color w:val="auto"/>
                <w:szCs w:val="22"/>
                <w:lang w:val="zh-CN"/>
              </w:rPr>
            </w:pPr>
          </w:p>
        </w:tc>
        <w:tc>
          <w:tcPr>
            <w:tcW w:w="2088" w:type="pct"/>
            <w:tcBorders>
              <w:top w:val="single" w:color="auto" w:sz="4" w:space="0"/>
              <w:left w:val="single" w:color="auto" w:sz="4" w:space="0"/>
              <w:bottom w:val="single" w:color="auto" w:sz="4" w:space="0"/>
              <w:right w:val="single" w:color="auto" w:sz="4" w:space="0"/>
            </w:tcBorders>
            <w:vAlign w:val="center"/>
          </w:tcPr>
          <w:p w14:paraId="6F8F104F">
            <w:pPr>
              <w:rPr>
                <w:color w:val="auto"/>
                <w:szCs w:val="22"/>
                <w:lang w:val="zh-CN"/>
              </w:rPr>
            </w:pPr>
            <w:r>
              <w:rPr>
                <w:color w:val="auto"/>
                <w:szCs w:val="22"/>
                <w:lang w:val="zh-CN"/>
              </w:rPr>
              <w:t>8.3</w:t>
            </w:r>
            <w:r>
              <w:rPr>
                <w:rFonts w:hint="eastAsia"/>
                <w:color w:val="auto"/>
                <w:szCs w:val="22"/>
                <w:lang w:val="zh-CN"/>
              </w:rPr>
              <w:t>不应在充填物料中掺加除充填作业所需要的添加剂之外的其他固体废物。</w:t>
            </w:r>
          </w:p>
        </w:tc>
        <w:tc>
          <w:tcPr>
            <w:tcW w:w="1708" w:type="pct"/>
            <w:tcBorders>
              <w:top w:val="single" w:color="auto" w:sz="4" w:space="0"/>
              <w:left w:val="single" w:color="auto" w:sz="4" w:space="0"/>
              <w:bottom w:val="single" w:color="auto" w:sz="4" w:space="0"/>
              <w:right w:val="single" w:color="auto" w:sz="4" w:space="0"/>
            </w:tcBorders>
            <w:vAlign w:val="center"/>
          </w:tcPr>
          <w:p w14:paraId="3A8184D7">
            <w:pPr>
              <w:rPr>
                <w:color w:val="auto"/>
                <w:szCs w:val="22"/>
                <w:lang w:val="zh-CN"/>
              </w:rPr>
            </w:pPr>
            <w:r>
              <w:rPr>
                <w:rFonts w:hint="eastAsia"/>
                <w:color w:val="auto"/>
                <w:szCs w:val="22"/>
                <w:lang w:val="zh-CN"/>
              </w:rPr>
              <w:t>本项目不在回填物料中掺加除充填作业所需要的添加剂之外的其他固体废物，回填材料来源唯一，为</w:t>
            </w:r>
            <w:r>
              <w:rPr>
                <w:rFonts w:hint="eastAsia"/>
                <w:color w:val="auto"/>
                <w:szCs w:val="22"/>
                <w:lang w:val="zh-CN" w:eastAsia="zh-CN"/>
              </w:rPr>
              <w:t>黑</w:t>
            </w:r>
            <w:r>
              <w:rPr>
                <w:rFonts w:hint="eastAsia"/>
                <w:color w:val="auto"/>
                <w:szCs w:val="22"/>
                <w:lang w:val="en-US" w:eastAsia="zh-CN"/>
              </w:rPr>
              <w:t>龙江醇能热电有限公司的灰渣</w:t>
            </w:r>
            <w:r>
              <w:rPr>
                <w:rFonts w:hint="eastAsia"/>
                <w:color w:val="auto"/>
                <w:szCs w:val="22"/>
                <w:lang w:val="zh-CN"/>
              </w:rPr>
              <w:t>。</w:t>
            </w:r>
          </w:p>
        </w:tc>
        <w:tc>
          <w:tcPr>
            <w:tcW w:w="465" w:type="pct"/>
            <w:tcBorders>
              <w:top w:val="single" w:color="auto" w:sz="4" w:space="0"/>
              <w:left w:val="single" w:color="auto" w:sz="4" w:space="0"/>
              <w:bottom w:val="single" w:color="auto" w:sz="4" w:space="0"/>
              <w:right w:val="nil"/>
            </w:tcBorders>
            <w:vAlign w:val="center"/>
          </w:tcPr>
          <w:p w14:paraId="344EFC01">
            <w:pPr>
              <w:jc w:val="center"/>
              <w:rPr>
                <w:color w:val="auto"/>
                <w:szCs w:val="22"/>
                <w:lang w:val="zh-CN"/>
              </w:rPr>
            </w:pPr>
            <w:r>
              <w:rPr>
                <w:rFonts w:hint="eastAsia"/>
                <w:color w:val="auto"/>
                <w:szCs w:val="22"/>
                <w:lang w:val="zh-CN"/>
              </w:rPr>
              <w:t>符合</w:t>
            </w:r>
          </w:p>
        </w:tc>
      </w:tr>
      <w:tr w14:paraId="4EB1C3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0196CB96">
            <w:pPr>
              <w:widowControl/>
              <w:jc w:val="left"/>
              <w:rPr>
                <w:color w:val="auto"/>
                <w:szCs w:val="22"/>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D369246">
            <w:pPr>
              <w:widowControl/>
              <w:jc w:val="left"/>
              <w:rPr>
                <w:color w:val="auto"/>
                <w:szCs w:val="22"/>
                <w:lang w:val="zh-CN"/>
              </w:rPr>
            </w:pPr>
          </w:p>
        </w:tc>
        <w:tc>
          <w:tcPr>
            <w:tcW w:w="2088" w:type="pct"/>
            <w:tcBorders>
              <w:top w:val="single" w:color="auto" w:sz="4" w:space="0"/>
              <w:left w:val="single" w:color="auto" w:sz="4" w:space="0"/>
              <w:bottom w:val="single" w:color="auto" w:sz="4" w:space="0"/>
              <w:right w:val="single" w:color="auto" w:sz="4" w:space="0"/>
            </w:tcBorders>
            <w:vAlign w:val="center"/>
          </w:tcPr>
          <w:p w14:paraId="766B8ED0">
            <w:pPr>
              <w:rPr>
                <w:color w:val="auto"/>
                <w:szCs w:val="22"/>
                <w:lang w:val="zh-CN"/>
              </w:rPr>
            </w:pPr>
            <w:r>
              <w:rPr>
                <w:color w:val="auto"/>
                <w:szCs w:val="22"/>
                <w:lang w:val="zh-CN"/>
              </w:rPr>
              <w:t>8.4</w:t>
            </w:r>
            <w:r>
              <w:rPr>
                <w:rFonts w:hint="eastAsia"/>
                <w:color w:val="auto"/>
                <w:szCs w:val="22"/>
                <w:lang w:val="zh-CN"/>
              </w:rPr>
              <w:t>一般工业固体废物回填作业结束后应立即实施土地复垦（回填地下的除外），土地复垦应符合本标准</w:t>
            </w:r>
            <w:r>
              <w:rPr>
                <w:color w:val="auto"/>
                <w:szCs w:val="22"/>
                <w:lang w:val="zh-CN"/>
              </w:rPr>
              <w:t>9.9</w:t>
            </w:r>
            <w:r>
              <w:rPr>
                <w:rFonts w:hint="eastAsia"/>
                <w:color w:val="auto"/>
                <w:szCs w:val="22"/>
                <w:lang w:val="zh-CN"/>
              </w:rPr>
              <w:t>条的规定。</w:t>
            </w:r>
          </w:p>
        </w:tc>
        <w:tc>
          <w:tcPr>
            <w:tcW w:w="1708" w:type="pct"/>
            <w:tcBorders>
              <w:top w:val="single" w:color="auto" w:sz="4" w:space="0"/>
              <w:left w:val="single" w:color="auto" w:sz="4" w:space="0"/>
              <w:bottom w:val="single" w:color="auto" w:sz="4" w:space="0"/>
              <w:right w:val="single" w:color="auto" w:sz="4" w:space="0"/>
            </w:tcBorders>
            <w:vAlign w:val="center"/>
          </w:tcPr>
          <w:p w14:paraId="2D6DF6FE">
            <w:pPr>
              <w:rPr>
                <w:color w:val="auto"/>
                <w:szCs w:val="22"/>
                <w:lang w:val="zh-CN"/>
              </w:rPr>
            </w:pPr>
            <w:r>
              <w:rPr>
                <w:rFonts w:hint="eastAsia"/>
                <w:color w:val="auto"/>
                <w:szCs w:val="22"/>
                <w:lang w:val="zh-CN"/>
              </w:rPr>
              <w:t>本项目一般工业固体废物回填作业结束后立即实施土地复垦，土地复垦符合本标准</w:t>
            </w:r>
            <w:r>
              <w:rPr>
                <w:color w:val="auto"/>
                <w:szCs w:val="22"/>
                <w:lang w:val="zh-CN"/>
              </w:rPr>
              <w:t>9.9</w:t>
            </w:r>
            <w:r>
              <w:rPr>
                <w:rFonts w:hint="eastAsia"/>
                <w:color w:val="auto"/>
                <w:szCs w:val="22"/>
                <w:lang w:val="zh-CN"/>
              </w:rPr>
              <w:t>条的规定。</w:t>
            </w:r>
          </w:p>
        </w:tc>
        <w:tc>
          <w:tcPr>
            <w:tcW w:w="465" w:type="pct"/>
            <w:tcBorders>
              <w:top w:val="single" w:color="auto" w:sz="4" w:space="0"/>
              <w:left w:val="single" w:color="auto" w:sz="4" w:space="0"/>
              <w:bottom w:val="single" w:color="auto" w:sz="4" w:space="0"/>
              <w:right w:val="nil"/>
            </w:tcBorders>
            <w:vAlign w:val="center"/>
          </w:tcPr>
          <w:p w14:paraId="15FBD123">
            <w:pPr>
              <w:jc w:val="center"/>
              <w:rPr>
                <w:color w:val="auto"/>
                <w:szCs w:val="22"/>
                <w:lang w:val="zh-CN"/>
              </w:rPr>
            </w:pPr>
            <w:r>
              <w:rPr>
                <w:rFonts w:hint="eastAsia"/>
                <w:color w:val="auto"/>
                <w:szCs w:val="22"/>
                <w:lang w:val="zh-CN"/>
              </w:rPr>
              <w:t>符合</w:t>
            </w:r>
          </w:p>
        </w:tc>
      </w:tr>
      <w:tr w14:paraId="6C434E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4" w:space="0"/>
              <w:left w:val="nil"/>
              <w:bottom w:val="single" w:color="auto" w:sz="4" w:space="0"/>
              <w:right w:val="single" w:color="auto" w:sz="4" w:space="0"/>
            </w:tcBorders>
            <w:vAlign w:val="center"/>
          </w:tcPr>
          <w:p w14:paraId="03605B6F">
            <w:pPr>
              <w:widowControl/>
              <w:jc w:val="left"/>
              <w:rPr>
                <w:color w:val="auto"/>
                <w:szCs w:val="22"/>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D0FB1C">
            <w:pPr>
              <w:widowControl/>
              <w:jc w:val="left"/>
              <w:rPr>
                <w:color w:val="auto"/>
                <w:szCs w:val="22"/>
                <w:lang w:val="zh-CN"/>
              </w:rPr>
            </w:pPr>
          </w:p>
        </w:tc>
        <w:tc>
          <w:tcPr>
            <w:tcW w:w="2088" w:type="pct"/>
            <w:tcBorders>
              <w:top w:val="single" w:color="auto" w:sz="4" w:space="0"/>
              <w:left w:val="single" w:color="auto" w:sz="4" w:space="0"/>
              <w:bottom w:val="single" w:color="auto" w:sz="4" w:space="0"/>
              <w:right w:val="single" w:color="auto" w:sz="4" w:space="0"/>
            </w:tcBorders>
            <w:vAlign w:val="center"/>
          </w:tcPr>
          <w:p w14:paraId="1A53531A">
            <w:pPr>
              <w:rPr>
                <w:color w:val="auto"/>
                <w:szCs w:val="22"/>
                <w:lang w:val="zh-CN"/>
              </w:rPr>
            </w:pPr>
            <w:r>
              <w:rPr>
                <w:color w:val="auto"/>
                <w:szCs w:val="22"/>
                <w:lang w:val="zh-CN"/>
              </w:rPr>
              <w:t>8.5</w:t>
            </w:r>
            <w:r>
              <w:rPr>
                <w:rFonts w:hint="eastAsia"/>
                <w:color w:val="auto"/>
                <w:szCs w:val="22"/>
                <w:lang w:val="zh-CN"/>
              </w:rPr>
              <w:t>食品制造业、纺织服装和服饰业、造纸和纸制品业、农副食品加工业等为日常生活提供服务的活动中产生的与生活垃圾性质相近的一般工业固体废物以及其他有机物含量超过</w:t>
            </w:r>
            <w:r>
              <w:rPr>
                <w:color w:val="auto"/>
                <w:szCs w:val="22"/>
                <w:lang w:val="zh-CN"/>
              </w:rPr>
              <w:t>5%</w:t>
            </w:r>
            <w:r>
              <w:rPr>
                <w:rFonts w:hint="eastAsia"/>
                <w:color w:val="auto"/>
                <w:szCs w:val="22"/>
                <w:lang w:val="zh-CN"/>
              </w:rPr>
              <w:t>的一般工业固体废物（煤矸石除外）不得进行充填、回填作业。</w:t>
            </w:r>
          </w:p>
        </w:tc>
        <w:tc>
          <w:tcPr>
            <w:tcW w:w="1708" w:type="pct"/>
            <w:tcBorders>
              <w:top w:val="single" w:color="auto" w:sz="4" w:space="0"/>
              <w:left w:val="single" w:color="auto" w:sz="4" w:space="0"/>
              <w:bottom w:val="single" w:color="auto" w:sz="4" w:space="0"/>
              <w:right w:val="single" w:color="auto" w:sz="4" w:space="0"/>
            </w:tcBorders>
            <w:vAlign w:val="center"/>
          </w:tcPr>
          <w:p w14:paraId="47D8CA2D">
            <w:pPr>
              <w:rPr>
                <w:color w:val="auto"/>
                <w:szCs w:val="22"/>
                <w:lang w:val="zh-CN"/>
              </w:rPr>
            </w:pPr>
            <w:r>
              <w:rPr>
                <w:rFonts w:hint="eastAsia"/>
                <w:color w:val="auto"/>
                <w:szCs w:val="22"/>
                <w:lang w:val="zh-CN"/>
              </w:rPr>
              <w:t>本项目回填物灰渣的有机物含量不超过</w:t>
            </w:r>
            <w:r>
              <w:rPr>
                <w:color w:val="auto"/>
                <w:szCs w:val="22"/>
                <w:lang w:val="zh-CN"/>
              </w:rPr>
              <w:t>5%</w:t>
            </w:r>
            <w:r>
              <w:rPr>
                <w:rFonts w:hint="eastAsia"/>
                <w:color w:val="auto"/>
                <w:szCs w:val="22"/>
                <w:lang w:val="zh-CN"/>
              </w:rPr>
              <w:t>。</w:t>
            </w:r>
          </w:p>
        </w:tc>
        <w:tc>
          <w:tcPr>
            <w:tcW w:w="465" w:type="pct"/>
            <w:tcBorders>
              <w:top w:val="single" w:color="auto" w:sz="4" w:space="0"/>
              <w:left w:val="single" w:color="auto" w:sz="4" w:space="0"/>
              <w:bottom w:val="single" w:color="auto" w:sz="4" w:space="0"/>
              <w:right w:val="nil"/>
            </w:tcBorders>
            <w:vAlign w:val="center"/>
          </w:tcPr>
          <w:p w14:paraId="37F1FF0F">
            <w:pPr>
              <w:jc w:val="center"/>
              <w:rPr>
                <w:color w:val="auto"/>
                <w:szCs w:val="22"/>
                <w:lang w:val="zh-CN"/>
              </w:rPr>
            </w:pPr>
            <w:r>
              <w:rPr>
                <w:rFonts w:hint="eastAsia"/>
                <w:color w:val="auto"/>
                <w:szCs w:val="22"/>
                <w:lang w:val="zh-CN"/>
              </w:rPr>
              <w:t>符合</w:t>
            </w:r>
          </w:p>
        </w:tc>
      </w:tr>
      <w:tr w14:paraId="3B718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05" w:type="pct"/>
            <w:tcBorders>
              <w:top w:val="single" w:color="auto" w:sz="4" w:space="0"/>
              <w:left w:val="nil"/>
              <w:bottom w:val="single" w:color="auto" w:sz="12" w:space="0"/>
              <w:right w:val="single" w:color="auto" w:sz="4" w:space="0"/>
            </w:tcBorders>
            <w:vAlign w:val="center"/>
          </w:tcPr>
          <w:p w14:paraId="0C130F63">
            <w:pPr>
              <w:rPr>
                <w:color w:val="auto"/>
                <w:szCs w:val="22"/>
                <w:lang w:val="zh-CN"/>
              </w:rPr>
            </w:pPr>
            <w:r>
              <w:rPr>
                <w:color w:val="auto"/>
                <w:szCs w:val="22"/>
                <w:lang w:val="zh-CN"/>
              </w:rPr>
              <w:t>9</w:t>
            </w:r>
          </w:p>
        </w:tc>
        <w:tc>
          <w:tcPr>
            <w:tcW w:w="535" w:type="pct"/>
            <w:tcBorders>
              <w:top w:val="single" w:color="auto" w:sz="4" w:space="0"/>
              <w:left w:val="single" w:color="auto" w:sz="4" w:space="0"/>
              <w:bottom w:val="single" w:color="auto" w:sz="12" w:space="0"/>
              <w:right w:val="single" w:color="auto" w:sz="4" w:space="0"/>
            </w:tcBorders>
            <w:vAlign w:val="center"/>
          </w:tcPr>
          <w:p w14:paraId="08308B01">
            <w:pPr>
              <w:rPr>
                <w:color w:val="auto"/>
                <w:szCs w:val="22"/>
                <w:lang w:val="zh-CN"/>
              </w:rPr>
            </w:pPr>
            <w:r>
              <w:rPr>
                <w:rFonts w:hint="eastAsia"/>
                <w:color w:val="auto"/>
                <w:szCs w:val="22"/>
                <w:lang w:val="zh-CN"/>
              </w:rPr>
              <w:t>封场及土地复垦要求</w:t>
            </w:r>
          </w:p>
        </w:tc>
        <w:tc>
          <w:tcPr>
            <w:tcW w:w="2088" w:type="pct"/>
            <w:tcBorders>
              <w:top w:val="single" w:color="auto" w:sz="4" w:space="0"/>
              <w:left w:val="single" w:color="auto" w:sz="4" w:space="0"/>
              <w:bottom w:val="single" w:color="auto" w:sz="12" w:space="0"/>
              <w:right w:val="single" w:color="auto" w:sz="4" w:space="0"/>
            </w:tcBorders>
            <w:vAlign w:val="center"/>
          </w:tcPr>
          <w:p w14:paraId="172E304B">
            <w:pPr>
              <w:rPr>
                <w:color w:val="auto"/>
                <w:szCs w:val="22"/>
                <w:lang w:val="zh-CN"/>
              </w:rPr>
            </w:pPr>
            <w:r>
              <w:rPr>
                <w:color w:val="auto"/>
                <w:szCs w:val="22"/>
                <w:lang w:val="zh-CN"/>
              </w:rPr>
              <w:t>9.9</w:t>
            </w:r>
            <w:r>
              <w:rPr>
                <w:rFonts w:hint="eastAsia"/>
                <w:color w:val="auto"/>
                <w:szCs w:val="22"/>
                <w:lang w:val="zh-CN"/>
              </w:rPr>
              <w:t>贮存场、填埋场封场完成后，可依据当地地形条件、水资源及表土资源等自然环境条件和社会发展需求并按照相关规定进行土地复垦。土地复垦实施过程应满足</w:t>
            </w:r>
            <w:r>
              <w:rPr>
                <w:color w:val="auto"/>
                <w:szCs w:val="22"/>
                <w:lang w:val="zh-CN"/>
              </w:rPr>
              <w:t>TD/T1036</w:t>
            </w:r>
            <w:r>
              <w:rPr>
                <w:rFonts w:hint="eastAsia"/>
                <w:color w:val="auto"/>
                <w:szCs w:val="22"/>
                <w:lang w:val="zh-CN"/>
              </w:rPr>
              <w:t>规定的相关土地复垦质量控制要求。土地复垦后用作建设用地的，还应满足</w:t>
            </w:r>
            <w:r>
              <w:rPr>
                <w:color w:val="auto"/>
                <w:szCs w:val="22"/>
                <w:lang w:val="zh-CN"/>
              </w:rPr>
              <w:t>GB36600</w:t>
            </w:r>
            <w:r>
              <w:rPr>
                <w:rFonts w:hint="eastAsia"/>
                <w:color w:val="auto"/>
                <w:szCs w:val="22"/>
                <w:lang w:val="zh-CN"/>
              </w:rPr>
              <w:t>的要求；用作农用地的，还应满足</w:t>
            </w:r>
            <w:r>
              <w:rPr>
                <w:color w:val="auto"/>
                <w:szCs w:val="22"/>
                <w:lang w:val="zh-CN"/>
              </w:rPr>
              <w:t>GB15618</w:t>
            </w:r>
            <w:r>
              <w:rPr>
                <w:rFonts w:hint="eastAsia"/>
                <w:color w:val="auto"/>
                <w:szCs w:val="22"/>
                <w:lang w:val="zh-CN"/>
              </w:rPr>
              <w:t>的要求。</w:t>
            </w:r>
          </w:p>
        </w:tc>
        <w:tc>
          <w:tcPr>
            <w:tcW w:w="2836" w:type="dxa"/>
            <w:tcBorders>
              <w:top w:val="single" w:color="auto" w:sz="4" w:space="0"/>
              <w:left w:val="single" w:color="auto" w:sz="4" w:space="0"/>
              <w:bottom w:val="single" w:color="auto" w:sz="12" w:space="0"/>
              <w:right w:val="single" w:color="auto" w:sz="4" w:space="0"/>
            </w:tcBorders>
            <w:vAlign w:val="center"/>
          </w:tcPr>
          <w:p w14:paraId="3917B3BA">
            <w:pPr>
              <w:rPr>
                <w:color w:val="auto"/>
                <w:szCs w:val="22"/>
                <w:lang w:val="zh-CN"/>
              </w:rPr>
            </w:pPr>
            <w:r>
              <w:rPr>
                <w:rFonts w:hint="eastAsia"/>
                <w:color w:val="auto"/>
                <w:szCs w:val="22"/>
                <w:highlight w:val="none"/>
                <w:lang w:val="zh-CN"/>
              </w:rPr>
              <w:t>土地复垦实施过程按《土地复垦质量控制标准》（</w:t>
            </w:r>
            <w:r>
              <w:rPr>
                <w:color w:val="auto"/>
                <w:szCs w:val="22"/>
                <w:highlight w:val="none"/>
                <w:lang w:val="zh-CN"/>
              </w:rPr>
              <w:t>TD/T1036-2013</w:t>
            </w:r>
            <w:r>
              <w:rPr>
                <w:rFonts w:hint="eastAsia"/>
                <w:color w:val="auto"/>
                <w:szCs w:val="22"/>
                <w:highlight w:val="none"/>
                <w:lang w:val="zh-CN"/>
              </w:rPr>
              <w:t>）规定的相关土地复垦质量控制要求执行。在回填至设计标高后统一进行覆土，</w:t>
            </w:r>
            <w:r>
              <w:rPr>
                <w:rFonts w:hint="eastAsia"/>
                <w:color w:val="auto"/>
                <w:highlight w:val="none"/>
                <w:lang w:val="en-US" w:eastAsia="zh-CN"/>
              </w:rPr>
              <w:t>回填复垦旱地有效土层厚度不低于80cm，回填复垦乔木林地有效土层厚度不低于30cm</w:t>
            </w:r>
            <w:r>
              <w:rPr>
                <w:rFonts w:hint="eastAsia"/>
                <w:color w:val="auto"/>
                <w:szCs w:val="22"/>
                <w:highlight w:val="none"/>
                <w:lang w:val="zh-CN"/>
              </w:rPr>
              <w:t>，可以与周边环境持平，土壤质量应满足《土壤环境质量</w:t>
            </w:r>
            <w:r>
              <w:rPr>
                <w:color w:val="auto"/>
                <w:szCs w:val="22"/>
                <w:highlight w:val="none"/>
                <w:lang w:val="zh-CN"/>
              </w:rPr>
              <w:t xml:space="preserve"> </w:t>
            </w:r>
            <w:r>
              <w:rPr>
                <w:rFonts w:hint="eastAsia"/>
                <w:color w:val="auto"/>
                <w:szCs w:val="22"/>
                <w:highlight w:val="none"/>
                <w:lang w:val="zh-CN"/>
              </w:rPr>
              <w:t>农用地土壤污染风险管控标准（试行）》（</w:t>
            </w:r>
            <w:r>
              <w:rPr>
                <w:color w:val="auto"/>
                <w:szCs w:val="22"/>
                <w:highlight w:val="none"/>
                <w:lang w:val="zh-CN"/>
              </w:rPr>
              <w:t>GB15618-2018</w:t>
            </w:r>
            <w:r>
              <w:rPr>
                <w:rFonts w:hint="eastAsia"/>
                <w:color w:val="auto"/>
                <w:szCs w:val="22"/>
                <w:highlight w:val="none"/>
                <w:lang w:val="zh-CN"/>
              </w:rPr>
              <w:t>）要求，复垦成耕地。土地复垦实施过程应满足《土地复垦质量控制标准》（</w:t>
            </w:r>
            <w:r>
              <w:rPr>
                <w:color w:val="auto"/>
                <w:szCs w:val="22"/>
                <w:highlight w:val="none"/>
                <w:lang w:val="zh-CN"/>
              </w:rPr>
              <w:t>TD/T1036-2013</w:t>
            </w:r>
            <w:r>
              <w:rPr>
                <w:rFonts w:hint="eastAsia"/>
                <w:color w:val="auto"/>
                <w:szCs w:val="22"/>
                <w:highlight w:val="none"/>
                <w:lang w:val="zh-CN"/>
              </w:rPr>
              <w:t>）规定的相关土地复垦质量控制要求。</w:t>
            </w:r>
          </w:p>
        </w:tc>
        <w:tc>
          <w:tcPr>
            <w:tcW w:w="465" w:type="pct"/>
            <w:tcBorders>
              <w:top w:val="single" w:color="auto" w:sz="4" w:space="0"/>
              <w:left w:val="single" w:color="auto" w:sz="4" w:space="0"/>
              <w:bottom w:val="single" w:color="auto" w:sz="12" w:space="0"/>
              <w:right w:val="nil"/>
            </w:tcBorders>
            <w:vAlign w:val="center"/>
          </w:tcPr>
          <w:p w14:paraId="6E8F07B4">
            <w:pPr>
              <w:jc w:val="center"/>
              <w:rPr>
                <w:color w:val="auto"/>
                <w:szCs w:val="22"/>
                <w:lang w:val="zh-CN"/>
              </w:rPr>
            </w:pPr>
            <w:r>
              <w:rPr>
                <w:rFonts w:hint="eastAsia"/>
                <w:color w:val="auto"/>
                <w:szCs w:val="22"/>
                <w:lang w:val="zh-CN"/>
              </w:rPr>
              <w:t>符合</w:t>
            </w:r>
          </w:p>
        </w:tc>
      </w:tr>
    </w:tbl>
    <w:p w14:paraId="248C370C">
      <w:pPr>
        <w:pStyle w:val="135"/>
        <w:rPr>
          <w:color w:val="auto"/>
        </w:rPr>
      </w:pPr>
      <w:r>
        <w:rPr>
          <w:color w:val="auto"/>
        </w:rPr>
        <w:t>1.4.3.</w:t>
      </w:r>
      <w:r>
        <w:rPr>
          <w:rFonts w:hint="eastAsia"/>
          <w:color w:val="auto"/>
          <w:lang w:val="en-US" w:eastAsia="zh-CN"/>
        </w:rPr>
        <w:t>10</w:t>
      </w:r>
      <w:r>
        <w:rPr>
          <w:color w:val="auto"/>
        </w:rPr>
        <w:t>与《黑龙江省水土保持规划》(2015~2030年)符合性分析</w:t>
      </w:r>
    </w:p>
    <w:p w14:paraId="70149CA2">
      <w:pPr>
        <w:pStyle w:val="59"/>
        <w:ind w:firstLine="480"/>
        <w:rPr>
          <w:color w:val="auto"/>
        </w:rPr>
      </w:pPr>
      <w:r>
        <w:rPr>
          <w:color w:val="auto"/>
        </w:rPr>
        <w:t>根据《黑龙江省水土保持规划》(2015~2030年)，鸡东县位于东北漫川漫岗水土流失重点治理</w:t>
      </w:r>
      <w:r>
        <w:rPr>
          <w:color w:val="auto"/>
          <w:highlight w:val="none"/>
        </w:rPr>
        <w:t>区，为省级治理区。</w:t>
      </w:r>
      <w:r>
        <w:rPr>
          <w:bCs/>
          <w:snapToGrid w:val="0"/>
          <w:color w:val="auto"/>
          <w:kern w:val="0"/>
          <w:highlight w:val="none"/>
        </w:rPr>
        <w:t>本项目利用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bCs/>
          <w:snapToGrid w:val="0"/>
          <w:color w:val="auto"/>
          <w:kern w:val="0"/>
          <w:highlight w:val="none"/>
        </w:rPr>
        <w:t>回填</w:t>
      </w:r>
      <w:r>
        <w:rPr>
          <w:bCs/>
          <w:snapToGrid w:val="0"/>
          <w:color w:val="auto"/>
          <w:kern w:val="0"/>
          <w:highlight w:val="none"/>
        </w:rPr>
        <w:t>鸡西市鸡东县</w:t>
      </w:r>
      <w:r>
        <w:rPr>
          <w:rFonts w:hint="eastAsia"/>
          <w:bCs/>
          <w:snapToGrid w:val="0"/>
          <w:color w:val="auto"/>
          <w:kern w:val="0"/>
          <w:highlight w:val="none"/>
          <w:lang w:eastAsia="zh-CN"/>
        </w:rPr>
        <w:t>东海镇新泉采石场</w:t>
      </w:r>
      <w:r>
        <w:rPr>
          <w:bCs/>
          <w:snapToGrid w:val="0"/>
          <w:color w:val="auto"/>
          <w:kern w:val="0"/>
          <w:highlight w:val="none"/>
        </w:rPr>
        <w:t>废弃采坑</w:t>
      </w:r>
      <w:r>
        <w:rPr>
          <w:color w:val="auto"/>
          <w:highlight w:val="none"/>
        </w:rPr>
        <w:t>，</w:t>
      </w:r>
      <w:r>
        <w:rPr>
          <w:rFonts w:hint="eastAsia"/>
          <w:color w:val="auto"/>
          <w:highlight w:val="none"/>
        </w:rPr>
        <w:t>回填</w:t>
      </w:r>
      <w:r>
        <w:rPr>
          <w:color w:val="auto"/>
          <w:highlight w:val="none"/>
        </w:rPr>
        <w:t>后对回填区进行复垦，提高项目区的植被覆盖率，可使区域内野</w:t>
      </w:r>
      <w:r>
        <w:rPr>
          <w:color w:val="auto"/>
        </w:rPr>
        <w:t>生动物的数量增加，生物量增加，提高生物多样性</w:t>
      </w:r>
      <w:r>
        <w:rPr>
          <w:rFonts w:hint="eastAsia"/>
          <w:color w:val="auto"/>
        </w:rPr>
        <w:t>，</w:t>
      </w:r>
      <w:r>
        <w:rPr>
          <w:color w:val="auto"/>
        </w:rPr>
        <w:t>可消除遗留</w:t>
      </w:r>
      <w:r>
        <w:rPr>
          <w:rFonts w:hint="eastAsia"/>
          <w:color w:val="auto"/>
        </w:rPr>
        <w:t>采坑</w:t>
      </w:r>
      <w:r>
        <w:rPr>
          <w:color w:val="auto"/>
        </w:rPr>
        <w:t xml:space="preserve">的水土流失、坍塌隐患，对当地生态环境起到积极的作用。 </w:t>
      </w:r>
    </w:p>
    <w:p w14:paraId="35A74299">
      <w:pPr>
        <w:pStyle w:val="135"/>
        <w:rPr>
          <w:color w:val="auto"/>
          <w:szCs w:val="24"/>
        </w:rPr>
      </w:pPr>
      <w:r>
        <w:rPr>
          <w:color w:val="auto"/>
          <w:szCs w:val="24"/>
        </w:rPr>
        <w:t>1.4.3.</w:t>
      </w:r>
      <w:r>
        <w:rPr>
          <w:rFonts w:hint="eastAsia"/>
          <w:color w:val="auto"/>
          <w:szCs w:val="24"/>
          <w:lang w:val="en-US" w:eastAsia="zh-CN"/>
        </w:rPr>
        <w:t>11</w:t>
      </w:r>
      <w:r>
        <w:rPr>
          <w:color w:val="auto"/>
          <w:szCs w:val="24"/>
        </w:rPr>
        <w:t>与</w:t>
      </w:r>
      <w:r>
        <w:rPr>
          <w:color w:val="auto"/>
        </w:rPr>
        <w:t>《鸡西市国土空间总体规划》（2021-2035年）</w:t>
      </w:r>
      <w:r>
        <w:rPr>
          <w:color w:val="auto"/>
          <w:szCs w:val="24"/>
        </w:rPr>
        <w:t>符合性分析</w:t>
      </w:r>
    </w:p>
    <w:p w14:paraId="01FF01E0">
      <w:pPr>
        <w:pStyle w:val="59"/>
        <w:ind w:firstLine="480"/>
        <w:rPr>
          <w:color w:val="auto"/>
        </w:rPr>
      </w:pPr>
      <w:r>
        <w:rPr>
          <w:color w:val="auto"/>
        </w:rPr>
        <w:t>规划中国土综合整治和生态修复提出：构建整治修复格局，</w:t>
      </w:r>
      <w:r>
        <w:rPr>
          <w:rFonts w:hint="eastAsia" w:ascii="宋体" w:hAnsi="宋体" w:cs="宋体"/>
          <w:color w:val="auto"/>
        </w:rPr>
        <w:t>①</w:t>
      </w:r>
      <w:r>
        <w:rPr>
          <w:color w:val="auto"/>
        </w:rPr>
        <w:t>两屏包括老爷岭余脉生态屏障和三江平原湿地生态屏障；</w:t>
      </w:r>
      <w:r>
        <w:rPr>
          <w:rFonts w:hint="eastAsia" w:ascii="宋体" w:hAnsi="宋体" w:cs="宋体"/>
          <w:color w:val="auto"/>
        </w:rPr>
        <w:t>②</w:t>
      </w:r>
      <w:r>
        <w:rPr>
          <w:color w:val="auto"/>
        </w:rPr>
        <w:t>四廊包括穆棱河生态廊道、七虎林河生态廊道、阿布沁河生态廊道及乌苏里江-松阿察河生态廊道；</w:t>
      </w:r>
      <w:r>
        <w:rPr>
          <w:rFonts w:hint="eastAsia" w:ascii="宋体" w:hAnsi="宋体" w:cs="宋体"/>
          <w:color w:val="auto"/>
        </w:rPr>
        <w:t>③</w:t>
      </w:r>
      <w:r>
        <w:rPr>
          <w:color w:val="auto"/>
        </w:rPr>
        <w:t>多片区包括生态功能修复区、矿山环境治理与修复区、城市环境综合整治区和农林业治区。</w:t>
      </w:r>
    </w:p>
    <w:p w14:paraId="40D37FEC">
      <w:pPr>
        <w:pStyle w:val="59"/>
        <w:ind w:firstLine="480"/>
        <w:rPr>
          <w:color w:val="auto"/>
        </w:rPr>
      </w:pPr>
      <w:r>
        <w:rPr>
          <w:color w:val="auto"/>
        </w:rPr>
        <w:t>生态修复重点工程包括两大屏障生态修复工程、两大屏障生态修复工程、水土保持生态修复工程、矿山环境修复工程、湿地保护修复工程及保护生物多样性重大工程。其中山体生态修复治理的修复目标为：山体开发建设管控、“还绿于民”、受损山体修复、修复矿山生态环境。</w:t>
      </w:r>
    </w:p>
    <w:p w14:paraId="12AFC6AD">
      <w:pPr>
        <w:pStyle w:val="59"/>
        <w:ind w:firstLine="480"/>
        <w:rPr>
          <w:color w:val="auto"/>
        </w:rPr>
      </w:pPr>
      <w:bookmarkStart w:id="23" w:name="_Hlk148357494"/>
      <w:r>
        <w:rPr>
          <w:color w:val="auto"/>
        </w:rPr>
        <w:t>本项目利用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bCs/>
          <w:color w:val="auto"/>
        </w:rPr>
        <w:t>对</w:t>
      </w:r>
      <w:r>
        <w:rPr>
          <w:color w:val="auto"/>
        </w:rPr>
        <w:t>位于</w:t>
      </w:r>
      <w:r>
        <w:rPr>
          <w:bCs/>
          <w:color w:val="auto"/>
        </w:rPr>
        <w:t>鸡西市</w:t>
      </w:r>
      <w:r>
        <w:rPr>
          <w:color w:val="auto"/>
        </w:rPr>
        <w:t>鸡东县</w:t>
      </w:r>
      <w:r>
        <w:rPr>
          <w:rFonts w:hint="eastAsia"/>
          <w:color w:val="auto"/>
          <w:lang w:eastAsia="zh-CN"/>
        </w:rPr>
        <w:t>东海镇新泉采石场</w:t>
      </w:r>
      <w:r>
        <w:rPr>
          <w:color w:val="auto"/>
        </w:rPr>
        <w:t>废弃采坑进行回填</w:t>
      </w:r>
      <w:r>
        <w:rPr>
          <w:rFonts w:hint="eastAsia"/>
          <w:color w:val="auto"/>
        </w:rPr>
        <w:t>，回填后复垦为</w:t>
      </w:r>
      <w:r>
        <w:rPr>
          <w:rFonts w:hint="eastAsia"/>
          <w:color w:val="auto"/>
          <w:lang w:eastAsia="zh-CN"/>
        </w:rPr>
        <w:t>乔木林地、旱地</w:t>
      </w:r>
      <w:r>
        <w:rPr>
          <w:color w:val="auto"/>
        </w:rPr>
        <w:t>，不但能改善场地环境、恢复土地利用价值、区域土地利用功能、创造新的生态景观，而且对</w:t>
      </w:r>
      <w:r>
        <w:rPr>
          <w:rFonts w:hint="eastAsia"/>
          <w:color w:val="auto"/>
        </w:rPr>
        <w:t>项目区</w:t>
      </w:r>
      <w:r>
        <w:rPr>
          <w:color w:val="auto"/>
        </w:rPr>
        <w:t>本身的安全和稳定性也具有重要意义，会增加占地内的植被覆盖率和生物产量，可使区域内野生动物的数量增加，生物量增加，提高生物多样性，并且起到水土保持、防风固沙的效果，可消除遗留采坑的水土流失、坍塌隐患。</w:t>
      </w:r>
      <w:bookmarkEnd w:id="23"/>
      <w:r>
        <w:rPr>
          <w:color w:val="auto"/>
        </w:rPr>
        <w:t>故符合《鸡西市国土空间总体规划》（2021-2035年）要求。</w:t>
      </w:r>
    </w:p>
    <w:p w14:paraId="70B9162B">
      <w:pPr>
        <w:pStyle w:val="135"/>
        <w:bidi w:val="0"/>
        <w:rPr>
          <w:color w:val="auto"/>
          <w:lang w:val="zh-CN"/>
        </w:rPr>
      </w:pPr>
      <w:r>
        <w:rPr>
          <w:color w:val="auto"/>
          <w:lang w:val="zh-CN"/>
        </w:rPr>
        <w:t>1.4.3.</w:t>
      </w:r>
      <w:r>
        <w:rPr>
          <w:rFonts w:hint="eastAsia"/>
          <w:color w:val="auto"/>
          <w:lang w:val="en-US" w:eastAsia="zh-CN"/>
        </w:rPr>
        <w:t>12</w:t>
      </w:r>
      <w:r>
        <w:rPr>
          <w:rFonts w:hint="eastAsia"/>
          <w:color w:val="auto"/>
          <w:lang w:val="zh-CN"/>
        </w:rPr>
        <w:t>与《黑龙江省生态功能区划》符合性分析</w:t>
      </w:r>
    </w:p>
    <w:p w14:paraId="6C109826">
      <w:pPr>
        <w:spacing w:line="500" w:lineRule="exact"/>
        <w:ind w:firstLine="480" w:firstLineChars="200"/>
        <w:rPr>
          <w:color w:val="auto"/>
          <w:sz w:val="24"/>
          <w:highlight w:val="none"/>
          <w:lang w:val="zh-CN"/>
        </w:rPr>
      </w:pPr>
      <w:r>
        <w:rPr>
          <w:rFonts w:hint="eastAsia"/>
          <w:color w:val="auto"/>
          <w:sz w:val="24"/>
          <w:lang w:val="zh-CN"/>
        </w:rPr>
        <w:t>根据《黑龙江省生态功能区划》，本项目位于</w:t>
      </w:r>
      <w:r>
        <w:rPr>
          <w:color w:val="auto"/>
          <w:sz w:val="24"/>
          <w:lang w:val="zh-CN"/>
        </w:rPr>
        <w:fldChar w:fldCharType="begin"/>
      </w:r>
      <w:r>
        <w:rPr>
          <w:color w:val="auto"/>
          <w:sz w:val="24"/>
          <w:lang w:val="zh-CN"/>
        </w:rPr>
        <w:instrText xml:space="preserve"> = 1 \* ROMAN </w:instrText>
      </w:r>
      <w:r>
        <w:rPr>
          <w:color w:val="auto"/>
          <w:sz w:val="24"/>
          <w:lang w:val="zh-CN"/>
        </w:rPr>
        <w:fldChar w:fldCharType="separate"/>
      </w:r>
      <w:r>
        <w:rPr>
          <w:color w:val="auto"/>
          <w:sz w:val="24"/>
          <w:lang w:val="zh-CN"/>
        </w:rPr>
        <w:t>I</w:t>
      </w:r>
      <w:r>
        <w:rPr>
          <w:color w:val="auto"/>
          <w:sz w:val="24"/>
          <w:lang w:val="zh-CN"/>
        </w:rPr>
        <w:fldChar w:fldCharType="end"/>
      </w:r>
      <w:r>
        <w:rPr>
          <w:color w:val="auto"/>
          <w:sz w:val="24"/>
          <w:lang w:val="zh-CN"/>
        </w:rPr>
        <w:t>-3-2-6</w:t>
      </w:r>
      <w:r>
        <w:rPr>
          <w:rFonts w:hint="eastAsia"/>
          <w:color w:val="auto"/>
          <w:sz w:val="24"/>
          <w:lang w:val="zh-CN"/>
        </w:rPr>
        <w:t>鸡西矿、农、林业生态功能区，主要生态环境问题为植被覆盖率低，矿产开采的生态恢复措施未跟上，引发严重的次生生态环境问题；该区南部小片地区土壤侵蚀敏感性为高度敏感；主要生态系统服务功能为土壤保持、林矿农业生产；保护措施与发展方向为合理的进</w:t>
      </w:r>
      <w:r>
        <w:rPr>
          <w:rFonts w:hint="eastAsia"/>
          <w:color w:val="auto"/>
          <w:sz w:val="24"/>
          <w:highlight w:val="none"/>
          <w:lang w:val="zh-CN"/>
        </w:rPr>
        <w:t>行矿产开发，禁止野蛮开采的情况出现，大力发展生态林业和生态农业。</w:t>
      </w:r>
    </w:p>
    <w:p w14:paraId="0D4E4173">
      <w:pPr>
        <w:spacing w:line="500" w:lineRule="exact"/>
        <w:ind w:firstLine="480" w:firstLineChars="200"/>
        <w:rPr>
          <w:color w:val="auto"/>
          <w:sz w:val="24"/>
          <w:szCs w:val="22"/>
        </w:rPr>
      </w:pPr>
      <w:r>
        <w:rPr>
          <w:rFonts w:hint="eastAsia"/>
          <w:color w:val="auto"/>
          <w:sz w:val="24"/>
          <w:szCs w:val="22"/>
          <w:highlight w:val="none"/>
        </w:rPr>
        <w:t>本项目所在地原为</w:t>
      </w:r>
      <w:r>
        <w:rPr>
          <w:rFonts w:hint="eastAsia"/>
          <w:color w:val="auto"/>
          <w:sz w:val="24"/>
          <w:szCs w:val="22"/>
          <w:highlight w:val="none"/>
          <w:lang w:eastAsia="zh-CN"/>
        </w:rPr>
        <w:t>新泉</w:t>
      </w:r>
      <w:r>
        <w:rPr>
          <w:rFonts w:hint="eastAsia"/>
          <w:color w:val="auto"/>
          <w:sz w:val="24"/>
          <w:szCs w:val="22"/>
          <w:highlight w:val="none"/>
        </w:rPr>
        <w:t>采石场的废弃采坑，</w:t>
      </w:r>
      <w:r>
        <w:rPr>
          <w:rFonts w:hint="eastAsia"/>
          <w:color w:val="auto"/>
          <w:sz w:val="24"/>
          <w:szCs w:val="22"/>
          <w:highlight w:val="none"/>
          <w:lang w:eastAsia="zh-CN"/>
        </w:rPr>
        <w:t>本次</w:t>
      </w:r>
      <w:r>
        <w:rPr>
          <w:rFonts w:hint="eastAsia"/>
          <w:color w:val="auto"/>
          <w:sz w:val="24"/>
          <w:szCs w:val="22"/>
          <w:highlight w:val="none"/>
        </w:rPr>
        <w:t>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color w:val="auto"/>
          <w:sz w:val="24"/>
          <w:szCs w:val="22"/>
          <w:highlight w:val="none"/>
        </w:rPr>
        <w:t>进行回填，回填后复垦为</w:t>
      </w:r>
      <w:r>
        <w:rPr>
          <w:rFonts w:hint="eastAsia"/>
          <w:color w:val="auto"/>
          <w:sz w:val="24"/>
          <w:szCs w:val="22"/>
          <w:highlight w:val="none"/>
          <w:lang w:eastAsia="zh-CN"/>
        </w:rPr>
        <w:t>乔木林地、旱地</w:t>
      </w:r>
      <w:r>
        <w:rPr>
          <w:rFonts w:hint="eastAsia"/>
          <w:color w:val="auto"/>
          <w:sz w:val="24"/>
          <w:szCs w:val="22"/>
          <w:highlight w:val="none"/>
        </w:rPr>
        <w:t>，本项目的建设既可以减少水土流失，又可改善废弃采坑的生态环境。因此，本项目</w:t>
      </w:r>
      <w:r>
        <w:rPr>
          <w:rFonts w:hint="eastAsia"/>
          <w:color w:val="auto"/>
          <w:sz w:val="24"/>
          <w:szCs w:val="22"/>
        </w:rPr>
        <w:t>的建设符合《黑龙江省生态功能区划》。</w:t>
      </w:r>
    </w:p>
    <w:p w14:paraId="2A2E0658">
      <w:pPr>
        <w:pStyle w:val="59"/>
        <w:spacing w:line="240" w:lineRule="auto"/>
        <w:ind w:firstLine="0" w:firstLineChars="0"/>
        <w:rPr>
          <w:color w:val="auto"/>
        </w:rPr>
      </w:pPr>
      <w:r>
        <w:rPr>
          <w:color w:val="auto"/>
        </w:rPr>
        <w:drawing>
          <wp:inline distT="0" distB="0" distL="0" distR="0">
            <wp:extent cx="5274310" cy="6385560"/>
            <wp:effectExtent l="0" t="0" r="2540" b="0"/>
            <wp:docPr id="24089418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894181" name="图片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274310" cy="6385560"/>
                    </a:xfrm>
                    <a:prstGeom prst="rect">
                      <a:avLst/>
                    </a:prstGeom>
                    <a:noFill/>
                    <a:ln>
                      <a:noFill/>
                    </a:ln>
                  </pic:spPr>
                </pic:pic>
              </a:graphicData>
            </a:graphic>
          </wp:inline>
        </w:drawing>
      </w:r>
    </w:p>
    <w:p w14:paraId="15C6D412">
      <w:pPr>
        <w:adjustRightInd w:val="0"/>
        <w:snapToGrid w:val="0"/>
        <w:spacing w:line="500" w:lineRule="exact"/>
        <w:jc w:val="center"/>
        <w:rPr>
          <w:rFonts w:eastAsia="黑体"/>
          <w:snapToGrid w:val="0"/>
          <w:color w:val="auto"/>
          <w:sz w:val="24"/>
          <w:lang w:val="zh-CN"/>
        </w:rPr>
      </w:pPr>
      <w:r>
        <w:rPr>
          <w:rFonts w:hint="eastAsia" w:eastAsia="黑体"/>
          <w:snapToGrid w:val="0"/>
          <w:color w:val="auto"/>
          <w:sz w:val="24"/>
          <w:lang w:val="zh-CN"/>
        </w:rPr>
        <w:t>图</w:t>
      </w:r>
      <w:r>
        <w:rPr>
          <w:rFonts w:eastAsia="黑体"/>
          <w:snapToGrid w:val="0"/>
          <w:color w:val="auto"/>
          <w:sz w:val="24"/>
          <w:lang w:val="zh-CN"/>
        </w:rPr>
        <w:t>1-4-1</w:t>
      </w:r>
      <w:r>
        <w:rPr>
          <w:rFonts w:hint="eastAsia" w:eastAsia="黑体"/>
          <w:snapToGrid w:val="0"/>
          <w:color w:val="auto"/>
          <w:sz w:val="24"/>
          <w:lang w:val="zh-CN"/>
        </w:rPr>
        <w:t>黑龙江省生态功能区划图</w:t>
      </w:r>
    </w:p>
    <w:p w14:paraId="50E74BDB">
      <w:pPr>
        <w:pStyle w:val="135"/>
        <w:rPr>
          <w:snapToGrid w:val="0"/>
          <w:color w:val="auto"/>
          <w:lang w:val="zh-CN"/>
        </w:rPr>
      </w:pPr>
      <w:r>
        <w:rPr>
          <w:color w:val="auto"/>
          <w:lang w:val="zh-CN"/>
        </w:rPr>
        <w:t>1.4.3.</w:t>
      </w:r>
      <w:r>
        <w:rPr>
          <w:rFonts w:hint="eastAsia"/>
          <w:color w:val="auto"/>
          <w:lang w:val="en-US" w:eastAsia="zh-CN"/>
        </w:rPr>
        <w:t>13</w:t>
      </w:r>
      <w:r>
        <w:rPr>
          <w:rFonts w:hint="eastAsia"/>
          <w:snapToGrid w:val="0"/>
          <w:color w:val="auto"/>
          <w:lang w:val="zh-CN"/>
        </w:rPr>
        <w:t>与</w:t>
      </w:r>
      <w:bookmarkStart w:id="24" w:name="_Hlk520812012"/>
      <w:r>
        <w:rPr>
          <w:rFonts w:hint="eastAsia"/>
          <w:snapToGrid w:val="0"/>
          <w:color w:val="auto"/>
          <w:lang w:val="zh-CN"/>
        </w:rPr>
        <w:t>《黑龙江省主体功能区划》</w:t>
      </w:r>
      <w:bookmarkEnd w:id="24"/>
      <w:r>
        <w:rPr>
          <w:rFonts w:hint="eastAsia"/>
          <w:snapToGrid w:val="0"/>
          <w:color w:val="auto"/>
          <w:lang w:val="zh-CN"/>
        </w:rPr>
        <w:t>符合性分析</w:t>
      </w:r>
    </w:p>
    <w:p w14:paraId="3781B5B5">
      <w:pPr>
        <w:spacing w:line="500" w:lineRule="exact"/>
        <w:ind w:firstLine="480" w:firstLineChars="200"/>
        <w:rPr>
          <w:color w:val="auto"/>
          <w:sz w:val="24"/>
          <w:szCs w:val="22"/>
        </w:rPr>
      </w:pPr>
      <w:r>
        <w:rPr>
          <w:rFonts w:hint="eastAsia"/>
          <w:color w:val="auto"/>
          <w:sz w:val="24"/>
          <w:szCs w:val="22"/>
        </w:rPr>
        <w:t>本项目位于鸡东县，属于限制开发区域（国家农产品主产区）。</w:t>
      </w:r>
    </w:p>
    <w:p w14:paraId="4B6F42E0">
      <w:pPr>
        <w:spacing w:line="500" w:lineRule="exact"/>
        <w:ind w:firstLine="480" w:firstLineChars="200"/>
        <w:rPr>
          <w:snapToGrid w:val="0"/>
          <w:color w:val="auto"/>
          <w:sz w:val="24"/>
          <w:szCs w:val="22"/>
        </w:rPr>
      </w:pPr>
      <w:r>
        <w:rPr>
          <w:rFonts w:hint="eastAsia"/>
          <w:snapToGrid w:val="0"/>
          <w:color w:val="auto"/>
          <w:sz w:val="24"/>
          <w:szCs w:val="22"/>
        </w:rPr>
        <w:t>功能定位：以提供农产品为主体功能，保障农产品供给安全的重要区域。重要的商品粮生产基地、绿色食品生产基地、畜牧业生产基地和农产品深加工区、农业综合开发试验区、社会主义新农村建设的示范区。</w:t>
      </w:r>
    </w:p>
    <w:p w14:paraId="7983A690">
      <w:pPr>
        <w:spacing w:line="500" w:lineRule="exact"/>
        <w:ind w:firstLine="480" w:firstLineChars="200"/>
        <w:rPr>
          <w:snapToGrid w:val="0"/>
          <w:color w:val="auto"/>
          <w:sz w:val="24"/>
          <w:szCs w:val="22"/>
        </w:rPr>
      </w:pPr>
      <w:r>
        <w:rPr>
          <w:rFonts w:hint="eastAsia"/>
          <w:snapToGrid w:val="0"/>
          <w:color w:val="auto"/>
          <w:sz w:val="24"/>
          <w:szCs w:val="22"/>
        </w:rPr>
        <w:t>发展方向：建设农业综合开发试验区，保护耕地，集约开发，加强农业基础设施建设，显著提高农业综合生产能力、产业化水平、物资装备水平、支撑服务能力，提高农业生产效率，大力发展高产、高效、优质、安全的现代化大农业，保障农产品供给，确保国家粮食安全和食品安全；积极推进农业规模化水平，搞好绿色（有机）食品基地建设，发展农产品深加工，加大绿色（有机）食品和无公害农产品开发力度，拓展农村就业和增收空间，加强农村基础设施和公共服务设施建设，改善生产生活条件。</w:t>
      </w:r>
    </w:p>
    <w:p w14:paraId="7C6E1AA6">
      <w:pPr>
        <w:spacing w:line="500" w:lineRule="exact"/>
        <w:ind w:firstLine="480" w:firstLineChars="200"/>
        <w:rPr>
          <w:snapToGrid w:val="0"/>
          <w:color w:val="auto"/>
          <w:sz w:val="24"/>
          <w:szCs w:val="22"/>
        </w:rPr>
      </w:pPr>
      <w:r>
        <w:rPr>
          <w:rFonts w:hint="eastAsia"/>
          <w:snapToGrid w:val="0"/>
          <w:color w:val="auto"/>
          <w:sz w:val="24"/>
          <w:szCs w:val="22"/>
          <w:highlight w:val="none"/>
        </w:rPr>
        <w:t>本项目利用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snapToGrid w:val="0"/>
          <w:color w:val="auto"/>
          <w:sz w:val="24"/>
          <w:szCs w:val="22"/>
          <w:highlight w:val="none"/>
        </w:rPr>
        <w:t>对位于鸡西市鸡东县</w:t>
      </w:r>
      <w:r>
        <w:rPr>
          <w:rFonts w:hint="eastAsia"/>
          <w:snapToGrid w:val="0"/>
          <w:color w:val="auto"/>
          <w:sz w:val="24"/>
          <w:szCs w:val="22"/>
          <w:highlight w:val="none"/>
          <w:lang w:eastAsia="zh-CN"/>
        </w:rPr>
        <w:t>东海镇新泉采石场的</w:t>
      </w:r>
      <w:r>
        <w:rPr>
          <w:rFonts w:hint="eastAsia"/>
          <w:snapToGrid w:val="0"/>
          <w:color w:val="auto"/>
          <w:sz w:val="24"/>
          <w:szCs w:val="22"/>
          <w:highlight w:val="none"/>
        </w:rPr>
        <w:t>废弃采坑进行回填修复治理。回填结束后复垦为</w:t>
      </w:r>
      <w:r>
        <w:rPr>
          <w:rFonts w:hint="eastAsia"/>
          <w:snapToGrid w:val="0"/>
          <w:color w:val="auto"/>
          <w:sz w:val="24"/>
          <w:szCs w:val="22"/>
          <w:highlight w:val="none"/>
          <w:lang w:val="en-US" w:eastAsia="zh-CN"/>
        </w:rPr>
        <w:t>乔木林地、旱地</w:t>
      </w:r>
      <w:r>
        <w:rPr>
          <w:rFonts w:hint="eastAsia"/>
          <w:snapToGrid w:val="0"/>
          <w:color w:val="auto"/>
          <w:sz w:val="24"/>
          <w:szCs w:val="22"/>
          <w:highlight w:val="none"/>
        </w:rPr>
        <w:t>，不但能改善场地环境、恢复土地利用价值和土地利用功能</w:t>
      </w:r>
      <w:r>
        <w:rPr>
          <w:rFonts w:hint="eastAsia"/>
          <w:snapToGrid w:val="0"/>
          <w:color w:val="auto"/>
          <w:sz w:val="24"/>
          <w:szCs w:val="22"/>
        </w:rPr>
        <w:t>、提高农产品供给能力，而且对项目区本身的安全和稳定性也具有重要意义</w:t>
      </w:r>
      <w:r>
        <w:rPr>
          <w:rFonts w:hint="eastAsia"/>
          <w:color w:val="auto"/>
          <w:sz w:val="24"/>
          <w:szCs w:val="22"/>
        </w:rPr>
        <w:t>。因此，符合</w:t>
      </w:r>
      <w:r>
        <w:rPr>
          <w:rFonts w:hint="eastAsia"/>
          <w:snapToGrid w:val="0"/>
          <w:color w:val="auto"/>
          <w:sz w:val="24"/>
          <w:szCs w:val="22"/>
        </w:rPr>
        <w:t>《黑龙江省主体功能区划》中的功能定位和发展方向。</w:t>
      </w:r>
    </w:p>
    <w:p w14:paraId="49FEA9FA">
      <w:pPr>
        <w:pStyle w:val="18"/>
        <w:rPr>
          <w:color w:val="auto"/>
        </w:rPr>
      </w:pPr>
      <w:r>
        <w:rPr>
          <w:color w:val="auto"/>
        </w:rPr>
        <mc:AlternateContent>
          <mc:Choice Requires="wps">
            <w:drawing>
              <wp:anchor distT="0" distB="0" distL="114300" distR="114300" simplePos="0" relativeHeight="251662336" behindDoc="0" locked="0" layoutInCell="1" allowOverlap="1">
                <wp:simplePos x="0" y="0"/>
                <wp:positionH relativeFrom="column">
                  <wp:posOffset>3530600</wp:posOffset>
                </wp:positionH>
                <wp:positionV relativeFrom="paragraph">
                  <wp:posOffset>2838450</wp:posOffset>
                </wp:positionV>
                <wp:extent cx="666750" cy="273050"/>
                <wp:effectExtent l="114300" t="0" r="19050" b="127000"/>
                <wp:wrapNone/>
                <wp:docPr id="490470110" name="对话气泡: 矩形 8"/>
                <wp:cNvGraphicFramePr/>
                <a:graphic xmlns:a="http://schemas.openxmlformats.org/drawingml/2006/main">
                  <a:graphicData uri="http://schemas.microsoft.com/office/word/2010/wordprocessingShape">
                    <wps:wsp>
                      <wps:cNvSpPr/>
                      <wps:spPr>
                        <a:xfrm>
                          <a:off x="0" y="0"/>
                          <a:ext cx="666750" cy="273050"/>
                        </a:xfrm>
                        <a:prstGeom prst="wedgeRectCallout">
                          <a:avLst>
                            <a:gd name="adj1" fmla="val -65278"/>
                            <a:gd name="adj2" fmla="val 88081"/>
                          </a:avLst>
                        </a:prstGeom>
                        <a:ln w="3175"/>
                      </wps:spPr>
                      <wps:style>
                        <a:lnRef idx="2">
                          <a:schemeClr val="dk1"/>
                        </a:lnRef>
                        <a:fillRef idx="1">
                          <a:schemeClr val="lt1"/>
                        </a:fillRef>
                        <a:effectRef idx="0">
                          <a:schemeClr val="dk1"/>
                        </a:effectRef>
                        <a:fontRef idx="minor">
                          <a:schemeClr val="dk1"/>
                        </a:fontRef>
                      </wps:style>
                      <wps:txbx>
                        <w:txbxContent>
                          <w:p w14:paraId="6547FEEB">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矩形 8" o:spid="_x0000_s1026" o:spt="61" type="#_x0000_t61" style="position:absolute;left:0pt;margin-left:278pt;margin-top:223.5pt;height:21.5pt;width:52.5pt;z-index:251662336;v-text-anchor:middle;mso-width-relative:page;mso-height-relative:page;" fillcolor="#FFFFFF [3201]" filled="t" stroked="t" coordsize="21600,21600" o:gfxdata="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" adj="-3300,29825">
                <v:fill on="t" focussize="0,0"/>
                <v:stroke weight="0.25pt" color="#000000 [3200]" joinstyle="round"/>
                <v:imagedata o:title=""/>
                <o:lock v:ext="edit" aspectratio="f"/>
                <v:textbox>
                  <w:txbxContent>
                    <w:p w14:paraId="6547FEEB">
                      <w:r>
                        <w:rPr>
                          <w:rFonts w:hint="eastAsia"/>
                        </w:rPr>
                        <w:t>本项目</w:t>
                      </w:r>
                    </w:p>
                  </w:txbxContent>
                </v:textbox>
              </v:shape>
            </w:pict>
          </mc:Fallback>
        </mc:AlternateContent>
      </w:r>
      <w:r>
        <w:rPr>
          <w:color w:val="auto"/>
        </w:rPr>
        <w:drawing>
          <wp:inline distT="0" distB="0" distL="0" distR="0">
            <wp:extent cx="5274310" cy="3963035"/>
            <wp:effectExtent l="0" t="0" r="2540" b="0"/>
            <wp:docPr id="183327517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275179" name="图片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a:xfrm>
                      <a:off x="0" y="0"/>
                      <a:ext cx="5274310" cy="3963035"/>
                    </a:xfrm>
                    <a:prstGeom prst="rect">
                      <a:avLst/>
                    </a:prstGeom>
                    <a:noFill/>
                    <a:ln>
                      <a:noFill/>
                    </a:ln>
                  </pic:spPr>
                </pic:pic>
              </a:graphicData>
            </a:graphic>
          </wp:inline>
        </w:drawing>
      </w:r>
    </w:p>
    <w:p w14:paraId="514A6E7D">
      <w:pPr>
        <w:adjustRightInd w:val="0"/>
        <w:snapToGrid w:val="0"/>
        <w:spacing w:line="500" w:lineRule="exact"/>
        <w:jc w:val="center"/>
        <w:rPr>
          <w:rFonts w:eastAsia="黑体"/>
          <w:snapToGrid w:val="0"/>
          <w:color w:val="auto"/>
          <w:sz w:val="24"/>
          <w:lang w:val="zh-CN"/>
        </w:rPr>
      </w:pPr>
      <w:r>
        <w:rPr>
          <w:rStyle w:val="75"/>
          <w:color w:val="auto"/>
        </w:rPr>
        <w:t>图</w:t>
      </w:r>
      <w:r>
        <w:rPr>
          <w:rFonts w:eastAsia="黑体"/>
          <w:snapToGrid w:val="0"/>
          <w:color w:val="auto"/>
          <w:sz w:val="24"/>
          <w:lang w:val="zh-CN"/>
        </w:rPr>
        <w:t>1-4-2</w:t>
      </w:r>
      <w:r>
        <w:rPr>
          <w:rFonts w:hint="eastAsia" w:eastAsia="黑体"/>
          <w:snapToGrid w:val="0"/>
          <w:color w:val="auto"/>
          <w:sz w:val="24"/>
          <w:lang w:val="zh-CN"/>
        </w:rPr>
        <w:t>黑龙江省主体功能区划图</w:t>
      </w:r>
    </w:p>
    <w:p w14:paraId="3BE39EA0">
      <w:pPr>
        <w:pStyle w:val="135"/>
        <w:bidi w:val="0"/>
        <w:rPr>
          <w:rFonts w:hint="eastAsia"/>
          <w:color w:val="auto"/>
          <w:lang w:val="zh-CN" w:eastAsia="zh-CN"/>
        </w:rPr>
      </w:pPr>
      <w:bookmarkStart w:id="25" w:name="_Toc119316786"/>
      <w:bookmarkStart w:id="26" w:name="_Toc149054188"/>
      <w:r>
        <w:rPr>
          <w:color w:val="auto"/>
          <w:lang w:val="zh-CN"/>
        </w:rPr>
        <w:t>1.4.</w:t>
      </w:r>
      <w:r>
        <w:rPr>
          <w:rFonts w:hint="eastAsia"/>
          <w:color w:val="auto"/>
          <w:lang w:val="en-US" w:eastAsia="zh-CN"/>
        </w:rPr>
        <w:t>3.14</w:t>
      </w:r>
      <w:r>
        <w:rPr>
          <w:rFonts w:hint="eastAsia"/>
          <w:color w:val="auto"/>
          <w:lang w:val="zh-CN" w:eastAsia="zh-CN"/>
        </w:rPr>
        <w:t>《</w:t>
      </w:r>
      <w:r>
        <w:rPr>
          <w:rFonts w:hint="eastAsia"/>
          <w:color w:val="auto"/>
          <w:lang w:val="en-US" w:eastAsia="zh-CN"/>
        </w:rPr>
        <w:t>土壤污染防治行动计划</w:t>
      </w:r>
      <w:r>
        <w:rPr>
          <w:rFonts w:hint="eastAsia"/>
          <w:color w:val="auto"/>
          <w:lang w:val="zh-CN" w:eastAsia="zh-CN"/>
        </w:rPr>
        <w:t>》</w:t>
      </w:r>
    </w:p>
    <w:p w14:paraId="3C29CF1A">
      <w:pPr>
        <w:pStyle w:val="59"/>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color w:val="auto"/>
        </w:rPr>
      </w:pPr>
      <w:r>
        <w:rPr>
          <w:rFonts w:hint="eastAsia"/>
          <w:color w:val="auto"/>
          <w:lang w:val="en-US" w:eastAsia="zh-CN"/>
        </w:rPr>
        <w:t xml:space="preserve">根据《土壤污染防治行动计划》相关内容，加强工业废物处理处置。全面 </w:t>
      </w:r>
    </w:p>
    <w:p w14:paraId="5E7B6C4C">
      <w:pPr>
        <w:pStyle w:val="59"/>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color w:val="auto"/>
        </w:rPr>
      </w:pPr>
      <w:r>
        <w:rPr>
          <w:rFonts w:hint="eastAsia"/>
          <w:color w:val="auto"/>
          <w:lang w:val="en-US" w:eastAsia="zh-CN"/>
        </w:rPr>
        <w:t xml:space="preserve">整治尾矿、煤矸石、工业副产石膏、粉煤灰、赤泥、冶炼渣、电石渣、铬渣、 </w:t>
      </w:r>
    </w:p>
    <w:p w14:paraId="2AE70F0C">
      <w:pPr>
        <w:pStyle w:val="59"/>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color w:val="auto"/>
        </w:rPr>
      </w:pPr>
      <w:r>
        <w:rPr>
          <w:rFonts w:hint="eastAsia"/>
          <w:color w:val="auto"/>
          <w:lang w:val="en-US" w:eastAsia="zh-CN"/>
        </w:rPr>
        <w:t xml:space="preserve">砷渣以及脱硫、脱硝、除尘产生固体废物的堆存场所，完善防扬散、防流失、 </w:t>
      </w:r>
    </w:p>
    <w:p w14:paraId="5F73EF4F">
      <w:pPr>
        <w:pStyle w:val="59"/>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color w:val="auto"/>
        </w:rPr>
      </w:pPr>
      <w:r>
        <w:rPr>
          <w:rFonts w:hint="eastAsia"/>
          <w:color w:val="auto"/>
          <w:lang w:val="en-US" w:eastAsia="zh-CN"/>
        </w:rPr>
        <w:t xml:space="preserve">防渗漏等设施，制定整治方案并有序实施。加强工业固体废物综合利用。 </w:t>
      </w:r>
    </w:p>
    <w:p w14:paraId="511D5615">
      <w:pPr>
        <w:pStyle w:val="59"/>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color w:val="auto"/>
          <w:lang w:val="en-US" w:eastAsia="zh-CN"/>
        </w:rPr>
      </w:pPr>
      <w:r>
        <w:rPr>
          <w:rFonts w:hint="eastAsia"/>
          <w:color w:val="auto"/>
          <w:lang w:val="en-US" w:eastAsia="zh-CN"/>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color w:val="auto"/>
          <w:lang w:val="en-US" w:eastAsia="zh-CN"/>
        </w:rPr>
        <w:t>作为回填材料进行回填，合理处置了工业固体废物，设有完善防扬散、防流失等设施，可防止污染物对项目周围土壤环境造成进一步危害。因此项目符合《土壤污染防治行动计划》。</w:t>
      </w:r>
    </w:p>
    <w:p w14:paraId="4E894ED6">
      <w:pPr>
        <w:pStyle w:val="135"/>
        <w:bidi w:val="0"/>
        <w:rPr>
          <w:rFonts w:hint="eastAsia"/>
          <w:color w:val="auto"/>
          <w:lang w:eastAsia="zh-CN"/>
        </w:rPr>
      </w:pPr>
      <w:r>
        <w:rPr>
          <w:color w:val="auto"/>
        </w:rPr>
        <w:t>1.4.</w:t>
      </w:r>
      <w:r>
        <w:rPr>
          <w:rFonts w:hint="eastAsia"/>
          <w:color w:val="auto"/>
          <w:lang w:val="en-US" w:eastAsia="zh-CN"/>
        </w:rPr>
        <w:t>3.15</w:t>
      </w:r>
      <w:r>
        <w:rPr>
          <w:rFonts w:hint="eastAsia"/>
          <w:color w:val="auto"/>
          <w:lang w:eastAsia="zh-CN"/>
        </w:rPr>
        <w:t>《</w:t>
      </w:r>
      <w:r>
        <w:rPr>
          <w:rFonts w:hint="eastAsia"/>
          <w:color w:val="auto"/>
          <w:lang w:val="en-US" w:eastAsia="zh-CN"/>
        </w:rPr>
        <w:t>黑龙江省土壤污染防治实施方案</w:t>
      </w:r>
      <w:r>
        <w:rPr>
          <w:rFonts w:hint="eastAsia"/>
          <w:color w:val="auto"/>
          <w:lang w:eastAsia="zh-CN"/>
        </w:rPr>
        <w:t>》</w:t>
      </w:r>
    </w:p>
    <w:p w14:paraId="19229724">
      <w:pPr>
        <w:pStyle w:val="59"/>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color w:val="auto"/>
          <w:lang w:val="en-US" w:eastAsia="zh-CN"/>
        </w:rPr>
      </w:pPr>
      <w:r>
        <w:rPr>
          <w:rFonts w:hint="eastAsia"/>
          <w:color w:val="auto"/>
          <w:lang w:val="en-US" w:eastAsia="zh-CN"/>
        </w:rPr>
        <w:t xml:space="preserve">根据《黑龙江省土壤污染防治实施方案》相关内容，加强工业废物处理处 </w:t>
      </w:r>
    </w:p>
    <w:p w14:paraId="35697013">
      <w:pPr>
        <w:pStyle w:val="59"/>
        <w:keepNext w:val="0"/>
        <w:keepLines w:val="0"/>
        <w:pageBreakBefore w:val="0"/>
        <w:widowControl/>
        <w:kinsoku/>
        <w:wordWrap/>
        <w:overflowPunct/>
        <w:topLinePunct w:val="0"/>
        <w:autoSpaceDE/>
        <w:autoSpaceDN/>
        <w:bidi w:val="0"/>
        <w:adjustRightInd w:val="0"/>
        <w:snapToGrid w:val="0"/>
        <w:ind w:firstLine="0" w:firstLineChars="0"/>
        <w:textAlignment w:val="auto"/>
        <w:rPr>
          <w:rFonts w:hint="eastAsia"/>
          <w:color w:val="auto"/>
          <w:lang w:val="en-US" w:eastAsia="zh-CN"/>
        </w:rPr>
      </w:pPr>
      <w:r>
        <w:rPr>
          <w:rFonts w:hint="eastAsia"/>
          <w:color w:val="auto"/>
          <w:lang w:val="en-US" w:eastAsia="zh-CN"/>
        </w:rPr>
        <w:t>置。全面整治尾矿、煤矸石、工业副产石膏、粉煤灰、冶炼渣、电石渣、铬渣、砷渣以及脱硫、脱硝、除尘产生固体废物的堆存场所，完善防扬散、防流失、防渗漏等设施，制定整治方案并有序实施。加强工业固体废物综合利用。对电子废物、废轮胎、废塑料等再生利用活动进行清理整顿，引导有关企业采用先进适用加工工艺、集聚发展，集中建设和运营污染治理设施，防止污染土壤和地下水。</w:t>
      </w:r>
    </w:p>
    <w:p w14:paraId="5943C091">
      <w:pPr>
        <w:pStyle w:val="59"/>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color w:val="auto"/>
          <w:lang w:val="en-US" w:eastAsia="zh-CN"/>
        </w:rPr>
      </w:pPr>
      <w:r>
        <w:rPr>
          <w:rFonts w:hint="eastAsia"/>
          <w:color w:val="auto"/>
          <w:lang w:val="en-US" w:eastAsia="zh-CN"/>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龙江醇能热电有限公司的灰渣作为</w:t>
      </w:r>
      <w:r>
        <w:rPr>
          <w:rFonts w:hint="eastAsia"/>
          <w:color w:val="auto"/>
          <w:lang w:val="en-US" w:eastAsia="zh-CN"/>
        </w:rPr>
        <w:t>回填材料进行回填，项目运输过程中采取密闭运输，可以做到防扬散、防流失，根据本次土壤及地下水预测结果，项目对土壤及地下水影响较小可以接受，项目对地下水设置定期监测。因此项目符合《黑龙江省土壤污染防治实施方案》。</w:t>
      </w:r>
    </w:p>
    <w:p w14:paraId="77DEEB33">
      <w:pPr>
        <w:pStyle w:val="135"/>
        <w:bidi w:val="0"/>
        <w:rPr>
          <w:rFonts w:hint="eastAsia"/>
          <w:color w:val="auto"/>
          <w:lang w:eastAsia="zh-CN"/>
        </w:rPr>
      </w:pPr>
      <w:r>
        <w:rPr>
          <w:color w:val="auto"/>
        </w:rPr>
        <w:t>1.4</w:t>
      </w:r>
      <w:r>
        <w:rPr>
          <w:rFonts w:hint="eastAsia"/>
          <w:color w:val="auto"/>
          <w:lang w:val="en-US" w:eastAsia="zh-CN"/>
        </w:rPr>
        <w:t>.3.16</w:t>
      </w:r>
      <w:r>
        <w:rPr>
          <w:rFonts w:hint="eastAsia"/>
          <w:color w:val="auto"/>
          <w:lang w:eastAsia="zh-CN"/>
        </w:rPr>
        <w:t>《</w:t>
      </w:r>
      <w:r>
        <w:rPr>
          <w:rFonts w:hint="eastAsia"/>
          <w:color w:val="auto"/>
          <w:lang w:val="en-US" w:eastAsia="zh-CN"/>
        </w:rPr>
        <w:t>黑龙江省鸡西市城乡固体废物分类治理专项规划（2019-2035年）</w:t>
      </w:r>
      <w:r>
        <w:rPr>
          <w:rFonts w:hint="eastAsia"/>
          <w:color w:val="auto"/>
          <w:lang w:eastAsia="zh-CN"/>
        </w:rPr>
        <w:t>》</w:t>
      </w:r>
    </w:p>
    <w:p w14:paraId="02AA769F">
      <w:pPr>
        <w:pStyle w:val="59"/>
        <w:keepNext w:val="0"/>
        <w:keepLines w:val="0"/>
        <w:pageBreakBefore w:val="0"/>
        <w:widowControl/>
        <w:kinsoku/>
        <w:wordWrap/>
        <w:overflowPunct/>
        <w:topLinePunct w:val="0"/>
        <w:autoSpaceDE/>
        <w:autoSpaceDN/>
        <w:bidi w:val="0"/>
        <w:adjustRightInd w:val="0"/>
        <w:snapToGrid w:val="0"/>
        <w:ind w:firstLine="480" w:firstLineChars="200"/>
        <w:textAlignment w:val="auto"/>
        <w:rPr>
          <w:rFonts w:hint="eastAsia"/>
          <w:color w:val="auto"/>
          <w:lang w:val="en-US" w:eastAsia="zh-CN"/>
        </w:rPr>
      </w:pPr>
      <w:r>
        <w:rPr>
          <w:rFonts w:hint="eastAsia"/>
          <w:color w:val="auto"/>
          <w:lang w:val="en-US" w:eastAsia="zh-CN"/>
        </w:rPr>
        <w:t>根据《黑龙江省鸡西市城乡固体废物分类治理专项规划（</w:t>
      </w:r>
      <w:r>
        <w:rPr>
          <w:rFonts w:hint="default"/>
          <w:color w:val="auto"/>
          <w:lang w:val="en-US" w:eastAsia="zh-CN"/>
        </w:rPr>
        <w:t xml:space="preserve">2019-2035 </w:t>
      </w:r>
      <w:r>
        <w:rPr>
          <w:rFonts w:hint="eastAsia"/>
          <w:color w:val="auto"/>
          <w:lang w:val="en-US" w:eastAsia="zh-CN"/>
        </w:rPr>
        <w:t xml:space="preserve">年）》 </w:t>
      </w:r>
    </w:p>
    <w:p w14:paraId="2C82718F">
      <w:pPr>
        <w:pStyle w:val="59"/>
        <w:keepNext w:val="0"/>
        <w:keepLines w:val="0"/>
        <w:pageBreakBefore w:val="0"/>
        <w:widowControl/>
        <w:kinsoku/>
        <w:wordWrap/>
        <w:overflowPunct/>
        <w:topLinePunct w:val="0"/>
        <w:autoSpaceDE/>
        <w:autoSpaceDN/>
        <w:bidi w:val="0"/>
        <w:adjustRightInd w:val="0"/>
        <w:snapToGrid w:val="0"/>
        <w:ind w:left="0" w:leftChars="0" w:firstLine="0" w:firstLineChars="0"/>
        <w:textAlignment w:val="auto"/>
        <w:rPr>
          <w:rFonts w:hint="eastAsia"/>
          <w:color w:val="auto"/>
          <w:lang w:val="en-US" w:eastAsia="zh-CN"/>
        </w:rPr>
      </w:pPr>
      <w:r>
        <w:rPr>
          <w:rFonts w:hint="eastAsia"/>
          <w:color w:val="auto"/>
          <w:lang w:val="en-US" w:eastAsia="zh-CN"/>
        </w:rPr>
        <w:t xml:space="preserve">相关内容，一般工业固体废物实现源头大幅减量，充分资源化利用和安全处置。 </w:t>
      </w:r>
    </w:p>
    <w:p w14:paraId="2D4D52E2">
      <w:pPr>
        <w:pStyle w:val="59"/>
        <w:keepNext w:val="0"/>
        <w:keepLines w:val="0"/>
        <w:pageBreakBefore w:val="0"/>
        <w:widowControl/>
        <w:kinsoku/>
        <w:wordWrap/>
        <w:overflowPunct/>
        <w:topLinePunct w:val="0"/>
        <w:autoSpaceDE/>
        <w:autoSpaceDN/>
        <w:bidi w:val="0"/>
        <w:adjustRightInd w:val="0"/>
        <w:snapToGrid w:val="0"/>
        <w:ind w:left="0" w:leftChars="0" w:firstLine="0" w:firstLineChars="0"/>
        <w:textAlignment w:val="auto"/>
        <w:rPr>
          <w:rFonts w:hint="eastAsia"/>
          <w:color w:val="auto"/>
          <w:lang w:val="en-US" w:eastAsia="zh-CN"/>
        </w:rPr>
      </w:pPr>
      <w:r>
        <w:rPr>
          <w:rFonts w:hint="eastAsia"/>
          <w:color w:val="auto"/>
          <w:lang w:val="en-US" w:eastAsia="zh-CN"/>
        </w:rPr>
        <w:t xml:space="preserve">实现工业绿色生产，推动大宗工业固体废物贮存处置总量趋零增长；非法转移 </w:t>
      </w:r>
    </w:p>
    <w:p w14:paraId="3DE9C7BD">
      <w:pPr>
        <w:pStyle w:val="59"/>
        <w:keepNext w:val="0"/>
        <w:keepLines w:val="0"/>
        <w:pageBreakBefore w:val="0"/>
        <w:widowControl/>
        <w:kinsoku/>
        <w:wordWrap/>
        <w:overflowPunct/>
        <w:topLinePunct w:val="0"/>
        <w:autoSpaceDE/>
        <w:autoSpaceDN/>
        <w:bidi w:val="0"/>
        <w:adjustRightInd w:val="0"/>
        <w:snapToGrid w:val="0"/>
        <w:ind w:left="0" w:leftChars="0" w:firstLine="0" w:firstLineChars="0"/>
        <w:textAlignment w:val="auto"/>
        <w:rPr>
          <w:rFonts w:hint="eastAsia"/>
          <w:color w:val="auto"/>
          <w:lang w:val="en-US" w:eastAsia="zh-CN"/>
        </w:rPr>
      </w:pPr>
      <w:r>
        <w:rPr>
          <w:rFonts w:hint="eastAsia"/>
          <w:color w:val="auto"/>
          <w:lang w:val="en-US" w:eastAsia="zh-CN"/>
        </w:rPr>
        <w:t xml:space="preserve">倾倒固体废物事件零发生；全过程规范化管理，构建全过程信息化监管体系。 </w:t>
      </w:r>
    </w:p>
    <w:p w14:paraId="37A9A028">
      <w:pPr>
        <w:pStyle w:val="59"/>
        <w:keepNext w:val="0"/>
        <w:keepLines w:val="0"/>
        <w:pageBreakBefore w:val="0"/>
        <w:widowControl/>
        <w:kinsoku/>
        <w:wordWrap/>
        <w:overflowPunct/>
        <w:topLinePunct w:val="0"/>
        <w:autoSpaceDE/>
        <w:autoSpaceDN/>
        <w:bidi w:val="0"/>
        <w:adjustRightInd w:val="0"/>
        <w:snapToGrid w:val="0"/>
        <w:ind w:left="0" w:leftChars="0" w:firstLine="480" w:firstLineChars="200"/>
        <w:textAlignment w:val="auto"/>
        <w:rPr>
          <w:rFonts w:hint="eastAsia"/>
          <w:color w:val="auto"/>
          <w:lang w:val="en-US" w:eastAsia="zh-CN"/>
        </w:rPr>
      </w:pPr>
      <w:r>
        <w:rPr>
          <w:rFonts w:hint="eastAsia"/>
          <w:color w:val="auto"/>
          <w:lang w:val="en-US" w:eastAsia="zh-CN"/>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龙江醇能热电有限公司的灰渣作为</w:t>
      </w:r>
      <w:r>
        <w:rPr>
          <w:rFonts w:hint="eastAsia"/>
          <w:color w:val="auto"/>
          <w:lang w:val="en-US" w:eastAsia="zh-CN"/>
        </w:rPr>
        <w:t>回填材料进行回填，可以将一般工业固体废物灰渣充分资源化利用和安全处置，实现工业绿色生产，因此项目符合《黑龙江省鸡西市城乡固体废物分类治理专项规划 （</w:t>
      </w:r>
      <w:r>
        <w:rPr>
          <w:rFonts w:hint="default"/>
          <w:color w:val="auto"/>
          <w:lang w:val="en-US" w:eastAsia="zh-CN"/>
        </w:rPr>
        <w:t xml:space="preserve">2019-2035 </w:t>
      </w:r>
      <w:r>
        <w:rPr>
          <w:rFonts w:hint="eastAsia"/>
          <w:color w:val="auto"/>
          <w:lang w:val="en-US" w:eastAsia="zh-CN"/>
        </w:rPr>
        <w:t>年）》。</w:t>
      </w:r>
    </w:p>
    <w:p w14:paraId="5B4E4E71">
      <w:pPr>
        <w:pStyle w:val="135"/>
        <w:bidi w:val="0"/>
        <w:rPr>
          <w:rFonts w:hint="eastAsia"/>
          <w:color w:val="auto"/>
          <w:lang w:eastAsia="zh-CN"/>
        </w:rPr>
      </w:pPr>
      <w:r>
        <w:rPr>
          <w:color w:val="auto"/>
        </w:rPr>
        <w:t>1.4.</w:t>
      </w:r>
      <w:r>
        <w:rPr>
          <w:rFonts w:hint="eastAsia"/>
          <w:color w:val="auto"/>
          <w:lang w:val="en-US" w:eastAsia="zh-CN"/>
        </w:rPr>
        <w:t>3.17</w:t>
      </w:r>
      <w:r>
        <w:rPr>
          <w:rFonts w:hint="eastAsia"/>
          <w:color w:val="auto"/>
          <w:lang w:eastAsia="zh-CN"/>
        </w:rPr>
        <w:t>《鸡西市大宗固体废弃物综合处置利用规划（2023~2035年）》</w:t>
      </w:r>
    </w:p>
    <w:p w14:paraId="38D078FC">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根据《鸡西市大宗固体废弃物综合处置利用规划(2023~2035年)》相关内容，以改革创新为根本动力，以“绿色、低碳、高效”推动工业固体废物综合利用产业壮大发展为重要抓手，坚持创新引领、示范带动、分类施策，大力推进循环经济深入发展，强化科技支撑、源头削减、过程控制、协同处置，培育扶持带动性和示范性强的综合利用骨干企业，夯实工业资源循环利用基础，大幅提高工业固体废物综合利用水平，全面提升环境风险防范能力，确保高质量建设国家生态文明试验区，助力新型工业化和高新技术产业快速发展，加快工业绿色低碳转型和高质量发展。</w:t>
      </w:r>
    </w:p>
    <w:p w14:paraId="19F4D4E4">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highlight w:val="none"/>
          <w:lang w:val="en-US" w:eastAsia="zh-CN" w:bidi="ar-SA"/>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作为回填材料进行回填，可以将一般工业固体废物</w:t>
      </w:r>
      <w:r>
        <w:rPr>
          <w:rFonts w:hint="eastAsia" w:cstheme="minorBidi"/>
          <w:color w:val="auto"/>
          <w:kern w:val="2"/>
          <w:sz w:val="24"/>
          <w:szCs w:val="24"/>
          <w:highlight w:val="none"/>
          <w:lang w:val="en-US" w:eastAsia="zh-CN" w:bidi="ar-SA"/>
        </w:rPr>
        <w:t>灰渣</w:t>
      </w:r>
      <w:r>
        <w:rPr>
          <w:rFonts w:hint="eastAsia" w:ascii="Times New Roman" w:hAnsi="Times New Roman" w:eastAsia="宋体" w:cstheme="minorBidi"/>
          <w:color w:val="auto"/>
          <w:kern w:val="2"/>
          <w:sz w:val="24"/>
          <w:szCs w:val="24"/>
          <w:highlight w:val="none"/>
          <w:lang w:val="en-US" w:eastAsia="zh-CN" w:bidi="ar-SA"/>
        </w:rPr>
        <w:t>充分资源化利用和安全处置，可大幅提高工业固体废物综合利用水平，加快工业绿色低碳转型和高质量发展。因</w:t>
      </w:r>
      <w:r>
        <w:rPr>
          <w:rFonts w:hint="eastAsia" w:ascii="Times New Roman" w:hAnsi="Times New Roman" w:eastAsia="宋体" w:cstheme="minorBidi"/>
          <w:color w:val="auto"/>
          <w:kern w:val="2"/>
          <w:sz w:val="24"/>
          <w:szCs w:val="24"/>
          <w:lang w:val="en-US" w:eastAsia="zh-CN" w:bidi="ar-SA"/>
        </w:rPr>
        <w:t>此项目符合《鸡西市大宗固体废弃物综合处置利用规划</w:t>
      </w:r>
      <w:r>
        <w:rPr>
          <w:rFonts w:hint="eastAsia" w:cstheme="minorBidi"/>
          <w:color w:val="auto"/>
          <w:kern w:val="2"/>
          <w:sz w:val="24"/>
          <w:szCs w:val="24"/>
          <w:lang w:val="en-US" w:eastAsia="zh-CN" w:bidi="ar-SA"/>
        </w:rPr>
        <w:t>（</w:t>
      </w:r>
      <w:r>
        <w:rPr>
          <w:rFonts w:hint="eastAsia" w:ascii="Times New Roman" w:hAnsi="Times New Roman" w:eastAsia="宋体" w:cstheme="minorBidi"/>
          <w:color w:val="auto"/>
          <w:kern w:val="2"/>
          <w:sz w:val="24"/>
          <w:szCs w:val="24"/>
          <w:lang w:val="en-US" w:eastAsia="zh-CN" w:bidi="ar-SA"/>
        </w:rPr>
        <w:t>2023~2035年</w:t>
      </w:r>
      <w:r>
        <w:rPr>
          <w:rFonts w:hint="eastAsia" w:cstheme="minorBidi"/>
          <w:color w:val="auto"/>
          <w:kern w:val="2"/>
          <w:sz w:val="24"/>
          <w:szCs w:val="24"/>
          <w:lang w:val="en-US" w:eastAsia="zh-CN" w:bidi="ar-SA"/>
        </w:rPr>
        <w:t>）</w:t>
      </w:r>
      <w:r>
        <w:rPr>
          <w:rFonts w:hint="eastAsia" w:ascii="Times New Roman" w:hAnsi="Times New Roman" w:eastAsia="宋体" w:cstheme="minorBidi"/>
          <w:color w:val="auto"/>
          <w:kern w:val="2"/>
          <w:sz w:val="24"/>
          <w:szCs w:val="24"/>
          <w:lang w:val="en-US" w:eastAsia="zh-CN" w:bidi="ar-SA"/>
        </w:rPr>
        <w:t>》。</w:t>
      </w:r>
    </w:p>
    <w:p w14:paraId="1D17C147">
      <w:pPr>
        <w:pStyle w:val="135"/>
        <w:bidi w:val="0"/>
        <w:rPr>
          <w:rFonts w:hint="eastAsia"/>
          <w:color w:val="auto"/>
          <w:lang w:eastAsia="zh-CN"/>
        </w:rPr>
      </w:pPr>
      <w:r>
        <w:rPr>
          <w:color w:val="auto"/>
        </w:rPr>
        <w:t>1.4.</w:t>
      </w:r>
      <w:r>
        <w:rPr>
          <w:rFonts w:hint="eastAsia"/>
          <w:color w:val="auto"/>
          <w:lang w:val="en-US" w:eastAsia="zh-CN"/>
        </w:rPr>
        <w:t>3.18</w:t>
      </w:r>
      <w:r>
        <w:rPr>
          <w:rFonts w:hint="eastAsia"/>
          <w:color w:val="auto"/>
          <w:lang w:eastAsia="zh-CN"/>
        </w:rPr>
        <w:t>《</w:t>
      </w:r>
      <w:r>
        <w:rPr>
          <w:rFonts w:hint="eastAsia"/>
          <w:color w:val="auto"/>
          <w:lang w:val="en-US" w:eastAsia="zh-CN"/>
        </w:rPr>
        <w:t>粉煤灰综合利用管理办法</w:t>
      </w:r>
      <w:r>
        <w:rPr>
          <w:rFonts w:hint="eastAsia"/>
          <w:color w:val="auto"/>
          <w:lang w:eastAsia="zh-CN"/>
        </w:rPr>
        <w:t>》</w:t>
      </w:r>
    </w:p>
    <w:p w14:paraId="277105C7">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根据《粉煤灰综合利用管理办法》相关内容，新建电厂应综合考虑周边粉煤灰利用能力，以及节约土地、防止环境污染，避免建设永久性粉煤灰堆场（库），</w:t>
      </w:r>
    </w:p>
    <w:p w14:paraId="52E3F5E3">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确需建设的，原则上占地规模按不超过</w:t>
      </w:r>
      <w:r>
        <w:rPr>
          <w:rFonts w:hint="default" w:ascii="Times New Roman" w:hAnsi="Times New Roman" w:eastAsia="宋体" w:cstheme="minorBidi"/>
          <w:color w:val="auto"/>
          <w:kern w:val="2"/>
          <w:sz w:val="24"/>
          <w:szCs w:val="24"/>
          <w:lang w:val="en-US" w:eastAsia="zh-CN" w:bidi="ar-SA"/>
        </w:rPr>
        <w:t>3</w:t>
      </w:r>
      <w:r>
        <w:rPr>
          <w:rFonts w:hint="eastAsia" w:ascii="Times New Roman" w:hAnsi="Times New Roman" w:eastAsia="宋体" w:cstheme="minorBidi"/>
          <w:color w:val="auto"/>
          <w:kern w:val="2"/>
          <w:sz w:val="24"/>
          <w:szCs w:val="24"/>
          <w:lang w:val="en-US" w:eastAsia="zh-CN" w:bidi="ar-SA"/>
        </w:rPr>
        <w:t>年储灰量设计，且粉煤灰堆场（库）</w:t>
      </w:r>
    </w:p>
    <w:p w14:paraId="5149B7DD">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选址、设计、建设及运行管理应当符合《一般工业固体废物贮存和填埋污染控</w:t>
      </w:r>
    </w:p>
    <w:p w14:paraId="58F13DAF">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制标准》（</w:t>
      </w:r>
      <w:r>
        <w:rPr>
          <w:rFonts w:hint="default" w:ascii="Times New Roman" w:hAnsi="Times New Roman" w:eastAsia="宋体" w:cstheme="minorBidi"/>
          <w:color w:val="auto"/>
          <w:kern w:val="2"/>
          <w:sz w:val="24"/>
          <w:szCs w:val="24"/>
          <w:lang w:val="en-US" w:eastAsia="zh-CN" w:bidi="ar-SA"/>
        </w:rPr>
        <w:t>GB 18599-2020</w:t>
      </w:r>
      <w:r>
        <w:rPr>
          <w:rFonts w:hint="eastAsia" w:ascii="Times New Roman" w:hAnsi="Times New Roman" w:eastAsia="宋体" w:cstheme="minorBidi"/>
          <w:color w:val="auto"/>
          <w:kern w:val="2"/>
          <w:sz w:val="24"/>
          <w:szCs w:val="24"/>
          <w:lang w:val="en-US" w:eastAsia="zh-CN" w:bidi="ar-SA"/>
        </w:rPr>
        <w:t>）等相关要求。</w:t>
      </w:r>
    </w:p>
    <w:p w14:paraId="22EAF19E">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lang w:val="en-US" w:eastAsia="zh-CN" w:bidi="ar-SA"/>
        </w:rPr>
        <w:t>作为回填材料进行回填，项目不但将</w:t>
      </w:r>
      <w:r>
        <w:rPr>
          <w:rFonts w:hint="eastAsia" w:cstheme="minorBidi"/>
          <w:color w:val="auto"/>
          <w:kern w:val="2"/>
          <w:sz w:val="24"/>
          <w:szCs w:val="24"/>
          <w:lang w:val="en-US" w:eastAsia="zh-CN" w:bidi="ar-SA"/>
        </w:rPr>
        <w:t>灰渣</w:t>
      </w:r>
      <w:r>
        <w:rPr>
          <w:rFonts w:hint="eastAsia" w:ascii="Times New Roman" w:hAnsi="Times New Roman" w:eastAsia="宋体" w:cstheme="minorBidi"/>
          <w:color w:val="auto"/>
          <w:kern w:val="2"/>
          <w:sz w:val="24"/>
          <w:szCs w:val="24"/>
          <w:lang w:val="en-US" w:eastAsia="zh-CN" w:bidi="ar-SA"/>
        </w:rPr>
        <w:t>资源化利用，对</w:t>
      </w:r>
      <w:r>
        <w:rPr>
          <w:rFonts w:hint="eastAsia" w:cstheme="minorBidi"/>
          <w:color w:val="auto"/>
          <w:kern w:val="2"/>
          <w:sz w:val="24"/>
          <w:szCs w:val="24"/>
          <w:lang w:val="en-US" w:eastAsia="zh-CN" w:bidi="ar-SA"/>
        </w:rPr>
        <w:t>灰渣</w:t>
      </w:r>
      <w:r>
        <w:rPr>
          <w:rFonts w:hint="eastAsia" w:ascii="Times New Roman" w:hAnsi="Times New Roman" w:eastAsia="宋体" w:cstheme="minorBidi"/>
          <w:color w:val="auto"/>
          <w:kern w:val="2"/>
          <w:sz w:val="24"/>
          <w:szCs w:val="24"/>
          <w:lang w:val="en-US" w:eastAsia="zh-CN" w:bidi="ar-SA"/>
        </w:rPr>
        <w:t>是一种处理和消减，同时可以恢复回填区域的土地使用功能，充分利用土地资源，项目回填期为</w:t>
      </w:r>
      <w:r>
        <w:rPr>
          <w:rFonts w:hint="eastAsia" w:cstheme="minorBidi"/>
          <w:color w:val="auto"/>
          <w:kern w:val="2"/>
          <w:sz w:val="24"/>
          <w:szCs w:val="24"/>
          <w:lang w:val="en-US" w:eastAsia="zh-CN" w:bidi="ar-SA"/>
        </w:rPr>
        <w:t>3</w:t>
      </w:r>
      <w:r>
        <w:rPr>
          <w:rFonts w:hint="eastAsia" w:ascii="Times New Roman" w:hAnsi="Times New Roman" w:eastAsia="宋体" w:cstheme="minorBidi"/>
          <w:color w:val="auto"/>
          <w:kern w:val="2"/>
          <w:sz w:val="24"/>
          <w:szCs w:val="24"/>
          <w:lang w:val="en-US" w:eastAsia="zh-CN" w:bidi="ar-SA"/>
        </w:rPr>
        <w:t>年，不属于永久性粉煤灰堆场（库）。因此项目符合《粉煤灰综合利用管理办法》相关要求。</w:t>
      </w:r>
    </w:p>
    <w:p w14:paraId="44C631A7">
      <w:pPr>
        <w:pStyle w:val="135"/>
        <w:bidi w:val="0"/>
        <w:rPr>
          <w:rFonts w:hint="eastAsia"/>
          <w:color w:val="auto"/>
          <w:lang w:eastAsia="zh-CN"/>
        </w:rPr>
      </w:pPr>
      <w:r>
        <w:rPr>
          <w:color w:val="auto"/>
        </w:rPr>
        <w:t>1.4.</w:t>
      </w:r>
      <w:r>
        <w:rPr>
          <w:rFonts w:hint="eastAsia"/>
          <w:color w:val="auto"/>
          <w:lang w:val="en-US" w:eastAsia="zh-CN"/>
        </w:rPr>
        <w:t>3.19</w:t>
      </w:r>
      <w:r>
        <w:rPr>
          <w:rFonts w:hint="eastAsia"/>
          <w:color w:val="auto"/>
          <w:lang w:eastAsia="zh-CN"/>
        </w:rPr>
        <w:t>《黑龙江省矿山生态修复治理行动计划(2022-2035)年》</w:t>
      </w:r>
    </w:p>
    <w:p w14:paraId="6F7D7CDC">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根据《黑龙江省矿山生态修复治理行动计划（</w:t>
      </w:r>
      <w:r>
        <w:rPr>
          <w:rFonts w:hint="default" w:ascii="Times New Roman" w:hAnsi="Times New Roman" w:eastAsia="宋体" w:cstheme="minorBidi"/>
          <w:color w:val="auto"/>
          <w:kern w:val="2"/>
          <w:sz w:val="24"/>
          <w:szCs w:val="24"/>
          <w:lang w:val="en-US" w:eastAsia="zh-CN" w:bidi="ar-SA"/>
        </w:rPr>
        <w:t>2022-2035</w:t>
      </w:r>
      <w:r>
        <w:rPr>
          <w:rFonts w:hint="eastAsia" w:ascii="Times New Roman" w:hAnsi="Times New Roman" w:eastAsia="宋体" w:cstheme="minorBidi"/>
          <w:color w:val="auto"/>
          <w:kern w:val="2"/>
          <w:sz w:val="24"/>
          <w:szCs w:val="24"/>
          <w:lang w:val="en-US" w:eastAsia="zh-CN" w:bidi="ar-SA"/>
        </w:rPr>
        <w:t xml:space="preserve">）年》相关内容， </w:t>
      </w:r>
    </w:p>
    <w:p w14:paraId="3DB170B4">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鼓励支持社会资本参与生态保护修复。深入贯彻落实《国务院办公厅关于鼓励和支持社会资本参与生态保护修复的意见》（国办发</w:t>
      </w:r>
      <w:r>
        <w:rPr>
          <w:rFonts w:hint="default" w:ascii="Times New Roman" w:hAnsi="Times New Roman" w:eastAsia="宋体" w:cstheme="minorBidi"/>
          <w:color w:val="auto"/>
          <w:kern w:val="2"/>
          <w:sz w:val="24"/>
          <w:szCs w:val="24"/>
          <w:lang w:val="en-US" w:eastAsia="zh-CN" w:bidi="ar-SA"/>
        </w:rPr>
        <w:t xml:space="preserve">[2021]40 </w:t>
      </w:r>
      <w:r>
        <w:rPr>
          <w:rFonts w:hint="eastAsia" w:ascii="Times New Roman" w:hAnsi="Times New Roman" w:eastAsia="宋体" w:cstheme="minorBidi"/>
          <w:color w:val="auto"/>
          <w:kern w:val="2"/>
          <w:sz w:val="24"/>
          <w:szCs w:val="24"/>
          <w:lang w:val="en-US" w:eastAsia="zh-CN" w:bidi="ar-SA"/>
        </w:rPr>
        <w:t>号）和《黑龙江</w:t>
      </w:r>
    </w:p>
    <w:p w14:paraId="0769F40E">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省政府办公厅关于鼓励和支持社会资本参与生态保护修复的实施意见》（黑政 </w:t>
      </w:r>
    </w:p>
    <w:p w14:paraId="556100B5">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办规</w:t>
      </w:r>
      <w:r>
        <w:rPr>
          <w:rFonts w:hint="default" w:ascii="Times New Roman" w:hAnsi="Times New Roman" w:eastAsia="宋体" w:cstheme="minorBidi"/>
          <w:color w:val="auto"/>
          <w:kern w:val="2"/>
          <w:sz w:val="24"/>
          <w:szCs w:val="24"/>
          <w:lang w:val="en-US" w:eastAsia="zh-CN" w:bidi="ar-SA"/>
        </w:rPr>
        <w:t xml:space="preserve">[2022]5 </w:t>
      </w:r>
      <w:r>
        <w:rPr>
          <w:rFonts w:hint="eastAsia" w:ascii="Times New Roman" w:hAnsi="Times New Roman" w:eastAsia="宋体" w:cstheme="minorBidi"/>
          <w:color w:val="auto"/>
          <w:kern w:val="2"/>
          <w:sz w:val="24"/>
          <w:szCs w:val="24"/>
          <w:lang w:val="en-US" w:eastAsia="zh-CN" w:bidi="ar-SA"/>
        </w:rPr>
        <w:t>号）精神，从突出规划引领拓宽实施路径、支持矿山土地综合修复 利用、建立差别化土地供应机制、切实盘活矿山存量建设用地、鼓励利用废弃 矿山土石料、财税金融政策等方面加强政策引导和支持，以市场化为主攻方向，通过自主投资、与政府合作、公益参与等模式，吸引社会资本参与历史遗留矿山修复治理。</w:t>
      </w:r>
    </w:p>
    <w:p w14:paraId="7878D3CD">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项</w:t>
      </w:r>
      <w:r>
        <w:rPr>
          <w:rFonts w:hint="eastAsia" w:ascii="Times New Roman" w:hAnsi="Times New Roman" w:eastAsia="宋体" w:cstheme="minorBidi"/>
          <w:color w:val="auto"/>
          <w:kern w:val="2"/>
          <w:sz w:val="24"/>
          <w:szCs w:val="24"/>
          <w:highlight w:val="none"/>
          <w:lang w:val="en-US" w:eastAsia="zh-CN" w:bidi="ar-SA"/>
        </w:rPr>
        <w:t>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作为回填材料进行回填，回填</w:t>
      </w:r>
      <w:r>
        <w:rPr>
          <w:rFonts w:hint="eastAsia" w:cstheme="minorBidi"/>
          <w:color w:val="auto"/>
          <w:kern w:val="2"/>
          <w:sz w:val="24"/>
          <w:szCs w:val="24"/>
          <w:highlight w:val="none"/>
          <w:lang w:val="en-US" w:eastAsia="zh-CN" w:bidi="ar-SA"/>
        </w:rPr>
        <w:t>复垦为旱地、乔木林地</w:t>
      </w:r>
      <w:r>
        <w:rPr>
          <w:rFonts w:hint="eastAsia" w:ascii="Times New Roman" w:hAnsi="Times New Roman" w:eastAsia="宋体" w:cstheme="minorBidi"/>
          <w:color w:val="auto"/>
          <w:kern w:val="2"/>
          <w:sz w:val="24"/>
          <w:szCs w:val="24"/>
          <w:lang w:val="en-US" w:eastAsia="zh-CN" w:bidi="ar-SA"/>
        </w:rPr>
        <w:t>，因此项目符合《黑龙江省矿山生态修复治理行动计划（</w:t>
      </w:r>
      <w:r>
        <w:rPr>
          <w:rFonts w:hint="default" w:ascii="Times New Roman" w:hAnsi="Times New Roman" w:eastAsia="宋体" w:cstheme="minorBidi"/>
          <w:color w:val="auto"/>
          <w:kern w:val="2"/>
          <w:sz w:val="24"/>
          <w:szCs w:val="24"/>
          <w:lang w:val="en-US" w:eastAsia="zh-CN" w:bidi="ar-SA"/>
        </w:rPr>
        <w:t>2022-2035</w:t>
      </w:r>
      <w:r>
        <w:rPr>
          <w:rFonts w:hint="eastAsia" w:ascii="Times New Roman" w:hAnsi="Times New Roman" w:eastAsia="宋体" w:cstheme="minorBidi"/>
          <w:color w:val="auto"/>
          <w:kern w:val="2"/>
          <w:sz w:val="24"/>
          <w:szCs w:val="24"/>
          <w:lang w:val="en-US" w:eastAsia="zh-CN" w:bidi="ar-SA"/>
        </w:rPr>
        <w:t>）年》。</w:t>
      </w:r>
    </w:p>
    <w:p w14:paraId="1EB68AB2">
      <w:pPr>
        <w:pStyle w:val="135"/>
        <w:bidi w:val="0"/>
        <w:rPr>
          <w:rFonts w:hint="eastAsia"/>
          <w:color w:val="auto"/>
          <w:lang w:eastAsia="zh-CN"/>
        </w:rPr>
      </w:pPr>
      <w:r>
        <w:rPr>
          <w:color w:val="auto"/>
        </w:rPr>
        <w:t>1.4.</w:t>
      </w:r>
      <w:r>
        <w:rPr>
          <w:rFonts w:hint="eastAsia"/>
          <w:color w:val="auto"/>
          <w:lang w:val="en-US" w:eastAsia="zh-CN"/>
        </w:rPr>
        <w:t>3.20</w:t>
      </w:r>
      <w:r>
        <w:rPr>
          <w:rFonts w:hint="eastAsia"/>
          <w:color w:val="auto"/>
          <w:lang w:eastAsia="zh-CN"/>
        </w:rPr>
        <w:t>《黑龙江省地质环境保护条例》</w:t>
      </w:r>
    </w:p>
    <w:p w14:paraId="0327297B">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根据《黑龙江省地质环境保护条例》相关内容，第十六条 经过恢复治理的 </w:t>
      </w:r>
    </w:p>
    <w:p w14:paraId="44860E23">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矿山地质环境应当达到下列标准： </w:t>
      </w:r>
    </w:p>
    <w:p w14:paraId="1A95292A">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（一）破坏或者废弃的土地达到可供利用的状态； </w:t>
      </w:r>
    </w:p>
    <w:p w14:paraId="5DCEF263">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（二）对采矿活动遗留的矿坑、废石、尾矿等进行防护处理，达到安全状 </w:t>
      </w:r>
    </w:p>
    <w:p w14:paraId="212F0893">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态； </w:t>
      </w:r>
    </w:p>
    <w:p w14:paraId="4F258964">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（三）地质灾害隐患得到有效排除； </w:t>
      </w:r>
    </w:p>
    <w:p w14:paraId="3E4D525D">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（四）各类废弃物处置达到国家规定标准； </w:t>
      </w:r>
    </w:p>
    <w:p w14:paraId="64A686D5">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（五）采场和矿山固体废弃物堆放场的植被得到恢复； </w:t>
      </w:r>
    </w:p>
    <w:p w14:paraId="0C98596F">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lang w:val="en-US" w:eastAsia="zh-CN" w:bidi="ar-SA"/>
        </w:rPr>
        <w:t>（</w:t>
      </w:r>
      <w:r>
        <w:rPr>
          <w:rFonts w:hint="eastAsia" w:ascii="Times New Roman" w:hAnsi="Times New Roman" w:eastAsia="宋体" w:cstheme="minorBidi"/>
          <w:color w:val="auto"/>
          <w:kern w:val="2"/>
          <w:sz w:val="24"/>
          <w:szCs w:val="24"/>
          <w:highlight w:val="none"/>
          <w:lang w:val="en-US" w:eastAsia="zh-CN" w:bidi="ar-SA"/>
        </w:rPr>
        <w:t xml:space="preserve">六）矿山地质环境恢复治理方案和矿山地质环境恢复治理保证书中承诺的义务全面履行。 </w:t>
      </w:r>
    </w:p>
    <w:p w14:paraId="7C0CB9F1">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highlight w:val="none"/>
          <w:lang w:val="en-US" w:eastAsia="zh-CN" w:bidi="ar-SA"/>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作为回填材料进行回填，回填</w:t>
      </w:r>
      <w:r>
        <w:rPr>
          <w:rFonts w:hint="eastAsia" w:cstheme="minorBidi"/>
          <w:color w:val="auto"/>
          <w:kern w:val="2"/>
          <w:sz w:val="24"/>
          <w:szCs w:val="24"/>
          <w:highlight w:val="none"/>
          <w:lang w:val="en-US" w:eastAsia="zh-CN" w:bidi="ar-SA"/>
        </w:rPr>
        <w:t>复垦为旱地、乔木林地</w:t>
      </w:r>
      <w:r>
        <w:rPr>
          <w:rFonts w:hint="eastAsia" w:ascii="Times New Roman" w:hAnsi="Times New Roman" w:eastAsia="宋体" w:cstheme="minorBidi"/>
          <w:color w:val="auto"/>
          <w:kern w:val="2"/>
          <w:sz w:val="24"/>
          <w:szCs w:val="24"/>
          <w:highlight w:val="none"/>
          <w:lang w:val="en-US" w:eastAsia="zh-CN" w:bidi="ar-SA"/>
        </w:rPr>
        <w:t>，可将废弃的土地达到可供利用的状态和安全状态，地质灾害隐患可有效排除，因此项目符合《黑龙江省地质环境保护条例》。</w:t>
      </w:r>
    </w:p>
    <w:p w14:paraId="12D6C097">
      <w:pPr>
        <w:pStyle w:val="135"/>
        <w:bidi w:val="0"/>
        <w:rPr>
          <w:rFonts w:hint="eastAsia"/>
          <w:color w:val="auto"/>
          <w:lang w:eastAsia="zh-CN"/>
        </w:rPr>
      </w:pPr>
      <w:r>
        <w:rPr>
          <w:color w:val="auto"/>
          <w:highlight w:val="none"/>
        </w:rPr>
        <w:t>1.4.</w:t>
      </w:r>
      <w:r>
        <w:rPr>
          <w:rFonts w:hint="eastAsia"/>
          <w:color w:val="auto"/>
          <w:highlight w:val="none"/>
          <w:lang w:val="en-US" w:eastAsia="zh-CN"/>
        </w:rPr>
        <w:t>3.21</w:t>
      </w:r>
      <w:r>
        <w:rPr>
          <w:rFonts w:hint="eastAsia"/>
          <w:color w:val="auto"/>
          <w:highlight w:val="none"/>
          <w:lang w:eastAsia="zh-CN"/>
        </w:rPr>
        <w:t>《矿山生态环境保护与恢复治理技术规范（试行）》（HJ651-2013</w:t>
      </w:r>
      <w:r>
        <w:rPr>
          <w:rFonts w:hint="eastAsia"/>
          <w:color w:val="auto"/>
          <w:lang w:eastAsia="zh-CN"/>
        </w:rPr>
        <w:t>）</w:t>
      </w:r>
    </w:p>
    <w:p w14:paraId="3030C638">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highlight w:val="none"/>
          <w:lang w:val="en-US" w:eastAsia="zh-CN" w:bidi="ar-SA"/>
        </w:rPr>
      </w:pPr>
      <w:r>
        <w:rPr>
          <w:rFonts w:hint="eastAsia" w:ascii="Times New Roman" w:hAnsi="Times New Roman" w:eastAsia="宋体" w:cstheme="minorBidi"/>
          <w:color w:val="auto"/>
          <w:kern w:val="2"/>
          <w:sz w:val="24"/>
          <w:szCs w:val="24"/>
          <w:lang w:val="en-US" w:eastAsia="zh-CN" w:bidi="ar-SA"/>
        </w:rPr>
        <w:t>根据《矿山生态环境保护与恢复治理技术规范（试行）》（</w:t>
      </w:r>
      <w:r>
        <w:rPr>
          <w:rFonts w:hint="default" w:ascii="Times New Roman" w:hAnsi="Times New Roman" w:eastAsia="宋体" w:cstheme="minorBidi"/>
          <w:color w:val="auto"/>
          <w:kern w:val="2"/>
          <w:sz w:val="24"/>
          <w:szCs w:val="24"/>
          <w:lang w:val="en-US" w:eastAsia="zh-CN" w:bidi="ar-SA"/>
        </w:rPr>
        <w:t>HJ 651-2013</w:t>
      </w:r>
      <w:r>
        <w:rPr>
          <w:rFonts w:hint="eastAsia" w:ascii="Times New Roman" w:hAnsi="Times New Roman" w:eastAsia="宋体" w:cstheme="minorBidi"/>
          <w:color w:val="auto"/>
          <w:kern w:val="2"/>
          <w:sz w:val="24"/>
          <w:szCs w:val="24"/>
          <w:lang w:val="en-US" w:eastAsia="zh-CN" w:bidi="ar-SA"/>
        </w:rPr>
        <w:t>）相关内容，恢复治理后的各类场地应实现安全稳定，对人类和动植物不造成威胁；对周边环</w:t>
      </w:r>
      <w:r>
        <w:rPr>
          <w:rFonts w:hint="eastAsia" w:ascii="Times New Roman" w:hAnsi="Times New Roman" w:eastAsia="宋体" w:cstheme="minorBidi"/>
          <w:color w:val="auto"/>
          <w:kern w:val="2"/>
          <w:sz w:val="24"/>
          <w:szCs w:val="24"/>
          <w:highlight w:val="none"/>
          <w:lang w:val="en-US" w:eastAsia="zh-CN" w:bidi="ar-SA"/>
        </w:rPr>
        <w:t>境不产生污染；与周边自然环境和景观相协调；恢复土地基本功能，因地制宜实现土地可持续利用；区域整体生态功能得到保护和恢复。</w:t>
      </w:r>
    </w:p>
    <w:p w14:paraId="5F5ECD9D">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highlight w:val="none"/>
          <w:lang w:val="en-US" w:eastAsia="zh-CN" w:bidi="ar-SA"/>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w:t>
      </w:r>
      <w:r>
        <w:rPr>
          <w:rFonts w:hint="eastAsia" w:ascii="Times New Roman" w:hAnsi="Times New Roman" w:eastAsia="宋体" w:cstheme="minorBidi"/>
          <w:color w:val="auto"/>
          <w:kern w:val="2"/>
          <w:sz w:val="24"/>
          <w:szCs w:val="24"/>
          <w:lang w:val="en-US" w:eastAsia="zh-CN" w:bidi="ar-SA"/>
        </w:rPr>
        <w:t>，恢复治理后可以实现安全稳定，对人类和动植物不造成威胁，对周边环境不产生污染，与周边自然环境和景观相协调，恢复土地基本功能，因此项目符合《矿山生态环境保护与恢复治理技术规范（试行）》（</w:t>
      </w:r>
      <w:r>
        <w:rPr>
          <w:rFonts w:hint="default" w:ascii="Times New Roman" w:hAnsi="Times New Roman" w:eastAsia="宋体" w:cstheme="minorBidi"/>
          <w:color w:val="auto"/>
          <w:kern w:val="2"/>
          <w:sz w:val="24"/>
          <w:szCs w:val="24"/>
          <w:lang w:val="en-US" w:eastAsia="zh-CN" w:bidi="ar-SA"/>
        </w:rPr>
        <w:t>HJ 651-2013</w:t>
      </w:r>
      <w:r>
        <w:rPr>
          <w:rFonts w:hint="eastAsia" w:ascii="Times New Roman" w:hAnsi="Times New Roman" w:eastAsia="宋体" w:cstheme="minorBidi"/>
          <w:color w:val="auto"/>
          <w:kern w:val="2"/>
          <w:sz w:val="24"/>
          <w:szCs w:val="24"/>
          <w:lang w:val="en-US" w:eastAsia="zh-CN" w:bidi="ar-SA"/>
        </w:rPr>
        <w:t>）。</w:t>
      </w:r>
    </w:p>
    <w:p w14:paraId="58AF8D39">
      <w:pPr>
        <w:pStyle w:val="135"/>
        <w:bidi w:val="0"/>
        <w:rPr>
          <w:rFonts w:hint="eastAsia"/>
          <w:color w:val="auto"/>
          <w:lang w:eastAsia="zh-CN"/>
        </w:rPr>
      </w:pPr>
      <w:r>
        <w:rPr>
          <w:color w:val="auto"/>
        </w:rPr>
        <w:t>1.4.</w:t>
      </w:r>
      <w:r>
        <w:rPr>
          <w:rFonts w:hint="eastAsia"/>
          <w:color w:val="auto"/>
          <w:lang w:val="en-US" w:eastAsia="zh-CN"/>
        </w:rPr>
        <w:t>3.22</w:t>
      </w:r>
      <w:r>
        <w:rPr>
          <w:rFonts w:hint="eastAsia"/>
          <w:color w:val="auto"/>
          <w:lang w:eastAsia="zh-CN"/>
        </w:rPr>
        <w:t>《黑龙江省黑土地保护利用条例》</w:t>
      </w:r>
    </w:p>
    <w:p w14:paraId="0C6AACB2">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根据《黑龙江省黑土地保护利用条例》相关内容。 </w:t>
      </w:r>
    </w:p>
    <w:p w14:paraId="28AE47C2">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第二十四条 黑土地保护利用实行土地用途管制制度。严格限制农用地转为 </w:t>
      </w:r>
    </w:p>
    <w:p w14:paraId="14F7D485">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建设用地，严格控制耕地转为非耕地，禁止违法占用耕地。 </w:t>
      </w:r>
    </w:p>
    <w:p w14:paraId="0252E91C">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第二十五条 禁止盗挖、滥挖、非法买卖、违法加工、违法运输、违法邮寄 </w:t>
      </w:r>
    </w:p>
    <w:p w14:paraId="12728D08">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黑土。 </w:t>
      </w:r>
    </w:p>
    <w:p w14:paraId="0B866F6A">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第三十三条 禁止向黑土地排放重金属或者其他有毒有害物质含量超标的 污水、污泥，以及可能造成土壤污染的清淤底泥、尾矿、矿渣等；禁止将有毒 </w:t>
      </w:r>
    </w:p>
    <w:p w14:paraId="787776C8">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 xml:space="preserve">有害废物用作肥料或者用于造田和土地复垦。 </w:t>
      </w:r>
    </w:p>
    <w:p w14:paraId="5EC77A97">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项目</w:t>
      </w:r>
      <w:r>
        <w:rPr>
          <w:rFonts w:hint="eastAsia" w:ascii="Times New Roman" w:hAnsi="Times New Roman" w:eastAsia="宋体" w:cstheme="minorBidi"/>
          <w:color w:val="auto"/>
          <w:kern w:val="2"/>
          <w:sz w:val="24"/>
          <w:szCs w:val="24"/>
          <w:highlight w:val="none"/>
          <w:lang w:val="en-US" w:eastAsia="zh-CN" w:bidi="ar-SA"/>
        </w:rPr>
        <w:t>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作为回填材料进行回填，回填后将</w:t>
      </w:r>
      <w:r>
        <w:rPr>
          <w:rFonts w:hint="eastAsia" w:cstheme="minorBidi"/>
          <w:color w:val="auto"/>
          <w:kern w:val="2"/>
          <w:sz w:val="24"/>
          <w:szCs w:val="24"/>
          <w:highlight w:val="none"/>
          <w:lang w:val="en-US" w:eastAsia="zh-CN" w:bidi="ar-SA"/>
        </w:rPr>
        <w:t>复垦为乔木林地、旱地</w:t>
      </w:r>
      <w:r>
        <w:rPr>
          <w:rFonts w:hint="eastAsia" w:ascii="Times New Roman" w:hAnsi="Times New Roman" w:eastAsia="宋体" w:cstheme="minorBidi"/>
          <w:color w:val="auto"/>
          <w:kern w:val="2"/>
          <w:sz w:val="24"/>
          <w:szCs w:val="24"/>
          <w:highlight w:val="none"/>
          <w:lang w:val="en-US" w:eastAsia="zh-CN" w:bidi="ar-SA"/>
        </w:rPr>
        <w:t>，回填前用地性质为采矿用地，本次回填修复后不改变用地性质；项目不存在盗挖、滥挖、非法买卖、违法</w:t>
      </w:r>
      <w:r>
        <w:rPr>
          <w:rFonts w:hint="eastAsia" w:ascii="Times New Roman" w:hAnsi="Times New Roman" w:eastAsia="宋体" w:cstheme="minorBidi"/>
          <w:color w:val="auto"/>
          <w:kern w:val="2"/>
          <w:sz w:val="24"/>
          <w:szCs w:val="24"/>
          <w:lang w:val="en-US" w:eastAsia="zh-CN" w:bidi="ar-SA"/>
        </w:rPr>
        <w:t>加工、违法运输、违法邮寄黑土等行为；不使用有毒有害废物用于土地修复。因此项目符合《黑龙江省黑土地保护利用条例》。</w:t>
      </w:r>
    </w:p>
    <w:p w14:paraId="1994258D">
      <w:pPr>
        <w:pStyle w:val="135"/>
        <w:bidi w:val="0"/>
        <w:rPr>
          <w:rFonts w:hint="eastAsia"/>
          <w:color w:val="auto"/>
          <w:lang w:eastAsia="zh-CN"/>
        </w:rPr>
      </w:pPr>
      <w:r>
        <w:rPr>
          <w:color w:val="auto"/>
        </w:rPr>
        <w:t>1.4.</w:t>
      </w:r>
      <w:r>
        <w:rPr>
          <w:rFonts w:hint="eastAsia"/>
          <w:color w:val="auto"/>
          <w:lang w:val="en-US" w:eastAsia="zh-CN"/>
        </w:rPr>
        <w:t>3.23</w:t>
      </w:r>
      <w:r>
        <w:rPr>
          <w:rFonts w:hint="eastAsia"/>
          <w:color w:val="auto"/>
          <w:lang w:eastAsia="zh-CN"/>
        </w:rPr>
        <w:t>《鸡西市水土保持规划（2015~2030年）》</w:t>
      </w:r>
    </w:p>
    <w:p w14:paraId="4D5087A9">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根据《鸡西市水土保持规划（</w:t>
      </w:r>
      <w:r>
        <w:rPr>
          <w:rFonts w:hint="default" w:ascii="Times New Roman" w:hAnsi="Times New Roman" w:eastAsia="宋体" w:cstheme="minorBidi"/>
          <w:color w:val="auto"/>
          <w:kern w:val="2"/>
          <w:sz w:val="24"/>
          <w:szCs w:val="24"/>
          <w:lang w:val="en-US" w:eastAsia="zh-CN" w:bidi="ar-SA"/>
        </w:rPr>
        <w:t>2015~2030</w:t>
      </w:r>
      <w:r>
        <w:rPr>
          <w:rFonts w:hint="eastAsia" w:ascii="Times New Roman" w:hAnsi="Times New Roman" w:eastAsia="宋体" w:cstheme="minorBidi"/>
          <w:color w:val="auto"/>
          <w:kern w:val="2"/>
          <w:sz w:val="24"/>
          <w:szCs w:val="24"/>
          <w:lang w:val="en-US" w:eastAsia="zh-CN" w:bidi="ar-SA"/>
        </w:rPr>
        <w:t>年）》相关内容，鸡西市划定了市</w:t>
      </w:r>
    </w:p>
    <w:p w14:paraId="571740E5">
      <w:pPr>
        <w:keepNext w:val="0"/>
        <w:pageBreakBefore w:val="0"/>
        <w:widowControl w:val="0"/>
        <w:kinsoku/>
        <w:wordWrap/>
        <w:overflowPunct/>
        <w:topLinePunct w:val="0"/>
        <w:autoSpaceDE/>
        <w:autoSpaceDN/>
        <w:bidi w:val="0"/>
        <w:adjustRightInd w:val="0"/>
        <w:snapToGrid w:val="0"/>
        <w:spacing w:line="500" w:lineRule="exact"/>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级水土流失重点预防区和重点治理区，项目位于鸡西市滴道区，属于东北漫川漫岗水土流失重点治理区。</w:t>
      </w:r>
    </w:p>
    <w:p w14:paraId="6DC10CCE">
      <w:pPr>
        <w:keepNext w:val="0"/>
        <w:pageBreakBefore w:val="0"/>
        <w:widowControl w:val="0"/>
        <w:kinsoku/>
        <w:wordWrap/>
        <w:overflowPunct/>
        <w:topLinePunct w:val="0"/>
        <w:autoSpaceDE/>
        <w:autoSpaceDN/>
        <w:bidi w:val="0"/>
        <w:adjustRightInd w:val="0"/>
        <w:snapToGrid w:val="0"/>
        <w:spacing w:line="500" w:lineRule="exact"/>
        <w:ind w:firstLine="480" w:firstLineChars="200"/>
        <w:textAlignment w:val="auto"/>
        <w:rPr>
          <w:rFonts w:hint="eastAsia" w:ascii="Times New Roman" w:hAnsi="Times New Roman" w:eastAsia="宋体" w:cstheme="minorBidi"/>
          <w:color w:val="auto"/>
          <w:kern w:val="2"/>
          <w:sz w:val="24"/>
          <w:szCs w:val="24"/>
          <w:lang w:val="en-US" w:eastAsia="zh-CN" w:bidi="ar-SA"/>
        </w:rPr>
      </w:pPr>
      <w:r>
        <w:rPr>
          <w:rFonts w:hint="eastAsia" w:ascii="Times New Roman" w:hAnsi="Times New Roman" w:eastAsia="宋体" w:cstheme="minorBidi"/>
          <w:color w:val="auto"/>
          <w:kern w:val="2"/>
          <w:sz w:val="24"/>
          <w:szCs w:val="24"/>
          <w:lang w:val="en-US" w:eastAsia="zh-CN" w:bidi="ar-SA"/>
        </w:rPr>
        <w:t>项</w:t>
      </w:r>
      <w:r>
        <w:rPr>
          <w:rFonts w:hint="eastAsia" w:ascii="Times New Roman" w:hAnsi="Times New Roman" w:eastAsia="宋体" w:cstheme="minorBidi"/>
          <w:color w:val="auto"/>
          <w:kern w:val="2"/>
          <w:sz w:val="24"/>
          <w:szCs w:val="24"/>
          <w:highlight w:val="none"/>
          <w:lang w:val="en-US" w:eastAsia="zh-CN" w:bidi="ar-SA"/>
        </w:rPr>
        <w:t>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作为回填材料进行回填，回填后将</w:t>
      </w:r>
      <w:r>
        <w:rPr>
          <w:rFonts w:hint="eastAsia" w:cstheme="minorBidi"/>
          <w:color w:val="auto"/>
          <w:kern w:val="2"/>
          <w:sz w:val="24"/>
          <w:szCs w:val="24"/>
          <w:highlight w:val="none"/>
          <w:lang w:val="en-US" w:eastAsia="zh-CN" w:bidi="ar-SA"/>
        </w:rPr>
        <w:t>复垦为乔木林地、旱地</w:t>
      </w:r>
      <w:r>
        <w:rPr>
          <w:rFonts w:hint="eastAsia" w:ascii="Times New Roman" w:hAnsi="Times New Roman" w:eastAsia="宋体" w:cstheme="minorBidi"/>
          <w:color w:val="auto"/>
          <w:kern w:val="2"/>
          <w:sz w:val="24"/>
          <w:szCs w:val="24"/>
          <w:highlight w:val="none"/>
          <w:lang w:val="en-US" w:eastAsia="zh-CN" w:bidi="ar-SA"/>
        </w:rPr>
        <w:t>，回填前用</w:t>
      </w:r>
      <w:r>
        <w:rPr>
          <w:rFonts w:hint="eastAsia" w:ascii="Times New Roman" w:hAnsi="Times New Roman" w:eastAsia="宋体" w:cstheme="minorBidi"/>
          <w:color w:val="auto"/>
          <w:kern w:val="2"/>
          <w:sz w:val="24"/>
          <w:szCs w:val="24"/>
          <w:lang w:val="en-US" w:eastAsia="zh-CN" w:bidi="ar-SA"/>
        </w:rPr>
        <w:t>地性质为采矿用地，本次回填修复后不改变用地性质，修复治理面积</w:t>
      </w:r>
      <w:r>
        <w:rPr>
          <w:rFonts w:hint="eastAsia" w:cstheme="minorBidi"/>
          <w:color w:val="auto"/>
          <w:kern w:val="2"/>
          <w:sz w:val="24"/>
          <w:szCs w:val="24"/>
          <w:lang w:val="en-US" w:eastAsia="zh-CN" w:bidi="ar-SA"/>
        </w:rPr>
        <w:t>78594</w:t>
      </w:r>
      <w:r>
        <w:rPr>
          <w:rFonts w:hint="default" w:ascii="Times New Roman" w:hAnsi="Times New Roman" w:eastAsia="宋体" w:cstheme="minorBidi"/>
          <w:color w:val="auto"/>
          <w:kern w:val="2"/>
          <w:sz w:val="24"/>
          <w:szCs w:val="24"/>
          <w:lang w:val="en-US" w:eastAsia="zh-CN" w:bidi="ar-SA"/>
        </w:rPr>
        <w:t>m</w:t>
      </w:r>
      <w:r>
        <w:rPr>
          <w:rFonts w:hint="default" w:ascii="Times New Roman" w:hAnsi="Times New Roman" w:eastAsia="宋体" w:cstheme="minorBidi"/>
          <w:color w:val="auto"/>
          <w:kern w:val="2"/>
          <w:sz w:val="24"/>
          <w:szCs w:val="24"/>
          <w:vertAlign w:val="superscript"/>
          <w:lang w:val="en-US" w:eastAsia="zh-CN" w:bidi="ar-SA"/>
        </w:rPr>
        <w:t>2</w:t>
      </w:r>
      <w:r>
        <w:rPr>
          <w:rFonts w:hint="eastAsia" w:ascii="Times New Roman" w:hAnsi="Times New Roman" w:eastAsia="宋体" w:cstheme="minorBidi"/>
          <w:color w:val="auto"/>
          <w:kern w:val="2"/>
          <w:sz w:val="24"/>
          <w:szCs w:val="24"/>
          <w:lang w:val="en-US" w:eastAsia="zh-CN" w:bidi="ar-SA"/>
        </w:rPr>
        <w:t>，可</w:t>
      </w:r>
      <w:r>
        <w:rPr>
          <w:rFonts w:hint="eastAsia" w:cstheme="minorBidi"/>
          <w:color w:val="auto"/>
          <w:kern w:val="2"/>
          <w:sz w:val="24"/>
          <w:szCs w:val="24"/>
          <w:lang w:val="en-US" w:eastAsia="zh-CN" w:bidi="ar-SA"/>
        </w:rPr>
        <w:t>有效</w:t>
      </w:r>
      <w:r>
        <w:rPr>
          <w:rFonts w:hint="eastAsia" w:ascii="Times New Roman" w:hAnsi="Times New Roman" w:eastAsia="宋体" w:cstheme="minorBidi"/>
          <w:color w:val="auto"/>
          <w:kern w:val="2"/>
          <w:sz w:val="24"/>
          <w:szCs w:val="24"/>
          <w:lang w:val="en-US" w:eastAsia="zh-CN" w:bidi="ar-SA"/>
        </w:rPr>
        <w:t>防止水土流失发生。因此项目符合《鸡西市水土保持规划（</w:t>
      </w:r>
      <w:r>
        <w:rPr>
          <w:rFonts w:hint="default" w:ascii="Times New Roman" w:hAnsi="Times New Roman" w:eastAsia="宋体" w:cstheme="minorBidi"/>
          <w:color w:val="auto"/>
          <w:kern w:val="2"/>
          <w:sz w:val="24"/>
          <w:szCs w:val="24"/>
          <w:lang w:val="en-US" w:eastAsia="zh-CN" w:bidi="ar-SA"/>
        </w:rPr>
        <w:t>2015~2030</w:t>
      </w:r>
      <w:r>
        <w:rPr>
          <w:rFonts w:hint="eastAsia" w:ascii="Times New Roman" w:hAnsi="Times New Roman" w:eastAsia="宋体" w:cstheme="minorBidi"/>
          <w:color w:val="auto"/>
          <w:kern w:val="2"/>
          <w:sz w:val="24"/>
          <w:szCs w:val="24"/>
          <w:lang w:val="en-US" w:eastAsia="zh-CN" w:bidi="ar-SA"/>
        </w:rPr>
        <w:t>年）》。</w:t>
      </w:r>
    </w:p>
    <w:p w14:paraId="469A8477">
      <w:pPr>
        <w:pStyle w:val="135"/>
        <w:bidi w:val="0"/>
        <w:rPr>
          <w:rFonts w:hint="eastAsia"/>
          <w:color w:val="auto"/>
          <w:lang w:val="en-US" w:eastAsia="zh-CN"/>
        </w:rPr>
      </w:pPr>
      <w:r>
        <w:rPr>
          <w:color w:val="auto"/>
        </w:rPr>
        <w:t>1.4.</w:t>
      </w:r>
      <w:r>
        <w:rPr>
          <w:rFonts w:hint="eastAsia"/>
          <w:color w:val="auto"/>
          <w:lang w:val="en-US" w:eastAsia="zh-CN"/>
        </w:rPr>
        <w:t>3.24《关于进一步做好纳污坑塘整治工作的意见》</w:t>
      </w:r>
    </w:p>
    <w:p w14:paraId="40F6DE4D">
      <w:pPr>
        <w:pStyle w:val="135"/>
        <w:bidi w:val="0"/>
        <w:ind w:firstLine="480" w:firstLineChars="200"/>
        <w:rPr>
          <w:rFonts w:hint="eastAsia"/>
          <w:color w:val="auto"/>
          <w:lang w:val="en-US" w:eastAsia="zh-CN"/>
        </w:rPr>
      </w:pPr>
      <w:r>
        <w:rPr>
          <w:rFonts w:hint="eastAsia"/>
          <w:color w:val="auto"/>
          <w:lang w:val="en-US" w:eastAsia="zh-CN"/>
        </w:rPr>
        <w:t>根据《关于进一步做好纳污坑塘整治工作的意见》相关内容，各地应将含有废酸、废油、重金属、有机污染物及其他工业废物，导致地表水、地下水或土壤中污染物浓度水平明显高于所在地环境背景值的工业类纳污坑塘作为整治重点。根据纳污坑塘的环境污染状况、土地规划用途、所在区域的地表水、地下水环境功能区划等实际情况，评估确定合理的地表水、地下水、底泥及周边土壤污染控制和治理修复目标。针对工业类纳污坑塘，按照废酸、废油、重金属、难降解有机物等污染物种类和潜在环境风险情况，选择科学可行的治理方法，实行水、土同步治理，不应仅采取简单的加药处理和覆土回填等方式进行治理。</w:t>
      </w:r>
    </w:p>
    <w:p w14:paraId="340FC16E">
      <w:pPr>
        <w:pStyle w:val="135"/>
        <w:bidi w:val="0"/>
        <w:ind w:firstLine="480" w:firstLineChars="200"/>
        <w:rPr>
          <w:rFonts w:hint="eastAsia"/>
          <w:color w:val="auto"/>
          <w:lang w:val="en-US" w:eastAsia="zh-CN"/>
        </w:rPr>
      </w:pPr>
      <w:r>
        <w:rPr>
          <w:rFonts w:hint="eastAsia"/>
          <w:color w:val="auto"/>
          <w:lang w:val="en-US" w:eastAsia="zh-CN"/>
        </w:rPr>
        <w:t>项目利用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ascii="Times New Roman" w:hAnsi="Times New Roman" w:eastAsia="宋体" w:cstheme="minorBidi"/>
          <w:color w:val="auto"/>
          <w:kern w:val="2"/>
          <w:sz w:val="24"/>
          <w:szCs w:val="24"/>
          <w:highlight w:val="none"/>
          <w:lang w:val="en-US" w:eastAsia="zh-CN" w:bidi="ar-SA"/>
        </w:rPr>
        <w:t>作为回填材料进行回填</w:t>
      </w:r>
      <w:r>
        <w:rPr>
          <w:rFonts w:hint="eastAsia"/>
          <w:color w:val="auto"/>
          <w:lang w:val="en-US" w:eastAsia="zh-CN"/>
        </w:rPr>
        <w:t>，</w:t>
      </w:r>
      <w:r>
        <w:rPr>
          <w:rFonts w:hint="eastAsia" w:ascii="Times New Roman" w:hAnsi="Times New Roman" w:eastAsia="宋体" w:cstheme="minorBidi"/>
          <w:color w:val="auto"/>
          <w:kern w:val="2"/>
          <w:sz w:val="24"/>
          <w:szCs w:val="24"/>
          <w:highlight w:val="none"/>
          <w:lang w:val="en-US" w:eastAsia="zh-CN" w:bidi="ar-SA"/>
        </w:rPr>
        <w:t>回填后将</w:t>
      </w:r>
      <w:r>
        <w:rPr>
          <w:rFonts w:hint="eastAsia" w:cstheme="minorBidi"/>
          <w:color w:val="auto"/>
          <w:kern w:val="2"/>
          <w:sz w:val="24"/>
          <w:szCs w:val="24"/>
          <w:highlight w:val="none"/>
          <w:lang w:val="en-US" w:eastAsia="zh-CN" w:bidi="ar-SA"/>
        </w:rPr>
        <w:t>复垦为乔木林地、旱地</w:t>
      </w:r>
      <w:r>
        <w:rPr>
          <w:rFonts w:hint="eastAsia"/>
          <w:color w:val="auto"/>
          <w:lang w:val="en-US" w:eastAsia="zh-CN"/>
        </w:rPr>
        <w:t>，回填物属于第</w:t>
      </w:r>
      <w:r>
        <w:rPr>
          <w:rFonts w:hint="default"/>
          <w:color w:val="auto"/>
          <w:lang w:val="en-US" w:eastAsia="zh-CN"/>
        </w:rPr>
        <w:t>I</w:t>
      </w:r>
      <w:r>
        <w:rPr>
          <w:rFonts w:hint="eastAsia"/>
          <w:color w:val="auto"/>
          <w:lang w:val="en-US" w:eastAsia="zh-CN"/>
        </w:rPr>
        <w:t>类一般工业固体废物，回填物中不含废酸、废油、重金属、难降解有机污染物，因此项目符合《关于进一步做好纳污坑塘整治工作的意见》。</w:t>
      </w:r>
    </w:p>
    <w:p w14:paraId="7866F38A">
      <w:pPr>
        <w:pStyle w:val="135"/>
        <w:bidi w:val="0"/>
        <w:rPr>
          <w:rFonts w:hint="eastAsia"/>
          <w:color w:val="auto"/>
          <w:lang w:val="en-US" w:eastAsia="zh-CN"/>
        </w:rPr>
      </w:pPr>
      <w:r>
        <w:rPr>
          <w:rFonts w:hint="eastAsia"/>
          <w:color w:val="auto"/>
          <w:lang w:val="en-US" w:eastAsia="zh-CN"/>
        </w:rPr>
        <w:t>1.4.3.23《固体废物污染防治“十五五”规划》</w:t>
      </w:r>
    </w:p>
    <w:p w14:paraId="25645578">
      <w:pPr>
        <w:pStyle w:val="135"/>
        <w:bidi w:val="0"/>
        <w:ind w:firstLine="480" w:firstLineChars="200"/>
        <w:rPr>
          <w:rFonts w:hint="eastAsia"/>
          <w:color w:val="auto"/>
          <w:lang w:val="en-US" w:eastAsia="zh-CN"/>
        </w:rPr>
      </w:pPr>
      <w:r>
        <w:rPr>
          <w:rFonts w:hint="eastAsia"/>
          <w:color w:val="auto"/>
          <w:lang w:val="en-US" w:eastAsia="zh-CN"/>
        </w:rPr>
        <w:t>根据《固体废物污染防治“十五五”规划》（七）加强工业固体废物综合利用环境监管。强化工业窑炉协同处理固体废物过程有毒有害物质排放管控。制定一般工业固体废物规模化消纳利用工作指南，明确相关项目审批程序及监测监管要求，严防不规范充填回填造成土壤和地下水污染；在国土空间规划实施管理中因地制宜保障大宗工业固体废物充填回填相关用地需求，稳妥有序推进规模化消纳利用。加强磷石膏等综合利用，推动无法利用的磷石膏、赤泥、锰渣等工业固体废物无害化预处理，降低贮存填埋环境风险。</w:t>
      </w:r>
    </w:p>
    <w:p w14:paraId="798AA524">
      <w:pPr>
        <w:pStyle w:val="135"/>
        <w:bidi w:val="0"/>
        <w:ind w:firstLine="480" w:firstLineChars="200"/>
        <w:rPr>
          <w:rFonts w:hint="eastAsia"/>
          <w:color w:val="auto"/>
          <w:lang w:val="en-US" w:eastAsia="zh-CN"/>
        </w:rPr>
      </w:pPr>
      <w:r>
        <w:rPr>
          <w:rFonts w:hint="eastAsia"/>
          <w:color w:val="auto"/>
          <w:lang w:val="en-US" w:eastAsia="zh-CN"/>
        </w:rPr>
        <w:t>本项目利用Ⅰ类电厂灰渣开展废弃采石采坑回填复垦，配套防渗及土壤地下水监测管控措施，严防回填带来土壤及地下水污染，符合《固体废物污染防治“十五五”规划》中稳妥有序推进大宗工业固体废物规模化消纳利用的相关要求。</w:t>
      </w:r>
    </w:p>
    <w:p w14:paraId="600DAB0C">
      <w:pPr>
        <w:pStyle w:val="137"/>
        <w:rPr>
          <w:rFonts w:hint="eastAsia" w:eastAsia="宋体"/>
          <w:color w:val="auto"/>
          <w:lang w:val="en-US" w:eastAsia="zh-CN"/>
        </w:rPr>
      </w:pPr>
      <w:bookmarkStart w:id="27" w:name="_Toc15991621"/>
      <w:r>
        <w:rPr>
          <w:color w:val="auto"/>
        </w:rPr>
        <w:t>1.4.4</w:t>
      </w:r>
      <w:r>
        <w:rPr>
          <w:rFonts w:hint="eastAsia"/>
          <w:color w:val="auto"/>
        </w:rPr>
        <w:t>选址</w:t>
      </w:r>
      <w:r>
        <w:rPr>
          <w:color w:val="auto"/>
        </w:rPr>
        <w:t>合理性分析</w:t>
      </w:r>
    </w:p>
    <w:p w14:paraId="36BB0537">
      <w:pPr>
        <w:pStyle w:val="59"/>
        <w:ind w:firstLine="480"/>
        <w:rPr>
          <w:color w:val="auto"/>
          <w:highlight w:val="none"/>
        </w:rPr>
      </w:pPr>
      <w:r>
        <w:rPr>
          <w:rFonts w:hint="eastAsia"/>
          <w:color w:val="auto"/>
          <w:highlight w:val="none"/>
        </w:rPr>
        <w:t>本项目位于鸡西市鸡东县</w:t>
      </w:r>
      <w:r>
        <w:rPr>
          <w:rFonts w:hint="eastAsia"/>
          <w:color w:val="auto"/>
          <w:highlight w:val="none"/>
          <w:lang w:val="en-US" w:eastAsia="zh-CN"/>
        </w:rPr>
        <w:t>东海镇新泉村</w:t>
      </w:r>
      <w:r>
        <w:rPr>
          <w:rFonts w:hint="eastAsia"/>
          <w:color w:val="auto"/>
          <w:highlight w:val="none"/>
        </w:rPr>
        <w:t>，该采坑目前</w:t>
      </w:r>
      <w:r>
        <w:rPr>
          <w:rFonts w:hint="eastAsia"/>
          <w:color w:val="auto"/>
          <w:highlight w:val="none"/>
          <w:lang w:val="en-US" w:eastAsia="zh-CN"/>
        </w:rPr>
        <w:t>已停止开采</w:t>
      </w:r>
      <w:r>
        <w:rPr>
          <w:rFonts w:hint="eastAsia"/>
          <w:color w:val="auto"/>
          <w:highlight w:val="none"/>
        </w:rPr>
        <w:t>，</w:t>
      </w:r>
      <w:r>
        <w:rPr>
          <w:rFonts w:hint="eastAsia"/>
          <w:color w:val="auto"/>
          <w:highlight w:val="none"/>
          <w:lang w:val="en-US" w:eastAsia="zh-CN"/>
        </w:rPr>
        <w:t>场地内现</w:t>
      </w:r>
      <w:r>
        <w:rPr>
          <w:rFonts w:hint="eastAsia"/>
          <w:color w:val="auto"/>
          <w:highlight w:val="none"/>
        </w:rPr>
        <w:t>春季是扬尘源，雨季易造成水土流失，土地利用率低，景观环境差。建设单位</w:t>
      </w:r>
      <w:r>
        <w:rPr>
          <w:rFonts w:hint="eastAsia" w:ascii="Times New Roman" w:hAnsi="Times New Roman" w:eastAsia="宋体" w:cstheme="minorBidi"/>
          <w:color w:val="auto"/>
          <w:kern w:val="2"/>
          <w:sz w:val="24"/>
          <w:szCs w:val="24"/>
          <w:highlight w:val="none"/>
          <w:lang w:val="en-US" w:eastAsia="zh-CN" w:bidi="ar-SA"/>
        </w:rPr>
        <w:t>利用</w:t>
      </w:r>
      <w:r>
        <w:rPr>
          <w:rFonts w:hint="eastAsia"/>
          <w:color w:val="auto"/>
          <w:sz w:val="24"/>
          <w:highlight w:val="none"/>
          <w:lang w:eastAsia="zh-CN"/>
        </w:rPr>
        <w:t>黑</w:t>
      </w:r>
      <w:r>
        <w:rPr>
          <w:rFonts w:hint="eastAsia"/>
          <w:snapToGrid w:val="0"/>
          <w:color w:val="auto"/>
          <w:sz w:val="24"/>
          <w:szCs w:val="22"/>
          <w:highlight w:val="none"/>
          <w:lang w:val="en-US" w:eastAsia="zh-CN"/>
        </w:rPr>
        <w:t>龙江醇能热电有限公司的灰渣</w:t>
      </w:r>
      <w:r>
        <w:rPr>
          <w:rFonts w:hint="eastAsia"/>
          <w:color w:val="auto"/>
          <w:highlight w:val="none"/>
        </w:rPr>
        <w:t>对废弃采坑进行回填，回填后</w:t>
      </w:r>
      <w:r>
        <w:rPr>
          <w:rFonts w:hint="eastAsia"/>
          <w:color w:val="auto"/>
          <w:highlight w:val="none"/>
          <w:lang w:val="en-US" w:eastAsia="zh-CN"/>
        </w:rPr>
        <w:t>恢复为乔木林地、</w:t>
      </w:r>
      <w:r>
        <w:rPr>
          <w:rFonts w:hint="eastAsia"/>
          <w:color w:val="auto"/>
          <w:highlight w:val="none"/>
          <w:lang w:eastAsia="zh-CN"/>
        </w:rPr>
        <w:t>旱地</w:t>
      </w:r>
      <w:r>
        <w:rPr>
          <w:rFonts w:hint="eastAsia"/>
          <w:color w:val="auto"/>
          <w:highlight w:val="none"/>
        </w:rPr>
        <w:t>，不但能改善场地环境、恢复土地利用价值、区域土地利用功能、创造新的生态景观，而且对项目区本身的安全和稳定性也具有重要意义，可起到水土保持、防风固沙的效果，可消除遗留采坑的水土流失、坍塌隐患。因此，选址合理。</w:t>
      </w:r>
    </w:p>
    <w:p w14:paraId="1F22ECD1">
      <w:pPr>
        <w:pStyle w:val="59"/>
        <w:ind w:firstLine="480"/>
        <w:rPr>
          <w:color w:val="auto"/>
          <w:highlight w:val="none"/>
        </w:rPr>
      </w:pPr>
      <w:r>
        <w:rPr>
          <w:rFonts w:hint="eastAsia"/>
          <w:color w:val="auto"/>
          <w:highlight w:val="none"/>
        </w:rPr>
        <w:t>项目东侧为农田</w:t>
      </w:r>
      <w:r>
        <w:rPr>
          <w:rFonts w:hint="eastAsia"/>
          <w:color w:val="auto"/>
          <w:highlight w:val="none"/>
          <w:lang w:eastAsia="zh-CN"/>
        </w:rPr>
        <w:t>、</w:t>
      </w:r>
      <w:r>
        <w:rPr>
          <w:rFonts w:hint="eastAsia"/>
          <w:color w:val="auto"/>
          <w:highlight w:val="none"/>
          <w:lang w:val="en-US" w:eastAsia="zh-CN"/>
        </w:rPr>
        <w:t>林地和道路，</w:t>
      </w:r>
      <w:r>
        <w:rPr>
          <w:rFonts w:hint="eastAsia"/>
          <w:color w:val="auto"/>
          <w:highlight w:val="none"/>
        </w:rPr>
        <w:t>西侧为</w:t>
      </w:r>
      <w:r>
        <w:rPr>
          <w:rFonts w:hint="eastAsia"/>
          <w:color w:val="auto"/>
          <w:highlight w:val="none"/>
          <w:lang w:val="en-US" w:eastAsia="zh-CN"/>
        </w:rPr>
        <w:t>农田、林地</w:t>
      </w:r>
      <w:r>
        <w:rPr>
          <w:rFonts w:hint="eastAsia"/>
          <w:color w:val="auto"/>
          <w:highlight w:val="none"/>
        </w:rPr>
        <w:t>；南侧</w:t>
      </w:r>
      <w:r>
        <w:rPr>
          <w:rFonts w:hint="eastAsia"/>
          <w:color w:val="auto"/>
          <w:highlight w:val="none"/>
          <w:lang w:eastAsia="zh-CN"/>
        </w:rPr>
        <w:t>、</w:t>
      </w:r>
      <w:r>
        <w:rPr>
          <w:rFonts w:hint="eastAsia"/>
          <w:color w:val="auto"/>
          <w:highlight w:val="none"/>
          <w:lang w:val="en-US" w:eastAsia="zh-CN"/>
        </w:rPr>
        <w:t>北侧</w:t>
      </w:r>
      <w:r>
        <w:rPr>
          <w:rFonts w:hint="eastAsia"/>
          <w:color w:val="auto"/>
          <w:highlight w:val="none"/>
        </w:rPr>
        <w:t>为农田；本项目评价范围内无自然保护区、风景名胜区、森林公园、地质公园、重要湿地、饮用水源保护区等环境敏感区，不占用生态保护红线。因此，选址合理。</w:t>
      </w:r>
    </w:p>
    <w:p w14:paraId="48DEBA85">
      <w:pPr>
        <w:pStyle w:val="59"/>
        <w:ind w:firstLine="480"/>
        <w:rPr>
          <w:color w:val="auto"/>
          <w:highlight w:val="none"/>
        </w:rPr>
      </w:pPr>
      <w:r>
        <w:rPr>
          <w:rFonts w:hint="eastAsia"/>
          <w:color w:val="auto"/>
          <w:highlight w:val="none"/>
        </w:rPr>
        <w:t>根据项目周边自然环境的踏查，项目选址周边最近敏感点为北侧</w:t>
      </w:r>
      <w:r>
        <w:rPr>
          <w:rFonts w:hint="eastAsia"/>
          <w:color w:val="auto"/>
          <w:highlight w:val="none"/>
          <w:lang w:val="en-US" w:eastAsia="zh-CN"/>
        </w:rPr>
        <w:t>530</w:t>
      </w:r>
      <w:r>
        <w:rPr>
          <w:rFonts w:hint="eastAsia"/>
          <w:color w:val="auto"/>
          <w:highlight w:val="none"/>
        </w:rPr>
        <w:t>m处</w:t>
      </w:r>
      <w:r>
        <w:rPr>
          <w:rFonts w:hint="eastAsia"/>
          <w:color w:val="auto"/>
          <w:highlight w:val="none"/>
          <w:lang w:eastAsia="zh-CN"/>
        </w:rPr>
        <w:t>新泉村五队</w:t>
      </w:r>
      <w:r>
        <w:rPr>
          <w:rFonts w:hint="eastAsia"/>
          <w:color w:val="auto"/>
          <w:highlight w:val="none"/>
        </w:rPr>
        <w:t>，位于常年主导风向</w:t>
      </w:r>
      <w:r>
        <w:rPr>
          <w:rFonts w:hint="eastAsia"/>
          <w:color w:val="auto"/>
          <w:highlight w:val="none"/>
          <w:lang w:eastAsia="zh-CN"/>
        </w:rPr>
        <w:t>下</w:t>
      </w:r>
      <w:r>
        <w:rPr>
          <w:rFonts w:hint="eastAsia"/>
          <w:color w:val="auto"/>
          <w:highlight w:val="none"/>
        </w:rPr>
        <w:t>风向。经预测计算，本项目厂界外大气污染物短期贡献浓度无超标点，因此本项目不需要设置大气环境防护距离</w:t>
      </w:r>
      <w:r>
        <w:rPr>
          <w:color w:val="auto"/>
          <w:highlight w:val="none"/>
        </w:rPr>
        <w:t>，</w:t>
      </w:r>
      <w:r>
        <w:rPr>
          <w:rFonts w:hint="eastAsia"/>
          <w:color w:val="auto"/>
          <w:highlight w:val="none"/>
        </w:rPr>
        <w:t>对敏感点的影响很小，因此从大气环境影响的角度分析，</w:t>
      </w:r>
      <w:r>
        <w:rPr>
          <w:color w:val="auto"/>
          <w:highlight w:val="none"/>
        </w:rPr>
        <w:t>选址合理。</w:t>
      </w:r>
    </w:p>
    <w:p w14:paraId="0C95CAE0">
      <w:pPr>
        <w:pStyle w:val="59"/>
        <w:ind w:firstLine="480"/>
        <w:rPr>
          <w:color w:val="auto"/>
          <w:highlight w:val="none"/>
        </w:rPr>
      </w:pPr>
      <w:r>
        <w:rPr>
          <w:rFonts w:hint="eastAsia"/>
          <w:color w:val="auto"/>
          <w:highlight w:val="none"/>
        </w:rPr>
        <w:t>项目边界最近的地表水体为</w:t>
      </w:r>
      <w:r>
        <w:rPr>
          <w:rFonts w:hint="eastAsia"/>
          <w:color w:val="auto"/>
          <w:highlight w:val="none"/>
          <w:lang w:val="en-US" w:eastAsia="zh-CN"/>
        </w:rPr>
        <w:t>三新沟</w:t>
      </w:r>
      <w:r>
        <w:rPr>
          <w:rFonts w:hint="eastAsia"/>
          <w:color w:val="auto"/>
          <w:highlight w:val="none"/>
        </w:rPr>
        <w:t>，位于项目东侧</w:t>
      </w:r>
      <w:r>
        <w:rPr>
          <w:rFonts w:hint="eastAsia"/>
          <w:color w:val="auto"/>
          <w:highlight w:val="none"/>
          <w:lang w:val="en-US" w:eastAsia="zh-CN"/>
        </w:rPr>
        <w:t>4</w:t>
      </w:r>
      <w:r>
        <w:rPr>
          <w:rFonts w:hint="eastAsia"/>
          <w:color w:val="auto"/>
          <w:highlight w:val="none"/>
        </w:rPr>
        <w:t>km。本项目在回填活动前已开展环境本底调查，并按照《建设用地土壤污染风险评估技术导则》（HJ25.3-2019）等相关标准开展环境风险评估，形成了环境风险评估报告并通过专家评审，风险评估报告重点评估项目对地下水、地表水及周边土壤的环境污染风险，评估结论为环境风险可以接受。因此，选址合理。</w:t>
      </w:r>
    </w:p>
    <w:p w14:paraId="22FEE8E7">
      <w:pPr>
        <w:pStyle w:val="59"/>
        <w:ind w:firstLine="480"/>
        <w:rPr>
          <w:color w:val="auto"/>
          <w:highlight w:val="none"/>
        </w:rPr>
      </w:pPr>
      <w:r>
        <w:rPr>
          <w:color w:val="auto"/>
          <w:highlight w:val="none"/>
        </w:rPr>
        <w:t>综上</w:t>
      </w:r>
      <w:r>
        <w:rPr>
          <w:rFonts w:hint="eastAsia"/>
          <w:color w:val="auto"/>
          <w:highlight w:val="none"/>
        </w:rPr>
        <w:t>所述，</w:t>
      </w:r>
      <w:r>
        <w:rPr>
          <w:rFonts w:ascii="宋体" w:hAnsi="宋体" w:eastAsia="宋体" w:cs="宋体"/>
          <w:color w:val="auto"/>
          <w:sz w:val="24"/>
          <w:szCs w:val="24"/>
        </w:rPr>
        <w:t>项目场地现状为矿山开采后裸露损毁土地，现状土地地类包含采矿用地、农村道路、乔木林地、旱地，本项目属于矿山生态修复治理工程，通过采坑回填地貌重塑、土壤重构，修复后复垦为旱地、乔木林地，不涉及新增建设用地，</w:t>
      </w:r>
      <w:r>
        <w:rPr>
          <w:rFonts w:hint="eastAsia" w:ascii="宋体" w:hAnsi="宋体" w:eastAsia="宋体" w:cs="宋体"/>
          <w:color w:val="auto"/>
          <w:sz w:val="24"/>
          <w:szCs w:val="24"/>
          <w:lang w:val="en-US" w:eastAsia="zh-CN"/>
        </w:rPr>
        <w:t>符合</w:t>
      </w:r>
      <w:r>
        <w:rPr>
          <w:rFonts w:ascii="宋体" w:hAnsi="宋体" w:eastAsia="宋体" w:cs="宋体"/>
          <w:color w:val="auto"/>
          <w:sz w:val="24"/>
          <w:szCs w:val="24"/>
        </w:rPr>
        <w:t>《鸡西市国土空间总体规划</w:t>
      </w:r>
      <w:r>
        <w:rPr>
          <w:rFonts w:hint="default" w:ascii="Times New Roman" w:hAnsi="Times New Roman" w:eastAsia="宋体" w:cs="Times New Roman"/>
          <w:color w:val="auto"/>
          <w:sz w:val="24"/>
          <w:szCs w:val="24"/>
        </w:rPr>
        <w:t>》（2021</w:t>
      </w:r>
      <w:r>
        <w:rPr>
          <w:rFonts w:hint="default" w:ascii="Times New Roman" w:hAnsi="Times New Roman" w:eastAsia="宋体" w:cs="Times New Roman"/>
          <w:color w:val="auto"/>
          <w:sz w:val="24"/>
          <w:szCs w:val="24"/>
        </w:rPr>
        <w:noBreakHyphen/>
      </w:r>
      <w:r>
        <w:rPr>
          <w:rFonts w:hint="default" w:ascii="Times New Roman" w:hAnsi="Times New Roman" w:eastAsia="宋体" w:cs="Times New Roman"/>
          <w:color w:val="auto"/>
          <w:sz w:val="24"/>
          <w:szCs w:val="24"/>
        </w:rPr>
        <w:t>2035 年）</w:t>
      </w:r>
      <w:r>
        <w:rPr>
          <w:rFonts w:hint="default" w:ascii="Times New Roman" w:hAnsi="Times New Roman" w:eastAsia="宋体" w:cs="Times New Roman"/>
          <w:color w:val="auto"/>
          <w:sz w:val="24"/>
          <w:szCs w:val="24"/>
          <w:lang w:val="en-US" w:eastAsia="zh-CN"/>
        </w:rPr>
        <w:t>中统</w:t>
      </w:r>
      <w:r>
        <w:rPr>
          <w:rFonts w:hint="eastAsia" w:ascii="宋体" w:hAnsi="宋体" w:eastAsia="宋体" w:cs="宋体"/>
          <w:color w:val="auto"/>
          <w:sz w:val="24"/>
          <w:szCs w:val="24"/>
          <w:lang w:val="en-US" w:eastAsia="zh-CN"/>
        </w:rPr>
        <w:t>筹划定“三区三线”要求</w:t>
      </w:r>
      <w:r>
        <w:rPr>
          <w:rFonts w:ascii="宋体" w:hAnsi="宋体" w:eastAsia="宋体" w:cs="宋体"/>
          <w:color w:val="auto"/>
          <w:sz w:val="24"/>
          <w:szCs w:val="24"/>
        </w:rPr>
        <w:t>，项目实施是对现状采矿损毁土地的生态化治理与功能恢复，契合规划中矿山损毁土地综合修复、优化区域土地利用结构的导向，项目用地选址与区域国土空间规划管控要求相匹配，选址具备合理性。</w:t>
      </w:r>
      <w:r>
        <w:rPr>
          <w:color w:val="auto"/>
          <w:highlight w:val="none"/>
        </w:rPr>
        <w:t>拟建项目</w:t>
      </w:r>
      <w:r>
        <w:rPr>
          <w:rFonts w:hint="eastAsia"/>
          <w:color w:val="auto"/>
          <w:highlight w:val="none"/>
        </w:rPr>
        <w:t>选址</w:t>
      </w:r>
      <w:r>
        <w:rPr>
          <w:color w:val="auto"/>
          <w:highlight w:val="none"/>
        </w:rPr>
        <w:t>是可行的。</w:t>
      </w:r>
      <w:bookmarkEnd w:id="27"/>
    </w:p>
    <w:p w14:paraId="5752EC21">
      <w:pPr>
        <w:pStyle w:val="548"/>
        <w:rPr>
          <w:color w:val="auto"/>
        </w:rPr>
      </w:pPr>
      <w:r>
        <w:rPr>
          <w:color w:val="auto"/>
        </w:rPr>
        <w:t>1.5关注的主要环境问题</w:t>
      </w:r>
      <w:bookmarkEnd w:id="25"/>
      <w:bookmarkEnd w:id="26"/>
    </w:p>
    <w:p w14:paraId="2D08A735">
      <w:pPr>
        <w:pStyle w:val="59"/>
        <w:ind w:firstLine="480"/>
        <w:rPr>
          <w:color w:val="auto"/>
        </w:rPr>
      </w:pPr>
      <w:bookmarkStart w:id="28" w:name="_Toc479252801"/>
      <w:r>
        <w:rPr>
          <w:color w:val="auto"/>
        </w:rPr>
        <w:t>根据本项目工程特点和项目周边环境现状，关注的主要问题为：</w:t>
      </w:r>
    </w:p>
    <w:p w14:paraId="29F1A9BB">
      <w:pPr>
        <w:pStyle w:val="59"/>
        <w:ind w:firstLine="480"/>
        <w:rPr>
          <w:color w:val="auto"/>
        </w:rPr>
      </w:pPr>
      <w:r>
        <w:rPr>
          <w:rFonts w:hint="eastAsia"/>
          <w:color w:val="auto"/>
        </w:rPr>
        <w:t>1、</w:t>
      </w:r>
      <w:r>
        <w:rPr>
          <w:color w:val="auto"/>
        </w:rPr>
        <w:t>施工期</w:t>
      </w:r>
    </w:p>
    <w:p w14:paraId="43E00015">
      <w:pPr>
        <w:pStyle w:val="59"/>
        <w:ind w:firstLine="480"/>
        <w:rPr>
          <w:color w:val="auto"/>
        </w:rPr>
      </w:pPr>
      <w:r>
        <w:rPr>
          <w:rFonts w:hint="eastAsia"/>
          <w:color w:val="auto"/>
        </w:rPr>
        <w:t>（1）</w:t>
      </w:r>
      <w:r>
        <w:rPr>
          <w:color w:val="auto"/>
        </w:rPr>
        <w:t>大气：施工扬尘、施工机械和运输车辆的燃油废气对周边大气环境的污染影响；</w:t>
      </w:r>
    </w:p>
    <w:p w14:paraId="22356982">
      <w:pPr>
        <w:pStyle w:val="59"/>
        <w:ind w:firstLine="480"/>
        <w:rPr>
          <w:color w:val="auto"/>
        </w:rPr>
      </w:pPr>
      <w:r>
        <w:rPr>
          <w:rFonts w:hint="eastAsia"/>
          <w:color w:val="auto"/>
        </w:rPr>
        <w:t>（2）</w:t>
      </w:r>
      <w:r>
        <w:rPr>
          <w:color w:val="auto"/>
        </w:rPr>
        <w:t>噪声：包括施工设施及运输车辆产生的噪声对周边声环境的污染影响；</w:t>
      </w:r>
    </w:p>
    <w:p w14:paraId="7C7B1435">
      <w:pPr>
        <w:pStyle w:val="59"/>
        <w:ind w:firstLine="480"/>
        <w:rPr>
          <w:color w:val="auto"/>
        </w:rPr>
      </w:pPr>
      <w:r>
        <w:rPr>
          <w:rFonts w:hint="eastAsia"/>
          <w:color w:val="auto"/>
        </w:rPr>
        <w:t>（3）</w:t>
      </w:r>
      <w:r>
        <w:rPr>
          <w:color w:val="auto"/>
        </w:rPr>
        <w:t>固废：施工建设过程中产生的建筑废物；施工人员产生的生活垃圾；</w:t>
      </w:r>
      <w:r>
        <w:rPr>
          <w:rFonts w:hint="eastAsia"/>
          <w:color w:val="auto"/>
        </w:rPr>
        <w:t>清基杂物</w:t>
      </w:r>
      <w:r>
        <w:rPr>
          <w:color w:val="auto"/>
        </w:rPr>
        <w:t>；</w:t>
      </w:r>
      <w:r>
        <w:rPr>
          <w:rFonts w:hint="eastAsia"/>
          <w:color w:val="auto"/>
        </w:rPr>
        <w:t>开挖土方</w:t>
      </w:r>
      <w:r>
        <w:rPr>
          <w:color w:val="auto"/>
        </w:rPr>
        <w:t>。</w:t>
      </w:r>
    </w:p>
    <w:p w14:paraId="5C375013">
      <w:pPr>
        <w:pStyle w:val="59"/>
        <w:ind w:firstLine="480"/>
        <w:rPr>
          <w:color w:val="auto"/>
        </w:rPr>
      </w:pPr>
      <w:r>
        <w:rPr>
          <w:rFonts w:hint="eastAsia"/>
          <w:color w:val="auto"/>
        </w:rPr>
        <w:t>（4）地表水：</w:t>
      </w:r>
      <w:r>
        <w:rPr>
          <w:color w:val="auto"/>
        </w:rPr>
        <w:t>施工期</w:t>
      </w:r>
      <w:r>
        <w:rPr>
          <w:rFonts w:hint="eastAsia"/>
          <w:color w:val="auto"/>
        </w:rPr>
        <w:t>产生</w:t>
      </w:r>
      <w:r>
        <w:rPr>
          <w:color w:val="auto"/>
        </w:rPr>
        <w:t>的生活污水</w:t>
      </w:r>
      <w:r>
        <w:rPr>
          <w:rFonts w:hint="eastAsia"/>
          <w:color w:val="auto"/>
        </w:rPr>
        <w:t>、施工</w:t>
      </w:r>
      <w:r>
        <w:rPr>
          <w:color w:val="auto"/>
        </w:rPr>
        <w:t>废水；</w:t>
      </w:r>
    </w:p>
    <w:p w14:paraId="1A78A6A9">
      <w:pPr>
        <w:pStyle w:val="59"/>
        <w:ind w:firstLine="480"/>
        <w:rPr>
          <w:color w:val="auto"/>
        </w:rPr>
      </w:pPr>
      <w:r>
        <w:rPr>
          <w:rFonts w:hint="eastAsia"/>
          <w:color w:val="auto"/>
        </w:rPr>
        <w:t>（5）</w:t>
      </w:r>
      <w:r>
        <w:rPr>
          <w:color w:val="auto"/>
        </w:rPr>
        <w:t>生态：施工过程中土方开挖</w:t>
      </w:r>
      <w:r>
        <w:rPr>
          <w:rFonts w:hint="eastAsia"/>
          <w:color w:val="auto"/>
        </w:rPr>
        <w:t>对</w:t>
      </w:r>
      <w:r>
        <w:rPr>
          <w:color w:val="auto"/>
        </w:rPr>
        <w:t>自然景观、水土流失、生物多样性、土地利用功能等产生影响。</w:t>
      </w:r>
    </w:p>
    <w:p w14:paraId="2A08A838">
      <w:pPr>
        <w:pStyle w:val="59"/>
        <w:ind w:firstLine="480"/>
        <w:rPr>
          <w:color w:val="auto"/>
        </w:rPr>
      </w:pPr>
      <w:r>
        <w:rPr>
          <w:rFonts w:hint="eastAsia"/>
          <w:color w:val="auto"/>
        </w:rPr>
        <w:t>2、回填复垦期</w:t>
      </w:r>
    </w:p>
    <w:p w14:paraId="7467EDB1">
      <w:pPr>
        <w:pStyle w:val="59"/>
        <w:ind w:firstLine="480"/>
        <w:rPr>
          <w:color w:val="auto"/>
        </w:rPr>
      </w:pPr>
      <w:r>
        <w:rPr>
          <w:rFonts w:hint="eastAsia"/>
          <w:color w:val="auto"/>
        </w:rPr>
        <w:t>（1）</w:t>
      </w:r>
      <w:r>
        <w:rPr>
          <w:color w:val="auto"/>
        </w:rPr>
        <w:t>作业过程中</w:t>
      </w:r>
      <w:r>
        <w:rPr>
          <w:rFonts w:hint="eastAsia"/>
          <w:color w:val="auto"/>
        </w:rPr>
        <w:t>回填</w:t>
      </w:r>
      <w:r>
        <w:rPr>
          <w:color w:val="auto"/>
        </w:rPr>
        <w:t>、运输产生扬尘</w:t>
      </w:r>
      <w:r>
        <w:rPr>
          <w:rFonts w:hint="eastAsia"/>
          <w:color w:val="auto"/>
        </w:rPr>
        <w:t>、</w:t>
      </w:r>
      <w:r>
        <w:rPr>
          <w:color w:val="auto"/>
        </w:rPr>
        <w:t>机械燃油尾气对周边大气环境的污染影响；</w:t>
      </w:r>
    </w:p>
    <w:p w14:paraId="5084CCE1">
      <w:pPr>
        <w:pStyle w:val="59"/>
        <w:ind w:firstLine="480"/>
        <w:rPr>
          <w:color w:val="auto"/>
        </w:rPr>
      </w:pPr>
      <w:r>
        <w:rPr>
          <w:rFonts w:hint="eastAsia"/>
          <w:color w:val="auto"/>
        </w:rPr>
        <w:t>（2）</w:t>
      </w:r>
      <w:r>
        <w:rPr>
          <w:rFonts w:hint="eastAsia"/>
          <w:color w:val="auto"/>
          <w:lang w:eastAsia="zh-CN"/>
        </w:rPr>
        <w:t>灰渣</w:t>
      </w:r>
      <w:r>
        <w:rPr>
          <w:rFonts w:hint="eastAsia"/>
          <w:color w:val="auto"/>
        </w:rPr>
        <w:t>运输</w:t>
      </w:r>
      <w:r>
        <w:rPr>
          <w:color w:val="auto"/>
        </w:rPr>
        <w:t>对沿线大气环境、声环境的影响；</w:t>
      </w:r>
    </w:p>
    <w:p w14:paraId="16A2434F">
      <w:pPr>
        <w:pStyle w:val="59"/>
        <w:ind w:firstLine="480"/>
        <w:rPr>
          <w:color w:val="auto"/>
        </w:rPr>
      </w:pPr>
      <w:r>
        <w:rPr>
          <w:rFonts w:hint="eastAsia"/>
          <w:color w:val="auto"/>
        </w:rPr>
        <w:t>（3）淋溶水</w:t>
      </w:r>
      <w:r>
        <w:rPr>
          <w:color w:val="auto"/>
        </w:rPr>
        <w:t>对周围地下水、土壤的影响</w:t>
      </w:r>
      <w:r>
        <w:rPr>
          <w:rFonts w:hint="eastAsia"/>
          <w:color w:val="auto"/>
        </w:rPr>
        <w:t>及污染防治措施的有效性</w:t>
      </w:r>
      <w:r>
        <w:rPr>
          <w:color w:val="auto"/>
        </w:rPr>
        <w:t>；</w:t>
      </w:r>
    </w:p>
    <w:p w14:paraId="6F1C99C3">
      <w:pPr>
        <w:pStyle w:val="59"/>
        <w:ind w:firstLine="480"/>
        <w:rPr>
          <w:color w:val="auto"/>
        </w:rPr>
      </w:pPr>
      <w:r>
        <w:rPr>
          <w:rFonts w:hint="eastAsia"/>
          <w:color w:val="auto"/>
        </w:rPr>
        <w:t>（4）</w:t>
      </w:r>
      <w:r>
        <w:rPr>
          <w:color w:val="auto"/>
        </w:rPr>
        <w:t>作业机械设备和</w:t>
      </w:r>
      <w:r>
        <w:rPr>
          <w:rFonts w:hint="eastAsia"/>
          <w:color w:val="auto"/>
        </w:rPr>
        <w:t>运输车辆</w:t>
      </w:r>
      <w:r>
        <w:rPr>
          <w:color w:val="auto"/>
        </w:rPr>
        <w:t>产生的噪声对环境的影响；</w:t>
      </w:r>
    </w:p>
    <w:p w14:paraId="104FBD2E">
      <w:pPr>
        <w:pStyle w:val="59"/>
        <w:ind w:firstLine="480"/>
        <w:rPr>
          <w:color w:val="auto"/>
        </w:rPr>
      </w:pPr>
      <w:r>
        <w:rPr>
          <w:rFonts w:hint="eastAsia"/>
          <w:color w:val="auto"/>
        </w:rPr>
        <w:t>（5）淋溶水暂存池</w:t>
      </w:r>
      <w:r>
        <w:rPr>
          <w:color w:val="auto"/>
        </w:rPr>
        <w:t>产生</w:t>
      </w:r>
      <w:r>
        <w:rPr>
          <w:rFonts w:hint="eastAsia"/>
          <w:color w:val="auto"/>
        </w:rPr>
        <w:t>沉渣；</w:t>
      </w:r>
    </w:p>
    <w:p w14:paraId="4B18E278">
      <w:pPr>
        <w:pStyle w:val="59"/>
        <w:ind w:firstLine="480"/>
        <w:rPr>
          <w:color w:val="auto"/>
        </w:rPr>
      </w:pPr>
      <w:r>
        <w:rPr>
          <w:rFonts w:hint="eastAsia"/>
          <w:color w:val="auto"/>
        </w:rPr>
        <w:t>3、生态恢复期</w:t>
      </w:r>
    </w:p>
    <w:p w14:paraId="74453B7B">
      <w:pPr>
        <w:pStyle w:val="59"/>
        <w:ind w:firstLine="480"/>
        <w:rPr>
          <w:color w:val="auto"/>
        </w:rPr>
      </w:pPr>
      <w:r>
        <w:rPr>
          <w:rFonts w:hint="eastAsia"/>
          <w:color w:val="auto"/>
        </w:rPr>
        <w:t>生态恢复期主要为有利影响，可减少水土流失、恢复土地功能</w:t>
      </w:r>
      <w:r>
        <w:rPr>
          <w:color w:val="auto"/>
        </w:rPr>
        <w:t>。</w:t>
      </w:r>
      <w:r>
        <w:rPr>
          <w:rFonts w:hint="eastAsia"/>
          <w:color w:val="auto"/>
        </w:rPr>
        <w:t>复垦后雨水不在进入回填区，淋溶水量将随时间而逐步降低，因此在淋溶水收集处理系统仍保持运行，本项目不会对周围水环境产生不利影响。</w:t>
      </w:r>
    </w:p>
    <w:p w14:paraId="4B7832C6">
      <w:pPr>
        <w:pStyle w:val="548"/>
        <w:rPr>
          <w:color w:val="auto"/>
        </w:rPr>
      </w:pPr>
      <w:bookmarkStart w:id="29" w:name="_Toc149054189"/>
      <w:bookmarkStart w:id="30" w:name="_Toc119316787"/>
      <w:r>
        <w:rPr>
          <w:color w:val="auto"/>
        </w:rPr>
        <w:t>1.6环境影响评价主要结论</w:t>
      </w:r>
      <w:bookmarkEnd w:id="28"/>
      <w:bookmarkEnd w:id="29"/>
      <w:bookmarkEnd w:id="30"/>
    </w:p>
    <w:p w14:paraId="6ACFFEDE">
      <w:pPr>
        <w:pStyle w:val="59"/>
        <w:adjustRightInd/>
        <w:snapToGrid/>
        <w:ind w:firstLine="480"/>
        <w:contextualSpacing/>
        <w:rPr>
          <w:rFonts w:cs="Times New Roman"/>
          <w:color w:val="auto"/>
        </w:rPr>
      </w:pPr>
      <w:r>
        <w:rPr>
          <w:rFonts w:cs="Times New Roman"/>
          <w:color w:val="auto"/>
        </w:rPr>
        <w:t>本报告通过调查、分析和综合评价后认为：拟建项目符合国家和地方有关环境保护法律法规、标准、政策、规范及相关规划要求；所采用的各项污染防治措施技术可行、经济合理，能保证各类污染物长期稳定达标排放；预测结果表明项目所排放的污染物对周围环境和环境保护目标影响较小；通过采取有针对性的风险防范措施并落实应急预案，项目的环境风险可接受。综上所述，在规划相符、落实本报告书中的各项环保措施以及各级环保主管部门管理要求、项目取得周边公众理解和支持的前提下，从环保角度分析，拟建项目的建设具有环境可行性。同时，拟建项目在设计、建设、运行全过程中还必须满足消防、安全、职业卫生等相关管理要求，进行规范化的设计、施工和运行管理。</w:t>
      </w:r>
    </w:p>
    <w:p w14:paraId="6F580176">
      <w:pPr>
        <w:rPr>
          <w:color w:val="auto"/>
        </w:rPr>
        <w:sectPr>
          <w:footerReference r:id="rId7" w:type="default"/>
          <w:pgSz w:w="11906" w:h="16838"/>
          <w:pgMar w:top="1440" w:right="1800" w:bottom="1440" w:left="1800" w:header="851" w:footer="992" w:gutter="0"/>
          <w:pgBorders>
            <w:top w:val="none" w:sz="0" w:space="0"/>
            <w:left w:val="none" w:sz="0" w:space="0"/>
            <w:bottom w:val="none" w:sz="0" w:space="0"/>
            <w:right w:val="none" w:sz="0" w:space="0"/>
          </w:pgBorders>
          <w:pgNumType w:start="1"/>
          <w:cols w:space="425" w:num="1"/>
          <w:docGrid w:type="lines" w:linePitch="312" w:charSpace="0"/>
        </w:sectPr>
      </w:pPr>
    </w:p>
    <w:p w14:paraId="7A8F7285">
      <w:pPr>
        <w:adjustRightInd w:val="0"/>
        <w:snapToGrid w:val="0"/>
        <w:spacing w:line="500" w:lineRule="exact"/>
        <w:outlineLvl w:val="0"/>
        <w:rPr>
          <w:rFonts w:eastAsia="黑体"/>
          <w:color w:val="auto"/>
          <w:sz w:val="32"/>
          <w:szCs w:val="22"/>
        </w:rPr>
      </w:pPr>
      <w:bookmarkStart w:id="31" w:name="_Toc149054190"/>
      <w:bookmarkStart w:id="32" w:name="_Toc140149410"/>
      <w:bookmarkStart w:id="33" w:name="_Toc479252802"/>
      <w:bookmarkStart w:id="34" w:name="_Toc119316788"/>
      <w:r>
        <w:rPr>
          <w:rFonts w:eastAsia="黑体"/>
          <w:color w:val="auto"/>
          <w:sz w:val="32"/>
          <w:szCs w:val="22"/>
        </w:rPr>
        <w:t>2</w:t>
      </w:r>
      <w:r>
        <w:rPr>
          <w:rFonts w:hint="eastAsia" w:eastAsia="黑体"/>
          <w:color w:val="auto"/>
          <w:sz w:val="32"/>
          <w:szCs w:val="22"/>
        </w:rPr>
        <w:t>总则</w:t>
      </w:r>
      <w:bookmarkEnd w:id="31"/>
      <w:bookmarkEnd w:id="32"/>
    </w:p>
    <w:p w14:paraId="77BF3905">
      <w:pPr>
        <w:keepNext/>
        <w:keepLines/>
        <w:adjustRightInd w:val="0"/>
        <w:snapToGrid w:val="0"/>
        <w:spacing w:line="500" w:lineRule="exact"/>
        <w:outlineLvl w:val="1"/>
        <w:rPr>
          <w:rFonts w:eastAsia="黑体"/>
          <w:bCs/>
          <w:snapToGrid w:val="0"/>
          <w:color w:val="auto"/>
          <w:sz w:val="28"/>
          <w:szCs w:val="32"/>
        </w:rPr>
      </w:pPr>
      <w:bookmarkStart w:id="35" w:name="_Toc140149411"/>
      <w:bookmarkStart w:id="36" w:name="_Toc149054191"/>
      <w:r>
        <w:rPr>
          <w:rFonts w:eastAsia="黑体"/>
          <w:bCs/>
          <w:snapToGrid w:val="0"/>
          <w:color w:val="auto"/>
          <w:sz w:val="28"/>
          <w:szCs w:val="32"/>
        </w:rPr>
        <w:t>2.1</w:t>
      </w:r>
      <w:r>
        <w:rPr>
          <w:rFonts w:hint="eastAsia" w:eastAsia="黑体"/>
          <w:bCs/>
          <w:snapToGrid w:val="0"/>
          <w:color w:val="auto"/>
          <w:sz w:val="28"/>
          <w:szCs w:val="32"/>
        </w:rPr>
        <w:t>评价目的</w:t>
      </w:r>
      <w:bookmarkEnd w:id="35"/>
      <w:bookmarkEnd w:id="36"/>
    </w:p>
    <w:p w14:paraId="43CFEA6C">
      <w:pPr>
        <w:spacing w:line="500" w:lineRule="exact"/>
        <w:ind w:firstLine="480" w:firstLineChars="200"/>
        <w:rPr>
          <w:snapToGrid w:val="0"/>
          <w:color w:val="auto"/>
          <w:sz w:val="24"/>
          <w:szCs w:val="22"/>
        </w:rPr>
      </w:pPr>
      <w:r>
        <w:rPr>
          <w:rFonts w:hint="eastAsia"/>
          <w:snapToGrid w:val="0"/>
          <w:color w:val="auto"/>
          <w:sz w:val="24"/>
          <w:szCs w:val="22"/>
        </w:rPr>
        <w:t>根据本工程特性及工程所在地的环境特点，确定本报告的编制目的：</w:t>
      </w:r>
    </w:p>
    <w:p w14:paraId="083E2BBF">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1</w:t>
      </w:r>
      <w:r>
        <w:rPr>
          <w:rFonts w:hint="eastAsia"/>
          <w:snapToGrid w:val="0"/>
          <w:color w:val="auto"/>
          <w:sz w:val="24"/>
          <w:szCs w:val="22"/>
        </w:rPr>
        <w:t>）贯彻“预防为主，防治结合，综合利用”环境管理方针，要求在开发建设活动实施之前预计可能产生的环境污染与破坏，再据此采取防治对策，做到防患于未然。</w:t>
      </w:r>
    </w:p>
    <w:p w14:paraId="610C712D">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2</w:t>
      </w:r>
      <w:r>
        <w:rPr>
          <w:rFonts w:hint="eastAsia"/>
          <w:snapToGrid w:val="0"/>
          <w:color w:val="auto"/>
          <w:sz w:val="24"/>
          <w:szCs w:val="22"/>
        </w:rPr>
        <w:t>）本次环评将在对本项目工程分析的基础上，分析论证本项目“三废”排放情况及从环保角度确认工艺过程的先进性，为环境影响预测提供基础数据，并为今后的环境管理工作提供科学依据。</w:t>
      </w:r>
    </w:p>
    <w:p w14:paraId="2E66B33E">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3</w:t>
      </w:r>
      <w:r>
        <w:rPr>
          <w:rFonts w:hint="eastAsia"/>
          <w:snapToGrid w:val="0"/>
          <w:color w:val="auto"/>
          <w:sz w:val="24"/>
          <w:szCs w:val="22"/>
        </w:rPr>
        <w:t>）通过对建设地点及周围环境的综合现状调查和现场监测，了解和掌握该地区的环境质量现状及污染现状，并确定环境保护目标。</w:t>
      </w:r>
    </w:p>
    <w:p w14:paraId="00EA7617">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4</w:t>
      </w:r>
      <w:r>
        <w:rPr>
          <w:rFonts w:hint="eastAsia"/>
          <w:snapToGrid w:val="0"/>
          <w:color w:val="auto"/>
          <w:sz w:val="24"/>
          <w:szCs w:val="22"/>
        </w:rPr>
        <w:t>）采用适当的预测模式，预测和评价工程投产后对该地区的环境影响程度和范围，提出经济上合理，技术上可行的环境保护措施。</w:t>
      </w:r>
    </w:p>
    <w:p w14:paraId="6F956660">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5</w:t>
      </w:r>
      <w:r>
        <w:rPr>
          <w:rFonts w:hint="eastAsia"/>
          <w:snapToGrid w:val="0"/>
          <w:color w:val="auto"/>
          <w:sz w:val="24"/>
          <w:szCs w:val="22"/>
        </w:rPr>
        <w:t>）通过对环境、经济的损益分析，论证本工程社会效益、环境效益和经济效益的统一性。</w:t>
      </w:r>
    </w:p>
    <w:p w14:paraId="0CC5D916">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6</w:t>
      </w:r>
      <w:r>
        <w:rPr>
          <w:rFonts w:hint="eastAsia"/>
          <w:snapToGrid w:val="0"/>
          <w:color w:val="auto"/>
          <w:sz w:val="24"/>
          <w:szCs w:val="22"/>
        </w:rPr>
        <w:t>）从环境功能规划、环境容量及周围环境敏感保护目标等方面，论证本项目选址的合理性，为项目实现优化选址、合理布局、最佳设计提供科学依据。</w:t>
      </w:r>
    </w:p>
    <w:p w14:paraId="43690CC6">
      <w:pPr>
        <w:keepNext/>
        <w:keepLines/>
        <w:adjustRightInd w:val="0"/>
        <w:snapToGrid w:val="0"/>
        <w:spacing w:line="500" w:lineRule="exact"/>
        <w:outlineLvl w:val="1"/>
        <w:rPr>
          <w:rFonts w:eastAsia="黑体"/>
          <w:bCs/>
          <w:snapToGrid w:val="0"/>
          <w:color w:val="auto"/>
          <w:sz w:val="28"/>
          <w:szCs w:val="32"/>
        </w:rPr>
      </w:pPr>
      <w:bookmarkStart w:id="37" w:name="_Toc149054192"/>
      <w:bookmarkStart w:id="38" w:name="_Toc140149412"/>
      <w:r>
        <w:rPr>
          <w:rFonts w:eastAsia="黑体"/>
          <w:bCs/>
          <w:snapToGrid w:val="0"/>
          <w:color w:val="auto"/>
          <w:sz w:val="28"/>
          <w:szCs w:val="32"/>
        </w:rPr>
        <w:t>2.2</w:t>
      </w:r>
      <w:r>
        <w:rPr>
          <w:rFonts w:hint="eastAsia" w:eastAsia="黑体"/>
          <w:bCs/>
          <w:snapToGrid w:val="0"/>
          <w:color w:val="auto"/>
          <w:sz w:val="28"/>
          <w:szCs w:val="32"/>
        </w:rPr>
        <w:t>评价原则</w:t>
      </w:r>
      <w:bookmarkEnd w:id="37"/>
      <w:bookmarkEnd w:id="38"/>
    </w:p>
    <w:p w14:paraId="0CAFE93F">
      <w:pPr>
        <w:spacing w:line="500" w:lineRule="exact"/>
        <w:ind w:firstLine="480" w:firstLineChars="200"/>
        <w:rPr>
          <w:snapToGrid w:val="0"/>
          <w:color w:val="auto"/>
          <w:sz w:val="24"/>
          <w:szCs w:val="22"/>
        </w:rPr>
      </w:pPr>
      <w:bookmarkStart w:id="39" w:name="_Toc439236475"/>
      <w:bookmarkStart w:id="40" w:name="_Toc436918980"/>
      <w:bookmarkStart w:id="41" w:name="_Toc472585613"/>
      <w:bookmarkStart w:id="42" w:name="_Toc477190961"/>
      <w:r>
        <w:rPr>
          <w:rFonts w:hint="eastAsia"/>
          <w:snapToGrid w:val="0"/>
          <w:color w:val="auto"/>
          <w:sz w:val="24"/>
          <w:szCs w:val="22"/>
        </w:rPr>
        <w:t>突出环境影响评价的源头预防作用，坚持保护和改善环境质量。</w:t>
      </w:r>
      <w:r>
        <w:rPr>
          <w:snapToGrid w:val="0"/>
          <w:color w:val="auto"/>
          <w:sz w:val="24"/>
          <w:szCs w:val="22"/>
        </w:rPr>
        <w:t xml:space="preserve"> </w:t>
      </w:r>
    </w:p>
    <w:p w14:paraId="39DCA905">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1</w:t>
      </w:r>
      <w:r>
        <w:rPr>
          <w:rFonts w:hint="eastAsia"/>
          <w:snapToGrid w:val="0"/>
          <w:color w:val="auto"/>
          <w:sz w:val="24"/>
          <w:szCs w:val="22"/>
        </w:rPr>
        <w:t>）依法评价</w:t>
      </w:r>
    </w:p>
    <w:p w14:paraId="380EB502">
      <w:pPr>
        <w:spacing w:line="500" w:lineRule="exact"/>
        <w:ind w:firstLine="480" w:firstLineChars="200"/>
        <w:rPr>
          <w:snapToGrid w:val="0"/>
          <w:color w:val="auto"/>
          <w:sz w:val="24"/>
          <w:szCs w:val="22"/>
        </w:rPr>
      </w:pPr>
      <w:r>
        <w:rPr>
          <w:rFonts w:hint="eastAsia"/>
          <w:snapToGrid w:val="0"/>
          <w:color w:val="auto"/>
          <w:sz w:val="24"/>
          <w:szCs w:val="22"/>
        </w:rPr>
        <w:t>贯彻执行我国环境保护相关法律法规、标准、政策和规划等，优化项目建设，服务环境管理。</w:t>
      </w:r>
    </w:p>
    <w:p w14:paraId="6EA96FF5">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2</w:t>
      </w:r>
      <w:r>
        <w:rPr>
          <w:rFonts w:hint="eastAsia"/>
          <w:snapToGrid w:val="0"/>
          <w:color w:val="auto"/>
          <w:sz w:val="24"/>
          <w:szCs w:val="22"/>
        </w:rPr>
        <w:t>）科学评价</w:t>
      </w:r>
    </w:p>
    <w:p w14:paraId="60656C2B">
      <w:pPr>
        <w:spacing w:line="500" w:lineRule="exact"/>
        <w:ind w:firstLine="480" w:firstLineChars="200"/>
        <w:rPr>
          <w:snapToGrid w:val="0"/>
          <w:color w:val="auto"/>
          <w:sz w:val="24"/>
          <w:szCs w:val="22"/>
        </w:rPr>
      </w:pPr>
      <w:r>
        <w:rPr>
          <w:rFonts w:hint="eastAsia"/>
          <w:snapToGrid w:val="0"/>
          <w:color w:val="auto"/>
          <w:sz w:val="24"/>
          <w:szCs w:val="22"/>
        </w:rPr>
        <w:t>规范环境影响评价方法，科学分析项目建设对环境质量的影响。</w:t>
      </w:r>
    </w:p>
    <w:p w14:paraId="600AC4FF">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3</w:t>
      </w:r>
      <w:r>
        <w:rPr>
          <w:rFonts w:hint="eastAsia"/>
          <w:snapToGrid w:val="0"/>
          <w:color w:val="auto"/>
          <w:sz w:val="24"/>
          <w:szCs w:val="22"/>
        </w:rPr>
        <w:t>）突出重点</w:t>
      </w:r>
    </w:p>
    <w:p w14:paraId="3FB173FC">
      <w:pPr>
        <w:spacing w:line="500" w:lineRule="exact"/>
        <w:ind w:firstLine="480" w:firstLineChars="200"/>
        <w:rPr>
          <w:snapToGrid w:val="0"/>
          <w:color w:val="auto"/>
          <w:sz w:val="24"/>
          <w:szCs w:val="22"/>
        </w:rPr>
      </w:pPr>
      <w:r>
        <w:rPr>
          <w:rFonts w:hint="eastAsia"/>
          <w:snapToGrid w:val="0"/>
          <w:color w:val="auto"/>
          <w:sz w:val="24"/>
          <w:szCs w:val="22"/>
        </w:rPr>
        <w:t>根据建设项目的工程内容及其特点，明确与环境要素间的作用效应关系，充分利用符合时效的数据资料及成果，对建设项目主要环境影响予以重点分析和评价。</w:t>
      </w:r>
    </w:p>
    <w:p w14:paraId="641D1BB7">
      <w:pPr>
        <w:keepNext/>
        <w:keepLines/>
        <w:adjustRightInd w:val="0"/>
        <w:snapToGrid w:val="0"/>
        <w:spacing w:line="500" w:lineRule="exact"/>
        <w:outlineLvl w:val="1"/>
        <w:rPr>
          <w:rFonts w:eastAsia="黑体"/>
          <w:bCs/>
          <w:snapToGrid w:val="0"/>
          <w:color w:val="auto"/>
          <w:sz w:val="28"/>
          <w:szCs w:val="32"/>
        </w:rPr>
      </w:pPr>
      <w:bookmarkStart w:id="43" w:name="_Toc149054193"/>
      <w:bookmarkStart w:id="44" w:name="_Toc140149413"/>
      <w:r>
        <w:rPr>
          <w:rFonts w:eastAsia="黑体"/>
          <w:bCs/>
          <w:snapToGrid w:val="0"/>
          <w:color w:val="auto"/>
          <w:sz w:val="28"/>
          <w:szCs w:val="32"/>
        </w:rPr>
        <w:t>2.3</w:t>
      </w:r>
      <w:r>
        <w:rPr>
          <w:rFonts w:hint="eastAsia" w:eastAsia="黑体"/>
          <w:bCs/>
          <w:snapToGrid w:val="0"/>
          <w:color w:val="auto"/>
          <w:sz w:val="28"/>
          <w:szCs w:val="32"/>
        </w:rPr>
        <w:t>编制依据</w:t>
      </w:r>
      <w:bookmarkEnd w:id="39"/>
      <w:bookmarkEnd w:id="40"/>
      <w:bookmarkEnd w:id="41"/>
      <w:bookmarkEnd w:id="42"/>
      <w:bookmarkEnd w:id="43"/>
      <w:bookmarkEnd w:id="44"/>
    </w:p>
    <w:p w14:paraId="6381602F">
      <w:pPr>
        <w:keepNext/>
        <w:keepLines/>
        <w:adjustRightInd w:val="0"/>
        <w:snapToGrid w:val="0"/>
        <w:spacing w:line="500" w:lineRule="exact"/>
        <w:outlineLvl w:val="2"/>
        <w:rPr>
          <w:rFonts w:eastAsia="黑体"/>
          <w:bCs/>
          <w:color w:val="auto"/>
          <w:sz w:val="24"/>
          <w:szCs w:val="32"/>
        </w:rPr>
      </w:pPr>
      <w:r>
        <w:rPr>
          <w:rFonts w:eastAsia="黑体"/>
          <w:bCs/>
          <w:color w:val="auto"/>
          <w:sz w:val="24"/>
          <w:szCs w:val="32"/>
        </w:rPr>
        <w:t>2.3.1</w:t>
      </w:r>
      <w:r>
        <w:rPr>
          <w:rFonts w:hint="eastAsia" w:eastAsia="黑体"/>
          <w:bCs/>
          <w:color w:val="auto"/>
          <w:sz w:val="24"/>
          <w:szCs w:val="32"/>
        </w:rPr>
        <w:t>相关法律、法规及政策</w:t>
      </w:r>
    </w:p>
    <w:p w14:paraId="33534779">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lang w:eastAsia="zh-CN"/>
        </w:rPr>
        <w:t>（</w:t>
      </w:r>
      <w:r>
        <w:rPr>
          <w:rFonts w:hint="default" w:ascii="Times New Roman" w:hAnsi="Times New Roman" w:cs="Times New Roman"/>
          <w:snapToGrid w:val="0"/>
          <w:color w:val="auto"/>
          <w:kern w:val="0"/>
          <w:sz w:val="24"/>
        </w:rPr>
        <w:t>1）《中华人民共和国生态环境法典》（2026年3月12日第十四届全国人民代表大会第四次会议通过，2026年8月15日施行）；</w:t>
      </w:r>
    </w:p>
    <w:p w14:paraId="3759E3D0">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（2）《中华人民共和国水土保持法》（2011年3月1日修订）；</w:t>
      </w:r>
    </w:p>
    <w:p w14:paraId="2ECA7540">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（3）《中华人民共和国土地管理法》（2019年8月26日修正）；</w:t>
      </w:r>
    </w:p>
    <w:p w14:paraId="79ACA115">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（4）《中华人民共和国黑土地保护法》（2022年8月1日）；</w:t>
      </w:r>
    </w:p>
    <w:p w14:paraId="062E4A1B">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（5）《国务院关于修改&lt;建设项目环境保护管理条例&gt;的决定》（中华人民共和国国务院令第682号）；</w:t>
      </w:r>
    </w:p>
    <w:p w14:paraId="1AA2ECAB">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（6）《建设项目环境影响评价分类管理名录（2021年版）》；</w:t>
      </w:r>
    </w:p>
    <w:p w14:paraId="3C93E074">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（7）《产业结构调整指导目录（2024年本）》；</w:t>
      </w:r>
    </w:p>
    <w:p w14:paraId="4B27A452">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（8）《关于做好环境影响评价制度与排污许可制衔接相关工作的通知》（环办环评[2017]84号）；</w:t>
      </w:r>
    </w:p>
    <w:p w14:paraId="0C341BD4">
      <w:pPr>
        <w:spacing w:line="500" w:lineRule="exact"/>
        <w:ind w:firstLine="480" w:firstLineChars="200"/>
        <w:rPr>
          <w:rFonts w:hint="default" w:ascii="Times New Roman" w:hAnsi="Times New Roman" w:cs="Times New Roman"/>
          <w:snapToGrid w:val="0"/>
          <w:color w:val="auto"/>
          <w:kern w:val="0"/>
          <w:sz w:val="24"/>
        </w:rPr>
      </w:pPr>
      <w:r>
        <w:rPr>
          <w:rFonts w:hint="eastAsia" w:ascii="Times New Roman" w:hAnsi="Times New Roman" w:cs="Times New Roman"/>
          <w:snapToGrid w:val="0"/>
          <w:color w:val="auto"/>
          <w:kern w:val="0"/>
          <w:sz w:val="24"/>
          <w:lang w:eastAsia="zh-CN"/>
        </w:rPr>
        <w:t>（</w:t>
      </w:r>
      <w:r>
        <w:rPr>
          <w:rFonts w:hint="eastAsia" w:ascii="Times New Roman" w:hAnsi="Times New Roman" w:cs="Times New Roman"/>
          <w:snapToGrid w:val="0"/>
          <w:color w:val="auto"/>
          <w:kern w:val="0"/>
          <w:sz w:val="24"/>
          <w:lang w:val="en-US" w:eastAsia="zh-CN"/>
        </w:rPr>
        <w:t>9</w:t>
      </w:r>
      <w:r>
        <w:rPr>
          <w:rFonts w:hint="eastAsia" w:ascii="Times New Roman" w:hAnsi="Times New Roman" w:cs="Times New Roman"/>
          <w:snapToGrid w:val="0"/>
          <w:color w:val="auto"/>
          <w:kern w:val="0"/>
          <w:sz w:val="24"/>
          <w:lang w:eastAsia="zh-CN"/>
        </w:rPr>
        <w:t>）</w:t>
      </w:r>
      <w:r>
        <w:rPr>
          <w:rFonts w:hint="default" w:ascii="Times New Roman" w:hAnsi="Times New Roman" w:cs="Times New Roman"/>
          <w:snapToGrid w:val="0"/>
          <w:color w:val="auto"/>
          <w:kern w:val="0"/>
          <w:sz w:val="24"/>
        </w:rPr>
        <w:t>《关于印发大气污染防治行动计划的通知》（国务院国发[2013]37号）；</w:t>
      </w:r>
    </w:p>
    <w:p w14:paraId="6E28F8D7">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（10）《关于印发水污染防治行动计划的通知》（国务院国发[2015]17号）；</w:t>
      </w:r>
    </w:p>
    <w:p w14:paraId="02C5AD3C">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（11）《关于印发土壤污染防治行动计划的通知》（国务院国发[2016]31号）；</w:t>
      </w:r>
    </w:p>
    <w:p w14:paraId="030E667C">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（12）《关于加强环境保护重点工作的意见》（国务院国发[2011]35号）；</w:t>
      </w:r>
    </w:p>
    <w:p w14:paraId="56AEDF5F">
      <w:pPr>
        <w:spacing w:line="500" w:lineRule="exact"/>
        <w:ind w:firstLine="480" w:firstLineChars="200"/>
        <w:rPr>
          <w:rFonts w:hint="default" w:ascii="Times New Roman" w:hAnsi="Times New Roman" w:cs="Times New Roman"/>
          <w:snapToGrid w:val="0"/>
          <w:color w:val="auto"/>
          <w:kern w:val="0"/>
          <w:sz w:val="24"/>
        </w:rPr>
      </w:pPr>
      <w:r>
        <w:rPr>
          <w:rFonts w:hint="default" w:ascii="Times New Roman" w:hAnsi="Times New Roman" w:cs="Times New Roman"/>
          <w:snapToGrid w:val="0"/>
          <w:color w:val="auto"/>
          <w:kern w:val="0"/>
          <w:sz w:val="24"/>
        </w:rPr>
        <w:t>（13）《国务院办公厅关于印发控制污染物排放许可制实施方案的通知》（国办发[2016]81号）；</w:t>
      </w:r>
    </w:p>
    <w:p w14:paraId="20E53708">
      <w:pPr>
        <w:spacing w:line="500" w:lineRule="exact"/>
        <w:ind w:firstLine="480" w:firstLineChars="200"/>
        <w:rPr>
          <w:rFonts w:hint="eastAsia"/>
          <w:snapToGrid w:val="0"/>
          <w:color w:val="auto"/>
          <w:kern w:val="0"/>
          <w:sz w:val="24"/>
        </w:rPr>
      </w:pPr>
      <w:r>
        <w:rPr>
          <w:rFonts w:hint="eastAsia"/>
          <w:snapToGrid w:val="0"/>
          <w:color w:val="auto"/>
          <w:kern w:val="0"/>
          <w:sz w:val="24"/>
        </w:rPr>
        <w:t>（14）《中共中央国务院关于深入打好污染防治攻坚战的意见》（2021年11月2日）；</w:t>
      </w:r>
    </w:p>
    <w:p w14:paraId="3AE722CB">
      <w:pPr>
        <w:spacing w:line="500" w:lineRule="exact"/>
        <w:ind w:left="479" w:leftChars="228" w:firstLine="0" w:firstLineChars="0"/>
        <w:rPr>
          <w:rFonts w:hint="eastAsia"/>
          <w:snapToGrid w:val="0"/>
          <w:color w:val="auto"/>
          <w:kern w:val="0"/>
          <w:sz w:val="24"/>
        </w:rPr>
      </w:pPr>
      <w:r>
        <w:rPr>
          <w:rFonts w:hint="eastAsia"/>
          <w:snapToGrid w:val="0"/>
          <w:color w:val="auto"/>
          <w:kern w:val="0"/>
          <w:sz w:val="24"/>
        </w:rPr>
        <w:t>（15）《关于加强生态保护红线管理的通知（试行）》（自然资发[2022]142号）；（16）《环境影响评价公众参与办法》（生态环境部第4号令，2019年1月1日）；</w:t>
      </w:r>
    </w:p>
    <w:p w14:paraId="7717EB78">
      <w:pPr>
        <w:spacing w:line="500" w:lineRule="exact"/>
        <w:ind w:left="479" w:leftChars="228" w:firstLine="0" w:firstLineChars="0"/>
        <w:rPr>
          <w:rFonts w:hint="eastAsia"/>
          <w:snapToGrid w:val="0"/>
          <w:color w:val="auto"/>
          <w:kern w:val="0"/>
          <w:sz w:val="24"/>
        </w:rPr>
      </w:pPr>
      <w:r>
        <w:rPr>
          <w:rFonts w:hint="eastAsia"/>
          <w:snapToGrid w:val="0"/>
          <w:color w:val="auto"/>
          <w:kern w:val="0"/>
          <w:sz w:val="24"/>
        </w:rPr>
        <w:t>（17）《粉煤灰综合利用管理办法》（国家发改委令第19号，2013年3月1日）；（18）《土地复垦条例》（中华人民共和国国务院令第592号，2011年3月5日）；</w:t>
      </w:r>
    </w:p>
    <w:p w14:paraId="58EF700E">
      <w:pPr>
        <w:spacing w:line="500" w:lineRule="exact"/>
        <w:ind w:left="479" w:leftChars="228" w:firstLine="0" w:firstLineChars="0"/>
        <w:rPr>
          <w:rFonts w:hint="eastAsia"/>
          <w:snapToGrid w:val="0"/>
          <w:color w:val="auto"/>
          <w:kern w:val="0"/>
          <w:sz w:val="24"/>
        </w:rPr>
      </w:pPr>
      <w:r>
        <w:rPr>
          <w:rFonts w:hint="eastAsia"/>
          <w:snapToGrid w:val="0"/>
          <w:color w:val="auto"/>
          <w:kern w:val="0"/>
          <w:sz w:val="24"/>
        </w:rPr>
        <w:t>（19）《关于印发&lt;生态环境分区管控管理暂行规定&gt;的通知》（环环评[2024]41号）；</w:t>
      </w:r>
    </w:p>
    <w:p w14:paraId="00B8F6C7">
      <w:pPr>
        <w:spacing w:line="500" w:lineRule="exact"/>
        <w:ind w:firstLine="480" w:firstLineChars="200"/>
        <w:rPr>
          <w:rFonts w:hint="eastAsia"/>
          <w:snapToGrid w:val="0"/>
          <w:color w:val="auto"/>
          <w:kern w:val="0"/>
          <w:sz w:val="24"/>
        </w:rPr>
      </w:pPr>
      <w:r>
        <w:rPr>
          <w:rFonts w:hint="eastAsia"/>
          <w:snapToGrid w:val="0"/>
          <w:color w:val="auto"/>
          <w:kern w:val="0"/>
          <w:sz w:val="24"/>
        </w:rPr>
        <w:t>（20）《地下水管理条例》（中华人民共和国国务院令第748号，2021年12月1日）；</w:t>
      </w:r>
    </w:p>
    <w:p w14:paraId="084E285D">
      <w:pPr>
        <w:spacing w:line="500" w:lineRule="exact"/>
        <w:ind w:firstLine="480" w:firstLineChars="200"/>
        <w:rPr>
          <w:rFonts w:hint="eastAsia"/>
          <w:snapToGrid w:val="0"/>
          <w:color w:val="auto"/>
          <w:kern w:val="0"/>
          <w:sz w:val="24"/>
        </w:rPr>
      </w:pPr>
      <w:r>
        <w:rPr>
          <w:rFonts w:hint="eastAsia"/>
          <w:snapToGrid w:val="0"/>
          <w:color w:val="auto"/>
          <w:kern w:val="0"/>
          <w:sz w:val="24"/>
        </w:rPr>
        <w:t>（21）《排污许可管理条例》（2021年3月1日）；</w:t>
      </w:r>
    </w:p>
    <w:p w14:paraId="1B1408AC">
      <w:pPr>
        <w:spacing w:line="500" w:lineRule="exact"/>
        <w:ind w:firstLine="480" w:firstLineChars="200"/>
        <w:rPr>
          <w:rFonts w:hint="eastAsia"/>
          <w:snapToGrid w:val="0"/>
          <w:color w:val="auto"/>
          <w:kern w:val="0"/>
          <w:sz w:val="24"/>
        </w:rPr>
      </w:pPr>
      <w:r>
        <w:rPr>
          <w:rFonts w:hint="eastAsia"/>
          <w:snapToGrid w:val="0"/>
          <w:color w:val="auto"/>
          <w:kern w:val="0"/>
          <w:sz w:val="24"/>
        </w:rPr>
        <w:t>（22）《固体废物污染防治“十五五”规划》。</w:t>
      </w:r>
    </w:p>
    <w:p w14:paraId="78C09BE8">
      <w:pPr>
        <w:keepNext/>
        <w:keepLines/>
        <w:adjustRightInd w:val="0"/>
        <w:snapToGrid w:val="0"/>
        <w:spacing w:line="500" w:lineRule="exact"/>
        <w:outlineLvl w:val="2"/>
        <w:rPr>
          <w:rFonts w:eastAsia="黑体"/>
          <w:bCs/>
          <w:color w:val="auto"/>
          <w:sz w:val="24"/>
          <w:szCs w:val="32"/>
        </w:rPr>
      </w:pPr>
      <w:r>
        <w:rPr>
          <w:rFonts w:eastAsia="黑体"/>
          <w:bCs/>
          <w:color w:val="auto"/>
          <w:sz w:val="24"/>
          <w:szCs w:val="32"/>
        </w:rPr>
        <w:t>2.3.2</w:t>
      </w:r>
      <w:r>
        <w:rPr>
          <w:rFonts w:hint="eastAsia" w:eastAsia="黑体"/>
          <w:bCs/>
          <w:color w:val="auto"/>
          <w:sz w:val="24"/>
          <w:szCs w:val="32"/>
        </w:rPr>
        <w:t>相关技术规范</w:t>
      </w:r>
    </w:p>
    <w:p w14:paraId="4B3F19E2">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1</w:t>
      </w:r>
      <w:r>
        <w:rPr>
          <w:rFonts w:hint="eastAsia"/>
          <w:snapToGrid w:val="0"/>
          <w:color w:val="auto"/>
          <w:kern w:val="0"/>
          <w:sz w:val="24"/>
        </w:rPr>
        <w:t>）《建设项目环境影响评价技术导则</w:t>
      </w:r>
      <w:r>
        <w:rPr>
          <w:snapToGrid w:val="0"/>
          <w:color w:val="auto"/>
          <w:kern w:val="0"/>
          <w:sz w:val="24"/>
        </w:rPr>
        <w:t xml:space="preserve"> </w:t>
      </w:r>
      <w:r>
        <w:rPr>
          <w:rFonts w:hint="eastAsia"/>
          <w:snapToGrid w:val="0"/>
          <w:color w:val="auto"/>
          <w:kern w:val="0"/>
          <w:sz w:val="24"/>
        </w:rPr>
        <w:t>总纲》</w:t>
      </w:r>
      <w:r>
        <w:rPr>
          <w:snapToGrid w:val="0"/>
          <w:color w:val="auto"/>
          <w:kern w:val="0"/>
          <w:sz w:val="24"/>
        </w:rPr>
        <w:t>(HJ2.1-2016)</w:t>
      </w:r>
      <w:r>
        <w:rPr>
          <w:rFonts w:hint="eastAsia"/>
          <w:snapToGrid w:val="0"/>
          <w:color w:val="auto"/>
          <w:kern w:val="0"/>
          <w:sz w:val="24"/>
        </w:rPr>
        <w:t>；</w:t>
      </w:r>
    </w:p>
    <w:p w14:paraId="03A12C74">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2</w:t>
      </w:r>
      <w:r>
        <w:rPr>
          <w:rFonts w:hint="eastAsia"/>
          <w:snapToGrid w:val="0"/>
          <w:color w:val="auto"/>
          <w:kern w:val="0"/>
          <w:sz w:val="24"/>
        </w:rPr>
        <w:t>）《环境影响评价技术导则</w:t>
      </w:r>
      <w:r>
        <w:rPr>
          <w:snapToGrid w:val="0"/>
          <w:color w:val="auto"/>
          <w:kern w:val="0"/>
          <w:sz w:val="24"/>
        </w:rPr>
        <w:t xml:space="preserve"> </w:t>
      </w:r>
      <w:r>
        <w:rPr>
          <w:rFonts w:hint="eastAsia"/>
          <w:snapToGrid w:val="0"/>
          <w:color w:val="auto"/>
          <w:kern w:val="0"/>
          <w:sz w:val="24"/>
        </w:rPr>
        <w:t>大气环境》</w:t>
      </w:r>
      <w:r>
        <w:rPr>
          <w:snapToGrid w:val="0"/>
          <w:color w:val="auto"/>
          <w:kern w:val="0"/>
          <w:sz w:val="24"/>
        </w:rPr>
        <w:t>(HJ2.2-2018)</w:t>
      </w:r>
      <w:r>
        <w:rPr>
          <w:rFonts w:hint="eastAsia"/>
          <w:snapToGrid w:val="0"/>
          <w:color w:val="auto"/>
          <w:kern w:val="0"/>
          <w:sz w:val="24"/>
        </w:rPr>
        <w:t>；</w:t>
      </w:r>
    </w:p>
    <w:p w14:paraId="5E2107EF">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3</w:t>
      </w:r>
      <w:r>
        <w:rPr>
          <w:rFonts w:hint="eastAsia"/>
          <w:snapToGrid w:val="0"/>
          <w:color w:val="auto"/>
          <w:kern w:val="0"/>
          <w:sz w:val="24"/>
        </w:rPr>
        <w:t>）《环境影响评价技术导则</w:t>
      </w:r>
      <w:r>
        <w:rPr>
          <w:snapToGrid w:val="0"/>
          <w:color w:val="auto"/>
          <w:kern w:val="0"/>
          <w:sz w:val="24"/>
        </w:rPr>
        <w:t xml:space="preserve"> </w:t>
      </w:r>
      <w:r>
        <w:rPr>
          <w:rFonts w:hint="eastAsia"/>
          <w:snapToGrid w:val="0"/>
          <w:color w:val="auto"/>
          <w:kern w:val="0"/>
          <w:sz w:val="24"/>
        </w:rPr>
        <w:t>地表水环境》</w:t>
      </w:r>
      <w:r>
        <w:rPr>
          <w:snapToGrid w:val="0"/>
          <w:color w:val="auto"/>
          <w:kern w:val="0"/>
          <w:sz w:val="24"/>
        </w:rPr>
        <w:t>(HJ2.3-2018)</w:t>
      </w:r>
      <w:r>
        <w:rPr>
          <w:rFonts w:hint="eastAsia"/>
          <w:snapToGrid w:val="0"/>
          <w:color w:val="auto"/>
          <w:kern w:val="0"/>
          <w:sz w:val="24"/>
        </w:rPr>
        <w:t>；</w:t>
      </w:r>
    </w:p>
    <w:p w14:paraId="667F59F3">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4</w:t>
      </w:r>
      <w:r>
        <w:rPr>
          <w:rFonts w:hint="eastAsia"/>
          <w:snapToGrid w:val="0"/>
          <w:color w:val="auto"/>
          <w:kern w:val="0"/>
          <w:sz w:val="24"/>
        </w:rPr>
        <w:t>）《环境影响评价技术导则</w:t>
      </w:r>
      <w:r>
        <w:rPr>
          <w:snapToGrid w:val="0"/>
          <w:color w:val="auto"/>
          <w:kern w:val="0"/>
          <w:sz w:val="24"/>
        </w:rPr>
        <w:t xml:space="preserve"> </w:t>
      </w:r>
      <w:r>
        <w:rPr>
          <w:rFonts w:hint="eastAsia"/>
          <w:snapToGrid w:val="0"/>
          <w:color w:val="auto"/>
          <w:kern w:val="0"/>
          <w:sz w:val="24"/>
        </w:rPr>
        <w:t>声环境》</w:t>
      </w:r>
      <w:r>
        <w:rPr>
          <w:snapToGrid w:val="0"/>
          <w:color w:val="auto"/>
          <w:kern w:val="0"/>
          <w:sz w:val="24"/>
        </w:rPr>
        <w:t>(HJ2.4-2021)</w:t>
      </w:r>
      <w:r>
        <w:rPr>
          <w:rFonts w:hint="eastAsia"/>
          <w:snapToGrid w:val="0"/>
          <w:color w:val="auto"/>
          <w:kern w:val="0"/>
          <w:sz w:val="24"/>
        </w:rPr>
        <w:t>；</w:t>
      </w:r>
    </w:p>
    <w:p w14:paraId="7090DCE0">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5</w:t>
      </w:r>
      <w:r>
        <w:rPr>
          <w:rFonts w:hint="eastAsia"/>
          <w:snapToGrid w:val="0"/>
          <w:color w:val="auto"/>
          <w:kern w:val="0"/>
          <w:sz w:val="24"/>
        </w:rPr>
        <w:t>）《环境影响评价技术导则</w:t>
      </w:r>
      <w:r>
        <w:rPr>
          <w:snapToGrid w:val="0"/>
          <w:color w:val="auto"/>
          <w:kern w:val="0"/>
          <w:sz w:val="24"/>
        </w:rPr>
        <w:t xml:space="preserve"> </w:t>
      </w:r>
      <w:r>
        <w:rPr>
          <w:rFonts w:hint="eastAsia"/>
          <w:snapToGrid w:val="0"/>
          <w:color w:val="auto"/>
          <w:kern w:val="0"/>
          <w:sz w:val="24"/>
        </w:rPr>
        <w:t>地下水环境》</w:t>
      </w:r>
      <w:r>
        <w:rPr>
          <w:snapToGrid w:val="0"/>
          <w:color w:val="auto"/>
          <w:kern w:val="0"/>
          <w:sz w:val="24"/>
        </w:rPr>
        <w:t>(HJ610-2016)</w:t>
      </w:r>
      <w:r>
        <w:rPr>
          <w:rFonts w:hint="eastAsia"/>
          <w:snapToGrid w:val="0"/>
          <w:color w:val="auto"/>
          <w:kern w:val="0"/>
          <w:sz w:val="24"/>
        </w:rPr>
        <w:t>；</w:t>
      </w:r>
    </w:p>
    <w:p w14:paraId="69D6E86C">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6</w:t>
      </w:r>
      <w:r>
        <w:rPr>
          <w:rFonts w:hint="eastAsia"/>
          <w:snapToGrid w:val="0"/>
          <w:color w:val="auto"/>
          <w:kern w:val="0"/>
          <w:sz w:val="24"/>
        </w:rPr>
        <w:t>）《环境影响评价技术导则</w:t>
      </w:r>
      <w:r>
        <w:rPr>
          <w:snapToGrid w:val="0"/>
          <w:color w:val="auto"/>
          <w:kern w:val="0"/>
          <w:sz w:val="24"/>
        </w:rPr>
        <w:t xml:space="preserve"> </w:t>
      </w:r>
      <w:r>
        <w:rPr>
          <w:rFonts w:hint="eastAsia"/>
          <w:snapToGrid w:val="0"/>
          <w:color w:val="auto"/>
          <w:kern w:val="0"/>
          <w:sz w:val="24"/>
        </w:rPr>
        <w:t>生态影响》</w:t>
      </w:r>
      <w:r>
        <w:rPr>
          <w:snapToGrid w:val="0"/>
          <w:color w:val="auto"/>
          <w:kern w:val="0"/>
          <w:sz w:val="24"/>
        </w:rPr>
        <w:t>(HJ19-2022)</w:t>
      </w:r>
      <w:r>
        <w:rPr>
          <w:rFonts w:hint="eastAsia"/>
          <w:snapToGrid w:val="0"/>
          <w:color w:val="auto"/>
          <w:kern w:val="0"/>
          <w:sz w:val="24"/>
        </w:rPr>
        <w:t>；</w:t>
      </w:r>
    </w:p>
    <w:p w14:paraId="2CB5F837">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7</w:t>
      </w:r>
      <w:r>
        <w:rPr>
          <w:rFonts w:hint="eastAsia"/>
          <w:snapToGrid w:val="0"/>
          <w:color w:val="auto"/>
          <w:kern w:val="0"/>
          <w:sz w:val="24"/>
        </w:rPr>
        <w:t>）《建设项目环境风险评价技术导则》</w:t>
      </w:r>
      <w:r>
        <w:rPr>
          <w:snapToGrid w:val="0"/>
          <w:color w:val="auto"/>
          <w:kern w:val="0"/>
          <w:sz w:val="24"/>
        </w:rPr>
        <w:t>(HJ 169-2018)</w:t>
      </w:r>
      <w:r>
        <w:rPr>
          <w:rFonts w:hint="eastAsia"/>
          <w:snapToGrid w:val="0"/>
          <w:color w:val="auto"/>
          <w:kern w:val="0"/>
          <w:sz w:val="24"/>
        </w:rPr>
        <w:t>；</w:t>
      </w:r>
    </w:p>
    <w:p w14:paraId="5520F4E2">
      <w:pPr>
        <w:spacing w:line="500" w:lineRule="exact"/>
        <w:ind w:firstLine="480" w:firstLineChars="200"/>
        <w:rPr>
          <w:snapToGrid w:val="0"/>
          <w:color w:val="auto"/>
          <w:kern w:val="0"/>
          <w:sz w:val="24"/>
        </w:rPr>
      </w:pPr>
      <w:r>
        <w:rPr>
          <w:rFonts w:hint="eastAsia"/>
          <w:snapToGrid w:val="0"/>
          <w:color w:val="auto"/>
          <w:kern w:val="0"/>
          <w:sz w:val="24"/>
        </w:rPr>
        <w:t>（</w:t>
      </w:r>
      <w:r>
        <w:rPr>
          <w:snapToGrid w:val="0"/>
          <w:color w:val="auto"/>
          <w:kern w:val="0"/>
          <w:sz w:val="24"/>
        </w:rPr>
        <w:t>8</w:t>
      </w:r>
      <w:r>
        <w:rPr>
          <w:rFonts w:hint="eastAsia"/>
          <w:snapToGrid w:val="0"/>
          <w:color w:val="auto"/>
          <w:kern w:val="0"/>
          <w:sz w:val="24"/>
        </w:rPr>
        <w:t>）《环境影响评价技术导则</w:t>
      </w:r>
      <w:r>
        <w:rPr>
          <w:snapToGrid w:val="0"/>
          <w:color w:val="auto"/>
          <w:kern w:val="0"/>
          <w:sz w:val="24"/>
        </w:rPr>
        <w:t xml:space="preserve"> </w:t>
      </w:r>
      <w:r>
        <w:rPr>
          <w:rFonts w:hint="eastAsia"/>
          <w:snapToGrid w:val="0"/>
          <w:color w:val="auto"/>
          <w:kern w:val="0"/>
          <w:sz w:val="24"/>
        </w:rPr>
        <w:t>土壤环境</w:t>
      </w:r>
      <w:r>
        <w:rPr>
          <w:snapToGrid w:val="0"/>
          <w:color w:val="auto"/>
          <w:kern w:val="0"/>
          <w:sz w:val="24"/>
        </w:rPr>
        <w:t>(</w:t>
      </w:r>
      <w:r>
        <w:rPr>
          <w:rFonts w:hint="eastAsia"/>
          <w:snapToGrid w:val="0"/>
          <w:color w:val="auto"/>
          <w:kern w:val="0"/>
          <w:sz w:val="24"/>
        </w:rPr>
        <w:t>试行</w:t>
      </w:r>
      <w:r>
        <w:rPr>
          <w:snapToGrid w:val="0"/>
          <w:color w:val="auto"/>
          <w:kern w:val="0"/>
          <w:sz w:val="24"/>
        </w:rPr>
        <w:t>)</w:t>
      </w:r>
      <w:r>
        <w:rPr>
          <w:rFonts w:hint="eastAsia"/>
          <w:snapToGrid w:val="0"/>
          <w:color w:val="auto"/>
          <w:kern w:val="0"/>
          <w:sz w:val="24"/>
        </w:rPr>
        <w:t>》</w:t>
      </w:r>
      <w:r>
        <w:rPr>
          <w:snapToGrid w:val="0"/>
          <w:color w:val="auto"/>
          <w:kern w:val="0"/>
          <w:sz w:val="24"/>
        </w:rPr>
        <w:t>(HJ 964-2018)</w:t>
      </w:r>
      <w:r>
        <w:rPr>
          <w:rFonts w:hint="eastAsia"/>
          <w:snapToGrid w:val="0"/>
          <w:color w:val="auto"/>
          <w:kern w:val="0"/>
          <w:sz w:val="24"/>
        </w:rPr>
        <w:t>。</w:t>
      </w:r>
    </w:p>
    <w:p w14:paraId="22E4708D">
      <w:pPr>
        <w:spacing w:line="500" w:lineRule="exact"/>
        <w:ind w:firstLine="480" w:firstLineChars="200"/>
        <w:rPr>
          <w:color w:val="auto"/>
          <w:sz w:val="24"/>
          <w:szCs w:val="22"/>
        </w:rPr>
      </w:pPr>
      <w:r>
        <w:rPr>
          <w:rFonts w:hint="eastAsia"/>
          <w:color w:val="auto"/>
          <w:sz w:val="24"/>
          <w:szCs w:val="22"/>
        </w:rPr>
        <w:t>（</w:t>
      </w:r>
      <w:r>
        <w:rPr>
          <w:color w:val="auto"/>
          <w:sz w:val="24"/>
          <w:szCs w:val="22"/>
        </w:rPr>
        <w:t>9</w:t>
      </w:r>
      <w:r>
        <w:rPr>
          <w:rFonts w:hint="eastAsia"/>
          <w:color w:val="auto"/>
          <w:sz w:val="24"/>
          <w:szCs w:val="22"/>
        </w:rPr>
        <w:t>）《大气污染治理工程技术导则》（</w:t>
      </w:r>
      <w:r>
        <w:rPr>
          <w:color w:val="auto"/>
          <w:sz w:val="24"/>
          <w:szCs w:val="22"/>
        </w:rPr>
        <w:t>HJ2000-2010</w:t>
      </w:r>
      <w:r>
        <w:rPr>
          <w:rFonts w:hint="eastAsia"/>
          <w:color w:val="auto"/>
          <w:sz w:val="24"/>
          <w:szCs w:val="22"/>
        </w:rPr>
        <w:t>）；</w:t>
      </w:r>
    </w:p>
    <w:p w14:paraId="29F4FF5E">
      <w:pPr>
        <w:spacing w:line="500" w:lineRule="exact"/>
        <w:ind w:firstLine="480" w:firstLineChars="200"/>
        <w:rPr>
          <w:color w:val="auto"/>
          <w:sz w:val="24"/>
          <w:szCs w:val="22"/>
        </w:rPr>
      </w:pPr>
      <w:r>
        <w:rPr>
          <w:rFonts w:hint="eastAsia"/>
          <w:color w:val="auto"/>
          <w:sz w:val="24"/>
          <w:szCs w:val="22"/>
        </w:rPr>
        <w:t>（</w:t>
      </w:r>
      <w:r>
        <w:rPr>
          <w:color w:val="auto"/>
          <w:sz w:val="24"/>
          <w:szCs w:val="22"/>
        </w:rPr>
        <w:t>10</w:t>
      </w:r>
      <w:r>
        <w:rPr>
          <w:rFonts w:hint="eastAsia"/>
          <w:color w:val="auto"/>
          <w:sz w:val="24"/>
          <w:szCs w:val="22"/>
        </w:rPr>
        <w:t>）《水污染治理工程技术导则》（</w:t>
      </w:r>
      <w:r>
        <w:rPr>
          <w:color w:val="auto"/>
          <w:sz w:val="24"/>
          <w:szCs w:val="22"/>
        </w:rPr>
        <w:t>HJ2015-2012</w:t>
      </w:r>
      <w:r>
        <w:rPr>
          <w:rFonts w:hint="eastAsia"/>
          <w:color w:val="auto"/>
          <w:sz w:val="24"/>
          <w:szCs w:val="22"/>
        </w:rPr>
        <w:t>）；</w:t>
      </w:r>
    </w:p>
    <w:p w14:paraId="1B60ABB4">
      <w:pPr>
        <w:spacing w:line="500" w:lineRule="exact"/>
        <w:ind w:firstLine="480" w:firstLineChars="200"/>
        <w:rPr>
          <w:color w:val="auto"/>
          <w:sz w:val="24"/>
          <w:szCs w:val="22"/>
        </w:rPr>
      </w:pPr>
      <w:r>
        <w:rPr>
          <w:rFonts w:hint="eastAsia"/>
          <w:color w:val="auto"/>
          <w:sz w:val="24"/>
          <w:szCs w:val="22"/>
        </w:rPr>
        <w:t>（</w:t>
      </w:r>
      <w:r>
        <w:rPr>
          <w:color w:val="auto"/>
          <w:sz w:val="24"/>
          <w:szCs w:val="22"/>
        </w:rPr>
        <w:t>11</w:t>
      </w:r>
      <w:r>
        <w:rPr>
          <w:rFonts w:hint="eastAsia"/>
          <w:color w:val="auto"/>
          <w:sz w:val="24"/>
          <w:szCs w:val="22"/>
        </w:rPr>
        <w:t>）《排污单位自行监测技术指南</w:t>
      </w:r>
      <w:r>
        <w:rPr>
          <w:color w:val="auto"/>
          <w:sz w:val="24"/>
          <w:szCs w:val="22"/>
        </w:rPr>
        <w:t xml:space="preserve"> </w:t>
      </w:r>
      <w:r>
        <w:rPr>
          <w:rFonts w:hint="eastAsia"/>
          <w:color w:val="auto"/>
          <w:sz w:val="24"/>
          <w:szCs w:val="22"/>
        </w:rPr>
        <w:t>总则》（</w:t>
      </w:r>
      <w:r>
        <w:rPr>
          <w:color w:val="auto"/>
          <w:sz w:val="24"/>
          <w:szCs w:val="22"/>
        </w:rPr>
        <w:t>HJ819-2017</w:t>
      </w:r>
      <w:r>
        <w:rPr>
          <w:rFonts w:hint="eastAsia"/>
          <w:color w:val="auto"/>
          <w:sz w:val="24"/>
          <w:szCs w:val="22"/>
        </w:rPr>
        <w:t>）；</w:t>
      </w:r>
    </w:p>
    <w:p w14:paraId="1ADC19A5">
      <w:pPr>
        <w:spacing w:line="500" w:lineRule="exact"/>
        <w:ind w:firstLine="480" w:firstLineChars="200"/>
        <w:rPr>
          <w:color w:val="auto"/>
          <w:sz w:val="24"/>
          <w:szCs w:val="22"/>
        </w:rPr>
      </w:pPr>
      <w:r>
        <w:rPr>
          <w:rFonts w:hint="eastAsia"/>
          <w:color w:val="auto"/>
          <w:sz w:val="24"/>
          <w:szCs w:val="22"/>
        </w:rPr>
        <w:t>（</w:t>
      </w:r>
      <w:r>
        <w:rPr>
          <w:color w:val="auto"/>
          <w:sz w:val="24"/>
          <w:szCs w:val="22"/>
        </w:rPr>
        <w:t>12</w:t>
      </w:r>
      <w:r>
        <w:rPr>
          <w:rFonts w:hint="eastAsia"/>
          <w:color w:val="auto"/>
          <w:sz w:val="24"/>
          <w:szCs w:val="22"/>
        </w:rPr>
        <w:t>）《地下水环境监测技术规范》（</w:t>
      </w:r>
      <w:r>
        <w:rPr>
          <w:color w:val="auto"/>
          <w:sz w:val="24"/>
          <w:szCs w:val="22"/>
        </w:rPr>
        <w:t>HJ/T164-2020</w:t>
      </w:r>
      <w:r>
        <w:rPr>
          <w:rFonts w:hint="eastAsia"/>
          <w:color w:val="auto"/>
          <w:sz w:val="24"/>
          <w:szCs w:val="22"/>
        </w:rPr>
        <w:t>）；</w:t>
      </w:r>
    </w:p>
    <w:p w14:paraId="754839FC">
      <w:pPr>
        <w:spacing w:line="500" w:lineRule="exact"/>
        <w:ind w:firstLine="480" w:firstLineChars="200"/>
        <w:rPr>
          <w:color w:val="auto"/>
          <w:sz w:val="24"/>
          <w:szCs w:val="22"/>
        </w:rPr>
      </w:pPr>
      <w:r>
        <w:rPr>
          <w:rFonts w:hint="eastAsia"/>
          <w:color w:val="auto"/>
          <w:sz w:val="24"/>
          <w:szCs w:val="22"/>
        </w:rPr>
        <w:t>（</w:t>
      </w:r>
      <w:r>
        <w:rPr>
          <w:color w:val="auto"/>
          <w:sz w:val="24"/>
          <w:szCs w:val="22"/>
        </w:rPr>
        <w:t>13</w:t>
      </w:r>
      <w:r>
        <w:rPr>
          <w:rFonts w:hint="eastAsia"/>
          <w:color w:val="auto"/>
          <w:sz w:val="24"/>
          <w:szCs w:val="22"/>
        </w:rPr>
        <w:t>）《污染源强核算技术指南</w:t>
      </w:r>
      <w:r>
        <w:rPr>
          <w:color w:val="auto"/>
          <w:sz w:val="24"/>
          <w:szCs w:val="22"/>
        </w:rPr>
        <w:t xml:space="preserve"> </w:t>
      </w:r>
      <w:r>
        <w:rPr>
          <w:rFonts w:hint="eastAsia"/>
          <w:color w:val="auto"/>
          <w:sz w:val="24"/>
          <w:szCs w:val="22"/>
        </w:rPr>
        <w:t>总则》（</w:t>
      </w:r>
      <w:r>
        <w:rPr>
          <w:color w:val="auto"/>
          <w:sz w:val="24"/>
          <w:szCs w:val="22"/>
        </w:rPr>
        <w:t>HJ884-2018</w:t>
      </w:r>
      <w:r>
        <w:rPr>
          <w:rFonts w:hint="eastAsia"/>
          <w:color w:val="auto"/>
          <w:sz w:val="24"/>
          <w:szCs w:val="22"/>
        </w:rPr>
        <w:t>）；</w:t>
      </w:r>
    </w:p>
    <w:p w14:paraId="0C53BBB3">
      <w:pPr>
        <w:spacing w:line="500" w:lineRule="exact"/>
        <w:ind w:firstLine="480" w:firstLineChars="200"/>
        <w:rPr>
          <w:color w:val="auto"/>
          <w:sz w:val="24"/>
          <w:szCs w:val="22"/>
        </w:rPr>
      </w:pPr>
      <w:r>
        <w:rPr>
          <w:rFonts w:hint="eastAsia"/>
          <w:color w:val="auto"/>
          <w:sz w:val="24"/>
          <w:szCs w:val="22"/>
        </w:rPr>
        <w:t>（</w:t>
      </w:r>
      <w:r>
        <w:rPr>
          <w:color w:val="auto"/>
          <w:sz w:val="24"/>
          <w:szCs w:val="22"/>
        </w:rPr>
        <w:t>14</w:t>
      </w:r>
      <w:r>
        <w:rPr>
          <w:rFonts w:hint="eastAsia"/>
          <w:color w:val="auto"/>
          <w:sz w:val="24"/>
          <w:szCs w:val="22"/>
        </w:rPr>
        <w:t>）《生产建设项目水土保持技术标准》</w:t>
      </w:r>
      <w:r>
        <w:rPr>
          <w:color w:val="auto"/>
          <w:sz w:val="24"/>
          <w:szCs w:val="22"/>
        </w:rPr>
        <w:t>(GB50433-2018)</w:t>
      </w:r>
      <w:r>
        <w:rPr>
          <w:rFonts w:hint="eastAsia"/>
          <w:color w:val="auto"/>
          <w:sz w:val="24"/>
          <w:szCs w:val="22"/>
        </w:rPr>
        <w:t>；</w:t>
      </w:r>
    </w:p>
    <w:p w14:paraId="6CB6B7A8">
      <w:pPr>
        <w:spacing w:line="500" w:lineRule="exact"/>
        <w:ind w:firstLine="480" w:firstLineChars="200"/>
        <w:rPr>
          <w:color w:val="auto"/>
          <w:sz w:val="24"/>
          <w:szCs w:val="22"/>
        </w:rPr>
      </w:pPr>
      <w:r>
        <w:rPr>
          <w:rFonts w:hint="eastAsia"/>
          <w:color w:val="auto"/>
          <w:sz w:val="24"/>
          <w:szCs w:val="22"/>
        </w:rPr>
        <w:t>（</w:t>
      </w:r>
      <w:r>
        <w:rPr>
          <w:color w:val="auto"/>
          <w:sz w:val="24"/>
          <w:szCs w:val="22"/>
        </w:rPr>
        <w:t>15</w:t>
      </w:r>
      <w:r>
        <w:rPr>
          <w:rFonts w:hint="eastAsia"/>
          <w:color w:val="auto"/>
          <w:sz w:val="24"/>
          <w:szCs w:val="22"/>
        </w:rPr>
        <w:t>）《固体废物处理处置工程技术导则》（</w:t>
      </w:r>
      <w:r>
        <w:rPr>
          <w:color w:val="auto"/>
          <w:sz w:val="24"/>
          <w:szCs w:val="22"/>
        </w:rPr>
        <w:t>HJ2035-2013</w:t>
      </w:r>
      <w:r>
        <w:rPr>
          <w:rFonts w:hint="eastAsia"/>
          <w:color w:val="auto"/>
          <w:sz w:val="24"/>
          <w:szCs w:val="22"/>
        </w:rPr>
        <w:t>）；</w:t>
      </w:r>
    </w:p>
    <w:p w14:paraId="05D6F489">
      <w:pPr>
        <w:spacing w:line="500" w:lineRule="exact"/>
        <w:ind w:firstLine="480" w:firstLineChars="200"/>
        <w:rPr>
          <w:color w:val="auto"/>
          <w:sz w:val="24"/>
          <w:szCs w:val="22"/>
        </w:rPr>
      </w:pPr>
      <w:r>
        <w:rPr>
          <w:rFonts w:hint="eastAsia"/>
          <w:color w:val="auto"/>
          <w:sz w:val="24"/>
          <w:szCs w:val="22"/>
        </w:rPr>
        <w:t>（</w:t>
      </w:r>
      <w:r>
        <w:rPr>
          <w:color w:val="auto"/>
          <w:sz w:val="24"/>
          <w:szCs w:val="22"/>
        </w:rPr>
        <w:t>16</w:t>
      </w:r>
      <w:r>
        <w:rPr>
          <w:rFonts w:hint="eastAsia"/>
          <w:color w:val="auto"/>
          <w:sz w:val="24"/>
          <w:szCs w:val="22"/>
        </w:rPr>
        <w:t>）《环境噪声与</w:t>
      </w:r>
      <w:r>
        <w:rPr>
          <w:rFonts w:hint="eastAsia"/>
          <w:color w:val="auto"/>
          <w:sz w:val="24"/>
          <w:szCs w:val="22"/>
          <w:lang w:eastAsia="zh-CN"/>
        </w:rPr>
        <w:t>振动</w:t>
      </w:r>
      <w:r>
        <w:rPr>
          <w:rFonts w:hint="eastAsia"/>
          <w:color w:val="auto"/>
          <w:sz w:val="24"/>
          <w:szCs w:val="22"/>
        </w:rPr>
        <w:t>控制工程技术导则》（</w:t>
      </w:r>
      <w:r>
        <w:rPr>
          <w:color w:val="auto"/>
          <w:sz w:val="24"/>
          <w:szCs w:val="22"/>
        </w:rPr>
        <w:t>HJ2034-2013</w:t>
      </w:r>
      <w:r>
        <w:rPr>
          <w:rFonts w:hint="eastAsia"/>
          <w:color w:val="auto"/>
          <w:sz w:val="24"/>
          <w:szCs w:val="22"/>
        </w:rPr>
        <w:t>）；</w:t>
      </w:r>
    </w:p>
    <w:p w14:paraId="464774D7">
      <w:pPr>
        <w:spacing w:line="500" w:lineRule="exact"/>
        <w:ind w:firstLine="480" w:firstLineChars="200"/>
        <w:rPr>
          <w:color w:val="auto"/>
          <w:sz w:val="24"/>
          <w:szCs w:val="22"/>
        </w:rPr>
      </w:pPr>
      <w:r>
        <w:rPr>
          <w:rFonts w:hint="eastAsia"/>
          <w:color w:val="auto"/>
          <w:sz w:val="24"/>
          <w:szCs w:val="22"/>
        </w:rPr>
        <w:t>（</w:t>
      </w:r>
      <w:r>
        <w:rPr>
          <w:color w:val="auto"/>
          <w:sz w:val="24"/>
          <w:szCs w:val="22"/>
        </w:rPr>
        <w:t>17</w:t>
      </w:r>
      <w:r>
        <w:rPr>
          <w:rFonts w:hint="eastAsia"/>
          <w:color w:val="auto"/>
          <w:sz w:val="24"/>
          <w:szCs w:val="22"/>
        </w:rPr>
        <w:t>）《排污许可证申请与核发技术规范</w:t>
      </w:r>
      <w:r>
        <w:rPr>
          <w:color w:val="auto"/>
          <w:sz w:val="24"/>
          <w:szCs w:val="22"/>
        </w:rPr>
        <w:t xml:space="preserve"> </w:t>
      </w:r>
      <w:r>
        <w:rPr>
          <w:rFonts w:hint="eastAsia"/>
          <w:color w:val="auto"/>
          <w:sz w:val="24"/>
          <w:szCs w:val="22"/>
        </w:rPr>
        <w:t>工业固体废物和危险废物治理》（</w:t>
      </w:r>
      <w:r>
        <w:rPr>
          <w:color w:val="auto"/>
          <w:sz w:val="24"/>
          <w:szCs w:val="22"/>
        </w:rPr>
        <w:t>HJ1033-2019</w:t>
      </w:r>
      <w:r>
        <w:rPr>
          <w:rFonts w:hint="eastAsia"/>
          <w:color w:val="auto"/>
          <w:sz w:val="24"/>
          <w:szCs w:val="22"/>
        </w:rPr>
        <w:t>）；</w:t>
      </w:r>
    </w:p>
    <w:p w14:paraId="4C5740D0">
      <w:pPr>
        <w:spacing w:line="500" w:lineRule="exact"/>
        <w:ind w:firstLine="480" w:firstLineChars="200"/>
        <w:rPr>
          <w:color w:val="auto"/>
          <w:sz w:val="24"/>
          <w:szCs w:val="22"/>
        </w:rPr>
      </w:pPr>
      <w:r>
        <w:rPr>
          <w:rFonts w:hint="eastAsia"/>
          <w:color w:val="auto"/>
          <w:sz w:val="24"/>
          <w:szCs w:val="22"/>
        </w:rPr>
        <w:t>（</w:t>
      </w:r>
      <w:r>
        <w:rPr>
          <w:color w:val="auto"/>
          <w:sz w:val="24"/>
          <w:szCs w:val="22"/>
        </w:rPr>
        <w:t>18</w:t>
      </w:r>
      <w:r>
        <w:rPr>
          <w:rFonts w:hint="eastAsia"/>
          <w:color w:val="auto"/>
          <w:sz w:val="24"/>
          <w:szCs w:val="22"/>
        </w:rPr>
        <w:t>）《排污许可证申请与核发技术规范</w:t>
      </w:r>
      <w:r>
        <w:rPr>
          <w:color w:val="auto"/>
          <w:sz w:val="24"/>
          <w:szCs w:val="22"/>
        </w:rPr>
        <w:t xml:space="preserve"> </w:t>
      </w:r>
      <w:r>
        <w:rPr>
          <w:rFonts w:hint="eastAsia"/>
          <w:color w:val="auto"/>
          <w:sz w:val="24"/>
          <w:szCs w:val="22"/>
        </w:rPr>
        <w:t>工业固体废物（试行）》（</w:t>
      </w:r>
      <w:r>
        <w:rPr>
          <w:color w:val="auto"/>
          <w:sz w:val="24"/>
          <w:szCs w:val="22"/>
        </w:rPr>
        <w:t>HJ1200-2021</w:t>
      </w:r>
      <w:r>
        <w:rPr>
          <w:rFonts w:hint="eastAsia"/>
          <w:color w:val="auto"/>
          <w:sz w:val="24"/>
          <w:szCs w:val="22"/>
        </w:rPr>
        <w:t>）；</w:t>
      </w:r>
    </w:p>
    <w:bookmarkEnd w:id="33"/>
    <w:bookmarkEnd w:id="34"/>
    <w:p w14:paraId="7761CD9B">
      <w:pPr>
        <w:spacing w:line="500" w:lineRule="exact"/>
        <w:ind w:firstLine="480" w:firstLineChars="200"/>
        <w:rPr>
          <w:rFonts w:hint="eastAsia"/>
          <w:color w:val="auto"/>
          <w:sz w:val="24"/>
          <w:szCs w:val="22"/>
        </w:rPr>
      </w:pPr>
      <w:r>
        <w:rPr>
          <w:rFonts w:hint="eastAsia"/>
          <w:color w:val="auto"/>
          <w:sz w:val="24"/>
          <w:szCs w:val="22"/>
          <w:lang w:val="en-US" w:eastAsia="zh-CN"/>
        </w:rPr>
        <w:t>（</w:t>
      </w:r>
      <w:r>
        <w:rPr>
          <w:rFonts w:hint="default"/>
          <w:color w:val="auto"/>
          <w:sz w:val="24"/>
          <w:szCs w:val="22"/>
          <w:lang w:val="en-US" w:eastAsia="zh-CN"/>
        </w:rPr>
        <w:t>1</w:t>
      </w:r>
      <w:r>
        <w:rPr>
          <w:rFonts w:hint="eastAsia"/>
          <w:color w:val="auto"/>
          <w:sz w:val="24"/>
          <w:szCs w:val="22"/>
          <w:lang w:val="en-US" w:eastAsia="zh-CN"/>
        </w:rPr>
        <w:t>9）《一般工业固体废物贮存和填埋污染控制标准》（</w:t>
      </w:r>
      <w:r>
        <w:rPr>
          <w:rFonts w:hint="default"/>
          <w:color w:val="auto"/>
          <w:sz w:val="24"/>
          <w:szCs w:val="22"/>
          <w:lang w:val="en-US" w:eastAsia="zh-CN"/>
        </w:rPr>
        <w:t>GB 18599-2020</w:t>
      </w:r>
      <w:r>
        <w:rPr>
          <w:rFonts w:hint="eastAsia"/>
          <w:color w:val="auto"/>
          <w:sz w:val="24"/>
          <w:szCs w:val="22"/>
          <w:lang w:val="en-US" w:eastAsia="zh-CN"/>
        </w:rPr>
        <w:t>）。</w:t>
      </w:r>
    </w:p>
    <w:p w14:paraId="546EC0AF">
      <w:pPr>
        <w:pStyle w:val="137"/>
        <w:rPr>
          <w:color w:val="auto"/>
        </w:rPr>
      </w:pPr>
      <w:r>
        <w:rPr>
          <w:color w:val="auto"/>
        </w:rPr>
        <w:t>2.3.3其他技术文件</w:t>
      </w:r>
    </w:p>
    <w:p w14:paraId="0C3F0FC9">
      <w:pPr>
        <w:pStyle w:val="59"/>
        <w:ind w:firstLine="480"/>
        <w:rPr>
          <w:snapToGrid w:val="0"/>
          <w:color w:val="auto"/>
          <w:highlight w:val="none"/>
        </w:rPr>
      </w:pPr>
      <w:r>
        <w:rPr>
          <w:color w:val="auto"/>
          <w:highlight w:val="none"/>
        </w:rPr>
        <w:t>（1）</w:t>
      </w:r>
      <w:r>
        <w:rPr>
          <w:snapToGrid w:val="0"/>
          <w:color w:val="auto"/>
          <w:highlight w:val="none"/>
        </w:rPr>
        <w:t>《关于委托编制</w:t>
      </w:r>
      <w:r>
        <w:rPr>
          <w:rFonts w:hint="eastAsia"/>
          <w:snapToGrid w:val="0"/>
          <w:color w:val="auto"/>
          <w:highlight w:val="none"/>
          <w:lang w:eastAsia="zh-CN"/>
        </w:rPr>
        <w:t>鸡东县新泉采石场土地复垦项目</w:t>
      </w:r>
      <w:r>
        <w:rPr>
          <w:snapToGrid w:val="0"/>
          <w:color w:val="auto"/>
          <w:highlight w:val="none"/>
        </w:rPr>
        <w:t>的环境影响报告书的工作合同书》；</w:t>
      </w:r>
    </w:p>
    <w:p w14:paraId="6E7483BA">
      <w:pPr>
        <w:pStyle w:val="59"/>
        <w:ind w:firstLine="480"/>
        <w:rPr>
          <w:snapToGrid w:val="0"/>
          <w:color w:val="auto"/>
          <w:highlight w:val="none"/>
        </w:rPr>
      </w:pPr>
      <w:r>
        <w:rPr>
          <w:rFonts w:hint="eastAsia"/>
          <w:snapToGrid w:val="0"/>
          <w:color w:val="auto"/>
          <w:highlight w:val="none"/>
        </w:rPr>
        <w:t>（2）《</w:t>
      </w:r>
      <w:r>
        <w:rPr>
          <w:rFonts w:hint="eastAsia"/>
          <w:snapToGrid w:val="0"/>
          <w:color w:val="auto"/>
          <w:highlight w:val="none"/>
          <w:lang w:eastAsia="zh-CN"/>
        </w:rPr>
        <w:t>鸡东县新泉采石场土地复垦项目</w:t>
      </w:r>
      <w:r>
        <w:rPr>
          <w:rFonts w:hint="eastAsia"/>
          <w:snapToGrid w:val="0"/>
          <w:color w:val="auto"/>
          <w:highlight w:val="none"/>
        </w:rPr>
        <w:t>环境风险评估报告》；</w:t>
      </w:r>
    </w:p>
    <w:p w14:paraId="5A5B5EB7">
      <w:pPr>
        <w:pStyle w:val="59"/>
        <w:ind w:firstLine="480"/>
        <w:rPr>
          <w:rFonts w:hint="eastAsia"/>
          <w:snapToGrid w:val="0"/>
          <w:color w:val="auto"/>
          <w:highlight w:val="none"/>
        </w:rPr>
      </w:pPr>
      <w:r>
        <w:rPr>
          <w:rFonts w:hint="eastAsia"/>
          <w:snapToGrid w:val="0"/>
          <w:color w:val="auto"/>
          <w:highlight w:val="none"/>
        </w:rPr>
        <w:t>（3）</w:t>
      </w:r>
      <w:r>
        <w:rPr>
          <w:rFonts w:hint="eastAsia"/>
          <w:snapToGrid w:val="0"/>
          <w:color w:val="auto"/>
          <w:highlight w:val="none"/>
          <w:lang w:eastAsia="zh-CN"/>
        </w:rPr>
        <w:t>《鸡东县新泉采石场矿山生态修复设计方案专家评审意见》</w:t>
      </w:r>
    </w:p>
    <w:p w14:paraId="36920DD9">
      <w:pPr>
        <w:pStyle w:val="137"/>
        <w:rPr>
          <w:rFonts w:hint="default" w:ascii="宋体" w:hAnsi="宋体" w:eastAsia="黑体" w:cs="宋体"/>
          <w:color w:val="auto"/>
          <w:kern w:val="0"/>
          <w:sz w:val="24"/>
          <w:szCs w:val="24"/>
          <w:lang w:val="en-US" w:eastAsia="zh-CN" w:bidi="ar"/>
        </w:rPr>
      </w:pPr>
      <w:r>
        <w:rPr>
          <w:color w:val="auto"/>
        </w:rPr>
        <w:t>2.3.</w:t>
      </w:r>
      <w:r>
        <w:rPr>
          <w:rFonts w:hint="eastAsia"/>
          <w:color w:val="auto"/>
          <w:lang w:val="en-US" w:eastAsia="zh-CN"/>
        </w:rPr>
        <w:t>4地方性法规及相关文件</w:t>
      </w:r>
    </w:p>
    <w:p w14:paraId="67FC12CB">
      <w:pPr>
        <w:pStyle w:val="59"/>
        <w:ind w:firstLine="480"/>
        <w:rPr>
          <w:color w:val="auto"/>
        </w:rPr>
      </w:pPr>
      <w:r>
        <w:rPr>
          <w:rFonts w:hint="eastAsia"/>
          <w:color w:val="auto"/>
          <w:lang w:val="en-US" w:eastAsia="zh-CN"/>
        </w:rPr>
        <w:t>（</w:t>
      </w:r>
      <w:r>
        <w:rPr>
          <w:rFonts w:hint="default"/>
          <w:color w:val="auto"/>
          <w:lang w:val="en-US" w:eastAsia="zh-CN"/>
        </w:rPr>
        <w:t>1</w:t>
      </w:r>
      <w:r>
        <w:rPr>
          <w:rFonts w:hint="eastAsia"/>
          <w:color w:val="auto"/>
          <w:lang w:val="en-US" w:eastAsia="zh-CN"/>
        </w:rPr>
        <w:t>）《黑龙江省环境保护条例》（</w:t>
      </w:r>
      <w:r>
        <w:rPr>
          <w:rFonts w:hint="default"/>
          <w:color w:val="auto"/>
          <w:lang w:val="en-US" w:eastAsia="zh-CN"/>
        </w:rPr>
        <w:t>2018</w:t>
      </w:r>
      <w:r>
        <w:rPr>
          <w:rFonts w:hint="eastAsia"/>
          <w:color w:val="auto"/>
          <w:lang w:val="en-US" w:eastAsia="zh-CN"/>
        </w:rPr>
        <w:t>年</w:t>
      </w:r>
      <w:r>
        <w:rPr>
          <w:rFonts w:hint="default"/>
          <w:color w:val="auto"/>
          <w:lang w:val="en-US" w:eastAsia="zh-CN"/>
        </w:rPr>
        <w:t>4</w:t>
      </w:r>
      <w:r>
        <w:rPr>
          <w:rFonts w:hint="eastAsia"/>
          <w:color w:val="auto"/>
          <w:lang w:val="en-US" w:eastAsia="zh-CN"/>
        </w:rPr>
        <w:t>月</w:t>
      </w:r>
      <w:r>
        <w:rPr>
          <w:rFonts w:hint="default"/>
          <w:color w:val="auto"/>
          <w:lang w:val="en-US" w:eastAsia="zh-CN"/>
        </w:rPr>
        <w:t>26</w:t>
      </w:r>
      <w:r>
        <w:rPr>
          <w:rFonts w:hint="eastAsia"/>
          <w:color w:val="auto"/>
          <w:lang w:val="en-US" w:eastAsia="zh-CN"/>
        </w:rPr>
        <w:t>日）；</w:t>
      </w:r>
    </w:p>
    <w:p w14:paraId="2F3C894C">
      <w:pPr>
        <w:pStyle w:val="59"/>
        <w:ind w:firstLine="480"/>
        <w:rPr>
          <w:color w:val="auto"/>
        </w:rPr>
      </w:pPr>
      <w:r>
        <w:rPr>
          <w:rFonts w:hint="eastAsia"/>
          <w:color w:val="auto"/>
          <w:lang w:val="en-US" w:eastAsia="zh-CN"/>
        </w:rPr>
        <w:t>（</w:t>
      </w:r>
      <w:r>
        <w:rPr>
          <w:rFonts w:hint="default"/>
          <w:color w:val="auto"/>
          <w:lang w:val="en-US" w:eastAsia="zh-CN"/>
        </w:rPr>
        <w:t>2</w:t>
      </w:r>
      <w:r>
        <w:rPr>
          <w:rFonts w:hint="eastAsia"/>
          <w:color w:val="auto"/>
          <w:lang w:val="en-US" w:eastAsia="zh-CN"/>
        </w:rPr>
        <w:t>）《黑龙江省人民政府关于印发黑龙江省主体功能区规划的通知》（黑</w:t>
      </w:r>
    </w:p>
    <w:p w14:paraId="63CDF1B6">
      <w:pPr>
        <w:pStyle w:val="59"/>
        <w:ind w:left="0" w:leftChars="0" w:firstLine="0" w:firstLineChars="0"/>
        <w:rPr>
          <w:color w:val="auto"/>
        </w:rPr>
      </w:pPr>
      <w:r>
        <w:rPr>
          <w:rFonts w:hint="eastAsia"/>
          <w:color w:val="auto"/>
          <w:lang w:val="en-US" w:eastAsia="zh-CN"/>
        </w:rPr>
        <w:t>政发</w:t>
      </w:r>
      <w:r>
        <w:rPr>
          <w:rFonts w:hint="default"/>
          <w:color w:val="auto"/>
          <w:lang w:val="en-US" w:eastAsia="zh-CN"/>
        </w:rPr>
        <w:t>[2012]29</w:t>
      </w:r>
      <w:r>
        <w:rPr>
          <w:rFonts w:hint="eastAsia"/>
          <w:color w:val="auto"/>
          <w:lang w:val="en-US" w:eastAsia="zh-CN"/>
        </w:rPr>
        <w:t>号）；</w:t>
      </w:r>
    </w:p>
    <w:p w14:paraId="0FC94BE0">
      <w:pPr>
        <w:pStyle w:val="59"/>
        <w:ind w:firstLine="480"/>
        <w:rPr>
          <w:color w:val="auto"/>
        </w:rPr>
      </w:pPr>
      <w:r>
        <w:rPr>
          <w:rFonts w:hint="eastAsia"/>
          <w:color w:val="auto"/>
          <w:lang w:val="en-US" w:eastAsia="zh-CN"/>
        </w:rPr>
        <w:t>（</w:t>
      </w:r>
      <w:r>
        <w:rPr>
          <w:rFonts w:hint="default"/>
          <w:color w:val="auto"/>
          <w:lang w:val="en-US" w:eastAsia="zh-CN"/>
        </w:rPr>
        <w:t>3</w:t>
      </w:r>
      <w:r>
        <w:rPr>
          <w:rFonts w:hint="eastAsia"/>
          <w:color w:val="auto"/>
          <w:lang w:val="en-US" w:eastAsia="zh-CN"/>
        </w:rPr>
        <w:t>）《黑龙江省生态功能区划》；</w:t>
      </w:r>
    </w:p>
    <w:p w14:paraId="1595BFEE">
      <w:pPr>
        <w:pStyle w:val="59"/>
        <w:ind w:firstLine="480"/>
        <w:rPr>
          <w:color w:val="auto"/>
        </w:rPr>
      </w:pPr>
      <w:r>
        <w:rPr>
          <w:rFonts w:hint="eastAsia"/>
          <w:color w:val="auto"/>
          <w:lang w:val="en-US" w:eastAsia="zh-CN"/>
        </w:rPr>
        <w:t>（</w:t>
      </w:r>
      <w:r>
        <w:rPr>
          <w:rFonts w:hint="default"/>
          <w:color w:val="auto"/>
          <w:lang w:val="en-US" w:eastAsia="zh-CN"/>
        </w:rPr>
        <w:t>4</w:t>
      </w:r>
      <w:r>
        <w:rPr>
          <w:rFonts w:hint="eastAsia"/>
          <w:color w:val="auto"/>
          <w:lang w:val="en-US" w:eastAsia="zh-CN"/>
        </w:rPr>
        <w:t>）《黑龙江省水土保持规划（</w:t>
      </w:r>
      <w:r>
        <w:rPr>
          <w:rFonts w:hint="default"/>
          <w:color w:val="auto"/>
          <w:lang w:val="en-US" w:eastAsia="zh-CN"/>
        </w:rPr>
        <w:t>2015~2030</w:t>
      </w:r>
      <w:r>
        <w:rPr>
          <w:rFonts w:hint="eastAsia"/>
          <w:color w:val="auto"/>
          <w:lang w:val="en-US" w:eastAsia="zh-CN"/>
        </w:rPr>
        <w:t>年）》；</w:t>
      </w:r>
    </w:p>
    <w:p w14:paraId="705F3053">
      <w:pPr>
        <w:pStyle w:val="59"/>
        <w:ind w:firstLine="480"/>
        <w:rPr>
          <w:color w:val="auto"/>
        </w:rPr>
      </w:pPr>
      <w:r>
        <w:rPr>
          <w:rFonts w:hint="eastAsia"/>
          <w:color w:val="auto"/>
          <w:lang w:val="en-US" w:eastAsia="zh-CN"/>
        </w:rPr>
        <w:t>（</w:t>
      </w:r>
      <w:r>
        <w:rPr>
          <w:rFonts w:hint="default"/>
          <w:color w:val="auto"/>
          <w:lang w:val="en-US" w:eastAsia="zh-CN"/>
        </w:rPr>
        <w:t>5</w:t>
      </w:r>
      <w:r>
        <w:rPr>
          <w:rFonts w:hint="eastAsia"/>
          <w:color w:val="auto"/>
          <w:lang w:val="en-US" w:eastAsia="zh-CN"/>
        </w:rPr>
        <w:t>）《黑龙江省建设项目环境保护管理办法》（黑龙江省人民政府令第</w:t>
      </w:r>
      <w:r>
        <w:rPr>
          <w:rFonts w:hint="default"/>
          <w:color w:val="auto"/>
          <w:lang w:val="en-US" w:eastAsia="zh-CN"/>
        </w:rPr>
        <w:t>23</w:t>
      </w:r>
    </w:p>
    <w:p w14:paraId="0A7E46F3">
      <w:pPr>
        <w:pStyle w:val="59"/>
        <w:ind w:left="0" w:leftChars="0" w:firstLine="0" w:firstLineChars="0"/>
        <w:rPr>
          <w:color w:val="auto"/>
        </w:rPr>
      </w:pPr>
      <w:r>
        <w:rPr>
          <w:rFonts w:hint="eastAsia"/>
          <w:color w:val="auto"/>
          <w:lang w:val="en-US" w:eastAsia="zh-CN"/>
        </w:rPr>
        <w:t>号）；</w:t>
      </w:r>
    </w:p>
    <w:p w14:paraId="71D6A517">
      <w:pPr>
        <w:pStyle w:val="59"/>
        <w:ind w:firstLine="480"/>
        <w:rPr>
          <w:color w:val="auto"/>
        </w:rPr>
      </w:pPr>
      <w:r>
        <w:rPr>
          <w:rFonts w:hint="eastAsia"/>
          <w:color w:val="auto"/>
          <w:lang w:val="en-US" w:eastAsia="zh-CN"/>
        </w:rPr>
        <w:t>（</w:t>
      </w:r>
      <w:r>
        <w:rPr>
          <w:rFonts w:hint="default"/>
          <w:color w:val="auto"/>
          <w:lang w:val="en-US" w:eastAsia="zh-CN"/>
        </w:rPr>
        <w:t>6</w:t>
      </w:r>
      <w:r>
        <w:rPr>
          <w:rFonts w:hint="eastAsia"/>
          <w:color w:val="auto"/>
          <w:lang w:val="en-US" w:eastAsia="zh-CN"/>
        </w:rPr>
        <w:t>）《黑龙江省大气污染防治条例》（黑龙江省第十二届人民代表大会第</w:t>
      </w:r>
    </w:p>
    <w:p w14:paraId="24065F0B">
      <w:pPr>
        <w:pStyle w:val="59"/>
        <w:ind w:left="0" w:leftChars="0" w:firstLine="0" w:firstLineChars="0"/>
        <w:rPr>
          <w:color w:val="auto"/>
        </w:rPr>
      </w:pPr>
      <w:r>
        <w:rPr>
          <w:rFonts w:hint="eastAsia"/>
          <w:color w:val="auto"/>
          <w:lang w:val="en-US" w:eastAsia="zh-CN"/>
        </w:rPr>
        <w:t>六次会议公告第</w:t>
      </w:r>
      <w:r>
        <w:rPr>
          <w:rFonts w:hint="default"/>
          <w:color w:val="auto"/>
          <w:lang w:val="en-US" w:eastAsia="zh-CN"/>
        </w:rPr>
        <w:t>4</w:t>
      </w:r>
      <w:r>
        <w:rPr>
          <w:rFonts w:hint="eastAsia"/>
          <w:color w:val="auto"/>
          <w:lang w:val="en-US" w:eastAsia="zh-CN"/>
        </w:rPr>
        <w:t>号，</w:t>
      </w:r>
      <w:r>
        <w:rPr>
          <w:rFonts w:hint="default"/>
          <w:color w:val="auto"/>
          <w:lang w:val="en-US" w:eastAsia="zh-CN"/>
        </w:rPr>
        <w:t>2017</w:t>
      </w:r>
      <w:r>
        <w:rPr>
          <w:rFonts w:hint="eastAsia"/>
          <w:color w:val="auto"/>
          <w:lang w:val="en-US" w:eastAsia="zh-CN"/>
        </w:rPr>
        <w:t>年</w:t>
      </w:r>
      <w:r>
        <w:rPr>
          <w:rFonts w:hint="default"/>
          <w:color w:val="auto"/>
          <w:lang w:val="en-US" w:eastAsia="zh-CN"/>
        </w:rPr>
        <w:t>5</w:t>
      </w:r>
      <w:r>
        <w:rPr>
          <w:rFonts w:hint="eastAsia"/>
          <w:color w:val="auto"/>
          <w:lang w:val="en-US" w:eastAsia="zh-CN"/>
        </w:rPr>
        <w:t>月</w:t>
      </w:r>
      <w:r>
        <w:rPr>
          <w:rFonts w:hint="default"/>
          <w:color w:val="auto"/>
          <w:lang w:val="en-US" w:eastAsia="zh-CN"/>
        </w:rPr>
        <w:t>1</w:t>
      </w:r>
      <w:r>
        <w:rPr>
          <w:rFonts w:hint="eastAsia"/>
          <w:color w:val="auto"/>
          <w:lang w:val="en-US" w:eastAsia="zh-CN"/>
        </w:rPr>
        <w:t>日）；</w:t>
      </w:r>
    </w:p>
    <w:p w14:paraId="508D570F">
      <w:pPr>
        <w:pStyle w:val="59"/>
        <w:ind w:firstLine="480"/>
        <w:rPr>
          <w:color w:val="auto"/>
        </w:rPr>
      </w:pPr>
      <w:r>
        <w:rPr>
          <w:rFonts w:hint="eastAsia"/>
          <w:color w:val="auto"/>
          <w:lang w:val="en-US" w:eastAsia="zh-CN"/>
        </w:rPr>
        <w:t>（</w:t>
      </w:r>
      <w:r>
        <w:rPr>
          <w:rFonts w:hint="default"/>
          <w:color w:val="auto"/>
          <w:lang w:val="en-US" w:eastAsia="zh-CN"/>
        </w:rPr>
        <w:t>7</w:t>
      </w:r>
      <w:r>
        <w:rPr>
          <w:rFonts w:hint="eastAsia"/>
          <w:color w:val="auto"/>
          <w:lang w:val="en-US" w:eastAsia="zh-CN"/>
        </w:rPr>
        <w:t>）《黑龙江省水污染防治条例》（黑龙江省第十四届人民代表大会常务</w:t>
      </w:r>
    </w:p>
    <w:p w14:paraId="4D20EC15">
      <w:pPr>
        <w:pStyle w:val="59"/>
        <w:ind w:left="0" w:leftChars="0" w:firstLine="0" w:firstLineChars="0"/>
        <w:rPr>
          <w:color w:val="auto"/>
        </w:rPr>
      </w:pPr>
      <w:r>
        <w:rPr>
          <w:rFonts w:hint="eastAsia"/>
          <w:color w:val="auto"/>
          <w:lang w:val="en-US" w:eastAsia="zh-CN"/>
        </w:rPr>
        <w:t>委员会公告第</w:t>
      </w:r>
      <w:r>
        <w:rPr>
          <w:rFonts w:hint="default"/>
          <w:color w:val="auto"/>
          <w:lang w:val="en-US" w:eastAsia="zh-CN"/>
        </w:rPr>
        <w:t>13</w:t>
      </w:r>
      <w:r>
        <w:rPr>
          <w:rFonts w:hint="eastAsia"/>
          <w:color w:val="auto"/>
          <w:lang w:val="en-US" w:eastAsia="zh-CN"/>
        </w:rPr>
        <w:t>号，</w:t>
      </w:r>
      <w:r>
        <w:rPr>
          <w:rFonts w:hint="default"/>
          <w:color w:val="auto"/>
          <w:lang w:val="en-US" w:eastAsia="zh-CN"/>
        </w:rPr>
        <w:t>2023</w:t>
      </w:r>
      <w:r>
        <w:rPr>
          <w:rFonts w:hint="eastAsia"/>
          <w:color w:val="auto"/>
          <w:lang w:val="en-US" w:eastAsia="zh-CN"/>
        </w:rPr>
        <w:t>年</w:t>
      </w:r>
      <w:r>
        <w:rPr>
          <w:rFonts w:hint="default"/>
          <w:color w:val="auto"/>
          <w:lang w:val="en-US" w:eastAsia="zh-CN"/>
        </w:rPr>
        <w:t>12</w:t>
      </w:r>
      <w:r>
        <w:rPr>
          <w:rFonts w:hint="eastAsia"/>
          <w:color w:val="auto"/>
          <w:lang w:val="en-US" w:eastAsia="zh-CN"/>
        </w:rPr>
        <w:t>月</w:t>
      </w:r>
      <w:r>
        <w:rPr>
          <w:rFonts w:hint="default"/>
          <w:color w:val="auto"/>
          <w:lang w:val="en-US" w:eastAsia="zh-CN"/>
        </w:rPr>
        <w:t>1</w:t>
      </w:r>
      <w:r>
        <w:rPr>
          <w:rFonts w:hint="eastAsia"/>
          <w:color w:val="auto"/>
          <w:lang w:val="en-US" w:eastAsia="zh-CN"/>
        </w:rPr>
        <w:t>日）；</w:t>
      </w:r>
    </w:p>
    <w:p w14:paraId="2AF012E5">
      <w:pPr>
        <w:pStyle w:val="59"/>
        <w:ind w:firstLine="480"/>
        <w:rPr>
          <w:color w:val="auto"/>
        </w:rPr>
      </w:pPr>
      <w:r>
        <w:rPr>
          <w:rFonts w:hint="eastAsia"/>
          <w:color w:val="auto"/>
          <w:lang w:val="en-US" w:eastAsia="zh-CN"/>
        </w:rPr>
        <w:t>（</w:t>
      </w:r>
      <w:r>
        <w:rPr>
          <w:rFonts w:hint="default"/>
          <w:color w:val="auto"/>
          <w:lang w:val="en-US" w:eastAsia="zh-CN"/>
        </w:rPr>
        <w:t>8</w:t>
      </w:r>
      <w:r>
        <w:rPr>
          <w:rFonts w:hint="eastAsia"/>
          <w:color w:val="auto"/>
          <w:lang w:val="en-US" w:eastAsia="zh-CN"/>
        </w:rPr>
        <w:t>）《黑龙江省固体废物污染环境防治条例》（黑龙江省第十四届人民代</w:t>
      </w:r>
    </w:p>
    <w:p w14:paraId="59D27FCF">
      <w:pPr>
        <w:pStyle w:val="59"/>
        <w:ind w:left="0" w:leftChars="0" w:firstLine="0" w:firstLineChars="0"/>
        <w:rPr>
          <w:color w:val="auto"/>
        </w:rPr>
      </w:pPr>
      <w:r>
        <w:rPr>
          <w:rFonts w:hint="eastAsia"/>
          <w:color w:val="auto"/>
          <w:lang w:val="en-US" w:eastAsia="zh-CN"/>
        </w:rPr>
        <w:t>表大会常务委员会公告第</w:t>
      </w:r>
      <w:r>
        <w:rPr>
          <w:rFonts w:hint="default"/>
          <w:color w:val="auto"/>
          <w:lang w:val="en-US" w:eastAsia="zh-CN"/>
        </w:rPr>
        <w:t>35</w:t>
      </w:r>
      <w:r>
        <w:rPr>
          <w:rFonts w:hint="eastAsia"/>
          <w:color w:val="auto"/>
          <w:lang w:val="en-US" w:eastAsia="zh-CN"/>
        </w:rPr>
        <w:t>号，</w:t>
      </w:r>
      <w:r>
        <w:rPr>
          <w:rFonts w:hint="default"/>
          <w:color w:val="auto"/>
          <w:lang w:val="en-US" w:eastAsia="zh-CN"/>
        </w:rPr>
        <w:t>2025</w:t>
      </w:r>
      <w:r>
        <w:rPr>
          <w:rFonts w:hint="eastAsia"/>
          <w:color w:val="auto"/>
          <w:lang w:val="en-US" w:eastAsia="zh-CN"/>
        </w:rPr>
        <w:t>年</w:t>
      </w:r>
      <w:r>
        <w:rPr>
          <w:rFonts w:hint="default"/>
          <w:color w:val="auto"/>
          <w:lang w:val="en-US" w:eastAsia="zh-CN"/>
        </w:rPr>
        <w:t>1</w:t>
      </w:r>
      <w:r>
        <w:rPr>
          <w:rFonts w:hint="eastAsia"/>
          <w:color w:val="auto"/>
          <w:lang w:val="en-US" w:eastAsia="zh-CN"/>
        </w:rPr>
        <w:t>月</w:t>
      </w:r>
      <w:r>
        <w:rPr>
          <w:rFonts w:hint="default"/>
          <w:color w:val="auto"/>
          <w:lang w:val="en-US" w:eastAsia="zh-CN"/>
        </w:rPr>
        <w:t>1</w:t>
      </w:r>
      <w:r>
        <w:rPr>
          <w:rFonts w:hint="eastAsia"/>
          <w:color w:val="auto"/>
          <w:lang w:val="en-US" w:eastAsia="zh-CN"/>
        </w:rPr>
        <w:t>日）；</w:t>
      </w:r>
    </w:p>
    <w:p w14:paraId="1D248582">
      <w:pPr>
        <w:pStyle w:val="59"/>
        <w:ind w:firstLine="480"/>
        <w:rPr>
          <w:color w:val="auto"/>
        </w:rPr>
      </w:pPr>
      <w:r>
        <w:rPr>
          <w:rFonts w:hint="eastAsia"/>
          <w:color w:val="auto"/>
          <w:lang w:val="en-US" w:eastAsia="zh-CN"/>
        </w:rPr>
        <w:t>（</w:t>
      </w:r>
      <w:r>
        <w:rPr>
          <w:rFonts w:hint="default"/>
          <w:color w:val="auto"/>
          <w:lang w:val="en-US" w:eastAsia="zh-CN"/>
        </w:rPr>
        <w:t>9</w:t>
      </w:r>
      <w:r>
        <w:rPr>
          <w:rFonts w:hint="eastAsia"/>
          <w:color w:val="auto"/>
          <w:lang w:val="en-US" w:eastAsia="zh-CN"/>
        </w:rPr>
        <w:t>）《黑龙江省人民政府关于印发黑龙江省水污染防治工作方案的通知》</w:t>
      </w:r>
    </w:p>
    <w:p w14:paraId="0BF915CE">
      <w:pPr>
        <w:pStyle w:val="59"/>
        <w:ind w:left="0" w:leftChars="0" w:firstLine="0" w:firstLineChars="0"/>
        <w:rPr>
          <w:color w:val="auto"/>
        </w:rPr>
      </w:pPr>
      <w:r>
        <w:rPr>
          <w:rFonts w:hint="eastAsia"/>
          <w:color w:val="auto"/>
          <w:lang w:val="en-US" w:eastAsia="zh-CN"/>
        </w:rPr>
        <w:t>（黑政发</w:t>
      </w:r>
      <w:r>
        <w:rPr>
          <w:rFonts w:hint="default"/>
          <w:color w:val="auto"/>
          <w:lang w:val="en-US" w:eastAsia="zh-CN"/>
        </w:rPr>
        <w:t>[2016]3</w:t>
      </w:r>
      <w:r>
        <w:rPr>
          <w:rFonts w:hint="eastAsia"/>
          <w:color w:val="auto"/>
          <w:lang w:val="en-US" w:eastAsia="zh-CN"/>
        </w:rPr>
        <w:t>号）；</w:t>
      </w:r>
    </w:p>
    <w:p w14:paraId="052EE393">
      <w:pPr>
        <w:pStyle w:val="59"/>
        <w:ind w:firstLine="480"/>
        <w:rPr>
          <w:color w:val="auto"/>
        </w:rPr>
      </w:pPr>
      <w:r>
        <w:rPr>
          <w:rFonts w:hint="eastAsia"/>
          <w:color w:val="auto"/>
          <w:lang w:val="en-US" w:eastAsia="zh-CN"/>
        </w:rPr>
        <w:t>（</w:t>
      </w:r>
      <w:r>
        <w:rPr>
          <w:rFonts w:hint="default"/>
          <w:color w:val="auto"/>
          <w:lang w:val="en-US" w:eastAsia="zh-CN"/>
        </w:rPr>
        <w:t>10</w:t>
      </w:r>
      <w:r>
        <w:rPr>
          <w:rFonts w:hint="eastAsia"/>
          <w:color w:val="auto"/>
          <w:lang w:val="en-US" w:eastAsia="zh-CN"/>
        </w:rPr>
        <w:t>）《黑龙江省人民政府关于印发黑龙江省土壤污染防治实施方案的通</w:t>
      </w:r>
    </w:p>
    <w:p w14:paraId="5979F4CC">
      <w:pPr>
        <w:pStyle w:val="59"/>
        <w:ind w:left="0" w:leftChars="0" w:firstLine="0" w:firstLineChars="0"/>
        <w:rPr>
          <w:color w:val="auto"/>
        </w:rPr>
      </w:pPr>
      <w:r>
        <w:rPr>
          <w:rFonts w:hint="eastAsia"/>
          <w:color w:val="auto"/>
          <w:lang w:val="en-US" w:eastAsia="zh-CN"/>
        </w:rPr>
        <w:t>知》（黑政发</w:t>
      </w:r>
      <w:r>
        <w:rPr>
          <w:rFonts w:hint="default"/>
          <w:color w:val="auto"/>
          <w:lang w:val="en-US" w:eastAsia="zh-CN"/>
        </w:rPr>
        <w:t>[2016]46</w:t>
      </w:r>
      <w:r>
        <w:rPr>
          <w:rFonts w:hint="eastAsia"/>
          <w:color w:val="auto"/>
          <w:lang w:val="en-US" w:eastAsia="zh-CN"/>
        </w:rPr>
        <w:t>号）；</w:t>
      </w:r>
    </w:p>
    <w:p w14:paraId="4F382057">
      <w:pPr>
        <w:pStyle w:val="59"/>
        <w:ind w:firstLine="480"/>
        <w:rPr>
          <w:color w:val="auto"/>
        </w:rPr>
      </w:pPr>
      <w:r>
        <w:rPr>
          <w:rFonts w:hint="eastAsia"/>
          <w:color w:val="auto"/>
          <w:lang w:val="en-US" w:eastAsia="zh-CN"/>
        </w:rPr>
        <w:t>（</w:t>
      </w:r>
      <w:r>
        <w:rPr>
          <w:rFonts w:hint="default"/>
          <w:color w:val="auto"/>
          <w:lang w:val="en-US" w:eastAsia="zh-CN"/>
        </w:rPr>
        <w:t>11</w:t>
      </w:r>
      <w:r>
        <w:rPr>
          <w:rFonts w:hint="eastAsia"/>
          <w:color w:val="auto"/>
          <w:lang w:val="en-US" w:eastAsia="zh-CN"/>
        </w:rPr>
        <w:t>）关于转发《水利部国家发展和改革委员会环境保护部关于印发全国</w:t>
      </w:r>
    </w:p>
    <w:p w14:paraId="47152602">
      <w:pPr>
        <w:pStyle w:val="59"/>
        <w:ind w:left="0" w:leftChars="0" w:firstLine="0" w:firstLineChars="0"/>
        <w:rPr>
          <w:color w:val="auto"/>
        </w:rPr>
      </w:pPr>
      <w:r>
        <w:rPr>
          <w:rFonts w:hint="eastAsia"/>
          <w:color w:val="auto"/>
          <w:lang w:val="en-US" w:eastAsia="zh-CN"/>
        </w:rPr>
        <w:t>重要江河湖泊水功能区划（</w:t>
      </w:r>
      <w:r>
        <w:rPr>
          <w:rFonts w:hint="default"/>
          <w:color w:val="auto"/>
          <w:lang w:val="en-US" w:eastAsia="zh-CN"/>
        </w:rPr>
        <w:t>2011~2030</w:t>
      </w:r>
      <w:r>
        <w:rPr>
          <w:rFonts w:hint="eastAsia"/>
          <w:color w:val="auto"/>
          <w:lang w:val="en-US" w:eastAsia="zh-CN"/>
        </w:rPr>
        <w:t>年）的通知》的通知，黑水发</w:t>
      </w:r>
      <w:r>
        <w:rPr>
          <w:rFonts w:hint="default"/>
          <w:color w:val="auto"/>
          <w:lang w:val="en-US" w:eastAsia="zh-CN"/>
        </w:rPr>
        <w:t>[2012]359</w:t>
      </w:r>
    </w:p>
    <w:p w14:paraId="6879CB12">
      <w:pPr>
        <w:pStyle w:val="59"/>
        <w:ind w:left="0" w:leftChars="0" w:firstLine="0" w:firstLineChars="0"/>
        <w:rPr>
          <w:color w:val="auto"/>
        </w:rPr>
      </w:pPr>
      <w:r>
        <w:rPr>
          <w:rFonts w:hint="eastAsia"/>
          <w:color w:val="auto"/>
          <w:lang w:val="en-US" w:eastAsia="zh-CN"/>
        </w:rPr>
        <w:t>号；</w:t>
      </w:r>
    </w:p>
    <w:p w14:paraId="5CDD7A96">
      <w:pPr>
        <w:pStyle w:val="59"/>
        <w:ind w:firstLine="480"/>
        <w:rPr>
          <w:color w:val="auto"/>
        </w:rPr>
      </w:pPr>
      <w:r>
        <w:rPr>
          <w:rFonts w:hint="eastAsia"/>
          <w:color w:val="auto"/>
          <w:lang w:val="en-US" w:eastAsia="zh-CN"/>
        </w:rPr>
        <w:t>（</w:t>
      </w:r>
      <w:r>
        <w:rPr>
          <w:rFonts w:hint="default"/>
          <w:color w:val="auto"/>
          <w:lang w:val="en-US" w:eastAsia="zh-CN"/>
        </w:rPr>
        <w:t>12</w:t>
      </w:r>
      <w:r>
        <w:rPr>
          <w:rFonts w:hint="eastAsia"/>
          <w:color w:val="auto"/>
          <w:lang w:val="en-US" w:eastAsia="zh-CN"/>
        </w:rPr>
        <w:t>）《黑龙江省人民政府关于实施“三线一单”生态环境分区管控的意</w:t>
      </w:r>
    </w:p>
    <w:p w14:paraId="11606764">
      <w:pPr>
        <w:pStyle w:val="59"/>
        <w:ind w:left="0" w:leftChars="0" w:firstLine="0" w:firstLineChars="0"/>
        <w:rPr>
          <w:color w:val="auto"/>
        </w:rPr>
      </w:pPr>
      <w:r>
        <w:rPr>
          <w:rFonts w:hint="eastAsia"/>
          <w:color w:val="auto"/>
          <w:lang w:val="en-US" w:eastAsia="zh-CN"/>
        </w:rPr>
        <w:t>见》（黑政发</w:t>
      </w:r>
      <w:r>
        <w:rPr>
          <w:rFonts w:hint="default"/>
          <w:color w:val="auto"/>
          <w:lang w:val="en-US" w:eastAsia="zh-CN"/>
        </w:rPr>
        <w:t>[2020]14</w:t>
      </w:r>
      <w:r>
        <w:rPr>
          <w:rFonts w:hint="eastAsia"/>
          <w:color w:val="auto"/>
          <w:lang w:val="en-US" w:eastAsia="zh-CN"/>
        </w:rPr>
        <w:t>号）；</w:t>
      </w:r>
    </w:p>
    <w:p w14:paraId="7F1E2C9E">
      <w:pPr>
        <w:pStyle w:val="59"/>
        <w:ind w:firstLine="480"/>
        <w:rPr>
          <w:color w:val="auto"/>
        </w:rPr>
      </w:pPr>
      <w:r>
        <w:rPr>
          <w:rFonts w:hint="eastAsia"/>
          <w:color w:val="auto"/>
          <w:lang w:val="en-US" w:eastAsia="zh-CN"/>
        </w:rPr>
        <w:t>（</w:t>
      </w:r>
      <w:r>
        <w:rPr>
          <w:rFonts w:hint="default"/>
          <w:color w:val="auto"/>
          <w:lang w:val="en-US" w:eastAsia="zh-CN"/>
        </w:rPr>
        <w:t>13</w:t>
      </w:r>
      <w:r>
        <w:rPr>
          <w:rFonts w:hint="eastAsia"/>
          <w:color w:val="auto"/>
          <w:lang w:val="en-US" w:eastAsia="zh-CN"/>
        </w:rPr>
        <w:t>）《黑龙江省矿山生态修复治理行动计划（</w:t>
      </w:r>
      <w:r>
        <w:rPr>
          <w:rFonts w:hint="default"/>
          <w:color w:val="auto"/>
          <w:lang w:val="en-US" w:eastAsia="zh-CN"/>
        </w:rPr>
        <w:t>2022-2035</w:t>
      </w:r>
      <w:r>
        <w:rPr>
          <w:rFonts w:hint="eastAsia"/>
          <w:color w:val="auto"/>
          <w:lang w:val="en-US" w:eastAsia="zh-CN"/>
        </w:rPr>
        <w:t>）年》；</w:t>
      </w:r>
    </w:p>
    <w:p w14:paraId="05E0969D">
      <w:pPr>
        <w:pStyle w:val="59"/>
        <w:ind w:firstLine="480"/>
        <w:rPr>
          <w:color w:val="auto"/>
        </w:rPr>
      </w:pPr>
      <w:r>
        <w:rPr>
          <w:rFonts w:hint="eastAsia"/>
          <w:color w:val="auto"/>
          <w:lang w:val="en-US" w:eastAsia="zh-CN"/>
        </w:rPr>
        <w:t>（</w:t>
      </w:r>
      <w:r>
        <w:rPr>
          <w:rFonts w:hint="default"/>
          <w:color w:val="auto"/>
          <w:lang w:val="en-US" w:eastAsia="zh-CN"/>
        </w:rPr>
        <w:t>14</w:t>
      </w:r>
      <w:r>
        <w:rPr>
          <w:rFonts w:hint="eastAsia"/>
          <w:color w:val="auto"/>
          <w:lang w:val="en-US" w:eastAsia="zh-CN"/>
        </w:rPr>
        <w:t>）《黑龙江省地质环境保护条例》（</w:t>
      </w:r>
      <w:r>
        <w:rPr>
          <w:rFonts w:hint="default"/>
          <w:color w:val="auto"/>
          <w:lang w:val="en-US" w:eastAsia="zh-CN"/>
        </w:rPr>
        <w:t>2009</w:t>
      </w:r>
      <w:r>
        <w:rPr>
          <w:rFonts w:hint="eastAsia"/>
          <w:color w:val="auto"/>
          <w:lang w:val="en-US" w:eastAsia="zh-CN"/>
        </w:rPr>
        <w:t>年</w:t>
      </w:r>
      <w:r>
        <w:rPr>
          <w:rFonts w:hint="default"/>
          <w:color w:val="auto"/>
          <w:lang w:val="en-US" w:eastAsia="zh-CN"/>
        </w:rPr>
        <w:t>10</w:t>
      </w:r>
      <w:r>
        <w:rPr>
          <w:rFonts w:hint="eastAsia"/>
          <w:color w:val="auto"/>
          <w:lang w:val="en-US" w:eastAsia="zh-CN"/>
        </w:rPr>
        <w:t>月</w:t>
      </w:r>
      <w:r>
        <w:rPr>
          <w:rFonts w:hint="default"/>
          <w:color w:val="auto"/>
          <w:lang w:val="en-US" w:eastAsia="zh-CN"/>
        </w:rPr>
        <w:t>1</w:t>
      </w:r>
      <w:r>
        <w:rPr>
          <w:rFonts w:hint="eastAsia"/>
          <w:color w:val="auto"/>
          <w:lang w:val="en-US" w:eastAsia="zh-CN"/>
        </w:rPr>
        <w:t>日）；</w:t>
      </w:r>
    </w:p>
    <w:p w14:paraId="1C8E41F2">
      <w:pPr>
        <w:pStyle w:val="59"/>
        <w:ind w:firstLine="480"/>
        <w:rPr>
          <w:color w:val="auto"/>
        </w:rPr>
      </w:pPr>
      <w:r>
        <w:rPr>
          <w:rFonts w:hint="eastAsia"/>
          <w:color w:val="auto"/>
          <w:lang w:val="en-US" w:eastAsia="zh-CN"/>
        </w:rPr>
        <w:t>（</w:t>
      </w:r>
      <w:r>
        <w:rPr>
          <w:rFonts w:hint="default"/>
          <w:color w:val="auto"/>
          <w:lang w:val="en-US" w:eastAsia="zh-CN"/>
        </w:rPr>
        <w:t>15</w:t>
      </w:r>
      <w:r>
        <w:rPr>
          <w:rFonts w:hint="eastAsia"/>
          <w:color w:val="auto"/>
          <w:lang w:val="en-US" w:eastAsia="zh-CN"/>
        </w:rPr>
        <w:t>）《黑龙江省黑土地保护利用条例》（</w:t>
      </w:r>
      <w:r>
        <w:rPr>
          <w:rFonts w:hint="default"/>
          <w:color w:val="auto"/>
          <w:lang w:val="en-US" w:eastAsia="zh-CN"/>
        </w:rPr>
        <w:t>2022</w:t>
      </w:r>
      <w:r>
        <w:rPr>
          <w:rFonts w:hint="eastAsia"/>
          <w:color w:val="auto"/>
          <w:lang w:val="en-US" w:eastAsia="zh-CN"/>
        </w:rPr>
        <w:t>年</w:t>
      </w:r>
      <w:r>
        <w:rPr>
          <w:rFonts w:hint="default"/>
          <w:color w:val="auto"/>
          <w:lang w:val="en-US" w:eastAsia="zh-CN"/>
        </w:rPr>
        <w:t>3</w:t>
      </w:r>
      <w:r>
        <w:rPr>
          <w:rFonts w:hint="eastAsia"/>
          <w:color w:val="auto"/>
          <w:lang w:val="en-US" w:eastAsia="zh-CN"/>
        </w:rPr>
        <w:t>月</w:t>
      </w:r>
      <w:r>
        <w:rPr>
          <w:rFonts w:hint="default"/>
          <w:color w:val="auto"/>
          <w:lang w:val="en-US" w:eastAsia="zh-CN"/>
        </w:rPr>
        <w:t>1</w:t>
      </w:r>
      <w:r>
        <w:rPr>
          <w:rFonts w:hint="eastAsia"/>
          <w:color w:val="auto"/>
          <w:lang w:val="en-US" w:eastAsia="zh-CN"/>
        </w:rPr>
        <w:t>日）；</w:t>
      </w:r>
    </w:p>
    <w:p w14:paraId="5DE95C27">
      <w:pPr>
        <w:pStyle w:val="59"/>
        <w:ind w:firstLine="480"/>
        <w:rPr>
          <w:color w:val="auto"/>
        </w:rPr>
      </w:pPr>
      <w:r>
        <w:rPr>
          <w:rFonts w:hint="eastAsia"/>
          <w:color w:val="auto"/>
          <w:lang w:val="en-US" w:eastAsia="zh-CN"/>
        </w:rPr>
        <w:t>（</w:t>
      </w:r>
      <w:r>
        <w:rPr>
          <w:rFonts w:hint="default"/>
          <w:color w:val="auto"/>
          <w:lang w:val="en-US" w:eastAsia="zh-CN"/>
        </w:rPr>
        <w:t>16</w:t>
      </w:r>
      <w:r>
        <w:rPr>
          <w:rFonts w:hint="eastAsia"/>
          <w:color w:val="auto"/>
          <w:lang w:val="en-US" w:eastAsia="zh-CN"/>
        </w:rPr>
        <w:t>）《黑龙江省鸡西市城乡固体废物分类治理专项规划（</w:t>
      </w:r>
      <w:r>
        <w:rPr>
          <w:rFonts w:hint="default"/>
          <w:color w:val="auto"/>
          <w:lang w:val="en-US" w:eastAsia="zh-CN"/>
        </w:rPr>
        <w:t>2019-2035</w:t>
      </w:r>
      <w:r>
        <w:rPr>
          <w:rFonts w:hint="eastAsia"/>
          <w:color w:val="auto"/>
          <w:lang w:val="en-US" w:eastAsia="zh-CN"/>
        </w:rPr>
        <w:t>年）》；</w:t>
      </w:r>
    </w:p>
    <w:p w14:paraId="4E6B634F">
      <w:pPr>
        <w:pStyle w:val="59"/>
        <w:ind w:firstLine="480"/>
        <w:rPr>
          <w:color w:val="auto"/>
        </w:rPr>
      </w:pPr>
      <w:r>
        <w:rPr>
          <w:rFonts w:hint="eastAsia"/>
          <w:color w:val="auto"/>
          <w:lang w:val="en-US" w:eastAsia="zh-CN"/>
        </w:rPr>
        <w:t>（</w:t>
      </w:r>
      <w:r>
        <w:rPr>
          <w:rFonts w:hint="default"/>
          <w:color w:val="auto"/>
          <w:lang w:val="en-US" w:eastAsia="zh-CN"/>
        </w:rPr>
        <w:t>17</w:t>
      </w:r>
      <w:r>
        <w:rPr>
          <w:rFonts w:hint="eastAsia"/>
          <w:color w:val="auto"/>
          <w:lang w:val="en-US" w:eastAsia="zh-CN"/>
        </w:rPr>
        <w:t>）《鸡西市水土保持规划（</w:t>
      </w:r>
      <w:r>
        <w:rPr>
          <w:rFonts w:hint="default"/>
          <w:color w:val="auto"/>
          <w:lang w:val="en-US" w:eastAsia="zh-CN"/>
        </w:rPr>
        <w:t>2015~2030</w:t>
      </w:r>
      <w:r>
        <w:rPr>
          <w:rFonts w:hint="eastAsia"/>
          <w:color w:val="auto"/>
          <w:lang w:val="en-US" w:eastAsia="zh-CN"/>
        </w:rPr>
        <w:t>年）》；</w:t>
      </w:r>
    </w:p>
    <w:p w14:paraId="6996C50C">
      <w:pPr>
        <w:pStyle w:val="59"/>
        <w:ind w:firstLine="480"/>
        <w:rPr>
          <w:color w:val="auto"/>
        </w:rPr>
      </w:pPr>
      <w:r>
        <w:rPr>
          <w:rFonts w:hint="eastAsia"/>
          <w:color w:val="auto"/>
          <w:lang w:val="en-US" w:eastAsia="zh-CN"/>
        </w:rPr>
        <w:t>（</w:t>
      </w:r>
      <w:r>
        <w:rPr>
          <w:rFonts w:hint="default"/>
          <w:color w:val="auto"/>
          <w:lang w:val="en-US" w:eastAsia="zh-CN"/>
        </w:rPr>
        <w:t>18</w:t>
      </w:r>
      <w:r>
        <w:rPr>
          <w:rFonts w:hint="eastAsia"/>
          <w:color w:val="auto"/>
          <w:lang w:val="en-US" w:eastAsia="zh-CN"/>
        </w:rPr>
        <w:t>）《鸡西市国土空间总体规划》（</w:t>
      </w:r>
      <w:r>
        <w:rPr>
          <w:rFonts w:hint="default"/>
          <w:color w:val="auto"/>
          <w:lang w:val="en-US" w:eastAsia="zh-CN"/>
        </w:rPr>
        <w:t>2021-2035</w:t>
      </w:r>
      <w:r>
        <w:rPr>
          <w:rFonts w:hint="eastAsia"/>
          <w:color w:val="auto"/>
          <w:lang w:val="en-US" w:eastAsia="zh-CN"/>
        </w:rPr>
        <w:t>年）；</w:t>
      </w:r>
    </w:p>
    <w:p w14:paraId="686291F8">
      <w:pPr>
        <w:pStyle w:val="59"/>
        <w:ind w:left="0" w:leftChars="0" w:firstLine="480" w:firstLineChars="200"/>
        <w:rPr>
          <w:color w:val="auto"/>
        </w:rPr>
      </w:pPr>
      <w:r>
        <w:rPr>
          <w:rFonts w:hint="eastAsia"/>
          <w:color w:val="auto"/>
          <w:lang w:val="en-US" w:eastAsia="zh-CN"/>
        </w:rPr>
        <w:t>（</w:t>
      </w:r>
      <w:r>
        <w:rPr>
          <w:rFonts w:hint="default"/>
          <w:color w:val="auto"/>
          <w:lang w:val="en-US" w:eastAsia="zh-CN"/>
        </w:rPr>
        <w:t>19</w:t>
      </w:r>
      <w:r>
        <w:rPr>
          <w:rFonts w:hint="eastAsia"/>
          <w:color w:val="auto"/>
          <w:lang w:val="en-US" w:eastAsia="zh-CN"/>
        </w:rPr>
        <w:t>）《鸡西市人民政府印发鸡西市“十四五”生态环境保护规划的通知》；</w:t>
      </w:r>
    </w:p>
    <w:p w14:paraId="73B225D4">
      <w:pPr>
        <w:pStyle w:val="59"/>
        <w:ind w:firstLine="480"/>
        <w:rPr>
          <w:rFonts w:hint="eastAsia"/>
          <w:color w:val="auto"/>
          <w:lang w:val="en-US" w:eastAsia="zh-CN"/>
        </w:rPr>
      </w:pPr>
      <w:r>
        <w:rPr>
          <w:rFonts w:hint="eastAsia"/>
          <w:color w:val="auto"/>
          <w:lang w:val="en-US" w:eastAsia="zh-CN"/>
        </w:rPr>
        <w:t>（</w:t>
      </w:r>
      <w:r>
        <w:rPr>
          <w:rFonts w:hint="default"/>
          <w:color w:val="auto"/>
          <w:lang w:val="en-US" w:eastAsia="zh-CN"/>
        </w:rPr>
        <w:t>2</w:t>
      </w:r>
      <w:r>
        <w:rPr>
          <w:rFonts w:hint="eastAsia"/>
          <w:color w:val="auto"/>
          <w:lang w:val="en-US" w:eastAsia="zh-CN"/>
        </w:rPr>
        <w:t>0）《鸡西市大宗固体废弃物综合处置利用规划（</w:t>
      </w:r>
      <w:r>
        <w:rPr>
          <w:rFonts w:hint="default"/>
          <w:color w:val="auto"/>
          <w:lang w:val="en-US" w:eastAsia="zh-CN"/>
        </w:rPr>
        <w:t>2023~2035</w:t>
      </w:r>
      <w:r>
        <w:rPr>
          <w:rFonts w:hint="eastAsia"/>
          <w:color w:val="auto"/>
          <w:lang w:val="en-US" w:eastAsia="zh-CN"/>
        </w:rPr>
        <w:t>年）》。</w:t>
      </w:r>
    </w:p>
    <w:p w14:paraId="1DB13446">
      <w:pPr>
        <w:pStyle w:val="548"/>
        <w:rPr>
          <w:color w:val="auto"/>
        </w:rPr>
      </w:pPr>
      <w:bookmarkStart w:id="45" w:name="_Toc119316790"/>
      <w:bookmarkStart w:id="46" w:name="_Toc149054194"/>
      <w:r>
        <w:rPr>
          <w:color w:val="auto"/>
        </w:rPr>
        <w:t>2.4环境影响因素识别与评价因子筛选</w:t>
      </w:r>
      <w:bookmarkEnd w:id="45"/>
      <w:bookmarkEnd w:id="46"/>
    </w:p>
    <w:p w14:paraId="288CA89B">
      <w:pPr>
        <w:pStyle w:val="137"/>
        <w:rPr>
          <w:color w:val="auto"/>
        </w:rPr>
      </w:pPr>
      <w:r>
        <w:rPr>
          <w:color w:val="auto"/>
        </w:rPr>
        <w:t>2.4.1环境影响因素识别</w:t>
      </w:r>
    </w:p>
    <w:p w14:paraId="75D61034">
      <w:pPr>
        <w:pStyle w:val="59"/>
        <w:ind w:firstLine="480"/>
        <w:rPr>
          <w:color w:val="auto"/>
        </w:rPr>
      </w:pPr>
      <w:r>
        <w:rPr>
          <w:rFonts w:hint="eastAsia"/>
          <w:color w:val="auto"/>
        </w:rPr>
        <w:t>根据项目的建设内容及生产工艺流程、污染物排放特征，以及项目区的环境现状，采用矩阵法对本项目施工期、回填复垦期、生态恢复期三个时段存在的主要环境影响因素、影响类型和影响程度进行识别。</w:t>
      </w:r>
    </w:p>
    <w:p w14:paraId="6FC25661">
      <w:pPr>
        <w:pStyle w:val="59"/>
        <w:ind w:firstLine="480"/>
        <w:rPr>
          <w:color w:val="auto"/>
        </w:rPr>
      </w:pPr>
      <w:r>
        <w:rPr>
          <w:rFonts w:hint="eastAsia"/>
          <w:color w:val="auto"/>
        </w:rPr>
        <w:t>根据本项目的排污特点及污染源分析，本项目环境影响因素如下：</w:t>
      </w:r>
    </w:p>
    <w:p w14:paraId="0FC4150A">
      <w:pPr>
        <w:pStyle w:val="59"/>
        <w:ind w:firstLine="480"/>
        <w:rPr>
          <w:color w:val="auto"/>
        </w:rPr>
      </w:pPr>
      <w:r>
        <w:rPr>
          <w:rFonts w:hint="eastAsia"/>
          <w:color w:val="auto"/>
        </w:rPr>
        <w:t>施工期：</w:t>
      </w:r>
    </w:p>
    <w:p w14:paraId="78B2014D">
      <w:pPr>
        <w:pStyle w:val="59"/>
        <w:ind w:firstLine="480"/>
        <w:rPr>
          <w:color w:val="auto"/>
        </w:rPr>
      </w:pPr>
      <w:r>
        <w:rPr>
          <w:rFonts w:hint="eastAsia"/>
          <w:color w:val="auto"/>
        </w:rPr>
        <w:t>（1）建筑施工中会造成扬尘，污染大气环境，污染物为TSP；</w:t>
      </w:r>
    </w:p>
    <w:p w14:paraId="126D630F">
      <w:pPr>
        <w:pStyle w:val="59"/>
        <w:ind w:firstLine="480"/>
        <w:rPr>
          <w:color w:val="auto"/>
        </w:rPr>
      </w:pPr>
      <w:r>
        <w:rPr>
          <w:rFonts w:hint="eastAsia"/>
          <w:color w:val="auto"/>
        </w:rPr>
        <w:t>（2）施工过程中机械设备等噪声，会对周围声环境产生一定影响；</w:t>
      </w:r>
    </w:p>
    <w:p w14:paraId="6FDA2F5F">
      <w:pPr>
        <w:pStyle w:val="59"/>
        <w:ind w:firstLine="480"/>
        <w:rPr>
          <w:color w:val="auto"/>
        </w:rPr>
      </w:pPr>
      <w:r>
        <w:rPr>
          <w:rFonts w:hint="eastAsia"/>
          <w:color w:val="auto"/>
        </w:rPr>
        <w:t>（3）施工期产生的生活污水，主要污染因子为COD、BOD</w:t>
      </w:r>
      <w:r>
        <w:rPr>
          <w:rFonts w:hint="eastAsia"/>
          <w:color w:val="auto"/>
          <w:vertAlign w:val="subscript"/>
        </w:rPr>
        <w:t>5</w:t>
      </w:r>
      <w:r>
        <w:rPr>
          <w:rFonts w:hint="eastAsia"/>
          <w:color w:val="auto"/>
        </w:rPr>
        <w:t>、氨氮、SS，若不进行妥善处理，将对周边地表水环境产生不良影响。</w:t>
      </w:r>
    </w:p>
    <w:p w14:paraId="314ED38E">
      <w:pPr>
        <w:pStyle w:val="59"/>
        <w:ind w:firstLine="480"/>
        <w:rPr>
          <w:color w:val="auto"/>
        </w:rPr>
      </w:pPr>
      <w:r>
        <w:rPr>
          <w:rFonts w:hint="eastAsia"/>
          <w:color w:val="auto"/>
        </w:rPr>
        <w:t>（4）施工人员生活垃圾、建筑垃圾如不妥善处置，将对周围环境造成影响；项目施工过程中将造成一定的水土流失，对生态环境也会产生一定的影响。</w:t>
      </w:r>
    </w:p>
    <w:p w14:paraId="1A0B8F78">
      <w:pPr>
        <w:spacing w:line="500" w:lineRule="exact"/>
        <w:ind w:firstLine="420" w:firstLineChars="200"/>
        <w:rPr>
          <w:color w:val="auto"/>
          <w:sz w:val="24"/>
          <w:szCs w:val="22"/>
        </w:rPr>
      </w:pPr>
      <w:r>
        <w:rPr>
          <w:rFonts w:hint="eastAsia"/>
          <w:color w:val="auto"/>
        </w:rPr>
        <w:t>（5）</w:t>
      </w:r>
      <w:r>
        <w:rPr>
          <w:color w:val="auto"/>
          <w:sz w:val="24"/>
          <w:szCs w:val="22"/>
        </w:rPr>
        <w:t>工程施工中会扰动地表，易引起水土流失</w:t>
      </w:r>
      <w:r>
        <w:rPr>
          <w:rFonts w:hint="eastAsia"/>
          <w:color w:val="auto"/>
          <w:sz w:val="24"/>
          <w:szCs w:val="22"/>
        </w:rPr>
        <w:t>，</w:t>
      </w:r>
      <w:r>
        <w:rPr>
          <w:color w:val="auto"/>
          <w:sz w:val="24"/>
          <w:szCs w:val="22"/>
        </w:rPr>
        <w:t>给场区生态环境带来不利影响。</w:t>
      </w:r>
    </w:p>
    <w:p w14:paraId="0B147C8D">
      <w:pPr>
        <w:pStyle w:val="59"/>
        <w:ind w:firstLine="480"/>
        <w:rPr>
          <w:color w:val="auto"/>
        </w:rPr>
      </w:pPr>
      <w:r>
        <w:rPr>
          <w:rFonts w:hint="eastAsia"/>
          <w:color w:val="auto"/>
        </w:rPr>
        <w:t>回填复垦期：</w:t>
      </w:r>
    </w:p>
    <w:p w14:paraId="3AE861B6">
      <w:pPr>
        <w:pStyle w:val="59"/>
        <w:ind w:firstLine="480"/>
        <w:rPr>
          <w:color w:val="auto"/>
        </w:rPr>
      </w:pPr>
      <w:r>
        <w:rPr>
          <w:rFonts w:hint="eastAsia"/>
          <w:color w:val="auto"/>
        </w:rPr>
        <w:t>（1）废气对周边环境及环境敏感点的影响，废气主要包括机械运行时的尾气和</w:t>
      </w:r>
      <w:r>
        <w:rPr>
          <w:rFonts w:hint="eastAsia"/>
          <w:color w:val="auto"/>
          <w:lang w:eastAsia="zh-CN"/>
        </w:rPr>
        <w:t>灰渣</w:t>
      </w:r>
      <w:r>
        <w:rPr>
          <w:rFonts w:hint="eastAsia"/>
          <w:color w:val="auto"/>
        </w:rPr>
        <w:t>运输、卸车和回填作业过程产生的扬尘。</w:t>
      </w:r>
    </w:p>
    <w:p w14:paraId="511C48E3">
      <w:pPr>
        <w:pStyle w:val="59"/>
        <w:ind w:firstLine="480"/>
        <w:rPr>
          <w:color w:val="auto"/>
        </w:rPr>
      </w:pPr>
      <w:r>
        <w:rPr>
          <w:rFonts w:hint="eastAsia"/>
          <w:color w:val="auto"/>
        </w:rPr>
        <w:t>（2）工作人员的生活污水、淋溶水可能对地表水和地下水环境产生不利影响。</w:t>
      </w:r>
    </w:p>
    <w:p w14:paraId="3B0FF273">
      <w:pPr>
        <w:pStyle w:val="59"/>
        <w:ind w:firstLine="480"/>
        <w:rPr>
          <w:color w:val="auto"/>
        </w:rPr>
      </w:pPr>
      <w:r>
        <w:rPr>
          <w:rFonts w:hint="eastAsia"/>
          <w:color w:val="auto"/>
        </w:rPr>
        <w:t>（3）工作人员产生的生活垃圾、暂存池沉渣如不妥善处理，向外排放，将对周边环境产生一定影响。</w:t>
      </w:r>
    </w:p>
    <w:p w14:paraId="51C83102">
      <w:pPr>
        <w:pStyle w:val="59"/>
        <w:ind w:firstLine="480"/>
        <w:rPr>
          <w:color w:val="auto"/>
        </w:rPr>
      </w:pPr>
      <w:r>
        <w:rPr>
          <w:rFonts w:hint="eastAsia"/>
          <w:color w:val="auto"/>
        </w:rPr>
        <w:t>（4）运输车辆、作业机噪声对周围声环境的影响。</w:t>
      </w:r>
    </w:p>
    <w:p w14:paraId="263EB657">
      <w:pPr>
        <w:pStyle w:val="59"/>
        <w:ind w:firstLine="480"/>
        <w:rPr>
          <w:color w:val="auto"/>
        </w:rPr>
      </w:pPr>
      <w:r>
        <w:rPr>
          <w:rFonts w:hint="eastAsia"/>
          <w:color w:val="auto"/>
        </w:rPr>
        <w:t>生态恢复期：</w:t>
      </w:r>
    </w:p>
    <w:p w14:paraId="7EA0281F">
      <w:pPr>
        <w:pStyle w:val="59"/>
        <w:ind w:firstLine="480"/>
        <w:rPr>
          <w:color w:val="auto"/>
        </w:rPr>
      </w:pPr>
      <w:r>
        <w:rPr>
          <w:rFonts w:hint="eastAsia"/>
          <w:color w:val="auto"/>
        </w:rPr>
        <w:t>生态恢复期主要为有利影响，可减少水土流失、恢复土地功能，无废气和固废产生，复垦后雨水不再进入回填区，淋溶水量将随时间而逐步降低，主要噪声来源于水泵。</w:t>
      </w:r>
    </w:p>
    <w:p w14:paraId="177EA9D0">
      <w:pPr>
        <w:pStyle w:val="76"/>
        <w:rPr>
          <w:color w:val="auto"/>
        </w:rPr>
      </w:pPr>
      <w:r>
        <w:rPr>
          <w:color w:val="auto"/>
        </w:rPr>
        <w:t>表2-4-1环境影响识别</w:t>
      </w:r>
      <w:r>
        <w:rPr>
          <w:rFonts w:hint="eastAsia"/>
          <w:color w:val="auto"/>
        </w:rPr>
        <w:t>一览表</w:t>
      </w:r>
    </w:p>
    <w:tbl>
      <w:tblPr>
        <w:tblStyle w:val="762"/>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1"/>
        <w:gridCol w:w="1208"/>
        <w:gridCol w:w="1435"/>
        <w:gridCol w:w="1435"/>
        <w:gridCol w:w="1435"/>
        <w:gridCol w:w="1436"/>
        <w:gridCol w:w="1436"/>
      </w:tblGrid>
      <w:tr w14:paraId="319F81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4" w:type="pct"/>
            <w:gridSpan w:val="2"/>
            <w:vMerge w:val="restart"/>
            <w:tcBorders>
              <w:top w:val="single" w:color="auto" w:sz="12" w:space="0"/>
              <w:left w:val="nil"/>
              <w:bottom w:val="single" w:color="auto" w:sz="4" w:space="0"/>
              <w:right w:val="single" w:color="auto" w:sz="4" w:space="0"/>
              <w:tl2br w:val="single" w:color="auto" w:sz="4" w:space="0"/>
            </w:tcBorders>
            <w:vAlign w:val="center"/>
          </w:tcPr>
          <w:p w14:paraId="3D73FBE5">
            <w:pPr>
              <w:adjustRightInd w:val="0"/>
              <w:snapToGrid w:val="0"/>
              <w:jc w:val="right"/>
              <w:rPr>
                <w:snapToGrid w:val="0"/>
                <w:color w:val="auto"/>
                <w:szCs w:val="22"/>
                <w:lang w:val="zh-CN"/>
              </w:rPr>
            </w:pPr>
            <w:r>
              <w:rPr>
                <w:rFonts w:hint="eastAsia"/>
                <w:snapToGrid w:val="0"/>
                <w:color w:val="auto"/>
                <w:szCs w:val="22"/>
                <w:lang w:val="zh-CN"/>
              </w:rPr>
              <w:t>评价阶段</w:t>
            </w:r>
          </w:p>
          <w:p w14:paraId="3AAEACDB">
            <w:pPr>
              <w:adjustRightInd w:val="0"/>
              <w:snapToGrid w:val="0"/>
              <w:jc w:val="center"/>
              <w:rPr>
                <w:rFonts w:eastAsia="Times New Roman"/>
                <w:snapToGrid w:val="0"/>
                <w:color w:val="auto"/>
                <w:sz w:val="20"/>
                <w:szCs w:val="20"/>
                <w:lang w:val="zh-CN"/>
              </w:rPr>
            </w:pPr>
          </w:p>
          <w:p w14:paraId="34421FD1">
            <w:pPr>
              <w:adjustRightInd w:val="0"/>
              <w:snapToGrid w:val="0"/>
              <w:rPr>
                <w:snapToGrid w:val="0"/>
                <w:color w:val="auto"/>
                <w:szCs w:val="22"/>
                <w:lang w:val="zh-CN"/>
              </w:rPr>
            </w:pPr>
          </w:p>
          <w:p w14:paraId="67E6E4C1">
            <w:pPr>
              <w:adjustRightInd w:val="0"/>
              <w:snapToGrid w:val="0"/>
              <w:jc w:val="left"/>
              <w:rPr>
                <w:snapToGrid w:val="0"/>
                <w:color w:val="auto"/>
                <w:szCs w:val="22"/>
                <w:lang w:val="zh-CN"/>
              </w:rPr>
            </w:pPr>
            <w:r>
              <w:rPr>
                <w:rFonts w:hint="eastAsia"/>
                <w:snapToGrid w:val="0"/>
                <w:color w:val="auto"/>
                <w:szCs w:val="22"/>
                <w:lang w:val="zh-CN"/>
              </w:rPr>
              <w:t>环境影响要素</w:t>
            </w:r>
          </w:p>
        </w:tc>
        <w:tc>
          <w:tcPr>
            <w:tcW w:w="1590" w:type="pct"/>
            <w:gridSpan w:val="2"/>
            <w:tcBorders>
              <w:top w:val="single" w:color="auto" w:sz="12" w:space="0"/>
              <w:left w:val="single" w:color="auto" w:sz="4" w:space="0"/>
              <w:bottom w:val="single" w:color="auto" w:sz="4" w:space="0"/>
              <w:right w:val="single" w:color="auto" w:sz="4" w:space="0"/>
            </w:tcBorders>
            <w:vAlign w:val="center"/>
          </w:tcPr>
          <w:p w14:paraId="1039076B">
            <w:pPr>
              <w:adjustRightInd w:val="0"/>
              <w:snapToGrid w:val="0"/>
              <w:jc w:val="center"/>
              <w:rPr>
                <w:snapToGrid w:val="0"/>
                <w:color w:val="auto"/>
                <w:szCs w:val="22"/>
                <w:lang w:val="zh-CN"/>
              </w:rPr>
            </w:pPr>
            <w:r>
              <w:rPr>
                <w:rFonts w:hint="eastAsia"/>
                <w:snapToGrid w:val="0"/>
                <w:color w:val="auto"/>
                <w:szCs w:val="22"/>
                <w:lang w:val="zh-CN"/>
              </w:rPr>
              <w:t>施工期</w:t>
            </w:r>
          </w:p>
        </w:tc>
        <w:tc>
          <w:tcPr>
            <w:tcW w:w="1590" w:type="pct"/>
            <w:gridSpan w:val="2"/>
            <w:tcBorders>
              <w:top w:val="single" w:color="auto" w:sz="12" w:space="0"/>
              <w:left w:val="single" w:color="auto" w:sz="4" w:space="0"/>
              <w:bottom w:val="single" w:color="auto" w:sz="4" w:space="0"/>
              <w:right w:val="single" w:color="auto" w:sz="4" w:space="0"/>
            </w:tcBorders>
            <w:vAlign w:val="center"/>
          </w:tcPr>
          <w:p w14:paraId="77DCB6FE">
            <w:pPr>
              <w:adjustRightInd w:val="0"/>
              <w:snapToGrid w:val="0"/>
              <w:jc w:val="center"/>
              <w:rPr>
                <w:snapToGrid w:val="0"/>
                <w:color w:val="auto"/>
                <w:szCs w:val="22"/>
                <w:lang w:val="zh-CN"/>
              </w:rPr>
            </w:pPr>
            <w:r>
              <w:rPr>
                <w:rFonts w:hint="eastAsia"/>
                <w:snapToGrid w:val="0"/>
                <w:color w:val="auto"/>
                <w:szCs w:val="22"/>
                <w:lang w:val="zh-CN"/>
              </w:rPr>
              <w:t>回填复垦期</w:t>
            </w:r>
          </w:p>
        </w:tc>
        <w:tc>
          <w:tcPr>
            <w:tcW w:w="795" w:type="pct"/>
            <w:tcBorders>
              <w:top w:val="single" w:color="auto" w:sz="12" w:space="0"/>
              <w:left w:val="single" w:color="auto" w:sz="4" w:space="0"/>
              <w:bottom w:val="single" w:color="auto" w:sz="4" w:space="0"/>
              <w:right w:val="nil"/>
            </w:tcBorders>
            <w:vAlign w:val="center"/>
          </w:tcPr>
          <w:p w14:paraId="4F189C21">
            <w:pPr>
              <w:adjustRightInd w:val="0"/>
              <w:snapToGrid w:val="0"/>
              <w:jc w:val="center"/>
              <w:rPr>
                <w:snapToGrid w:val="0"/>
                <w:color w:val="auto"/>
                <w:szCs w:val="22"/>
                <w:lang w:val="zh-CN"/>
              </w:rPr>
            </w:pPr>
            <w:r>
              <w:rPr>
                <w:rFonts w:hint="eastAsia"/>
                <w:snapToGrid w:val="0"/>
                <w:color w:val="auto"/>
                <w:szCs w:val="22"/>
                <w:lang w:val="zh-CN"/>
              </w:rPr>
              <w:t>生态恢复期</w:t>
            </w:r>
          </w:p>
        </w:tc>
      </w:tr>
      <w:tr w14:paraId="08E13E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gridSpan w:val="2"/>
            <w:vMerge w:val="continue"/>
            <w:tcBorders>
              <w:top w:val="single" w:color="auto" w:sz="12" w:space="0"/>
              <w:left w:val="nil"/>
              <w:bottom w:val="single" w:color="auto" w:sz="4" w:space="0"/>
              <w:right w:val="single" w:color="auto" w:sz="4" w:space="0"/>
            </w:tcBorders>
            <w:vAlign w:val="center"/>
          </w:tcPr>
          <w:p w14:paraId="26CCB227">
            <w:pPr>
              <w:widowControl/>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56D4EEA4">
            <w:pPr>
              <w:adjustRightInd w:val="0"/>
              <w:snapToGrid w:val="0"/>
              <w:jc w:val="center"/>
              <w:rPr>
                <w:snapToGrid w:val="0"/>
                <w:color w:val="auto"/>
                <w:szCs w:val="22"/>
                <w:lang w:val="zh-CN"/>
              </w:rPr>
            </w:pPr>
            <w:r>
              <w:rPr>
                <w:rFonts w:hint="eastAsia"/>
                <w:snapToGrid w:val="0"/>
                <w:color w:val="auto"/>
                <w:szCs w:val="22"/>
                <w:lang w:val="zh-CN"/>
              </w:rPr>
              <w:t>防渗层、暂淋溶水导排系统施工</w:t>
            </w:r>
          </w:p>
        </w:tc>
        <w:tc>
          <w:tcPr>
            <w:tcW w:w="795" w:type="pct"/>
            <w:tcBorders>
              <w:top w:val="single" w:color="auto" w:sz="4" w:space="0"/>
              <w:left w:val="single" w:color="auto" w:sz="4" w:space="0"/>
              <w:bottom w:val="single" w:color="auto" w:sz="4" w:space="0"/>
              <w:right w:val="single" w:color="auto" w:sz="4" w:space="0"/>
            </w:tcBorders>
            <w:vAlign w:val="center"/>
          </w:tcPr>
          <w:p w14:paraId="043580E6">
            <w:pPr>
              <w:adjustRightInd w:val="0"/>
              <w:snapToGrid w:val="0"/>
              <w:jc w:val="center"/>
              <w:rPr>
                <w:snapToGrid w:val="0"/>
                <w:color w:val="auto"/>
                <w:szCs w:val="22"/>
                <w:lang w:val="zh-CN"/>
              </w:rPr>
            </w:pPr>
            <w:r>
              <w:rPr>
                <w:rFonts w:hint="eastAsia"/>
                <w:snapToGrid w:val="0"/>
                <w:color w:val="auto"/>
                <w:szCs w:val="22"/>
                <w:lang w:val="zh-CN"/>
              </w:rPr>
              <w:t>物料运输</w:t>
            </w:r>
          </w:p>
        </w:tc>
        <w:tc>
          <w:tcPr>
            <w:tcW w:w="795" w:type="pct"/>
            <w:tcBorders>
              <w:top w:val="single" w:color="auto" w:sz="4" w:space="0"/>
              <w:left w:val="single" w:color="auto" w:sz="4" w:space="0"/>
              <w:bottom w:val="single" w:color="auto" w:sz="4" w:space="0"/>
              <w:right w:val="single" w:color="auto" w:sz="4" w:space="0"/>
            </w:tcBorders>
            <w:vAlign w:val="center"/>
          </w:tcPr>
          <w:p w14:paraId="2328295A">
            <w:pPr>
              <w:adjustRightInd w:val="0"/>
              <w:snapToGrid w:val="0"/>
              <w:jc w:val="center"/>
              <w:rPr>
                <w:snapToGrid w:val="0"/>
                <w:color w:val="auto"/>
                <w:szCs w:val="22"/>
                <w:lang w:val="zh-CN"/>
              </w:rPr>
            </w:pPr>
            <w:r>
              <w:rPr>
                <w:rFonts w:hint="eastAsia"/>
                <w:snapToGrid w:val="0"/>
                <w:color w:val="auto"/>
                <w:szCs w:val="22"/>
                <w:lang w:val="zh-CN"/>
              </w:rPr>
              <w:t>固废运输</w:t>
            </w:r>
          </w:p>
        </w:tc>
        <w:tc>
          <w:tcPr>
            <w:tcW w:w="795" w:type="pct"/>
            <w:tcBorders>
              <w:top w:val="single" w:color="auto" w:sz="4" w:space="0"/>
              <w:left w:val="single" w:color="auto" w:sz="4" w:space="0"/>
              <w:bottom w:val="single" w:color="auto" w:sz="4" w:space="0"/>
              <w:right w:val="single" w:color="auto" w:sz="4" w:space="0"/>
            </w:tcBorders>
            <w:vAlign w:val="center"/>
          </w:tcPr>
          <w:p w14:paraId="7C80F3B9">
            <w:pPr>
              <w:adjustRightInd w:val="0"/>
              <w:snapToGrid w:val="0"/>
              <w:jc w:val="center"/>
              <w:rPr>
                <w:snapToGrid w:val="0"/>
                <w:color w:val="auto"/>
                <w:szCs w:val="22"/>
                <w:lang w:val="zh-CN"/>
              </w:rPr>
            </w:pPr>
            <w:r>
              <w:rPr>
                <w:rFonts w:hint="eastAsia"/>
                <w:snapToGrid w:val="0"/>
                <w:color w:val="auto"/>
                <w:szCs w:val="22"/>
                <w:lang w:val="zh-CN"/>
              </w:rPr>
              <w:t>固废回填</w:t>
            </w:r>
          </w:p>
        </w:tc>
        <w:tc>
          <w:tcPr>
            <w:tcW w:w="795" w:type="pct"/>
            <w:tcBorders>
              <w:top w:val="single" w:color="auto" w:sz="4" w:space="0"/>
              <w:left w:val="single" w:color="auto" w:sz="4" w:space="0"/>
              <w:bottom w:val="single" w:color="auto" w:sz="4" w:space="0"/>
              <w:right w:val="nil"/>
            </w:tcBorders>
            <w:vAlign w:val="center"/>
          </w:tcPr>
          <w:p w14:paraId="588FE6ED">
            <w:pPr>
              <w:adjustRightInd w:val="0"/>
              <w:snapToGrid w:val="0"/>
              <w:jc w:val="center"/>
              <w:rPr>
                <w:snapToGrid w:val="0"/>
                <w:color w:val="auto"/>
                <w:szCs w:val="22"/>
                <w:lang w:val="zh-CN"/>
              </w:rPr>
            </w:pPr>
            <w:r>
              <w:rPr>
                <w:rFonts w:hint="eastAsia"/>
                <w:snapToGrid w:val="0"/>
                <w:color w:val="auto"/>
                <w:szCs w:val="22"/>
                <w:lang w:val="zh-CN"/>
              </w:rPr>
              <w:t>土地复垦</w:t>
            </w:r>
          </w:p>
        </w:tc>
      </w:tr>
      <w:tr w14:paraId="08FC79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55" w:type="pct"/>
            <w:vMerge w:val="restart"/>
            <w:tcBorders>
              <w:top w:val="single" w:color="auto" w:sz="4" w:space="0"/>
              <w:left w:val="nil"/>
              <w:bottom w:val="single" w:color="auto" w:sz="4" w:space="0"/>
              <w:right w:val="single" w:color="auto" w:sz="4" w:space="0"/>
            </w:tcBorders>
            <w:vAlign w:val="center"/>
          </w:tcPr>
          <w:p w14:paraId="416A407B">
            <w:pPr>
              <w:adjustRightInd w:val="0"/>
              <w:snapToGrid w:val="0"/>
              <w:jc w:val="center"/>
              <w:rPr>
                <w:snapToGrid w:val="0"/>
                <w:color w:val="auto"/>
                <w:szCs w:val="22"/>
                <w:lang w:val="zh-CN"/>
              </w:rPr>
            </w:pPr>
            <w:r>
              <w:rPr>
                <w:rFonts w:hint="eastAsia"/>
                <w:snapToGrid w:val="0"/>
                <w:color w:val="auto"/>
                <w:szCs w:val="22"/>
                <w:lang w:val="zh-CN"/>
              </w:rPr>
              <w:t>环境质量</w:t>
            </w:r>
          </w:p>
        </w:tc>
        <w:tc>
          <w:tcPr>
            <w:tcW w:w="669" w:type="pct"/>
            <w:tcBorders>
              <w:top w:val="single" w:color="auto" w:sz="4" w:space="0"/>
              <w:left w:val="single" w:color="auto" w:sz="4" w:space="0"/>
              <w:bottom w:val="single" w:color="auto" w:sz="4" w:space="0"/>
              <w:right w:val="single" w:color="auto" w:sz="4" w:space="0"/>
            </w:tcBorders>
            <w:vAlign w:val="center"/>
          </w:tcPr>
          <w:p w14:paraId="368542FA">
            <w:pPr>
              <w:adjustRightInd w:val="0"/>
              <w:snapToGrid w:val="0"/>
              <w:jc w:val="center"/>
              <w:rPr>
                <w:snapToGrid w:val="0"/>
                <w:color w:val="auto"/>
                <w:szCs w:val="22"/>
                <w:lang w:val="zh-CN"/>
              </w:rPr>
            </w:pPr>
            <w:r>
              <w:rPr>
                <w:rFonts w:hint="eastAsia"/>
                <w:snapToGrid w:val="0"/>
                <w:color w:val="auto"/>
                <w:szCs w:val="22"/>
                <w:lang w:val="zh-CN"/>
              </w:rPr>
              <w:t>空气质量</w:t>
            </w:r>
          </w:p>
        </w:tc>
        <w:tc>
          <w:tcPr>
            <w:tcW w:w="795" w:type="pct"/>
            <w:tcBorders>
              <w:top w:val="single" w:color="auto" w:sz="4" w:space="0"/>
              <w:left w:val="single" w:color="auto" w:sz="4" w:space="0"/>
              <w:bottom w:val="single" w:color="auto" w:sz="4" w:space="0"/>
              <w:right w:val="single" w:color="auto" w:sz="4" w:space="0"/>
            </w:tcBorders>
            <w:vAlign w:val="center"/>
          </w:tcPr>
          <w:p w14:paraId="02A607AA">
            <w:pPr>
              <w:adjustRightInd w:val="0"/>
              <w:snapToGrid w:val="0"/>
              <w:jc w:val="center"/>
              <w:rPr>
                <w:rFonts w:eastAsia="Times New Roman"/>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2399E58F">
            <w:pPr>
              <w:adjustRightInd w:val="0"/>
              <w:snapToGrid w:val="0"/>
              <w:jc w:val="center"/>
              <w:rPr>
                <w:rFonts w:eastAsia="Times New Roman"/>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3DB7F923">
            <w:pPr>
              <w:adjustRightInd w:val="0"/>
              <w:snapToGrid w:val="0"/>
              <w:jc w:val="center"/>
              <w:rPr>
                <w:snapToGrid w:val="0"/>
                <w:color w:val="auto"/>
                <w:szCs w:val="22"/>
                <w:lang w:val="zh-CN"/>
              </w:rPr>
            </w:pPr>
            <w:r>
              <w:rPr>
                <w:rFonts w:ascii="Segoe UI Symbol" w:hAnsi="Segoe UI Symbol" w:cs="Segoe UI Symbol"/>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0F648AAD">
            <w:pPr>
              <w:adjustRightInd w:val="0"/>
              <w:snapToGrid w:val="0"/>
              <w:jc w:val="center"/>
              <w:rPr>
                <w:snapToGrid w:val="0"/>
                <w:color w:val="auto"/>
                <w:szCs w:val="22"/>
                <w:lang w:val="zh-CN"/>
              </w:rPr>
            </w:pPr>
            <w:r>
              <w:rPr>
                <w:rFonts w:ascii="Segoe UI Symbol" w:hAnsi="Segoe UI Symbol" w:cs="Segoe UI Symbol"/>
                <w:snapToGrid w:val="0"/>
                <w:color w:val="auto"/>
                <w:szCs w:val="22"/>
                <w:lang w:val="zh-CN"/>
              </w:rPr>
              <w:t>★</w:t>
            </w:r>
          </w:p>
        </w:tc>
        <w:tc>
          <w:tcPr>
            <w:tcW w:w="795" w:type="pct"/>
            <w:tcBorders>
              <w:top w:val="single" w:color="auto" w:sz="4" w:space="0"/>
              <w:left w:val="single" w:color="auto" w:sz="4" w:space="0"/>
              <w:bottom w:val="single" w:color="auto" w:sz="4" w:space="0"/>
              <w:right w:val="nil"/>
            </w:tcBorders>
            <w:vAlign w:val="center"/>
          </w:tcPr>
          <w:p w14:paraId="6CF55722">
            <w:pPr>
              <w:adjustRightInd w:val="0"/>
              <w:snapToGrid w:val="0"/>
              <w:jc w:val="center"/>
              <w:rPr>
                <w:snapToGrid w:val="0"/>
                <w:color w:val="auto"/>
                <w:szCs w:val="22"/>
                <w:lang w:val="zh-CN"/>
              </w:rPr>
            </w:pPr>
            <w:r>
              <w:rPr>
                <w:rFonts w:hint="eastAsia"/>
                <w:color w:val="auto"/>
              </w:rPr>
              <w:t>☆</w:t>
            </w:r>
          </w:p>
        </w:tc>
      </w:tr>
      <w:tr w14:paraId="32D3BA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558138A3">
            <w:pPr>
              <w:widowControl/>
              <w:adjustRightInd w:val="0"/>
              <w:snapToGrid w:val="0"/>
              <w:jc w:val="center"/>
              <w:rPr>
                <w:snapToGrid w:val="0"/>
                <w:color w:val="auto"/>
                <w:szCs w:val="22"/>
                <w:lang w:val="zh-CN"/>
              </w:rPr>
            </w:pPr>
          </w:p>
        </w:tc>
        <w:tc>
          <w:tcPr>
            <w:tcW w:w="669" w:type="pct"/>
            <w:tcBorders>
              <w:top w:val="single" w:color="auto" w:sz="4" w:space="0"/>
              <w:left w:val="single" w:color="auto" w:sz="4" w:space="0"/>
              <w:bottom w:val="single" w:color="auto" w:sz="4" w:space="0"/>
              <w:right w:val="single" w:color="auto" w:sz="4" w:space="0"/>
            </w:tcBorders>
            <w:vAlign w:val="center"/>
          </w:tcPr>
          <w:p w14:paraId="3CECCA34">
            <w:pPr>
              <w:adjustRightInd w:val="0"/>
              <w:snapToGrid w:val="0"/>
              <w:jc w:val="center"/>
              <w:rPr>
                <w:snapToGrid w:val="0"/>
                <w:color w:val="auto"/>
                <w:szCs w:val="22"/>
                <w:lang w:val="zh-CN"/>
              </w:rPr>
            </w:pPr>
            <w:r>
              <w:rPr>
                <w:rFonts w:hint="eastAsia"/>
                <w:snapToGrid w:val="0"/>
                <w:color w:val="auto"/>
                <w:szCs w:val="22"/>
                <w:lang w:val="zh-CN"/>
              </w:rPr>
              <w:t>地表水</w:t>
            </w:r>
          </w:p>
        </w:tc>
        <w:tc>
          <w:tcPr>
            <w:tcW w:w="795" w:type="pct"/>
            <w:tcBorders>
              <w:top w:val="single" w:color="auto" w:sz="4" w:space="0"/>
              <w:left w:val="single" w:color="auto" w:sz="4" w:space="0"/>
              <w:bottom w:val="single" w:color="auto" w:sz="4" w:space="0"/>
              <w:right w:val="single" w:color="auto" w:sz="4" w:space="0"/>
            </w:tcBorders>
            <w:vAlign w:val="center"/>
          </w:tcPr>
          <w:p w14:paraId="6BD795CD">
            <w:pPr>
              <w:adjustRightInd w:val="0"/>
              <w:snapToGrid w:val="0"/>
              <w:jc w:val="center"/>
              <w:rPr>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7A23E86A">
            <w:pPr>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60584232">
            <w:pPr>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7A576592">
            <w:pPr>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nil"/>
            </w:tcBorders>
            <w:vAlign w:val="center"/>
          </w:tcPr>
          <w:p w14:paraId="6BCD4B61">
            <w:pPr>
              <w:adjustRightInd w:val="0"/>
              <w:snapToGrid w:val="0"/>
              <w:jc w:val="center"/>
              <w:rPr>
                <w:snapToGrid w:val="0"/>
                <w:color w:val="auto"/>
                <w:szCs w:val="22"/>
                <w:lang w:val="zh-CN"/>
              </w:rPr>
            </w:pPr>
          </w:p>
        </w:tc>
      </w:tr>
      <w:tr w14:paraId="14BA1A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19CA9FD8">
            <w:pPr>
              <w:widowControl/>
              <w:adjustRightInd w:val="0"/>
              <w:snapToGrid w:val="0"/>
              <w:jc w:val="center"/>
              <w:rPr>
                <w:snapToGrid w:val="0"/>
                <w:color w:val="auto"/>
                <w:szCs w:val="22"/>
                <w:lang w:val="zh-CN"/>
              </w:rPr>
            </w:pPr>
          </w:p>
        </w:tc>
        <w:tc>
          <w:tcPr>
            <w:tcW w:w="669" w:type="pct"/>
            <w:tcBorders>
              <w:top w:val="single" w:color="auto" w:sz="4" w:space="0"/>
              <w:left w:val="single" w:color="auto" w:sz="4" w:space="0"/>
              <w:bottom w:val="single" w:color="auto" w:sz="4" w:space="0"/>
              <w:right w:val="single" w:color="auto" w:sz="4" w:space="0"/>
            </w:tcBorders>
            <w:vAlign w:val="center"/>
          </w:tcPr>
          <w:p w14:paraId="61E7F878">
            <w:pPr>
              <w:adjustRightInd w:val="0"/>
              <w:snapToGrid w:val="0"/>
              <w:jc w:val="center"/>
              <w:rPr>
                <w:snapToGrid w:val="0"/>
                <w:color w:val="auto"/>
                <w:szCs w:val="22"/>
                <w:lang w:val="zh-CN"/>
              </w:rPr>
            </w:pPr>
            <w:r>
              <w:rPr>
                <w:rFonts w:hint="eastAsia"/>
                <w:snapToGrid w:val="0"/>
                <w:color w:val="auto"/>
                <w:szCs w:val="22"/>
                <w:lang w:val="zh-CN"/>
              </w:rPr>
              <w:t>地下水</w:t>
            </w:r>
          </w:p>
        </w:tc>
        <w:tc>
          <w:tcPr>
            <w:tcW w:w="795" w:type="pct"/>
            <w:tcBorders>
              <w:top w:val="single" w:color="auto" w:sz="4" w:space="0"/>
              <w:left w:val="single" w:color="auto" w:sz="4" w:space="0"/>
              <w:bottom w:val="single" w:color="auto" w:sz="4" w:space="0"/>
              <w:right w:val="single" w:color="auto" w:sz="4" w:space="0"/>
            </w:tcBorders>
            <w:vAlign w:val="center"/>
          </w:tcPr>
          <w:p w14:paraId="6A280D41">
            <w:pPr>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6A363410">
            <w:pPr>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02D34093">
            <w:pPr>
              <w:adjustRightInd w:val="0"/>
              <w:snapToGrid w:val="0"/>
              <w:jc w:val="center"/>
              <w:rPr>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7F971782">
            <w:pPr>
              <w:adjustRightInd w:val="0"/>
              <w:snapToGrid w:val="0"/>
              <w:jc w:val="center"/>
              <w:rPr>
                <w:rFonts w:eastAsia="Times New Roman"/>
                <w:snapToGrid w:val="0"/>
                <w:color w:val="auto"/>
                <w:szCs w:val="22"/>
                <w:lang w:val="zh-CN"/>
              </w:rPr>
            </w:pPr>
            <w:r>
              <w:rPr>
                <w:rFonts w:ascii="Segoe UI Symbol" w:hAnsi="Segoe UI Symbol" w:cs="Segoe UI Symbol"/>
                <w:snapToGrid w:val="0"/>
                <w:color w:val="auto"/>
                <w:szCs w:val="22"/>
                <w:lang w:val="zh-CN"/>
              </w:rPr>
              <w:t>★</w:t>
            </w:r>
          </w:p>
        </w:tc>
        <w:tc>
          <w:tcPr>
            <w:tcW w:w="795" w:type="pct"/>
            <w:tcBorders>
              <w:top w:val="single" w:color="auto" w:sz="4" w:space="0"/>
              <w:left w:val="single" w:color="auto" w:sz="4" w:space="0"/>
              <w:bottom w:val="single" w:color="auto" w:sz="4" w:space="0"/>
              <w:right w:val="nil"/>
            </w:tcBorders>
            <w:vAlign w:val="center"/>
          </w:tcPr>
          <w:p w14:paraId="4CBFDF86">
            <w:pPr>
              <w:adjustRightInd w:val="0"/>
              <w:snapToGrid w:val="0"/>
              <w:jc w:val="center"/>
              <w:rPr>
                <w:rFonts w:ascii="Segoe UI Symbol" w:hAnsi="Segoe UI Symbol" w:cs="Segoe UI Symbol"/>
                <w:snapToGrid w:val="0"/>
                <w:color w:val="auto"/>
                <w:szCs w:val="22"/>
                <w:lang w:val="zh-CN"/>
              </w:rPr>
            </w:pPr>
            <w:r>
              <w:rPr>
                <w:snapToGrid w:val="0"/>
                <w:color w:val="auto"/>
                <w:szCs w:val="22"/>
                <w:lang w:val="zh-CN"/>
              </w:rPr>
              <w:t>▲</w:t>
            </w:r>
          </w:p>
        </w:tc>
      </w:tr>
      <w:tr w14:paraId="3E84C2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424CC332">
            <w:pPr>
              <w:widowControl/>
              <w:adjustRightInd w:val="0"/>
              <w:snapToGrid w:val="0"/>
              <w:jc w:val="center"/>
              <w:rPr>
                <w:snapToGrid w:val="0"/>
                <w:color w:val="auto"/>
                <w:szCs w:val="22"/>
                <w:lang w:val="zh-CN"/>
              </w:rPr>
            </w:pPr>
          </w:p>
        </w:tc>
        <w:tc>
          <w:tcPr>
            <w:tcW w:w="669" w:type="pct"/>
            <w:tcBorders>
              <w:top w:val="single" w:color="auto" w:sz="4" w:space="0"/>
              <w:left w:val="single" w:color="auto" w:sz="4" w:space="0"/>
              <w:bottom w:val="single" w:color="auto" w:sz="4" w:space="0"/>
              <w:right w:val="single" w:color="auto" w:sz="4" w:space="0"/>
            </w:tcBorders>
            <w:vAlign w:val="center"/>
          </w:tcPr>
          <w:p w14:paraId="57B92122">
            <w:pPr>
              <w:adjustRightInd w:val="0"/>
              <w:snapToGrid w:val="0"/>
              <w:jc w:val="center"/>
              <w:rPr>
                <w:snapToGrid w:val="0"/>
                <w:color w:val="auto"/>
                <w:szCs w:val="22"/>
                <w:lang w:val="zh-CN"/>
              </w:rPr>
            </w:pPr>
            <w:r>
              <w:rPr>
                <w:rFonts w:hint="eastAsia"/>
                <w:snapToGrid w:val="0"/>
                <w:color w:val="auto"/>
                <w:szCs w:val="22"/>
                <w:lang w:val="zh-CN"/>
              </w:rPr>
              <w:t>声环境</w:t>
            </w:r>
          </w:p>
        </w:tc>
        <w:tc>
          <w:tcPr>
            <w:tcW w:w="795" w:type="pct"/>
            <w:tcBorders>
              <w:top w:val="single" w:color="auto" w:sz="4" w:space="0"/>
              <w:left w:val="single" w:color="auto" w:sz="4" w:space="0"/>
              <w:bottom w:val="single" w:color="auto" w:sz="4" w:space="0"/>
              <w:right w:val="single" w:color="auto" w:sz="4" w:space="0"/>
            </w:tcBorders>
            <w:vAlign w:val="center"/>
          </w:tcPr>
          <w:p w14:paraId="3906F93C">
            <w:pPr>
              <w:adjustRightInd w:val="0"/>
              <w:snapToGrid w:val="0"/>
              <w:jc w:val="center"/>
              <w:rPr>
                <w:rFonts w:eastAsia="Times New Roman"/>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4AC9832A">
            <w:pPr>
              <w:adjustRightInd w:val="0"/>
              <w:snapToGrid w:val="0"/>
              <w:jc w:val="center"/>
              <w:rPr>
                <w:rFonts w:eastAsia="Times New Roman"/>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5FD9AC41">
            <w:pPr>
              <w:adjustRightInd w:val="0"/>
              <w:snapToGrid w:val="0"/>
              <w:jc w:val="center"/>
              <w:rPr>
                <w:snapToGrid w:val="0"/>
                <w:color w:val="auto"/>
                <w:szCs w:val="22"/>
                <w:lang w:val="zh-CN"/>
              </w:rPr>
            </w:pPr>
            <w:r>
              <w:rPr>
                <w:rFonts w:ascii="Segoe UI Symbol" w:hAnsi="Segoe UI Symbol" w:cs="Segoe UI Symbol"/>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112F435C">
            <w:pPr>
              <w:adjustRightInd w:val="0"/>
              <w:snapToGrid w:val="0"/>
              <w:jc w:val="center"/>
              <w:rPr>
                <w:snapToGrid w:val="0"/>
                <w:color w:val="auto"/>
                <w:szCs w:val="22"/>
                <w:lang w:val="zh-CN"/>
              </w:rPr>
            </w:pPr>
            <w:r>
              <w:rPr>
                <w:rFonts w:ascii="Segoe UI Symbol" w:hAnsi="Segoe UI Symbol" w:cs="Segoe UI Symbol"/>
                <w:snapToGrid w:val="0"/>
                <w:color w:val="auto"/>
                <w:szCs w:val="22"/>
                <w:lang w:val="zh-CN"/>
              </w:rPr>
              <w:t>★</w:t>
            </w:r>
          </w:p>
        </w:tc>
        <w:tc>
          <w:tcPr>
            <w:tcW w:w="795" w:type="pct"/>
            <w:tcBorders>
              <w:top w:val="single" w:color="auto" w:sz="4" w:space="0"/>
              <w:left w:val="single" w:color="auto" w:sz="4" w:space="0"/>
              <w:bottom w:val="single" w:color="auto" w:sz="4" w:space="0"/>
              <w:right w:val="nil"/>
            </w:tcBorders>
            <w:vAlign w:val="center"/>
          </w:tcPr>
          <w:p w14:paraId="07348629">
            <w:pPr>
              <w:adjustRightInd w:val="0"/>
              <w:snapToGrid w:val="0"/>
              <w:jc w:val="center"/>
              <w:rPr>
                <w:snapToGrid w:val="0"/>
                <w:color w:val="auto"/>
                <w:szCs w:val="22"/>
                <w:lang w:val="zh-CN"/>
              </w:rPr>
            </w:pPr>
            <w:r>
              <w:rPr>
                <w:snapToGrid w:val="0"/>
                <w:color w:val="auto"/>
                <w:szCs w:val="22"/>
                <w:lang w:val="zh-CN"/>
              </w:rPr>
              <w:t>▲</w:t>
            </w:r>
          </w:p>
        </w:tc>
      </w:tr>
      <w:tr w14:paraId="10DCF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top w:val="single" w:color="auto" w:sz="4" w:space="0"/>
              <w:left w:val="nil"/>
              <w:bottom w:val="single" w:color="auto" w:sz="4" w:space="0"/>
              <w:right w:val="single" w:color="auto" w:sz="4" w:space="0"/>
            </w:tcBorders>
            <w:vAlign w:val="center"/>
          </w:tcPr>
          <w:p w14:paraId="78AE8B0D">
            <w:pPr>
              <w:widowControl/>
              <w:adjustRightInd w:val="0"/>
              <w:snapToGrid w:val="0"/>
              <w:jc w:val="center"/>
              <w:rPr>
                <w:snapToGrid w:val="0"/>
                <w:color w:val="auto"/>
                <w:szCs w:val="22"/>
                <w:lang w:val="zh-CN"/>
              </w:rPr>
            </w:pPr>
          </w:p>
        </w:tc>
        <w:tc>
          <w:tcPr>
            <w:tcW w:w="669" w:type="pct"/>
            <w:tcBorders>
              <w:top w:val="single" w:color="auto" w:sz="4" w:space="0"/>
              <w:left w:val="single" w:color="auto" w:sz="4" w:space="0"/>
              <w:bottom w:val="single" w:color="auto" w:sz="4" w:space="0"/>
              <w:right w:val="single" w:color="auto" w:sz="4" w:space="0"/>
            </w:tcBorders>
            <w:vAlign w:val="center"/>
          </w:tcPr>
          <w:p w14:paraId="66D7F992">
            <w:pPr>
              <w:adjustRightInd w:val="0"/>
              <w:snapToGrid w:val="0"/>
              <w:jc w:val="center"/>
              <w:rPr>
                <w:snapToGrid w:val="0"/>
                <w:color w:val="auto"/>
                <w:szCs w:val="22"/>
                <w:lang w:val="zh-CN"/>
              </w:rPr>
            </w:pPr>
            <w:r>
              <w:rPr>
                <w:rFonts w:hint="eastAsia"/>
                <w:snapToGrid w:val="0"/>
                <w:color w:val="auto"/>
                <w:szCs w:val="22"/>
                <w:lang w:val="zh-CN"/>
              </w:rPr>
              <w:t>土壤</w:t>
            </w:r>
          </w:p>
        </w:tc>
        <w:tc>
          <w:tcPr>
            <w:tcW w:w="795" w:type="pct"/>
            <w:tcBorders>
              <w:top w:val="single" w:color="auto" w:sz="4" w:space="0"/>
              <w:left w:val="single" w:color="auto" w:sz="4" w:space="0"/>
              <w:bottom w:val="single" w:color="auto" w:sz="4" w:space="0"/>
              <w:right w:val="single" w:color="auto" w:sz="4" w:space="0"/>
            </w:tcBorders>
            <w:vAlign w:val="center"/>
          </w:tcPr>
          <w:p w14:paraId="40F66CD3">
            <w:pPr>
              <w:adjustRightInd w:val="0"/>
              <w:snapToGrid w:val="0"/>
              <w:jc w:val="center"/>
              <w:rPr>
                <w:rFonts w:eastAsia="Times New Roman"/>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4" w:space="0"/>
              <w:right w:val="single" w:color="auto" w:sz="4" w:space="0"/>
            </w:tcBorders>
            <w:vAlign w:val="center"/>
          </w:tcPr>
          <w:p w14:paraId="04B6B9A6">
            <w:pPr>
              <w:adjustRightInd w:val="0"/>
              <w:snapToGrid w:val="0"/>
              <w:jc w:val="center"/>
              <w:rPr>
                <w:rFonts w:eastAsia="Times New Roman"/>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6B4B8C73">
            <w:pPr>
              <w:adjustRightInd w:val="0"/>
              <w:snapToGrid w:val="0"/>
              <w:jc w:val="center"/>
              <w:rPr>
                <w:rFonts w:ascii="Segoe UI Symbol" w:hAnsi="Segoe UI Symbol" w:cs="Segoe UI Symbol"/>
                <w:snapToGrid w:val="0"/>
                <w:color w:val="auto"/>
                <w:szCs w:val="22"/>
                <w:lang w:val="zh-CN"/>
              </w:rPr>
            </w:pPr>
          </w:p>
        </w:tc>
        <w:tc>
          <w:tcPr>
            <w:tcW w:w="795" w:type="pct"/>
            <w:tcBorders>
              <w:top w:val="single" w:color="auto" w:sz="4" w:space="0"/>
              <w:left w:val="single" w:color="auto" w:sz="4" w:space="0"/>
              <w:bottom w:val="single" w:color="auto" w:sz="4" w:space="0"/>
              <w:right w:val="single" w:color="auto" w:sz="4" w:space="0"/>
            </w:tcBorders>
            <w:vAlign w:val="center"/>
          </w:tcPr>
          <w:p w14:paraId="67240CB1">
            <w:pPr>
              <w:adjustRightInd w:val="0"/>
              <w:snapToGrid w:val="0"/>
              <w:jc w:val="center"/>
              <w:rPr>
                <w:snapToGrid w:val="0"/>
                <w:color w:val="auto"/>
                <w:szCs w:val="22"/>
                <w:lang w:val="zh-CN"/>
              </w:rPr>
            </w:pPr>
            <w:r>
              <w:rPr>
                <w:rFonts w:ascii="Segoe UI Symbol" w:hAnsi="Segoe UI Symbol" w:cs="Segoe UI Symbol"/>
                <w:snapToGrid w:val="0"/>
                <w:color w:val="auto"/>
                <w:szCs w:val="22"/>
                <w:lang w:val="zh-CN"/>
              </w:rPr>
              <w:t>★</w:t>
            </w:r>
          </w:p>
        </w:tc>
        <w:tc>
          <w:tcPr>
            <w:tcW w:w="795" w:type="pct"/>
            <w:tcBorders>
              <w:top w:val="single" w:color="auto" w:sz="4" w:space="0"/>
              <w:left w:val="single" w:color="auto" w:sz="4" w:space="0"/>
              <w:bottom w:val="single" w:color="auto" w:sz="4" w:space="0"/>
              <w:right w:val="nil"/>
            </w:tcBorders>
            <w:vAlign w:val="center"/>
          </w:tcPr>
          <w:p w14:paraId="7292B353">
            <w:pPr>
              <w:adjustRightInd w:val="0"/>
              <w:snapToGrid w:val="0"/>
              <w:jc w:val="center"/>
              <w:rPr>
                <w:snapToGrid w:val="0"/>
                <w:color w:val="auto"/>
                <w:szCs w:val="22"/>
                <w:lang w:val="zh-CN"/>
              </w:rPr>
            </w:pPr>
            <w:r>
              <w:rPr>
                <w:snapToGrid w:val="0"/>
                <w:color w:val="auto"/>
                <w:szCs w:val="22"/>
                <w:lang w:val="zh-CN"/>
              </w:rPr>
              <w:t>▲</w:t>
            </w:r>
          </w:p>
        </w:tc>
      </w:tr>
      <w:tr w14:paraId="343B75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024" w:type="pct"/>
            <w:gridSpan w:val="2"/>
            <w:tcBorders>
              <w:top w:val="single" w:color="auto" w:sz="4" w:space="0"/>
              <w:left w:val="nil"/>
              <w:bottom w:val="single" w:color="auto" w:sz="12" w:space="0"/>
              <w:right w:val="single" w:color="auto" w:sz="4" w:space="0"/>
            </w:tcBorders>
            <w:vAlign w:val="center"/>
          </w:tcPr>
          <w:p w14:paraId="5A8B3C88">
            <w:pPr>
              <w:adjustRightInd w:val="0"/>
              <w:snapToGrid w:val="0"/>
              <w:jc w:val="center"/>
              <w:rPr>
                <w:snapToGrid w:val="0"/>
                <w:color w:val="auto"/>
                <w:szCs w:val="22"/>
                <w:lang w:val="zh-CN"/>
              </w:rPr>
            </w:pPr>
            <w:r>
              <w:rPr>
                <w:rFonts w:hint="eastAsia"/>
                <w:snapToGrid w:val="0"/>
                <w:color w:val="auto"/>
                <w:szCs w:val="22"/>
                <w:lang w:val="zh-CN"/>
              </w:rPr>
              <w:t>生态环境</w:t>
            </w:r>
          </w:p>
        </w:tc>
        <w:tc>
          <w:tcPr>
            <w:tcW w:w="795" w:type="pct"/>
            <w:tcBorders>
              <w:top w:val="single" w:color="auto" w:sz="4" w:space="0"/>
              <w:left w:val="single" w:color="auto" w:sz="4" w:space="0"/>
              <w:bottom w:val="single" w:color="auto" w:sz="12" w:space="0"/>
              <w:right w:val="single" w:color="auto" w:sz="4" w:space="0"/>
            </w:tcBorders>
            <w:vAlign w:val="center"/>
          </w:tcPr>
          <w:p w14:paraId="38199EA2">
            <w:pPr>
              <w:adjustRightInd w:val="0"/>
              <w:snapToGrid w:val="0"/>
              <w:jc w:val="center"/>
              <w:rPr>
                <w:rFonts w:eastAsia="Times New Roman"/>
                <w:snapToGrid w:val="0"/>
                <w:color w:val="auto"/>
                <w:szCs w:val="22"/>
                <w:lang w:val="zh-CN"/>
              </w:rPr>
            </w:pPr>
            <w:r>
              <w:rPr>
                <w:rFonts w:eastAsia="Times New Roman"/>
                <w:snapToGrid w:val="0"/>
                <w:color w:val="auto"/>
                <w:szCs w:val="22"/>
                <w:lang w:val="zh-CN"/>
              </w:rPr>
              <w:t>▲</w:t>
            </w:r>
          </w:p>
        </w:tc>
        <w:tc>
          <w:tcPr>
            <w:tcW w:w="795" w:type="pct"/>
            <w:tcBorders>
              <w:top w:val="single" w:color="auto" w:sz="4" w:space="0"/>
              <w:left w:val="single" w:color="auto" w:sz="4" w:space="0"/>
              <w:bottom w:val="single" w:color="auto" w:sz="12" w:space="0"/>
              <w:right w:val="single" w:color="auto" w:sz="4" w:space="0"/>
            </w:tcBorders>
            <w:vAlign w:val="center"/>
          </w:tcPr>
          <w:p w14:paraId="37D86103">
            <w:pPr>
              <w:adjustRightInd w:val="0"/>
              <w:snapToGrid w:val="0"/>
              <w:jc w:val="center"/>
              <w:rPr>
                <w:rFonts w:eastAsia="Times New Roman"/>
                <w:snapToGrid w:val="0"/>
                <w:color w:val="auto"/>
                <w:szCs w:val="22"/>
                <w:lang w:val="zh-CN"/>
              </w:rPr>
            </w:pPr>
          </w:p>
        </w:tc>
        <w:tc>
          <w:tcPr>
            <w:tcW w:w="795" w:type="pct"/>
            <w:tcBorders>
              <w:top w:val="single" w:color="auto" w:sz="4" w:space="0"/>
              <w:left w:val="single" w:color="auto" w:sz="4" w:space="0"/>
              <w:bottom w:val="single" w:color="auto" w:sz="12" w:space="0"/>
              <w:right w:val="single" w:color="auto" w:sz="4" w:space="0"/>
            </w:tcBorders>
            <w:vAlign w:val="center"/>
          </w:tcPr>
          <w:p w14:paraId="55255FE0">
            <w:pPr>
              <w:adjustRightInd w:val="0"/>
              <w:snapToGrid w:val="0"/>
              <w:jc w:val="center"/>
              <w:rPr>
                <w:rFonts w:ascii="Segoe UI Symbol" w:hAnsi="Segoe UI Symbol" w:cs="Segoe UI Symbol"/>
                <w:snapToGrid w:val="0"/>
                <w:color w:val="auto"/>
                <w:szCs w:val="22"/>
                <w:lang w:val="zh-CN"/>
              </w:rPr>
            </w:pPr>
          </w:p>
        </w:tc>
        <w:tc>
          <w:tcPr>
            <w:tcW w:w="795" w:type="pct"/>
            <w:tcBorders>
              <w:top w:val="single" w:color="auto" w:sz="4" w:space="0"/>
              <w:left w:val="single" w:color="auto" w:sz="4" w:space="0"/>
              <w:bottom w:val="single" w:color="auto" w:sz="12" w:space="0"/>
              <w:right w:val="single" w:color="auto" w:sz="4" w:space="0"/>
            </w:tcBorders>
            <w:vAlign w:val="center"/>
          </w:tcPr>
          <w:p w14:paraId="0B2A3D44">
            <w:pPr>
              <w:adjustRightInd w:val="0"/>
              <w:snapToGrid w:val="0"/>
              <w:jc w:val="center"/>
              <w:rPr>
                <w:rFonts w:ascii="Segoe UI Symbol" w:hAnsi="Segoe UI Symbol" w:cs="Segoe UI Symbol"/>
                <w:snapToGrid w:val="0"/>
                <w:color w:val="auto"/>
                <w:szCs w:val="22"/>
                <w:lang w:val="zh-CN"/>
              </w:rPr>
            </w:pPr>
          </w:p>
        </w:tc>
        <w:tc>
          <w:tcPr>
            <w:tcW w:w="795" w:type="pct"/>
            <w:tcBorders>
              <w:top w:val="single" w:color="auto" w:sz="4" w:space="0"/>
              <w:left w:val="single" w:color="auto" w:sz="4" w:space="0"/>
              <w:bottom w:val="single" w:color="auto" w:sz="12" w:space="0"/>
              <w:right w:val="nil"/>
            </w:tcBorders>
            <w:vAlign w:val="center"/>
          </w:tcPr>
          <w:p w14:paraId="07A8190B">
            <w:pPr>
              <w:adjustRightInd w:val="0"/>
              <w:snapToGrid w:val="0"/>
              <w:jc w:val="center"/>
              <w:rPr>
                <w:rFonts w:ascii="Cambria Math" w:hAnsi="Cambria Math" w:cs="Cambria Math"/>
                <w:snapToGrid w:val="0"/>
                <w:color w:val="auto"/>
                <w:szCs w:val="22"/>
                <w:lang w:val="zh-CN"/>
              </w:rPr>
            </w:pPr>
            <w:r>
              <w:rPr>
                <w:rFonts w:hint="eastAsia"/>
                <w:color w:val="auto"/>
              </w:rPr>
              <w:t>☆</w:t>
            </w:r>
          </w:p>
        </w:tc>
      </w:tr>
    </w:tbl>
    <w:p w14:paraId="64FA2672">
      <w:pPr>
        <w:pStyle w:val="84"/>
        <w:jc w:val="both"/>
        <w:rPr>
          <w:color w:val="auto"/>
        </w:rPr>
      </w:pPr>
      <w:r>
        <w:rPr>
          <w:rFonts w:hint="eastAsia"/>
          <w:color w:val="auto"/>
        </w:rPr>
        <w:t>注：（1）★/☆表示长期不利影响/有利影响；（2）▲/△表示短期不利影响/有利影响；（3）空格表示影响不明显或没影响。</w:t>
      </w:r>
    </w:p>
    <w:p w14:paraId="543DAFC8">
      <w:pPr>
        <w:pStyle w:val="137"/>
        <w:rPr>
          <w:color w:val="auto"/>
        </w:rPr>
      </w:pPr>
      <w:r>
        <w:rPr>
          <w:color w:val="auto"/>
        </w:rPr>
        <w:t>2.4.2评价因子筛选</w:t>
      </w:r>
    </w:p>
    <w:p w14:paraId="3DF5E6FB">
      <w:pPr>
        <w:pStyle w:val="59"/>
        <w:ind w:firstLine="480"/>
        <w:rPr>
          <w:color w:val="auto"/>
        </w:rPr>
      </w:pPr>
      <w:r>
        <w:rPr>
          <w:color w:val="auto"/>
        </w:rPr>
        <w:t>根据本项目周边环境及项目特征，确定本项目现状评价因子和预测评价因子，具体见</w:t>
      </w:r>
      <w:r>
        <w:rPr>
          <w:rFonts w:hint="eastAsia"/>
          <w:color w:val="auto"/>
        </w:rPr>
        <w:t>下表</w:t>
      </w:r>
      <w:r>
        <w:rPr>
          <w:color w:val="auto"/>
        </w:rPr>
        <w:t>。</w:t>
      </w:r>
    </w:p>
    <w:p w14:paraId="1C07B18F">
      <w:pPr>
        <w:pStyle w:val="76"/>
        <w:rPr>
          <w:color w:val="auto"/>
        </w:rPr>
      </w:pPr>
      <w:r>
        <w:rPr>
          <w:color w:val="auto"/>
        </w:rPr>
        <w:t>表2-4-2本项目环境影响评价因子筛选结果</w:t>
      </w:r>
    </w:p>
    <w:tbl>
      <w:tblPr>
        <w:tblStyle w:val="45"/>
        <w:tblW w:w="8859"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fixed"/>
        <w:tblCellMar>
          <w:top w:w="0" w:type="dxa"/>
          <w:left w:w="108" w:type="dxa"/>
          <w:bottom w:w="0" w:type="dxa"/>
          <w:right w:w="108" w:type="dxa"/>
        </w:tblCellMar>
      </w:tblPr>
      <w:tblGrid>
        <w:gridCol w:w="883"/>
        <w:gridCol w:w="1217"/>
        <w:gridCol w:w="1369"/>
        <w:gridCol w:w="5390"/>
      </w:tblGrid>
      <w:tr w14:paraId="4E0F2E1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1" w:hRule="atLeast"/>
          <w:jc w:val="center"/>
        </w:trPr>
        <w:tc>
          <w:tcPr>
            <w:tcW w:w="883" w:type="dxa"/>
            <w:vAlign w:val="center"/>
          </w:tcPr>
          <w:p w14:paraId="00677794">
            <w:pPr>
              <w:snapToGrid w:val="0"/>
              <w:jc w:val="center"/>
              <w:rPr>
                <w:color w:val="auto"/>
                <w:kern w:val="0"/>
                <w:szCs w:val="21"/>
              </w:rPr>
            </w:pPr>
            <w:r>
              <w:rPr>
                <w:color w:val="auto"/>
                <w:kern w:val="0"/>
                <w:szCs w:val="21"/>
              </w:rPr>
              <w:t>评价阶段</w:t>
            </w:r>
          </w:p>
        </w:tc>
        <w:tc>
          <w:tcPr>
            <w:tcW w:w="1217" w:type="dxa"/>
            <w:vAlign w:val="center"/>
          </w:tcPr>
          <w:p w14:paraId="6F1BA64B">
            <w:pPr>
              <w:snapToGrid w:val="0"/>
              <w:jc w:val="center"/>
              <w:rPr>
                <w:color w:val="auto"/>
                <w:kern w:val="0"/>
                <w:szCs w:val="21"/>
              </w:rPr>
            </w:pPr>
            <w:r>
              <w:rPr>
                <w:color w:val="auto"/>
                <w:kern w:val="0"/>
                <w:szCs w:val="21"/>
              </w:rPr>
              <w:t>环境要素</w:t>
            </w:r>
          </w:p>
        </w:tc>
        <w:tc>
          <w:tcPr>
            <w:tcW w:w="1369" w:type="dxa"/>
            <w:vAlign w:val="center"/>
          </w:tcPr>
          <w:p w14:paraId="675E2124">
            <w:pPr>
              <w:snapToGrid w:val="0"/>
              <w:jc w:val="center"/>
              <w:rPr>
                <w:color w:val="auto"/>
                <w:kern w:val="0"/>
                <w:szCs w:val="21"/>
              </w:rPr>
            </w:pPr>
            <w:r>
              <w:rPr>
                <w:color w:val="auto"/>
                <w:kern w:val="0"/>
                <w:szCs w:val="21"/>
              </w:rPr>
              <w:t>评价类别</w:t>
            </w:r>
          </w:p>
        </w:tc>
        <w:tc>
          <w:tcPr>
            <w:tcW w:w="5390" w:type="dxa"/>
            <w:vAlign w:val="center"/>
          </w:tcPr>
          <w:p w14:paraId="2C912556">
            <w:pPr>
              <w:snapToGrid w:val="0"/>
              <w:jc w:val="center"/>
              <w:rPr>
                <w:color w:val="auto"/>
                <w:kern w:val="0"/>
                <w:szCs w:val="21"/>
              </w:rPr>
            </w:pPr>
            <w:r>
              <w:rPr>
                <w:color w:val="auto"/>
                <w:kern w:val="0"/>
                <w:szCs w:val="21"/>
              </w:rPr>
              <w:t>评价因子</w:t>
            </w:r>
          </w:p>
        </w:tc>
      </w:tr>
      <w:tr w14:paraId="00A0AD2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restart"/>
            <w:vAlign w:val="center"/>
          </w:tcPr>
          <w:p w14:paraId="7E095962">
            <w:pPr>
              <w:jc w:val="center"/>
              <w:rPr>
                <w:color w:val="auto"/>
                <w:kern w:val="0"/>
                <w:szCs w:val="21"/>
              </w:rPr>
            </w:pPr>
            <w:r>
              <w:rPr>
                <w:color w:val="auto"/>
                <w:kern w:val="0"/>
                <w:szCs w:val="21"/>
              </w:rPr>
              <w:t>施工期、</w:t>
            </w:r>
            <w:r>
              <w:rPr>
                <w:rFonts w:hint="eastAsia"/>
                <w:color w:val="auto"/>
                <w:kern w:val="0"/>
                <w:szCs w:val="21"/>
              </w:rPr>
              <w:t>回填复垦期</w:t>
            </w:r>
            <w:r>
              <w:rPr>
                <w:color w:val="auto"/>
                <w:kern w:val="0"/>
                <w:szCs w:val="21"/>
              </w:rPr>
              <w:t>、</w:t>
            </w:r>
            <w:r>
              <w:rPr>
                <w:rFonts w:hint="eastAsia"/>
                <w:color w:val="auto"/>
                <w:kern w:val="0"/>
                <w:szCs w:val="21"/>
              </w:rPr>
              <w:t>生态恢复</w:t>
            </w:r>
            <w:r>
              <w:rPr>
                <w:rFonts w:hint="eastAsia"/>
                <w:color w:val="auto"/>
                <w:kern w:val="0"/>
                <w:szCs w:val="21"/>
                <w:lang w:eastAsia="zh-CN"/>
              </w:rPr>
              <w:t>期</w:t>
            </w:r>
          </w:p>
        </w:tc>
        <w:tc>
          <w:tcPr>
            <w:tcW w:w="1217" w:type="dxa"/>
            <w:vMerge w:val="restart"/>
            <w:vAlign w:val="center"/>
          </w:tcPr>
          <w:p w14:paraId="0D9CA1F4">
            <w:pPr>
              <w:snapToGrid w:val="0"/>
              <w:jc w:val="center"/>
              <w:rPr>
                <w:color w:val="auto"/>
                <w:kern w:val="0"/>
                <w:szCs w:val="21"/>
              </w:rPr>
            </w:pPr>
            <w:r>
              <w:rPr>
                <w:color w:val="auto"/>
                <w:kern w:val="0"/>
                <w:szCs w:val="21"/>
              </w:rPr>
              <w:t>环境空气</w:t>
            </w:r>
          </w:p>
        </w:tc>
        <w:tc>
          <w:tcPr>
            <w:tcW w:w="1369" w:type="dxa"/>
            <w:vAlign w:val="center"/>
          </w:tcPr>
          <w:p w14:paraId="79E3D615">
            <w:pPr>
              <w:snapToGrid w:val="0"/>
              <w:jc w:val="center"/>
              <w:rPr>
                <w:color w:val="auto"/>
                <w:kern w:val="0"/>
                <w:szCs w:val="21"/>
              </w:rPr>
            </w:pPr>
            <w:r>
              <w:rPr>
                <w:color w:val="auto"/>
                <w:kern w:val="0"/>
                <w:szCs w:val="21"/>
              </w:rPr>
              <w:t>现状评价</w:t>
            </w:r>
          </w:p>
        </w:tc>
        <w:tc>
          <w:tcPr>
            <w:tcW w:w="5390" w:type="dxa"/>
            <w:vAlign w:val="center"/>
          </w:tcPr>
          <w:p w14:paraId="46B2D3B2">
            <w:pPr>
              <w:snapToGrid w:val="0"/>
              <w:jc w:val="center"/>
              <w:rPr>
                <w:color w:val="auto"/>
                <w:spacing w:val="22"/>
                <w:kern w:val="0"/>
                <w:szCs w:val="21"/>
              </w:rPr>
            </w:pPr>
            <w:r>
              <w:rPr>
                <w:color w:val="auto"/>
                <w:spacing w:val="22"/>
                <w:kern w:val="0"/>
                <w:szCs w:val="21"/>
              </w:rPr>
              <w:t>PM</w:t>
            </w:r>
            <w:r>
              <w:rPr>
                <w:color w:val="auto"/>
                <w:spacing w:val="22"/>
                <w:kern w:val="0"/>
                <w:szCs w:val="21"/>
                <w:vertAlign w:val="subscript"/>
              </w:rPr>
              <w:t>10</w:t>
            </w:r>
            <w:r>
              <w:rPr>
                <w:color w:val="auto"/>
                <w:spacing w:val="22"/>
                <w:kern w:val="0"/>
                <w:szCs w:val="21"/>
              </w:rPr>
              <w:t>、PM</w:t>
            </w:r>
            <w:r>
              <w:rPr>
                <w:color w:val="auto"/>
                <w:spacing w:val="22"/>
                <w:kern w:val="0"/>
                <w:szCs w:val="21"/>
                <w:vertAlign w:val="subscript"/>
              </w:rPr>
              <w:t>2.5</w:t>
            </w:r>
            <w:r>
              <w:rPr>
                <w:color w:val="auto"/>
                <w:spacing w:val="22"/>
                <w:kern w:val="0"/>
                <w:szCs w:val="21"/>
              </w:rPr>
              <w:t>、NO</w:t>
            </w:r>
            <w:r>
              <w:rPr>
                <w:color w:val="auto"/>
                <w:spacing w:val="22"/>
                <w:kern w:val="0"/>
                <w:szCs w:val="21"/>
                <w:vertAlign w:val="subscript"/>
              </w:rPr>
              <w:t>2</w:t>
            </w:r>
            <w:r>
              <w:rPr>
                <w:color w:val="auto"/>
                <w:spacing w:val="22"/>
                <w:kern w:val="0"/>
                <w:szCs w:val="21"/>
              </w:rPr>
              <w:t>、SO</w:t>
            </w:r>
            <w:r>
              <w:rPr>
                <w:color w:val="auto"/>
                <w:spacing w:val="22"/>
                <w:kern w:val="0"/>
                <w:szCs w:val="21"/>
                <w:vertAlign w:val="subscript"/>
              </w:rPr>
              <w:t>2</w:t>
            </w:r>
            <w:r>
              <w:rPr>
                <w:color w:val="auto"/>
                <w:spacing w:val="22"/>
                <w:kern w:val="0"/>
                <w:szCs w:val="21"/>
              </w:rPr>
              <w:t>、CO、O</w:t>
            </w:r>
            <w:r>
              <w:rPr>
                <w:color w:val="auto"/>
                <w:spacing w:val="22"/>
                <w:kern w:val="0"/>
                <w:szCs w:val="21"/>
                <w:vertAlign w:val="subscript"/>
              </w:rPr>
              <w:t>3</w:t>
            </w:r>
            <w:r>
              <w:rPr>
                <w:color w:val="auto"/>
                <w:spacing w:val="22"/>
                <w:kern w:val="0"/>
                <w:szCs w:val="21"/>
              </w:rPr>
              <w:t>、TSP</w:t>
            </w:r>
          </w:p>
        </w:tc>
      </w:tr>
      <w:tr w14:paraId="7B1E3AB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5F4F3958">
            <w:pPr>
              <w:jc w:val="center"/>
              <w:rPr>
                <w:color w:val="auto"/>
                <w:kern w:val="0"/>
                <w:szCs w:val="21"/>
              </w:rPr>
            </w:pPr>
          </w:p>
        </w:tc>
        <w:tc>
          <w:tcPr>
            <w:tcW w:w="1217" w:type="dxa"/>
            <w:vMerge w:val="continue"/>
            <w:vAlign w:val="center"/>
          </w:tcPr>
          <w:p w14:paraId="6F6896F9">
            <w:pPr>
              <w:widowControl/>
              <w:jc w:val="center"/>
              <w:rPr>
                <w:color w:val="auto"/>
                <w:kern w:val="0"/>
                <w:szCs w:val="21"/>
              </w:rPr>
            </w:pPr>
          </w:p>
        </w:tc>
        <w:tc>
          <w:tcPr>
            <w:tcW w:w="1369" w:type="dxa"/>
            <w:vAlign w:val="center"/>
          </w:tcPr>
          <w:p w14:paraId="6B3B7323">
            <w:pPr>
              <w:snapToGrid w:val="0"/>
              <w:jc w:val="center"/>
              <w:rPr>
                <w:color w:val="auto"/>
                <w:kern w:val="0"/>
                <w:szCs w:val="21"/>
              </w:rPr>
            </w:pPr>
            <w:r>
              <w:rPr>
                <w:color w:val="auto"/>
                <w:kern w:val="0"/>
                <w:szCs w:val="21"/>
              </w:rPr>
              <w:t>预测分析</w:t>
            </w:r>
          </w:p>
        </w:tc>
        <w:tc>
          <w:tcPr>
            <w:tcW w:w="5390" w:type="dxa"/>
            <w:vAlign w:val="center"/>
          </w:tcPr>
          <w:p w14:paraId="543059D1">
            <w:pPr>
              <w:snapToGrid w:val="0"/>
              <w:jc w:val="center"/>
              <w:rPr>
                <w:color w:val="auto"/>
                <w:spacing w:val="22"/>
                <w:kern w:val="0"/>
                <w:szCs w:val="21"/>
              </w:rPr>
            </w:pPr>
            <w:r>
              <w:rPr>
                <w:color w:val="auto"/>
                <w:spacing w:val="22"/>
                <w:kern w:val="0"/>
                <w:szCs w:val="21"/>
              </w:rPr>
              <w:t>TSP</w:t>
            </w:r>
          </w:p>
        </w:tc>
      </w:tr>
      <w:tr w14:paraId="68264C7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625BA972">
            <w:pPr>
              <w:jc w:val="center"/>
              <w:rPr>
                <w:color w:val="auto"/>
                <w:kern w:val="0"/>
                <w:szCs w:val="21"/>
              </w:rPr>
            </w:pPr>
          </w:p>
        </w:tc>
        <w:tc>
          <w:tcPr>
            <w:tcW w:w="1217" w:type="dxa"/>
            <w:vMerge w:val="restart"/>
            <w:vAlign w:val="center"/>
          </w:tcPr>
          <w:p w14:paraId="03C59792">
            <w:pPr>
              <w:snapToGrid w:val="0"/>
              <w:jc w:val="center"/>
              <w:rPr>
                <w:color w:val="auto"/>
                <w:kern w:val="0"/>
                <w:szCs w:val="21"/>
              </w:rPr>
            </w:pPr>
            <w:r>
              <w:rPr>
                <w:color w:val="auto"/>
                <w:kern w:val="0"/>
                <w:szCs w:val="21"/>
              </w:rPr>
              <w:t>声环境</w:t>
            </w:r>
          </w:p>
        </w:tc>
        <w:tc>
          <w:tcPr>
            <w:tcW w:w="1369" w:type="dxa"/>
            <w:vAlign w:val="center"/>
          </w:tcPr>
          <w:p w14:paraId="357DF4AD">
            <w:pPr>
              <w:snapToGrid w:val="0"/>
              <w:jc w:val="center"/>
              <w:rPr>
                <w:color w:val="auto"/>
                <w:kern w:val="0"/>
                <w:szCs w:val="21"/>
              </w:rPr>
            </w:pPr>
            <w:r>
              <w:rPr>
                <w:color w:val="auto"/>
                <w:kern w:val="0"/>
                <w:szCs w:val="21"/>
              </w:rPr>
              <w:t>现状评价</w:t>
            </w:r>
          </w:p>
        </w:tc>
        <w:tc>
          <w:tcPr>
            <w:tcW w:w="5390" w:type="dxa"/>
            <w:vMerge w:val="restart"/>
            <w:vAlign w:val="center"/>
          </w:tcPr>
          <w:p w14:paraId="08DE2F08">
            <w:pPr>
              <w:snapToGrid w:val="0"/>
              <w:jc w:val="center"/>
              <w:rPr>
                <w:color w:val="auto"/>
                <w:spacing w:val="22"/>
                <w:kern w:val="0"/>
                <w:szCs w:val="21"/>
              </w:rPr>
            </w:pPr>
            <w:r>
              <w:rPr>
                <w:snapToGrid w:val="0"/>
                <w:color w:val="auto"/>
                <w:kern w:val="0"/>
                <w:lang w:val="zh-CN"/>
              </w:rPr>
              <w:t>等效连续A声级Leq（A）</w:t>
            </w:r>
          </w:p>
        </w:tc>
      </w:tr>
      <w:tr w14:paraId="3C29134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03BB02BA">
            <w:pPr>
              <w:jc w:val="center"/>
              <w:rPr>
                <w:color w:val="auto"/>
                <w:kern w:val="0"/>
                <w:szCs w:val="21"/>
              </w:rPr>
            </w:pPr>
          </w:p>
        </w:tc>
        <w:tc>
          <w:tcPr>
            <w:tcW w:w="1217" w:type="dxa"/>
            <w:vMerge w:val="continue"/>
            <w:vAlign w:val="center"/>
          </w:tcPr>
          <w:p w14:paraId="71EAC14E">
            <w:pPr>
              <w:widowControl/>
              <w:jc w:val="center"/>
              <w:rPr>
                <w:color w:val="auto"/>
                <w:kern w:val="0"/>
                <w:szCs w:val="21"/>
              </w:rPr>
            </w:pPr>
          </w:p>
        </w:tc>
        <w:tc>
          <w:tcPr>
            <w:tcW w:w="1369" w:type="dxa"/>
            <w:vAlign w:val="center"/>
          </w:tcPr>
          <w:p w14:paraId="6CA67A4F">
            <w:pPr>
              <w:snapToGrid w:val="0"/>
              <w:jc w:val="center"/>
              <w:rPr>
                <w:color w:val="auto"/>
                <w:kern w:val="0"/>
                <w:szCs w:val="21"/>
              </w:rPr>
            </w:pPr>
            <w:r>
              <w:rPr>
                <w:color w:val="auto"/>
                <w:kern w:val="0"/>
                <w:szCs w:val="21"/>
              </w:rPr>
              <w:t>预测分析</w:t>
            </w:r>
          </w:p>
        </w:tc>
        <w:tc>
          <w:tcPr>
            <w:tcW w:w="5390" w:type="dxa"/>
            <w:vMerge w:val="continue"/>
            <w:vAlign w:val="center"/>
          </w:tcPr>
          <w:p w14:paraId="278BF10F">
            <w:pPr>
              <w:widowControl/>
              <w:jc w:val="center"/>
              <w:rPr>
                <w:color w:val="auto"/>
                <w:spacing w:val="22"/>
                <w:kern w:val="0"/>
                <w:szCs w:val="21"/>
              </w:rPr>
            </w:pPr>
          </w:p>
        </w:tc>
      </w:tr>
      <w:tr w14:paraId="31DCD14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36" w:hRule="atLeast"/>
          <w:jc w:val="center"/>
        </w:trPr>
        <w:tc>
          <w:tcPr>
            <w:tcW w:w="883" w:type="dxa"/>
            <w:vMerge w:val="continue"/>
            <w:vAlign w:val="center"/>
          </w:tcPr>
          <w:p w14:paraId="3639C1DF">
            <w:pPr>
              <w:jc w:val="center"/>
              <w:rPr>
                <w:color w:val="auto"/>
                <w:kern w:val="0"/>
                <w:szCs w:val="21"/>
              </w:rPr>
            </w:pPr>
          </w:p>
        </w:tc>
        <w:tc>
          <w:tcPr>
            <w:tcW w:w="1217" w:type="dxa"/>
            <w:vMerge w:val="restart"/>
            <w:vAlign w:val="center"/>
          </w:tcPr>
          <w:p w14:paraId="4FE52287">
            <w:pPr>
              <w:snapToGrid w:val="0"/>
              <w:jc w:val="center"/>
              <w:rPr>
                <w:color w:val="auto"/>
                <w:kern w:val="0"/>
                <w:szCs w:val="21"/>
              </w:rPr>
            </w:pPr>
            <w:r>
              <w:rPr>
                <w:color w:val="auto"/>
                <w:kern w:val="0"/>
                <w:szCs w:val="21"/>
              </w:rPr>
              <w:t>地表水</w:t>
            </w:r>
          </w:p>
        </w:tc>
        <w:tc>
          <w:tcPr>
            <w:tcW w:w="1369" w:type="dxa"/>
            <w:vAlign w:val="center"/>
          </w:tcPr>
          <w:p w14:paraId="7F4E071E">
            <w:pPr>
              <w:snapToGrid w:val="0"/>
              <w:jc w:val="center"/>
              <w:rPr>
                <w:color w:val="auto"/>
                <w:kern w:val="0"/>
                <w:szCs w:val="21"/>
              </w:rPr>
            </w:pPr>
            <w:r>
              <w:rPr>
                <w:color w:val="auto"/>
                <w:kern w:val="0"/>
                <w:szCs w:val="21"/>
              </w:rPr>
              <w:t>现状评价</w:t>
            </w:r>
          </w:p>
        </w:tc>
        <w:tc>
          <w:tcPr>
            <w:tcW w:w="5390" w:type="dxa"/>
            <w:vAlign w:val="center"/>
          </w:tcPr>
          <w:p w14:paraId="74767ACD">
            <w:pPr>
              <w:snapToGrid w:val="0"/>
              <w:jc w:val="center"/>
              <w:rPr>
                <w:color w:val="auto"/>
                <w:kern w:val="0"/>
                <w:szCs w:val="21"/>
              </w:rPr>
            </w:pPr>
            <w:r>
              <w:rPr>
                <w:color w:val="auto"/>
                <w:szCs w:val="21"/>
              </w:rPr>
              <w:t>pH、COD、氨氮、总磷、BOD</w:t>
            </w:r>
            <w:r>
              <w:rPr>
                <w:color w:val="auto"/>
                <w:szCs w:val="21"/>
                <w:vertAlign w:val="subscript"/>
              </w:rPr>
              <w:t>5</w:t>
            </w:r>
            <w:r>
              <w:rPr>
                <w:color w:val="auto"/>
                <w:szCs w:val="21"/>
              </w:rPr>
              <w:t>、总氮、SS、石油类、阴离子表面活性剂、粪大肠菌群数</w:t>
            </w:r>
          </w:p>
        </w:tc>
      </w:tr>
      <w:tr w14:paraId="0A43D9E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0" w:hRule="atLeast"/>
          <w:jc w:val="center"/>
        </w:trPr>
        <w:tc>
          <w:tcPr>
            <w:tcW w:w="883" w:type="dxa"/>
            <w:vMerge w:val="continue"/>
            <w:vAlign w:val="center"/>
          </w:tcPr>
          <w:p w14:paraId="1F653FCF">
            <w:pPr>
              <w:jc w:val="center"/>
              <w:rPr>
                <w:color w:val="auto"/>
                <w:kern w:val="0"/>
                <w:szCs w:val="21"/>
              </w:rPr>
            </w:pPr>
          </w:p>
        </w:tc>
        <w:tc>
          <w:tcPr>
            <w:tcW w:w="1217" w:type="dxa"/>
            <w:vMerge w:val="continue"/>
            <w:vAlign w:val="center"/>
          </w:tcPr>
          <w:p w14:paraId="68089CA9">
            <w:pPr>
              <w:widowControl/>
              <w:jc w:val="center"/>
              <w:rPr>
                <w:color w:val="auto"/>
                <w:kern w:val="0"/>
                <w:szCs w:val="21"/>
              </w:rPr>
            </w:pPr>
          </w:p>
        </w:tc>
        <w:tc>
          <w:tcPr>
            <w:tcW w:w="1369" w:type="dxa"/>
            <w:vAlign w:val="center"/>
          </w:tcPr>
          <w:p w14:paraId="04CC66E9">
            <w:pPr>
              <w:jc w:val="center"/>
              <w:rPr>
                <w:color w:val="auto"/>
              </w:rPr>
            </w:pPr>
            <w:r>
              <w:rPr>
                <w:color w:val="auto"/>
                <w:kern w:val="0"/>
                <w:szCs w:val="21"/>
              </w:rPr>
              <w:t>预测分析</w:t>
            </w:r>
          </w:p>
        </w:tc>
        <w:tc>
          <w:tcPr>
            <w:tcW w:w="5390" w:type="dxa"/>
          </w:tcPr>
          <w:p w14:paraId="524AAA50">
            <w:pPr>
              <w:jc w:val="center"/>
              <w:rPr>
                <w:color w:val="auto"/>
              </w:rPr>
            </w:pPr>
            <w:r>
              <w:rPr>
                <w:rFonts w:hint="eastAsia"/>
                <w:color w:val="auto"/>
                <w:szCs w:val="21"/>
              </w:rPr>
              <w:t>水污染控制和水环境影响减缓措施有效性评价</w:t>
            </w:r>
          </w:p>
        </w:tc>
      </w:tr>
      <w:tr w14:paraId="0BC3D1A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333" w:hRule="atLeast"/>
          <w:jc w:val="center"/>
        </w:trPr>
        <w:tc>
          <w:tcPr>
            <w:tcW w:w="883" w:type="dxa"/>
            <w:vMerge w:val="continue"/>
            <w:vAlign w:val="center"/>
          </w:tcPr>
          <w:p w14:paraId="005D627F">
            <w:pPr>
              <w:jc w:val="center"/>
              <w:rPr>
                <w:color w:val="auto"/>
                <w:kern w:val="0"/>
                <w:szCs w:val="21"/>
              </w:rPr>
            </w:pPr>
          </w:p>
        </w:tc>
        <w:tc>
          <w:tcPr>
            <w:tcW w:w="1217" w:type="dxa"/>
            <w:vAlign w:val="center"/>
          </w:tcPr>
          <w:p w14:paraId="34827924">
            <w:pPr>
              <w:snapToGrid w:val="0"/>
              <w:jc w:val="center"/>
              <w:rPr>
                <w:color w:val="auto"/>
                <w:kern w:val="0"/>
                <w:szCs w:val="21"/>
              </w:rPr>
            </w:pPr>
            <w:r>
              <w:rPr>
                <w:color w:val="auto"/>
                <w:kern w:val="0"/>
                <w:szCs w:val="21"/>
              </w:rPr>
              <w:t>地下水</w:t>
            </w:r>
          </w:p>
        </w:tc>
        <w:tc>
          <w:tcPr>
            <w:tcW w:w="1369" w:type="dxa"/>
            <w:vAlign w:val="center"/>
          </w:tcPr>
          <w:p w14:paraId="21544E8C">
            <w:pPr>
              <w:snapToGrid w:val="0"/>
              <w:jc w:val="center"/>
              <w:rPr>
                <w:color w:val="auto"/>
                <w:kern w:val="0"/>
                <w:szCs w:val="21"/>
              </w:rPr>
            </w:pPr>
            <w:r>
              <w:rPr>
                <w:color w:val="auto"/>
                <w:kern w:val="0"/>
                <w:szCs w:val="21"/>
              </w:rPr>
              <w:t>现状评价</w:t>
            </w:r>
          </w:p>
        </w:tc>
        <w:tc>
          <w:tcPr>
            <w:tcW w:w="5390" w:type="dxa"/>
            <w:vAlign w:val="center"/>
          </w:tcPr>
          <w:p w14:paraId="2C4AFE13">
            <w:pPr>
              <w:snapToGrid w:val="0"/>
              <w:rPr>
                <w:snapToGrid w:val="0"/>
                <w:color w:val="auto"/>
                <w:kern w:val="0"/>
              </w:rPr>
            </w:pPr>
            <w:r>
              <w:rPr>
                <w:bCs/>
                <w:color w:val="auto"/>
                <w:kern w:val="0"/>
              </w:rPr>
              <w:t>K</w:t>
            </w:r>
            <w:r>
              <w:rPr>
                <w:bCs/>
                <w:color w:val="auto"/>
                <w:kern w:val="0"/>
                <w:vertAlign w:val="superscript"/>
              </w:rPr>
              <w:t>+</w:t>
            </w:r>
            <w:r>
              <w:rPr>
                <w:bCs/>
                <w:color w:val="auto"/>
                <w:kern w:val="0"/>
              </w:rPr>
              <w:t>、Na</w:t>
            </w:r>
            <w:r>
              <w:rPr>
                <w:bCs/>
                <w:color w:val="auto"/>
                <w:kern w:val="0"/>
                <w:vertAlign w:val="superscript"/>
              </w:rPr>
              <w:t>+</w:t>
            </w:r>
            <w:r>
              <w:rPr>
                <w:bCs/>
                <w:color w:val="auto"/>
                <w:kern w:val="0"/>
              </w:rPr>
              <w:t>、Ca</w:t>
            </w:r>
            <w:r>
              <w:rPr>
                <w:bCs/>
                <w:color w:val="auto"/>
                <w:kern w:val="0"/>
                <w:vertAlign w:val="superscript"/>
              </w:rPr>
              <w:t>2+</w:t>
            </w:r>
            <w:r>
              <w:rPr>
                <w:bCs/>
                <w:color w:val="auto"/>
                <w:kern w:val="0"/>
              </w:rPr>
              <w:t>、Mg</w:t>
            </w:r>
            <w:r>
              <w:rPr>
                <w:bCs/>
                <w:color w:val="auto"/>
                <w:kern w:val="0"/>
                <w:vertAlign w:val="superscript"/>
              </w:rPr>
              <w:t>2+</w:t>
            </w:r>
            <w:r>
              <w:rPr>
                <w:bCs/>
                <w:color w:val="auto"/>
                <w:kern w:val="0"/>
              </w:rPr>
              <w:t>、CO</w:t>
            </w:r>
            <w:r>
              <w:rPr>
                <w:bCs/>
                <w:color w:val="auto"/>
                <w:kern w:val="0"/>
                <w:vertAlign w:val="subscript"/>
              </w:rPr>
              <w:t>3</w:t>
            </w:r>
            <w:r>
              <w:rPr>
                <w:bCs/>
                <w:color w:val="auto"/>
                <w:kern w:val="0"/>
                <w:vertAlign w:val="superscript"/>
              </w:rPr>
              <w:t>2-</w:t>
            </w:r>
            <w:r>
              <w:rPr>
                <w:bCs/>
                <w:color w:val="auto"/>
                <w:kern w:val="0"/>
              </w:rPr>
              <w:t>、HCO</w:t>
            </w:r>
            <w:r>
              <w:rPr>
                <w:bCs/>
                <w:color w:val="auto"/>
                <w:kern w:val="0"/>
                <w:vertAlign w:val="subscript"/>
              </w:rPr>
              <w:t>3</w:t>
            </w:r>
            <w:r>
              <w:rPr>
                <w:bCs/>
                <w:color w:val="auto"/>
                <w:kern w:val="0"/>
                <w:vertAlign w:val="superscript"/>
              </w:rPr>
              <w:t>-</w:t>
            </w:r>
            <w:r>
              <w:rPr>
                <w:bCs/>
                <w:color w:val="auto"/>
                <w:kern w:val="0"/>
              </w:rPr>
              <w:t>、Cl</w:t>
            </w:r>
            <w:r>
              <w:rPr>
                <w:bCs/>
                <w:color w:val="auto"/>
                <w:kern w:val="0"/>
                <w:vertAlign w:val="superscript"/>
              </w:rPr>
              <w:t>-</w:t>
            </w:r>
            <w:r>
              <w:rPr>
                <w:bCs/>
                <w:color w:val="auto"/>
                <w:kern w:val="0"/>
              </w:rPr>
              <w:t>、</w:t>
            </w:r>
            <w:r>
              <w:rPr>
                <w:color w:val="auto"/>
                <w:kern w:val="0"/>
              </w:rPr>
              <w:t>SO</w:t>
            </w:r>
            <w:r>
              <w:rPr>
                <w:color w:val="auto"/>
                <w:kern w:val="0"/>
                <w:vertAlign w:val="subscript"/>
              </w:rPr>
              <w:t>4</w:t>
            </w:r>
            <w:r>
              <w:rPr>
                <w:color w:val="auto"/>
                <w:kern w:val="0"/>
                <w:vertAlign w:val="superscript"/>
              </w:rPr>
              <w:t>2-</w:t>
            </w:r>
            <w:r>
              <w:rPr>
                <w:bCs/>
                <w:color w:val="auto"/>
                <w:kern w:val="0"/>
              </w:rPr>
              <w:t>；pH、氨氮、硝酸盐、亚硝酸盐、挥发性酚类、氰化物、砷、汞、铬（六价）、总硬度、铅、氟、镉、铁、锰、溶解性总固体、高锰酸盐指数、硫酸盐、氯化物、总大肠菌群、细菌总数、石油类、铍</w:t>
            </w:r>
          </w:p>
        </w:tc>
      </w:tr>
      <w:tr w14:paraId="0DCB173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0" w:hRule="atLeast"/>
          <w:jc w:val="center"/>
        </w:trPr>
        <w:tc>
          <w:tcPr>
            <w:tcW w:w="883" w:type="dxa"/>
            <w:vMerge w:val="continue"/>
            <w:vAlign w:val="center"/>
          </w:tcPr>
          <w:p w14:paraId="43952352">
            <w:pPr>
              <w:jc w:val="center"/>
              <w:rPr>
                <w:color w:val="auto"/>
                <w:kern w:val="0"/>
                <w:szCs w:val="21"/>
              </w:rPr>
            </w:pPr>
          </w:p>
        </w:tc>
        <w:tc>
          <w:tcPr>
            <w:tcW w:w="1217" w:type="dxa"/>
            <w:vAlign w:val="center"/>
          </w:tcPr>
          <w:p w14:paraId="3B126DBC">
            <w:pPr>
              <w:widowControl/>
              <w:jc w:val="center"/>
              <w:rPr>
                <w:color w:val="auto"/>
                <w:kern w:val="0"/>
                <w:szCs w:val="21"/>
              </w:rPr>
            </w:pPr>
            <w:r>
              <w:rPr>
                <w:color w:val="auto"/>
                <w:kern w:val="0"/>
                <w:szCs w:val="21"/>
              </w:rPr>
              <w:t>地下水</w:t>
            </w:r>
          </w:p>
        </w:tc>
        <w:tc>
          <w:tcPr>
            <w:tcW w:w="1369" w:type="dxa"/>
            <w:vAlign w:val="center"/>
          </w:tcPr>
          <w:p w14:paraId="7AD5507F">
            <w:pPr>
              <w:snapToGrid w:val="0"/>
              <w:jc w:val="center"/>
              <w:rPr>
                <w:color w:val="auto"/>
                <w:kern w:val="0"/>
                <w:szCs w:val="21"/>
              </w:rPr>
            </w:pPr>
            <w:r>
              <w:rPr>
                <w:color w:val="auto"/>
                <w:kern w:val="0"/>
                <w:szCs w:val="21"/>
              </w:rPr>
              <w:t>预测分析</w:t>
            </w:r>
          </w:p>
        </w:tc>
        <w:tc>
          <w:tcPr>
            <w:tcW w:w="5390" w:type="dxa"/>
            <w:vAlign w:val="center"/>
          </w:tcPr>
          <w:p w14:paraId="609A365B">
            <w:pPr>
              <w:snapToGrid w:val="0"/>
              <w:jc w:val="center"/>
              <w:rPr>
                <w:rFonts w:hint="eastAsia" w:eastAsia="宋体"/>
                <w:color w:val="auto"/>
                <w:kern w:val="0"/>
                <w:szCs w:val="21"/>
                <w:lang w:eastAsia="zh-CN"/>
              </w:rPr>
            </w:pPr>
            <w:r>
              <w:rPr>
                <w:rFonts w:hint="eastAsia"/>
                <w:color w:val="auto"/>
                <w:kern w:val="0"/>
                <w:szCs w:val="21"/>
                <w:lang w:eastAsia="zh-CN"/>
              </w:rPr>
              <w:t>铅、氟化物</w:t>
            </w:r>
          </w:p>
        </w:tc>
      </w:tr>
      <w:tr w14:paraId="520353B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9" w:hRule="atLeast"/>
          <w:jc w:val="center"/>
        </w:trPr>
        <w:tc>
          <w:tcPr>
            <w:tcW w:w="883" w:type="dxa"/>
            <w:vMerge w:val="continue"/>
            <w:vAlign w:val="center"/>
          </w:tcPr>
          <w:p w14:paraId="36CD386D">
            <w:pPr>
              <w:jc w:val="center"/>
              <w:rPr>
                <w:color w:val="auto"/>
                <w:kern w:val="0"/>
                <w:szCs w:val="21"/>
              </w:rPr>
            </w:pPr>
          </w:p>
        </w:tc>
        <w:tc>
          <w:tcPr>
            <w:tcW w:w="1217" w:type="dxa"/>
            <w:vMerge w:val="restart"/>
            <w:vAlign w:val="center"/>
          </w:tcPr>
          <w:p w14:paraId="4CDE07C3">
            <w:pPr>
              <w:snapToGrid w:val="0"/>
              <w:jc w:val="center"/>
              <w:rPr>
                <w:color w:val="auto"/>
                <w:kern w:val="0"/>
                <w:szCs w:val="21"/>
              </w:rPr>
            </w:pPr>
            <w:r>
              <w:rPr>
                <w:color w:val="auto"/>
                <w:kern w:val="0"/>
                <w:szCs w:val="21"/>
              </w:rPr>
              <w:t>固体废物</w:t>
            </w:r>
          </w:p>
        </w:tc>
        <w:tc>
          <w:tcPr>
            <w:tcW w:w="1369" w:type="dxa"/>
            <w:vAlign w:val="center"/>
          </w:tcPr>
          <w:p w14:paraId="0A299007">
            <w:pPr>
              <w:pStyle w:val="84"/>
              <w:rPr>
                <w:color w:val="auto"/>
                <w:kern w:val="0"/>
              </w:rPr>
            </w:pPr>
            <w:r>
              <w:rPr>
                <w:color w:val="auto"/>
              </w:rPr>
              <w:t>现状评价</w:t>
            </w:r>
          </w:p>
        </w:tc>
        <w:tc>
          <w:tcPr>
            <w:tcW w:w="5390" w:type="dxa"/>
            <w:vAlign w:val="center"/>
          </w:tcPr>
          <w:p w14:paraId="51C0911E">
            <w:pPr>
              <w:snapToGrid w:val="0"/>
              <w:jc w:val="center"/>
              <w:rPr>
                <w:color w:val="auto"/>
                <w:kern w:val="0"/>
                <w:szCs w:val="21"/>
              </w:rPr>
            </w:pPr>
            <w:r>
              <w:rPr>
                <w:rFonts w:hint="eastAsia"/>
                <w:color w:val="auto"/>
                <w:kern w:val="0"/>
                <w:szCs w:val="21"/>
              </w:rPr>
              <w:t>/</w:t>
            </w:r>
          </w:p>
        </w:tc>
      </w:tr>
      <w:tr w14:paraId="3B36C52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310" w:hRule="atLeast"/>
          <w:jc w:val="center"/>
        </w:trPr>
        <w:tc>
          <w:tcPr>
            <w:tcW w:w="883" w:type="dxa"/>
            <w:vMerge w:val="continue"/>
            <w:vAlign w:val="center"/>
          </w:tcPr>
          <w:p w14:paraId="4C5D5264">
            <w:pPr>
              <w:jc w:val="center"/>
              <w:rPr>
                <w:color w:val="auto"/>
                <w:kern w:val="0"/>
                <w:szCs w:val="21"/>
              </w:rPr>
            </w:pPr>
          </w:p>
        </w:tc>
        <w:tc>
          <w:tcPr>
            <w:tcW w:w="1217" w:type="dxa"/>
            <w:vMerge w:val="continue"/>
            <w:vAlign w:val="center"/>
          </w:tcPr>
          <w:p w14:paraId="2F3F0FC4">
            <w:pPr>
              <w:snapToGrid w:val="0"/>
              <w:jc w:val="center"/>
              <w:rPr>
                <w:color w:val="auto"/>
                <w:kern w:val="0"/>
                <w:szCs w:val="21"/>
              </w:rPr>
            </w:pPr>
          </w:p>
        </w:tc>
        <w:tc>
          <w:tcPr>
            <w:tcW w:w="1369" w:type="dxa"/>
            <w:vAlign w:val="center"/>
          </w:tcPr>
          <w:p w14:paraId="708C79E2">
            <w:pPr>
              <w:snapToGrid w:val="0"/>
              <w:jc w:val="center"/>
              <w:rPr>
                <w:color w:val="auto"/>
                <w:kern w:val="0"/>
                <w:szCs w:val="21"/>
              </w:rPr>
            </w:pPr>
            <w:r>
              <w:rPr>
                <w:color w:val="auto"/>
                <w:kern w:val="0"/>
                <w:szCs w:val="21"/>
              </w:rPr>
              <w:t>影响分析</w:t>
            </w:r>
          </w:p>
        </w:tc>
        <w:tc>
          <w:tcPr>
            <w:tcW w:w="5390" w:type="dxa"/>
            <w:vAlign w:val="center"/>
          </w:tcPr>
          <w:p w14:paraId="5679E49F">
            <w:pPr>
              <w:pStyle w:val="763"/>
              <w:rPr>
                <w:color w:val="auto"/>
                <w:sz w:val="21"/>
                <w:szCs w:val="21"/>
              </w:rPr>
            </w:pPr>
            <w:r>
              <w:rPr>
                <w:rFonts w:hint="eastAsia"/>
                <w:color w:val="auto"/>
                <w:sz w:val="21"/>
                <w:szCs w:val="21"/>
              </w:rPr>
              <w:t>淋溶水暂存池</w:t>
            </w:r>
            <w:r>
              <w:rPr>
                <w:color w:val="auto"/>
                <w:sz w:val="21"/>
                <w:szCs w:val="21"/>
              </w:rPr>
              <w:t>沉渣</w:t>
            </w:r>
          </w:p>
        </w:tc>
      </w:tr>
      <w:tr w14:paraId="763F04F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4EB88557">
            <w:pPr>
              <w:widowControl/>
              <w:jc w:val="center"/>
              <w:rPr>
                <w:color w:val="auto"/>
                <w:kern w:val="0"/>
                <w:szCs w:val="21"/>
              </w:rPr>
            </w:pPr>
          </w:p>
        </w:tc>
        <w:tc>
          <w:tcPr>
            <w:tcW w:w="1217" w:type="dxa"/>
            <w:vMerge w:val="restart"/>
            <w:vAlign w:val="center"/>
          </w:tcPr>
          <w:p w14:paraId="2D64EA53">
            <w:pPr>
              <w:snapToGrid w:val="0"/>
              <w:jc w:val="center"/>
              <w:rPr>
                <w:color w:val="auto"/>
                <w:kern w:val="0"/>
                <w:szCs w:val="21"/>
              </w:rPr>
            </w:pPr>
            <w:r>
              <w:rPr>
                <w:color w:val="auto"/>
                <w:kern w:val="0"/>
                <w:szCs w:val="21"/>
              </w:rPr>
              <w:t>土壤</w:t>
            </w:r>
          </w:p>
        </w:tc>
        <w:tc>
          <w:tcPr>
            <w:tcW w:w="1369" w:type="dxa"/>
            <w:vAlign w:val="center"/>
          </w:tcPr>
          <w:p w14:paraId="5754024C">
            <w:pPr>
              <w:snapToGrid w:val="0"/>
              <w:jc w:val="center"/>
              <w:rPr>
                <w:color w:val="auto"/>
                <w:kern w:val="0"/>
                <w:szCs w:val="21"/>
              </w:rPr>
            </w:pPr>
            <w:r>
              <w:rPr>
                <w:color w:val="auto"/>
                <w:kern w:val="0"/>
                <w:szCs w:val="21"/>
              </w:rPr>
              <w:t>现状评价</w:t>
            </w:r>
          </w:p>
        </w:tc>
        <w:tc>
          <w:tcPr>
            <w:tcW w:w="5390" w:type="dxa"/>
            <w:vAlign w:val="center"/>
          </w:tcPr>
          <w:p w14:paraId="7CEB8F84">
            <w:pPr>
              <w:snapToGrid w:val="0"/>
              <w:jc w:val="left"/>
              <w:rPr>
                <w:color w:val="auto"/>
              </w:rPr>
            </w:pPr>
            <w:r>
              <w:rPr>
                <w:rFonts w:hint="default"/>
                <w:color w:val="auto"/>
                <w:spacing w:val="22"/>
                <w:kern w:val="0"/>
                <w:szCs w:val="21"/>
                <w:highlight w:val="none"/>
                <w:lang w:val="en-US" w:eastAsia="zh-CN"/>
              </w:rPr>
              <w:t>pH</w:t>
            </w:r>
            <w:r>
              <w:rPr>
                <w:rFonts w:hint="eastAsia"/>
                <w:color w:val="auto"/>
                <w:spacing w:val="22"/>
                <w:kern w:val="0"/>
                <w:szCs w:val="21"/>
                <w:highlight w:val="none"/>
                <w:lang w:val="en-US" w:eastAsia="zh-CN"/>
              </w:rPr>
              <w:t>、砷、镉、铬（六价）、铜、铅、汞、镍、四氯化碳、氯仿、氯甲烷、</w:t>
            </w:r>
            <w:r>
              <w:rPr>
                <w:rFonts w:hint="default"/>
                <w:color w:val="auto"/>
                <w:spacing w:val="22"/>
                <w:kern w:val="0"/>
                <w:szCs w:val="21"/>
                <w:highlight w:val="none"/>
                <w:lang w:val="en-US" w:eastAsia="zh-CN"/>
              </w:rPr>
              <w:t>1,1-</w:t>
            </w:r>
            <w:r>
              <w:rPr>
                <w:rFonts w:hint="eastAsia"/>
                <w:color w:val="auto"/>
                <w:spacing w:val="22"/>
                <w:kern w:val="0"/>
                <w:szCs w:val="21"/>
                <w:highlight w:val="none"/>
                <w:lang w:val="en-US" w:eastAsia="zh-CN"/>
              </w:rPr>
              <w:t>二氯乙烷、</w:t>
            </w:r>
            <w:r>
              <w:rPr>
                <w:rFonts w:hint="default"/>
                <w:color w:val="auto"/>
                <w:spacing w:val="22"/>
                <w:kern w:val="0"/>
                <w:szCs w:val="21"/>
                <w:highlight w:val="none"/>
                <w:lang w:val="en-US" w:eastAsia="zh-CN"/>
              </w:rPr>
              <w:t>1,2-</w:t>
            </w:r>
            <w:r>
              <w:rPr>
                <w:rFonts w:hint="eastAsia"/>
                <w:color w:val="auto"/>
                <w:spacing w:val="22"/>
                <w:kern w:val="0"/>
                <w:szCs w:val="21"/>
                <w:highlight w:val="none"/>
                <w:lang w:val="en-US" w:eastAsia="zh-CN"/>
              </w:rPr>
              <w:t>二氯乙烷、</w:t>
            </w:r>
            <w:r>
              <w:rPr>
                <w:rFonts w:hint="default"/>
                <w:color w:val="auto"/>
                <w:spacing w:val="22"/>
                <w:kern w:val="0"/>
                <w:szCs w:val="21"/>
                <w:highlight w:val="none"/>
                <w:lang w:val="en-US" w:eastAsia="zh-CN"/>
              </w:rPr>
              <w:t>1,1-</w:t>
            </w:r>
            <w:r>
              <w:rPr>
                <w:rFonts w:hint="eastAsia"/>
                <w:color w:val="auto"/>
                <w:spacing w:val="22"/>
                <w:kern w:val="0"/>
                <w:szCs w:val="21"/>
                <w:highlight w:val="none"/>
                <w:lang w:val="en-US" w:eastAsia="zh-CN"/>
              </w:rPr>
              <w:t>二氯乙烯、顺</w:t>
            </w:r>
            <w:r>
              <w:rPr>
                <w:rFonts w:hint="default"/>
                <w:color w:val="auto"/>
                <w:spacing w:val="22"/>
                <w:kern w:val="0"/>
                <w:szCs w:val="21"/>
                <w:highlight w:val="none"/>
                <w:lang w:val="en-US" w:eastAsia="zh-CN"/>
              </w:rPr>
              <w:t>-1,2-</w:t>
            </w:r>
            <w:r>
              <w:rPr>
                <w:rFonts w:hint="eastAsia"/>
                <w:color w:val="auto"/>
                <w:spacing w:val="22"/>
                <w:kern w:val="0"/>
                <w:szCs w:val="21"/>
                <w:highlight w:val="none"/>
                <w:lang w:val="en-US" w:eastAsia="zh-CN"/>
              </w:rPr>
              <w:t>二氯乙烯、反</w:t>
            </w:r>
            <w:r>
              <w:rPr>
                <w:rFonts w:hint="default"/>
                <w:color w:val="auto"/>
                <w:spacing w:val="22"/>
                <w:kern w:val="0"/>
                <w:szCs w:val="21"/>
                <w:highlight w:val="none"/>
                <w:lang w:val="en-US" w:eastAsia="zh-CN"/>
              </w:rPr>
              <w:t>-1,2-</w:t>
            </w:r>
            <w:r>
              <w:rPr>
                <w:rFonts w:hint="eastAsia"/>
                <w:color w:val="auto"/>
                <w:spacing w:val="22"/>
                <w:kern w:val="0"/>
                <w:szCs w:val="21"/>
                <w:highlight w:val="none"/>
                <w:lang w:val="en-US" w:eastAsia="zh-CN"/>
              </w:rPr>
              <w:t>二氯乙烯、二氯甲烷、</w:t>
            </w:r>
            <w:r>
              <w:rPr>
                <w:rFonts w:hint="default"/>
                <w:color w:val="auto"/>
                <w:spacing w:val="22"/>
                <w:kern w:val="0"/>
                <w:szCs w:val="21"/>
                <w:highlight w:val="none"/>
                <w:lang w:val="en-US" w:eastAsia="zh-CN"/>
              </w:rPr>
              <w:t>1,2-</w:t>
            </w:r>
            <w:r>
              <w:rPr>
                <w:rFonts w:hint="eastAsia"/>
                <w:color w:val="auto"/>
                <w:spacing w:val="22"/>
                <w:kern w:val="0"/>
                <w:szCs w:val="21"/>
                <w:highlight w:val="none"/>
                <w:lang w:val="en-US" w:eastAsia="zh-CN"/>
              </w:rPr>
              <w:t>二氯丙烷、</w:t>
            </w:r>
            <w:r>
              <w:rPr>
                <w:rFonts w:hint="default"/>
                <w:color w:val="auto"/>
                <w:spacing w:val="22"/>
                <w:kern w:val="0"/>
                <w:szCs w:val="21"/>
                <w:highlight w:val="none"/>
                <w:lang w:val="en-US" w:eastAsia="zh-CN"/>
              </w:rPr>
              <w:t>1,1,1,2-</w:t>
            </w:r>
            <w:r>
              <w:rPr>
                <w:rFonts w:hint="eastAsia"/>
                <w:color w:val="auto"/>
                <w:spacing w:val="22"/>
                <w:kern w:val="0"/>
                <w:szCs w:val="21"/>
                <w:highlight w:val="none"/>
                <w:lang w:val="en-US" w:eastAsia="zh-CN"/>
              </w:rPr>
              <w:t>四氯乙烷、</w:t>
            </w:r>
            <w:r>
              <w:rPr>
                <w:rFonts w:hint="default"/>
                <w:color w:val="auto"/>
                <w:spacing w:val="22"/>
                <w:kern w:val="0"/>
                <w:szCs w:val="21"/>
                <w:highlight w:val="none"/>
                <w:lang w:val="en-US" w:eastAsia="zh-CN"/>
              </w:rPr>
              <w:t>1,1,2,2-</w:t>
            </w:r>
            <w:r>
              <w:rPr>
                <w:rFonts w:hint="eastAsia"/>
                <w:color w:val="auto"/>
                <w:spacing w:val="22"/>
                <w:kern w:val="0"/>
                <w:szCs w:val="21"/>
                <w:highlight w:val="none"/>
                <w:lang w:val="en-US" w:eastAsia="zh-CN"/>
              </w:rPr>
              <w:t>四氯乙烷、四氯乙烯、</w:t>
            </w:r>
            <w:r>
              <w:rPr>
                <w:rFonts w:hint="default"/>
                <w:color w:val="auto"/>
                <w:spacing w:val="22"/>
                <w:kern w:val="0"/>
                <w:szCs w:val="21"/>
                <w:highlight w:val="none"/>
                <w:lang w:val="en-US" w:eastAsia="zh-CN"/>
              </w:rPr>
              <w:t>1,1,1-</w:t>
            </w:r>
            <w:r>
              <w:rPr>
                <w:rFonts w:hint="eastAsia"/>
                <w:color w:val="auto"/>
                <w:spacing w:val="22"/>
                <w:kern w:val="0"/>
                <w:szCs w:val="21"/>
                <w:highlight w:val="none"/>
                <w:lang w:val="en-US" w:eastAsia="zh-CN"/>
              </w:rPr>
              <w:t>三氯乙烷、</w:t>
            </w:r>
            <w:r>
              <w:rPr>
                <w:rFonts w:hint="default"/>
                <w:color w:val="auto"/>
                <w:spacing w:val="22"/>
                <w:kern w:val="0"/>
                <w:szCs w:val="21"/>
                <w:highlight w:val="none"/>
                <w:lang w:val="en-US" w:eastAsia="zh-CN"/>
              </w:rPr>
              <w:t>1,1,2-</w:t>
            </w:r>
            <w:r>
              <w:rPr>
                <w:rFonts w:hint="eastAsia"/>
                <w:color w:val="auto"/>
                <w:spacing w:val="22"/>
                <w:kern w:val="0"/>
                <w:szCs w:val="21"/>
                <w:highlight w:val="none"/>
                <w:lang w:val="en-US" w:eastAsia="zh-CN"/>
              </w:rPr>
              <w:t>三氯乙烷、三氯乙烯、</w:t>
            </w:r>
            <w:r>
              <w:rPr>
                <w:rFonts w:hint="default"/>
                <w:color w:val="auto"/>
                <w:spacing w:val="22"/>
                <w:kern w:val="0"/>
                <w:szCs w:val="21"/>
                <w:highlight w:val="none"/>
                <w:lang w:val="en-US" w:eastAsia="zh-CN"/>
              </w:rPr>
              <w:t>1,2,3-</w:t>
            </w:r>
            <w:r>
              <w:rPr>
                <w:rFonts w:hint="eastAsia"/>
                <w:color w:val="auto"/>
                <w:spacing w:val="22"/>
                <w:kern w:val="0"/>
                <w:szCs w:val="21"/>
                <w:highlight w:val="none"/>
                <w:lang w:val="en-US" w:eastAsia="zh-CN"/>
              </w:rPr>
              <w:t>三氯丙烷、氯乙烯、苯、氯苯、</w:t>
            </w:r>
            <w:r>
              <w:rPr>
                <w:rFonts w:hint="default"/>
                <w:color w:val="auto"/>
                <w:spacing w:val="22"/>
                <w:kern w:val="0"/>
                <w:szCs w:val="21"/>
                <w:highlight w:val="none"/>
                <w:lang w:val="en-US" w:eastAsia="zh-CN"/>
              </w:rPr>
              <w:t>1,2-</w:t>
            </w:r>
            <w:r>
              <w:rPr>
                <w:rFonts w:hint="eastAsia"/>
                <w:color w:val="auto"/>
                <w:spacing w:val="22"/>
                <w:kern w:val="0"/>
                <w:szCs w:val="21"/>
                <w:highlight w:val="none"/>
                <w:lang w:val="en-US" w:eastAsia="zh-CN"/>
              </w:rPr>
              <w:t>二氯苯、</w:t>
            </w:r>
            <w:r>
              <w:rPr>
                <w:rFonts w:hint="default"/>
                <w:color w:val="auto"/>
                <w:spacing w:val="22"/>
                <w:kern w:val="0"/>
                <w:szCs w:val="21"/>
                <w:highlight w:val="none"/>
                <w:lang w:val="en-US" w:eastAsia="zh-CN"/>
              </w:rPr>
              <w:t>1,4-</w:t>
            </w:r>
            <w:r>
              <w:rPr>
                <w:rFonts w:hint="eastAsia"/>
                <w:color w:val="auto"/>
                <w:spacing w:val="22"/>
                <w:kern w:val="0"/>
                <w:szCs w:val="21"/>
                <w:highlight w:val="none"/>
                <w:lang w:val="en-US" w:eastAsia="zh-CN"/>
              </w:rPr>
              <w:t>二氯苯、乙苯、苯乙烯、甲苯、间二甲苯</w:t>
            </w:r>
            <w:r>
              <w:rPr>
                <w:rFonts w:hint="default"/>
                <w:color w:val="auto"/>
                <w:spacing w:val="22"/>
                <w:kern w:val="0"/>
                <w:szCs w:val="21"/>
                <w:highlight w:val="none"/>
                <w:lang w:val="en-US" w:eastAsia="zh-CN"/>
              </w:rPr>
              <w:t>+</w:t>
            </w:r>
            <w:r>
              <w:rPr>
                <w:rFonts w:hint="eastAsia"/>
                <w:color w:val="auto"/>
                <w:spacing w:val="22"/>
                <w:kern w:val="0"/>
                <w:szCs w:val="21"/>
                <w:highlight w:val="none"/>
                <w:lang w:val="en-US" w:eastAsia="zh-CN"/>
              </w:rPr>
              <w:t>对二甲苯、邻二甲苯、硝基苯、苯胺、</w:t>
            </w:r>
            <w:r>
              <w:rPr>
                <w:rFonts w:hint="default"/>
                <w:color w:val="auto"/>
                <w:spacing w:val="22"/>
                <w:kern w:val="0"/>
                <w:szCs w:val="21"/>
                <w:highlight w:val="none"/>
                <w:lang w:val="en-US" w:eastAsia="zh-CN"/>
              </w:rPr>
              <w:t>2-</w:t>
            </w:r>
            <w:r>
              <w:rPr>
                <w:rFonts w:hint="eastAsia"/>
                <w:color w:val="auto"/>
                <w:spacing w:val="22"/>
                <w:kern w:val="0"/>
                <w:szCs w:val="21"/>
                <w:highlight w:val="none"/>
                <w:lang w:val="en-US" w:eastAsia="zh-CN"/>
              </w:rPr>
              <w:t>氯酚、苯并</w:t>
            </w:r>
            <w:r>
              <w:rPr>
                <w:rFonts w:hint="default"/>
                <w:color w:val="auto"/>
                <w:spacing w:val="22"/>
                <w:kern w:val="0"/>
                <w:szCs w:val="21"/>
                <w:highlight w:val="none"/>
                <w:lang w:val="en-US" w:eastAsia="zh-CN"/>
              </w:rPr>
              <w:t>[a]</w:t>
            </w:r>
            <w:r>
              <w:rPr>
                <w:rFonts w:hint="eastAsia"/>
                <w:color w:val="auto"/>
                <w:spacing w:val="22"/>
                <w:kern w:val="0"/>
                <w:szCs w:val="21"/>
                <w:highlight w:val="none"/>
                <w:lang w:val="en-US" w:eastAsia="zh-CN"/>
              </w:rPr>
              <w:t>蒽、苯并</w:t>
            </w:r>
            <w:r>
              <w:rPr>
                <w:rFonts w:hint="default"/>
                <w:color w:val="auto"/>
                <w:spacing w:val="22"/>
                <w:kern w:val="0"/>
                <w:szCs w:val="21"/>
                <w:highlight w:val="none"/>
                <w:lang w:val="en-US" w:eastAsia="zh-CN"/>
              </w:rPr>
              <w:t>[a]</w:t>
            </w:r>
            <w:r>
              <w:rPr>
                <w:rFonts w:hint="eastAsia"/>
                <w:color w:val="auto"/>
                <w:spacing w:val="22"/>
                <w:kern w:val="0"/>
                <w:szCs w:val="21"/>
                <w:highlight w:val="none"/>
                <w:lang w:val="en-US" w:eastAsia="zh-CN"/>
              </w:rPr>
              <w:t>芘、苯并</w:t>
            </w:r>
            <w:r>
              <w:rPr>
                <w:rFonts w:hint="default"/>
                <w:color w:val="auto"/>
                <w:spacing w:val="22"/>
                <w:kern w:val="0"/>
                <w:szCs w:val="21"/>
                <w:highlight w:val="none"/>
                <w:lang w:val="en-US" w:eastAsia="zh-CN"/>
              </w:rPr>
              <w:t>[b]</w:t>
            </w:r>
            <w:r>
              <w:rPr>
                <w:rFonts w:hint="eastAsia"/>
                <w:color w:val="auto"/>
                <w:spacing w:val="22"/>
                <w:kern w:val="0"/>
                <w:szCs w:val="21"/>
                <w:highlight w:val="none"/>
                <w:lang w:val="en-US" w:eastAsia="zh-CN"/>
              </w:rPr>
              <w:t>荧蒽、苯并</w:t>
            </w:r>
            <w:r>
              <w:rPr>
                <w:rFonts w:hint="default"/>
                <w:color w:val="auto"/>
                <w:spacing w:val="22"/>
                <w:kern w:val="0"/>
                <w:szCs w:val="21"/>
                <w:highlight w:val="none"/>
                <w:lang w:val="en-US" w:eastAsia="zh-CN"/>
              </w:rPr>
              <w:t>[k]</w:t>
            </w:r>
            <w:r>
              <w:rPr>
                <w:rFonts w:hint="eastAsia"/>
                <w:color w:val="auto"/>
                <w:spacing w:val="22"/>
                <w:kern w:val="0"/>
                <w:szCs w:val="21"/>
                <w:highlight w:val="none"/>
                <w:lang w:val="en-US" w:eastAsia="zh-CN"/>
              </w:rPr>
              <w:t>荧蒽、䓛、二苯并</w:t>
            </w:r>
            <w:r>
              <w:rPr>
                <w:rFonts w:hint="default"/>
                <w:color w:val="auto"/>
                <w:spacing w:val="22"/>
                <w:kern w:val="0"/>
                <w:szCs w:val="21"/>
                <w:highlight w:val="none"/>
                <w:lang w:val="en-US" w:eastAsia="zh-CN"/>
              </w:rPr>
              <w:t>[a,h]</w:t>
            </w:r>
            <w:r>
              <w:rPr>
                <w:rFonts w:hint="eastAsia"/>
                <w:color w:val="auto"/>
                <w:spacing w:val="22"/>
                <w:kern w:val="0"/>
                <w:szCs w:val="21"/>
                <w:highlight w:val="none"/>
                <w:lang w:val="en-US" w:eastAsia="zh-CN"/>
              </w:rPr>
              <w:t>蒽、茚并</w:t>
            </w:r>
            <w:r>
              <w:rPr>
                <w:rFonts w:hint="default"/>
                <w:color w:val="auto"/>
                <w:spacing w:val="22"/>
                <w:kern w:val="0"/>
                <w:szCs w:val="21"/>
                <w:highlight w:val="none"/>
                <w:lang w:val="en-US" w:eastAsia="zh-CN"/>
              </w:rPr>
              <w:t>[1,2,3-cd]</w:t>
            </w:r>
            <w:r>
              <w:rPr>
                <w:rFonts w:hint="eastAsia"/>
                <w:color w:val="auto"/>
                <w:spacing w:val="22"/>
                <w:kern w:val="0"/>
                <w:szCs w:val="21"/>
                <w:highlight w:val="none"/>
                <w:lang w:val="en-US" w:eastAsia="zh-CN"/>
              </w:rPr>
              <w:t>芘、萘</w:t>
            </w:r>
          </w:p>
        </w:tc>
      </w:tr>
      <w:tr w14:paraId="78DF589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451A1CD3">
            <w:pPr>
              <w:widowControl/>
              <w:jc w:val="center"/>
              <w:rPr>
                <w:color w:val="auto"/>
                <w:kern w:val="0"/>
                <w:szCs w:val="21"/>
              </w:rPr>
            </w:pPr>
          </w:p>
        </w:tc>
        <w:tc>
          <w:tcPr>
            <w:tcW w:w="1217" w:type="dxa"/>
            <w:vMerge w:val="continue"/>
            <w:vAlign w:val="center"/>
          </w:tcPr>
          <w:p w14:paraId="60F45C97">
            <w:pPr>
              <w:snapToGrid w:val="0"/>
              <w:jc w:val="center"/>
              <w:rPr>
                <w:color w:val="auto"/>
                <w:kern w:val="0"/>
                <w:szCs w:val="21"/>
              </w:rPr>
            </w:pPr>
          </w:p>
        </w:tc>
        <w:tc>
          <w:tcPr>
            <w:tcW w:w="1369" w:type="dxa"/>
            <w:vAlign w:val="center"/>
          </w:tcPr>
          <w:p w14:paraId="5738BEAB">
            <w:pPr>
              <w:snapToGrid w:val="0"/>
              <w:jc w:val="center"/>
              <w:rPr>
                <w:color w:val="auto"/>
                <w:kern w:val="0"/>
                <w:szCs w:val="21"/>
              </w:rPr>
            </w:pPr>
            <w:r>
              <w:rPr>
                <w:color w:val="auto"/>
                <w:kern w:val="0"/>
                <w:szCs w:val="21"/>
              </w:rPr>
              <w:t>预测分析</w:t>
            </w:r>
          </w:p>
        </w:tc>
        <w:tc>
          <w:tcPr>
            <w:tcW w:w="5390" w:type="dxa"/>
            <w:vAlign w:val="center"/>
          </w:tcPr>
          <w:p w14:paraId="50D53E27">
            <w:pPr>
              <w:snapToGrid w:val="0"/>
              <w:jc w:val="center"/>
              <w:rPr>
                <w:rFonts w:hint="eastAsia" w:eastAsia="宋体"/>
                <w:color w:val="auto"/>
                <w:spacing w:val="22"/>
                <w:kern w:val="0"/>
                <w:szCs w:val="21"/>
                <w:lang w:eastAsia="zh-CN"/>
              </w:rPr>
            </w:pPr>
            <w:r>
              <w:rPr>
                <w:rFonts w:hint="eastAsia"/>
                <w:color w:val="auto"/>
                <w:spacing w:val="22"/>
                <w:kern w:val="0"/>
                <w:szCs w:val="21"/>
                <w:lang w:val="en-US" w:eastAsia="zh-CN"/>
              </w:rPr>
              <w:t>铅</w:t>
            </w:r>
          </w:p>
        </w:tc>
      </w:tr>
      <w:tr w14:paraId="0DDD8B3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637D1A69">
            <w:pPr>
              <w:widowControl/>
              <w:jc w:val="center"/>
              <w:rPr>
                <w:color w:val="auto"/>
                <w:kern w:val="0"/>
                <w:szCs w:val="21"/>
              </w:rPr>
            </w:pPr>
            <w:bookmarkStart w:id="47" w:name="_Toc15991632"/>
          </w:p>
        </w:tc>
        <w:tc>
          <w:tcPr>
            <w:tcW w:w="1217" w:type="dxa"/>
            <w:vMerge w:val="restart"/>
            <w:vAlign w:val="center"/>
          </w:tcPr>
          <w:p w14:paraId="1AA4CD91">
            <w:pPr>
              <w:snapToGrid w:val="0"/>
              <w:jc w:val="center"/>
              <w:rPr>
                <w:color w:val="auto"/>
                <w:kern w:val="0"/>
                <w:szCs w:val="21"/>
              </w:rPr>
            </w:pPr>
            <w:r>
              <w:rPr>
                <w:rFonts w:hint="eastAsia"/>
                <w:color w:val="auto"/>
                <w:kern w:val="0"/>
                <w:szCs w:val="21"/>
              </w:rPr>
              <w:t>环境风险</w:t>
            </w:r>
          </w:p>
        </w:tc>
        <w:tc>
          <w:tcPr>
            <w:tcW w:w="1369" w:type="dxa"/>
            <w:vAlign w:val="center"/>
          </w:tcPr>
          <w:p w14:paraId="661F2409">
            <w:pPr>
              <w:snapToGrid w:val="0"/>
              <w:jc w:val="center"/>
              <w:rPr>
                <w:color w:val="auto"/>
                <w:kern w:val="0"/>
                <w:szCs w:val="21"/>
              </w:rPr>
            </w:pPr>
            <w:r>
              <w:rPr>
                <w:color w:val="auto"/>
                <w:kern w:val="0"/>
                <w:szCs w:val="21"/>
              </w:rPr>
              <w:t>现状评价</w:t>
            </w:r>
          </w:p>
        </w:tc>
        <w:tc>
          <w:tcPr>
            <w:tcW w:w="5390" w:type="dxa"/>
            <w:vAlign w:val="center"/>
          </w:tcPr>
          <w:p w14:paraId="3AF9EF3F">
            <w:pPr>
              <w:snapToGrid w:val="0"/>
              <w:jc w:val="center"/>
              <w:rPr>
                <w:color w:val="auto"/>
                <w:spacing w:val="22"/>
                <w:kern w:val="0"/>
                <w:szCs w:val="21"/>
              </w:rPr>
            </w:pPr>
            <w:r>
              <w:rPr>
                <w:rFonts w:hint="eastAsia"/>
                <w:color w:val="auto"/>
                <w:spacing w:val="22"/>
                <w:kern w:val="0"/>
                <w:szCs w:val="21"/>
              </w:rPr>
              <w:t>/</w:t>
            </w:r>
          </w:p>
        </w:tc>
      </w:tr>
      <w:tr w14:paraId="2C0736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71" w:hRule="atLeast"/>
          <w:jc w:val="center"/>
        </w:trPr>
        <w:tc>
          <w:tcPr>
            <w:tcW w:w="883" w:type="dxa"/>
            <w:vMerge w:val="continue"/>
            <w:vAlign w:val="center"/>
          </w:tcPr>
          <w:p w14:paraId="7F4532DE">
            <w:pPr>
              <w:widowControl/>
              <w:jc w:val="center"/>
              <w:rPr>
                <w:color w:val="auto"/>
                <w:kern w:val="0"/>
                <w:szCs w:val="21"/>
              </w:rPr>
            </w:pPr>
          </w:p>
        </w:tc>
        <w:tc>
          <w:tcPr>
            <w:tcW w:w="1217" w:type="dxa"/>
            <w:vMerge w:val="continue"/>
            <w:vAlign w:val="center"/>
          </w:tcPr>
          <w:p w14:paraId="41401EBB">
            <w:pPr>
              <w:snapToGrid w:val="0"/>
              <w:jc w:val="center"/>
              <w:rPr>
                <w:color w:val="auto"/>
                <w:kern w:val="0"/>
                <w:szCs w:val="21"/>
              </w:rPr>
            </w:pPr>
          </w:p>
        </w:tc>
        <w:tc>
          <w:tcPr>
            <w:tcW w:w="1369" w:type="dxa"/>
            <w:vAlign w:val="center"/>
          </w:tcPr>
          <w:p w14:paraId="5CDACFEF">
            <w:pPr>
              <w:snapToGrid w:val="0"/>
              <w:jc w:val="center"/>
              <w:rPr>
                <w:color w:val="auto"/>
                <w:kern w:val="0"/>
                <w:szCs w:val="21"/>
              </w:rPr>
            </w:pPr>
            <w:r>
              <w:rPr>
                <w:rFonts w:hint="eastAsia"/>
                <w:color w:val="auto"/>
                <w:kern w:val="0"/>
                <w:szCs w:val="21"/>
              </w:rPr>
              <w:t>影响</w:t>
            </w:r>
            <w:r>
              <w:rPr>
                <w:color w:val="auto"/>
                <w:kern w:val="0"/>
                <w:szCs w:val="21"/>
              </w:rPr>
              <w:t>分析</w:t>
            </w:r>
          </w:p>
        </w:tc>
        <w:tc>
          <w:tcPr>
            <w:tcW w:w="5390" w:type="dxa"/>
            <w:vAlign w:val="center"/>
          </w:tcPr>
          <w:p w14:paraId="016FD093">
            <w:pPr>
              <w:pStyle w:val="84"/>
              <w:rPr>
                <w:color w:val="auto"/>
              </w:rPr>
            </w:pPr>
            <w:r>
              <w:rPr>
                <w:rFonts w:hint="eastAsia"/>
                <w:color w:val="auto"/>
              </w:rPr>
              <w:t>淋溶水下渗</w:t>
            </w:r>
          </w:p>
        </w:tc>
      </w:tr>
      <w:tr w14:paraId="27DB2F9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36" w:hRule="atLeast"/>
          <w:jc w:val="center"/>
        </w:trPr>
        <w:tc>
          <w:tcPr>
            <w:tcW w:w="883" w:type="dxa"/>
            <w:vMerge w:val="continue"/>
            <w:vAlign w:val="center"/>
          </w:tcPr>
          <w:p w14:paraId="49C1F947">
            <w:pPr>
              <w:widowControl/>
              <w:jc w:val="center"/>
              <w:rPr>
                <w:color w:val="auto"/>
                <w:kern w:val="0"/>
                <w:szCs w:val="21"/>
              </w:rPr>
            </w:pPr>
          </w:p>
        </w:tc>
        <w:tc>
          <w:tcPr>
            <w:tcW w:w="1217" w:type="dxa"/>
            <w:vMerge w:val="restart"/>
            <w:vAlign w:val="center"/>
          </w:tcPr>
          <w:p w14:paraId="0874EC05">
            <w:pPr>
              <w:snapToGrid w:val="0"/>
              <w:jc w:val="center"/>
              <w:rPr>
                <w:color w:val="auto"/>
                <w:kern w:val="0"/>
                <w:szCs w:val="21"/>
              </w:rPr>
            </w:pPr>
            <w:r>
              <w:rPr>
                <w:rFonts w:hint="eastAsia"/>
                <w:color w:val="auto"/>
                <w:kern w:val="0"/>
                <w:szCs w:val="21"/>
              </w:rPr>
              <w:t>生态环境</w:t>
            </w:r>
          </w:p>
        </w:tc>
        <w:tc>
          <w:tcPr>
            <w:tcW w:w="1369" w:type="dxa"/>
            <w:vAlign w:val="center"/>
          </w:tcPr>
          <w:p w14:paraId="64A1F26A">
            <w:pPr>
              <w:snapToGrid w:val="0"/>
              <w:jc w:val="center"/>
              <w:rPr>
                <w:color w:val="auto"/>
                <w:kern w:val="0"/>
                <w:szCs w:val="21"/>
              </w:rPr>
            </w:pPr>
            <w:r>
              <w:rPr>
                <w:rFonts w:hint="eastAsia"/>
                <w:color w:val="auto"/>
                <w:kern w:val="0"/>
                <w:szCs w:val="21"/>
              </w:rPr>
              <w:t>现状评价</w:t>
            </w:r>
          </w:p>
        </w:tc>
        <w:tc>
          <w:tcPr>
            <w:tcW w:w="5390" w:type="dxa"/>
            <w:vAlign w:val="center"/>
          </w:tcPr>
          <w:p w14:paraId="0631CCB2">
            <w:pPr>
              <w:snapToGrid w:val="0"/>
              <w:jc w:val="center"/>
              <w:rPr>
                <w:color w:val="auto"/>
                <w:szCs w:val="21"/>
              </w:rPr>
            </w:pPr>
            <w:r>
              <w:rPr>
                <w:rFonts w:hint="eastAsia"/>
                <w:color w:val="auto"/>
                <w:szCs w:val="21"/>
              </w:rPr>
              <w:t>工程占地、土地利用、植被、土壤、水土流失、景观、生态敏感目标等</w:t>
            </w:r>
          </w:p>
        </w:tc>
      </w:tr>
      <w:tr w14:paraId="66C7738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5" w:hRule="atLeast"/>
          <w:jc w:val="center"/>
        </w:trPr>
        <w:tc>
          <w:tcPr>
            <w:tcW w:w="883" w:type="dxa"/>
            <w:vMerge w:val="continue"/>
            <w:vAlign w:val="center"/>
          </w:tcPr>
          <w:p w14:paraId="6664079A">
            <w:pPr>
              <w:widowControl/>
              <w:jc w:val="center"/>
              <w:rPr>
                <w:color w:val="auto"/>
                <w:kern w:val="0"/>
                <w:szCs w:val="21"/>
              </w:rPr>
            </w:pPr>
          </w:p>
        </w:tc>
        <w:tc>
          <w:tcPr>
            <w:tcW w:w="1217" w:type="dxa"/>
            <w:vMerge w:val="continue"/>
            <w:vAlign w:val="center"/>
          </w:tcPr>
          <w:p w14:paraId="641EA9C2">
            <w:pPr>
              <w:snapToGrid w:val="0"/>
              <w:jc w:val="center"/>
              <w:rPr>
                <w:color w:val="auto"/>
                <w:kern w:val="0"/>
                <w:szCs w:val="21"/>
              </w:rPr>
            </w:pPr>
          </w:p>
        </w:tc>
        <w:tc>
          <w:tcPr>
            <w:tcW w:w="1369" w:type="dxa"/>
            <w:vAlign w:val="center"/>
          </w:tcPr>
          <w:p w14:paraId="61036216">
            <w:pPr>
              <w:snapToGrid w:val="0"/>
              <w:jc w:val="center"/>
              <w:rPr>
                <w:color w:val="auto"/>
                <w:kern w:val="0"/>
                <w:szCs w:val="21"/>
              </w:rPr>
            </w:pPr>
            <w:r>
              <w:rPr>
                <w:rFonts w:hint="eastAsia"/>
                <w:color w:val="auto"/>
                <w:kern w:val="0"/>
                <w:szCs w:val="21"/>
              </w:rPr>
              <w:t>影响</w:t>
            </w:r>
            <w:r>
              <w:rPr>
                <w:color w:val="auto"/>
                <w:kern w:val="0"/>
                <w:szCs w:val="21"/>
              </w:rPr>
              <w:t>分析</w:t>
            </w:r>
          </w:p>
        </w:tc>
        <w:tc>
          <w:tcPr>
            <w:tcW w:w="5390" w:type="dxa"/>
            <w:vAlign w:val="center"/>
          </w:tcPr>
          <w:p w14:paraId="330FD473">
            <w:pPr>
              <w:snapToGrid w:val="0"/>
              <w:jc w:val="center"/>
              <w:rPr>
                <w:color w:val="auto"/>
                <w:spacing w:val="22"/>
                <w:kern w:val="0"/>
                <w:szCs w:val="21"/>
              </w:rPr>
            </w:pPr>
            <w:r>
              <w:rPr>
                <w:rFonts w:hint="eastAsia"/>
                <w:color w:val="auto"/>
                <w:szCs w:val="21"/>
              </w:rPr>
              <w:t>植被破坏、土地裸露、土壤污染、水土流失、生态功能变化等</w:t>
            </w:r>
          </w:p>
        </w:tc>
      </w:tr>
    </w:tbl>
    <w:p w14:paraId="15B9378B">
      <w:pPr>
        <w:adjustRightInd w:val="0"/>
        <w:snapToGrid w:val="0"/>
        <w:spacing w:line="500" w:lineRule="exact"/>
        <w:jc w:val="center"/>
        <w:rPr>
          <w:rFonts w:eastAsia="黑体"/>
          <w:color w:val="auto"/>
          <w:sz w:val="24"/>
          <w:szCs w:val="22"/>
          <w:lang w:val="zh-CN"/>
        </w:rPr>
      </w:pPr>
      <w:bookmarkStart w:id="48" w:name="_Toc119316791"/>
      <w:r>
        <w:rPr>
          <w:rFonts w:hint="eastAsia" w:eastAsia="黑体"/>
          <w:color w:val="auto"/>
          <w:sz w:val="24"/>
          <w:szCs w:val="22"/>
          <w:lang w:val="zh-CN"/>
        </w:rPr>
        <w:t>表</w:t>
      </w:r>
      <w:r>
        <w:rPr>
          <w:rFonts w:eastAsia="黑体"/>
          <w:color w:val="auto"/>
          <w:sz w:val="24"/>
          <w:szCs w:val="22"/>
          <w:lang w:val="zh-CN"/>
        </w:rPr>
        <w:t>2-4-3</w:t>
      </w:r>
      <w:r>
        <w:rPr>
          <w:rFonts w:hint="eastAsia" w:eastAsia="黑体"/>
          <w:color w:val="auto"/>
          <w:sz w:val="24"/>
          <w:szCs w:val="22"/>
          <w:lang w:val="zh-CN"/>
        </w:rPr>
        <w:t>生态影响评价因子筛选</w:t>
      </w:r>
    </w:p>
    <w:tbl>
      <w:tblPr>
        <w:tblStyle w:val="77"/>
        <w:tblW w:w="0" w:type="auto"/>
        <w:tblInd w:w="96"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48"/>
        <w:gridCol w:w="2472"/>
        <w:gridCol w:w="2156"/>
        <w:gridCol w:w="1360"/>
        <w:gridCol w:w="1047"/>
      </w:tblGrid>
      <w:tr w14:paraId="7AA403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32" w:hRule="atLeast"/>
        </w:trPr>
        <w:tc>
          <w:tcPr>
            <w:tcW w:w="1848" w:type="dxa"/>
            <w:vAlign w:val="center"/>
          </w:tcPr>
          <w:p w14:paraId="399C7225">
            <w:pPr>
              <w:snapToGrid w:val="0"/>
              <w:jc w:val="center"/>
              <w:rPr>
                <w:rFonts w:hint="eastAsia"/>
                <w:color w:val="auto"/>
                <w:kern w:val="0"/>
                <w:szCs w:val="21"/>
                <w:lang w:val="zh-CN"/>
              </w:rPr>
            </w:pPr>
            <w:r>
              <w:rPr>
                <w:rFonts w:hint="eastAsia"/>
                <w:color w:val="auto"/>
                <w:kern w:val="0"/>
                <w:szCs w:val="21"/>
                <w:lang w:val="en-US" w:eastAsia="zh-CN"/>
              </w:rPr>
              <w:t>受影响对象</w:t>
            </w:r>
          </w:p>
        </w:tc>
        <w:tc>
          <w:tcPr>
            <w:tcW w:w="2472" w:type="dxa"/>
            <w:vAlign w:val="center"/>
          </w:tcPr>
          <w:p w14:paraId="215F0107">
            <w:pPr>
              <w:snapToGrid w:val="0"/>
              <w:jc w:val="center"/>
              <w:rPr>
                <w:rFonts w:hint="eastAsia"/>
                <w:color w:val="auto"/>
                <w:kern w:val="0"/>
                <w:szCs w:val="21"/>
                <w:lang w:val="zh-CN"/>
              </w:rPr>
            </w:pPr>
            <w:r>
              <w:rPr>
                <w:rFonts w:hint="eastAsia"/>
                <w:color w:val="auto"/>
                <w:kern w:val="0"/>
                <w:szCs w:val="21"/>
                <w:lang w:val="en-US" w:eastAsia="zh-CN"/>
              </w:rPr>
              <w:t>评价因子</w:t>
            </w:r>
          </w:p>
        </w:tc>
        <w:tc>
          <w:tcPr>
            <w:tcW w:w="2156" w:type="dxa"/>
            <w:vAlign w:val="center"/>
          </w:tcPr>
          <w:p w14:paraId="638AAC9A">
            <w:pPr>
              <w:snapToGrid w:val="0"/>
              <w:jc w:val="center"/>
              <w:rPr>
                <w:rFonts w:hint="eastAsia"/>
                <w:color w:val="auto"/>
                <w:kern w:val="0"/>
                <w:szCs w:val="21"/>
                <w:lang w:val="zh-CN"/>
              </w:rPr>
            </w:pPr>
            <w:r>
              <w:rPr>
                <w:rFonts w:hint="eastAsia"/>
                <w:color w:val="auto"/>
                <w:kern w:val="0"/>
                <w:szCs w:val="21"/>
                <w:lang w:val="en-US" w:eastAsia="zh-CN"/>
              </w:rPr>
              <w:t>工程内容及影响方式</w:t>
            </w:r>
          </w:p>
        </w:tc>
        <w:tc>
          <w:tcPr>
            <w:tcW w:w="1360" w:type="dxa"/>
            <w:vAlign w:val="center"/>
          </w:tcPr>
          <w:p w14:paraId="3D899FF8">
            <w:pPr>
              <w:snapToGrid w:val="0"/>
              <w:jc w:val="center"/>
              <w:rPr>
                <w:rFonts w:hint="eastAsia"/>
                <w:color w:val="auto"/>
                <w:kern w:val="0"/>
                <w:szCs w:val="21"/>
                <w:lang w:val="zh-CN"/>
              </w:rPr>
            </w:pPr>
            <w:r>
              <w:rPr>
                <w:rFonts w:hint="eastAsia"/>
                <w:color w:val="auto"/>
                <w:kern w:val="0"/>
                <w:szCs w:val="21"/>
                <w:lang w:val="en-US" w:eastAsia="zh-CN"/>
              </w:rPr>
              <w:t>影响性质</w:t>
            </w:r>
          </w:p>
        </w:tc>
        <w:tc>
          <w:tcPr>
            <w:tcW w:w="1047" w:type="dxa"/>
            <w:vAlign w:val="center"/>
          </w:tcPr>
          <w:p w14:paraId="7A246AC5">
            <w:pPr>
              <w:snapToGrid w:val="0"/>
              <w:jc w:val="center"/>
              <w:rPr>
                <w:rFonts w:hint="eastAsia"/>
                <w:color w:val="auto"/>
                <w:kern w:val="0"/>
                <w:szCs w:val="21"/>
                <w:lang w:val="zh-CN"/>
              </w:rPr>
            </w:pPr>
            <w:r>
              <w:rPr>
                <w:rFonts w:hint="eastAsia"/>
                <w:color w:val="auto"/>
                <w:kern w:val="0"/>
                <w:szCs w:val="21"/>
                <w:lang w:val="en-US" w:eastAsia="zh-CN"/>
              </w:rPr>
              <w:t>影响程度</w:t>
            </w:r>
          </w:p>
        </w:tc>
      </w:tr>
      <w:tr w14:paraId="4FB0D9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848" w:type="dxa"/>
            <w:vAlign w:val="center"/>
          </w:tcPr>
          <w:p w14:paraId="4DEC1552">
            <w:pPr>
              <w:snapToGrid w:val="0"/>
              <w:jc w:val="center"/>
              <w:rPr>
                <w:rFonts w:hint="eastAsia"/>
                <w:color w:val="auto"/>
                <w:kern w:val="0"/>
                <w:szCs w:val="21"/>
                <w:lang w:val="zh-CN"/>
              </w:rPr>
            </w:pPr>
            <w:r>
              <w:rPr>
                <w:rFonts w:hint="eastAsia"/>
                <w:color w:val="auto"/>
                <w:kern w:val="0"/>
                <w:szCs w:val="21"/>
                <w:lang w:val="en-US" w:eastAsia="zh-CN"/>
              </w:rPr>
              <w:t>物种</w:t>
            </w:r>
          </w:p>
        </w:tc>
        <w:tc>
          <w:tcPr>
            <w:tcW w:w="2472" w:type="dxa"/>
            <w:vAlign w:val="center"/>
          </w:tcPr>
          <w:p w14:paraId="4365034F">
            <w:pPr>
              <w:snapToGrid w:val="0"/>
              <w:jc w:val="center"/>
              <w:rPr>
                <w:rFonts w:hint="eastAsia"/>
                <w:color w:val="auto"/>
                <w:kern w:val="0"/>
                <w:szCs w:val="21"/>
                <w:lang w:val="zh-CN"/>
              </w:rPr>
            </w:pPr>
            <w:r>
              <w:rPr>
                <w:rFonts w:hint="eastAsia"/>
                <w:color w:val="auto"/>
                <w:kern w:val="0"/>
                <w:szCs w:val="21"/>
                <w:lang w:val="en-US" w:eastAsia="zh-CN"/>
              </w:rPr>
              <w:t>分布范围、种群数量、种群 结构、行为等</w:t>
            </w:r>
          </w:p>
        </w:tc>
        <w:tc>
          <w:tcPr>
            <w:tcW w:w="2156" w:type="dxa"/>
            <w:vAlign w:val="center"/>
          </w:tcPr>
          <w:p w14:paraId="00CA2CFF">
            <w:pPr>
              <w:snapToGrid w:val="0"/>
              <w:jc w:val="center"/>
              <w:rPr>
                <w:rFonts w:hint="eastAsia"/>
                <w:color w:val="auto"/>
                <w:kern w:val="0"/>
                <w:szCs w:val="21"/>
                <w:lang w:val="zh-CN"/>
              </w:rPr>
            </w:pPr>
            <w:r>
              <w:rPr>
                <w:rFonts w:hint="eastAsia"/>
                <w:color w:val="auto"/>
                <w:kern w:val="0"/>
                <w:szCs w:val="21"/>
                <w:lang w:val="en-US" w:eastAsia="zh-CN"/>
              </w:rPr>
              <w:t>施工期的直接、间接 影响</w:t>
            </w:r>
          </w:p>
        </w:tc>
        <w:tc>
          <w:tcPr>
            <w:tcW w:w="1360" w:type="dxa"/>
            <w:vAlign w:val="center"/>
          </w:tcPr>
          <w:p w14:paraId="4527A049">
            <w:pPr>
              <w:snapToGrid w:val="0"/>
              <w:jc w:val="center"/>
              <w:rPr>
                <w:rFonts w:hint="eastAsia"/>
                <w:color w:val="auto"/>
                <w:kern w:val="0"/>
                <w:szCs w:val="21"/>
                <w:lang w:val="zh-CN"/>
              </w:rPr>
            </w:pPr>
            <w:r>
              <w:rPr>
                <w:rFonts w:hint="eastAsia"/>
                <w:color w:val="auto"/>
                <w:kern w:val="0"/>
                <w:szCs w:val="21"/>
                <w:lang w:val="en-US" w:eastAsia="zh-CN"/>
              </w:rPr>
              <w:t>短期、可逆</w:t>
            </w:r>
          </w:p>
        </w:tc>
        <w:tc>
          <w:tcPr>
            <w:tcW w:w="1047" w:type="dxa"/>
            <w:vAlign w:val="center"/>
          </w:tcPr>
          <w:p w14:paraId="30222FB2">
            <w:pPr>
              <w:snapToGrid w:val="0"/>
              <w:jc w:val="center"/>
              <w:rPr>
                <w:rFonts w:hint="eastAsia"/>
                <w:color w:val="auto"/>
                <w:kern w:val="0"/>
                <w:szCs w:val="21"/>
                <w:lang w:val="zh-CN"/>
              </w:rPr>
            </w:pPr>
            <w:r>
              <w:rPr>
                <w:rFonts w:hint="eastAsia"/>
                <w:color w:val="auto"/>
                <w:kern w:val="0"/>
                <w:szCs w:val="21"/>
                <w:lang w:val="en-US" w:eastAsia="zh-CN"/>
              </w:rPr>
              <w:t>弱</w:t>
            </w:r>
          </w:p>
        </w:tc>
      </w:tr>
      <w:tr w14:paraId="6F174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848" w:type="dxa"/>
            <w:vAlign w:val="center"/>
          </w:tcPr>
          <w:p w14:paraId="431D1EDC">
            <w:pPr>
              <w:snapToGrid w:val="0"/>
              <w:jc w:val="center"/>
              <w:rPr>
                <w:rFonts w:hint="eastAsia"/>
                <w:color w:val="auto"/>
                <w:kern w:val="0"/>
                <w:szCs w:val="21"/>
                <w:lang w:val="zh-CN"/>
              </w:rPr>
            </w:pPr>
            <w:r>
              <w:rPr>
                <w:rFonts w:hint="eastAsia"/>
                <w:color w:val="auto"/>
                <w:kern w:val="0"/>
                <w:szCs w:val="21"/>
                <w:lang w:val="en-US" w:eastAsia="zh-CN"/>
              </w:rPr>
              <w:t>生境</w:t>
            </w:r>
          </w:p>
        </w:tc>
        <w:tc>
          <w:tcPr>
            <w:tcW w:w="2472" w:type="dxa"/>
            <w:vAlign w:val="center"/>
          </w:tcPr>
          <w:p w14:paraId="00F88A33">
            <w:pPr>
              <w:snapToGrid w:val="0"/>
              <w:jc w:val="center"/>
              <w:rPr>
                <w:rFonts w:hint="eastAsia"/>
                <w:color w:val="auto"/>
                <w:kern w:val="0"/>
                <w:szCs w:val="21"/>
                <w:lang w:val="zh-CN"/>
              </w:rPr>
            </w:pPr>
            <w:r>
              <w:rPr>
                <w:rFonts w:hint="eastAsia"/>
                <w:color w:val="auto"/>
                <w:kern w:val="0"/>
                <w:szCs w:val="21"/>
                <w:lang w:val="en-US" w:eastAsia="zh-CN"/>
              </w:rPr>
              <w:t>生境面积、质量、连通性等</w:t>
            </w:r>
          </w:p>
        </w:tc>
        <w:tc>
          <w:tcPr>
            <w:tcW w:w="2156" w:type="dxa"/>
            <w:vAlign w:val="center"/>
          </w:tcPr>
          <w:p w14:paraId="40608522">
            <w:pPr>
              <w:snapToGrid w:val="0"/>
              <w:jc w:val="center"/>
              <w:rPr>
                <w:rFonts w:hint="eastAsia"/>
                <w:color w:val="auto"/>
                <w:kern w:val="0"/>
                <w:szCs w:val="21"/>
                <w:lang w:val="zh-CN"/>
              </w:rPr>
            </w:pPr>
            <w:r>
              <w:rPr>
                <w:rFonts w:hint="eastAsia"/>
                <w:color w:val="auto"/>
                <w:kern w:val="0"/>
                <w:szCs w:val="21"/>
                <w:lang w:val="en-US" w:eastAsia="zh-CN"/>
              </w:rPr>
              <w:t>施工期的间接影响</w:t>
            </w:r>
          </w:p>
        </w:tc>
        <w:tc>
          <w:tcPr>
            <w:tcW w:w="1360" w:type="dxa"/>
            <w:vAlign w:val="center"/>
          </w:tcPr>
          <w:p w14:paraId="1CED0B0E">
            <w:pPr>
              <w:snapToGrid w:val="0"/>
              <w:jc w:val="center"/>
              <w:rPr>
                <w:rFonts w:hint="eastAsia"/>
                <w:color w:val="auto"/>
                <w:kern w:val="0"/>
                <w:szCs w:val="21"/>
                <w:lang w:val="zh-CN"/>
              </w:rPr>
            </w:pPr>
            <w:r>
              <w:rPr>
                <w:rFonts w:hint="eastAsia"/>
                <w:color w:val="auto"/>
                <w:kern w:val="0"/>
                <w:szCs w:val="21"/>
                <w:lang w:val="en-US" w:eastAsia="zh-CN"/>
              </w:rPr>
              <w:t>短期、可逆</w:t>
            </w:r>
          </w:p>
        </w:tc>
        <w:tc>
          <w:tcPr>
            <w:tcW w:w="1047" w:type="dxa"/>
            <w:vAlign w:val="center"/>
          </w:tcPr>
          <w:p w14:paraId="101CBA1E">
            <w:pPr>
              <w:snapToGrid w:val="0"/>
              <w:jc w:val="center"/>
              <w:rPr>
                <w:rFonts w:hint="eastAsia"/>
                <w:color w:val="auto"/>
                <w:kern w:val="0"/>
                <w:szCs w:val="21"/>
                <w:lang w:val="zh-CN"/>
              </w:rPr>
            </w:pPr>
            <w:r>
              <w:rPr>
                <w:rFonts w:hint="eastAsia"/>
                <w:color w:val="auto"/>
                <w:kern w:val="0"/>
                <w:szCs w:val="21"/>
                <w:lang w:val="en-US" w:eastAsia="zh-CN"/>
              </w:rPr>
              <w:t>弱</w:t>
            </w:r>
          </w:p>
        </w:tc>
      </w:tr>
      <w:tr w14:paraId="1B3F44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848" w:type="dxa"/>
            <w:vAlign w:val="center"/>
          </w:tcPr>
          <w:p w14:paraId="3B34FEC0">
            <w:pPr>
              <w:snapToGrid w:val="0"/>
              <w:jc w:val="center"/>
              <w:rPr>
                <w:rFonts w:hint="eastAsia"/>
                <w:color w:val="auto"/>
                <w:kern w:val="0"/>
                <w:szCs w:val="21"/>
                <w:lang w:val="zh-CN"/>
              </w:rPr>
            </w:pPr>
            <w:r>
              <w:rPr>
                <w:rFonts w:hint="eastAsia"/>
                <w:color w:val="auto"/>
                <w:kern w:val="0"/>
                <w:szCs w:val="21"/>
                <w:lang w:val="en-US" w:eastAsia="zh-CN"/>
              </w:rPr>
              <w:t>生物群落</w:t>
            </w:r>
          </w:p>
        </w:tc>
        <w:tc>
          <w:tcPr>
            <w:tcW w:w="2472" w:type="dxa"/>
            <w:vAlign w:val="center"/>
          </w:tcPr>
          <w:p w14:paraId="7EC8B4C0">
            <w:pPr>
              <w:snapToGrid w:val="0"/>
              <w:jc w:val="center"/>
              <w:rPr>
                <w:rFonts w:hint="eastAsia"/>
                <w:color w:val="auto"/>
                <w:kern w:val="0"/>
                <w:szCs w:val="21"/>
                <w:lang w:val="zh-CN"/>
              </w:rPr>
            </w:pPr>
            <w:r>
              <w:rPr>
                <w:rFonts w:hint="eastAsia"/>
                <w:color w:val="auto"/>
                <w:kern w:val="0"/>
                <w:szCs w:val="21"/>
                <w:lang w:val="en-US" w:eastAsia="zh-CN"/>
              </w:rPr>
              <w:t>物种组成、群落结构等</w:t>
            </w:r>
          </w:p>
        </w:tc>
        <w:tc>
          <w:tcPr>
            <w:tcW w:w="2156" w:type="dxa"/>
            <w:vAlign w:val="center"/>
          </w:tcPr>
          <w:p w14:paraId="6C2C0291">
            <w:pPr>
              <w:snapToGrid w:val="0"/>
              <w:jc w:val="center"/>
              <w:rPr>
                <w:rFonts w:hint="eastAsia"/>
                <w:color w:val="auto"/>
                <w:kern w:val="0"/>
                <w:szCs w:val="21"/>
                <w:lang w:val="zh-CN"/>
              </w:rPr>
            </w:pPr>
            <w:r>
              <w:rPr>
                <w:rFonts w:hint="eastAsia"/>
                <w:color w:val="auto"/>
                <w:kern w:val="0"/>
                <w:szCs w:val="21"/>
                <w:lang w:val="en-US" w:eastAsia="zh-CN"/>
              </w:rPr>
              <w:t>施工期的间接影响</w:t>
            </w:r>
          </w:p>
        </w:tc>
        <w:tc>
          <w:tcPr>
            <w:tcW w:w="1360" w:type="dxa"/>
            <w:vAlign w:val="center"/>
          </w:tcPr>
          <w:p w14:paraId="51022131">
            <w:pPr>
              <w:snapToGrid w:val="0"/>
              <w:jc w:val="center"/>
              <w:rPr>
                <w:rFonts w:hint="eastAsia"/>
                <w:color w:val="auto"/>
                <w:kern w:val="0"/>
                <w:szCs w:val="21"/>
                <w:lang w:val="zh-CN"/>
              </w:rPr>
            </w:pPr>
            <w:r>
              <w:rPr>
                <w:rFonts w:hint="eastAsia"/>
                <w:color w:val="auto"/>
                <w:kern w:val="0"/>
                <w:szCs w:val="21"/>
                <w:lang w:val="en-US" w:eastAsia="zh-CN"/>
              </w:rPr>
              <w:t>短期、可逆</w:t>
            </w:r>
          </w:p>
        </w:tc>
        <w:tc>
          <w:tcPr>
            <w:tcW w:w="1047" w:type="dxa"/>
            <w:vAlign w:val="center"/>
          </w:tcPr>
          <w:p w14:paraId="691E451A">
            <w:pPr>
              <w:snapToGrid w:val="0"/>
              <w:jc w:val="center"/>
              <w:rPr>
                <w:rFonts w:hint="eastAsia"/>
                <w:color w:val="auto"/>
                <w:kern w:val="0"/>
                <w:szCs w:val="21"/>
                <w:lang w:val="zh-CN"/>
              </w:rPr>
            </w:pPr>
            <w:r>
              <w:rPr>
                <w:rFonts w:hint="eastAsia"/>
                <w:color w:val="auto"/>
                <w:kern w:val="0"/>
                <w:szCs w:val="21"/>
                <w:lang w:val="en-US" w:eastAsia="zh-CN"/>
              </w:rPr>
              <w:t>弱</w:t>
            </w:r>
          </w:p>
        </w:tc>
      </w:tr>
      <w:tr w14:paraId="2481D0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848" w:type="dxa"/>
            <w:vAlign w:val="center"/>
          </w:tcPr>
          <w:p w14:paraId="19ED70E5">
            <w:pPr>
              <w:snapToGrid w:val="0"/>
              <w:jc w:val="center"/>
              <w:rPr>
                <w:rFonts w:hint="eastAsia"/>
                <w:color w:val="auto"/>
                <w:kern w:val="0"/>
                <w:szCs w:val="21"/>
                <w:lang w:val="zh-CN"/>
              </w:rPr>
            </w:pPr>
            <w:r>
              <w:rPr>
                <w:rFonts w:hint="eastAsia"/>
                <w:color w:val="auto"/>
                <w:kern w:val="0"/>
                <w:szCs w:val="21"/>
                <w:lang w:val="en-US" w:eastAsia="zh-CN"/>
              </w:rPr>
              <w:t>生态系统</w:t>
            </w:r>
          </w:p>
        </w:tc>
        <w:tc>
          <w:tcPr>
            <w:tcW w:w="2472" w:type="dxa"/>
            <w:vAlign w:val="center"/>
          </w:tcPr>
          <w:p w14:paraId="4CD4A3DC">
            <w:pPr>
              <w:snapToGrid w:val="0"/>
              <w:jc w:val="center"/>
              <w:rPr>
                <w:rFonts w:hint="eastAsia"/>
                <w:color w:val="auto"/>
                <w:kern w:val="0"/>
                <w:szCs w:val="21"/>
                <w:lang w:val="zh-CN"/>
              </w:rPr>
            </w:pPr>
            <w:r>
              <w:rPr>
                <w:rFonts w:hint="eastAsia"/>
                <w:color w:val="auto"/>
                <w:kern w:val="0"/>
                <w:szCs w:val="21"/>
                <w:lang w:val="en-US" w:eastAsia="zh-CN"/>
              </w:rPr>
              <w:t>植被覆盖度、生产力、生物 量、生态系统功能等</w:t>
            </w:r>
          </w:p>
        </w:tc>
        <w:tc>
          <w:tcPr>
            <w:tcW w:w="2156" w:type="dxa"/>
            <w:vAlign w:val="center"/>
          </w:tcPr>
          <w:p w14:paraId="3DA9235D">
            <w:pPr>
              <w:snapToGrid w:val="0"/>
              <w:jc w:val="center"/>
              <w:rPr>
                <w:rFonts w:hint="eastAsia"/>
                <w:color w:val="auto"/>
                <w:kern w:val="0"/>
                <w:szCs w:val="21"/>
                <w:lang w:val="zh-CN"/>
              </w:rPr>
            </w:pPr>
            <w:r>
              <w:rPr>
                <w:rFonts w:hint="eastAsia"/>
                <w:color w:val="auto"/>
                <w:kern w:val="0"/>
                <w:szCs w:val="21"/>
                <w:lang w:val="en-US" w:eastAsia="zh-CN"/>
              </w:rPr>
              <w:t>施工期的直接影响</w:t>
            </w:r>
          </w:p>
        </w:tc>
        <w:tc>
          <w:tcPr>
            <w:tcW w:w="1360" w:type="dxa"/>
            <w:vAlign w:val="center"/>
          </w:tcPr>
          <w:p w14:paraId="4E0C1963">
            <w:pPr>
              <w:snapToGrid w:val="0"/>
              <w:jc w:val="center"/>
              <w:rPr>
                <w:rFonts w:hint="eastAsia"/>
                <w:color w:val="auto"/>
                <w:kern w:val="0"/>
                <w:szCs w:val="21"/>
                <w:lang w:val="zh-CN"/>
              </w:rPr>
            </w:pPr>
            <w:r>
              <w:rPr>
                <w:rFonts w:hint="eastAsia"/>
                <w:color w:val="auto"/>
                <w:kern w:val="0"/>
                <w:szCs w:val="21"/>
                <w:lang w:val="en-US" w:eastAsia="zh-CN"/>
              </w:rPr>
              <w:t>短期、可逆</w:t>
            </w:r>
          </w:p>
        </w:tc>
        <w:tc>
          <w:tcPr>
            <w:tcW w:w="1047" w:type="dxa"/>
            <w:vAlign w:val="center"/>
          </w:tcPr>
          <w:p w14:paraId="266AEA35">
            <w:pPr>
              <w:snapToGrid w:val="0"/>
              <w:jc w:val="center"/>
              <w:rPr>
                <w:rFonts w:hint="eastAsia"/>
                <w:color w:val="auto"/>
                <w:kern w:val="0"/>
                <w:szCs w:val="21"/>
                <w:lang w:val="zh-CN"/>
              </w:rPr>
            </w:pPr>
            <w:r>
              <w:rPr>
                <w:rFonts w:hint="eastAsia"/>
                <w:color w:val="auto"/>
                <w:kern w:val="0"/>
                <w:szCs w:val="21"/>
                <w:lang w:val="en-US" w:eastAsia="zh-CN"/>
              </w:rPr>
              <w:t>弱</w:t>
            </w:r>
          </w:p>
        </w:tc>
      </w:tr>
      <w:tr w14:paraId="0DA994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848" w:type="dxa"/>
            <w:vAlign w:val="center"/>
          </w:tcPr>
          <w:p w14:paraId="0EC571CF">
            <w:pPr>
              <w:snapToGrid w:val="0"/>
              <w:jc w:val="center"/>
              <w:rPr>
                <w:rFonts w:hint="eastAsia"/>
                <w:color w:val="auto"/>
                <w:kern w:val="0"/>
                <w:szCs w:val="21"/>
                <w:lang w:val="zh-CN"/>
              </w:rPr>
            </w:pPr>
            <w:r>
              <w:rPr>
                <w:rFonts w:hint="eastAsia"/>
                <w:color w:val="auto"/>
                <w:kern w:val="0"/>
                <w:szCs w:val="21"/>
                <w:lang w:val="en-US" w:eastAsia="zh-CN"/>
              </w:rPr>
              <w:t>生物多样性</w:t>
            </w:r>
          </w:p>
        </w:tc>
        <w:tc>
          <w:tcPr>
            <w:tcW w:w="2472" w:type="dxa"/>
            <w:vAlign w:val="center"/>
          </w:tcPr>
          <w:p w14:paraId="6476A534">
            <w:pPr>
              <w:snapToGrid w:val="0"/>
              <w:jc w:val="center"/>
              <w:rPr>
                <w:rFonts w:hint="eastAsia"/>
                <w:color w:val="auto"/>
                <w:kern w:val="0"/>
                <w:szCs w:val="21"/>
                <w:lang w:val="zh-CN"/>
              </w:rPr>
            </w:pPr>
            <w:r>
              <w:rPr>
                <w:rFonts w:hint="eastAsia"/>
                <w:color w:val="auto"/>
                <w:kern w:val="0"/>
                <w:szCs w:val="21"/>
                <w:lang w:val="en-US" w:eastAsia="zh-CN"/>
              </w:rPr>
              <w:t>物种丰富度、均匀度、优势 度等</w:t>
            </w:r>
          </w:p>
        </w:tc>
        <w:tc>
          <w:tcPr>
            <w:tcW w:w="2156" w:type="dxa"/>
            <w:vAlign w:val="center"/>
          </w:tcPr>
          <w:p w14:paraId="07BE309E">
            <w:pPr>
              <w:snapToGrid w:val="0"/>
              <w:jc w:val="center"/>
              <w:rPr>
                <w:rFonts w:hint="eastAsia"/>
                <w:color w:val="auto"/>
                <w:kern w:val="0"/>
                <w:szCs w:val="21"/>
                <w:lang w:val="zh-CN"/>
              </w:rPr>
            </w:pPr>
            <w:r>
              <w:rPr>
                <w:rFonts w:hint="eastAsia"/>
                <w:color w:val="auto"/>
                <w:kern w:val="0"/>
                <w:szCs w:val="21"/>
                <w:lang w:val="en-US" w:eastAsia="zh-CN"/>
              </w:rPr>
              <w:t>施工期的间接影响</w:t>
            </w:r>
          </w:p>
        </w:tc>
        <w:tc>
          <w:tcPr>
            <w:tcW w:w="1360" w:type="dxa"/>
            <w:vAlign w:val="center"/>
          </w:tcPr>
          <w:p w14:paraId="46C470DB">
            <w:pPr>
              <w:snapToGrid w:val="0"/>
              <w:jc w:val="center"/>
              <w:rPr>
                <w:rFonts w:hint="eastAsia"/>
                <w:color w:val="auto"/>
                <w:kern w:val="0"/>
                <w:szCs w:val="21"/>
                <w:lang w:val="zh-CN"/>
              </w:rPr>
            </w:pPr>
            <w:r>
              <w:rPr>
                <w:rFonts w:hint="eastAsia"/>
                <w:color w:val="auto"/>
                <w:kern w:val="0"/>
                <w:szCs w:val="21"/>
                <w:lang w:val="en-US" w:eastAsia="zh-CN"/>
              </w:rPr>
              <w:t>短期、可逆</w:t>
            </w:r>
          </w:p>
        </w:tc>
        <w:tc>
          <w:tcPr>
            <w:tcW w:w="1047" w:type="dxa"/>
            <w:vAlign w:val="center"/>
          </w:tcPr>
          <w:p w14:paraId="4AF512CA">
            <w:pPr>
              <w:snapToGrid w:val="0"/>
              <w:jc w:val="center"/>
              <w:rPr>
                <w:rFonts w:hint="eastAsia"/>
                <w:color w:val="auto"/>
                <w:kern w:val="0"/>
                <w:szCs w:val="21"/>
                <w:lang w:val="zh-CN"/>
              </w:rPr>
            </w:pPr>
            <w:r>
              <w:rPr>
                <w:rFonts w:hint="eastAsia"/>
                <w:color w:val="auto"/>
                <w:kern w:val="0"/>
                <w:szCs w:val="21"/>
                <w:lang w:val="en-US" w:eastAsia="zh-CN"/>
              </w:rPr>
              <w:t>弱</w:t>
            </w:r>
          </w:p>
        </w:tc>
      </w:tr>
      <w:tr w14:paraId="456C06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1848" w:type="dxa"/>
            <w:vAlign w:val="center"/>
          </w:tcPr>
          <w:p w14:paraId="40FB09C9">
            <w:pPr>
              <w:snapToGrid w:val="0"/>
              <w:jc w:val="center"/>
              <w:rPr>
                <w:rFonts w:hint="eastAsia"/>
                <w:color w:val="auto"/>
                <w:kern w:val="0"/>
                <w:szCs w:val="21"/>
                <w:lang w:val="zh-CN"/>
              </w:rPr>
            </w:pPr>
            <w:r>
              <w:rPr>
                <w:rFonts w:hint="eastAsia"/>
                <w:color w:val="auto"/>
                <w:kern w:val="0"/>
                <w:szCs w:val="21"/>
                <w:lang w:val="en-US" w:eastAsia="zh-CN"/>
              </w:rPr>
              <w:t>自然景观</w:t>
            </w:r>
          </w:p>
        </w:tc>
        <w:tc>
          <w:tcPr>
            <w:tcW w:w="2472" w:type="dxa"/>
            <w:vAlign w:val="center"/>
          </w:tcPr>
          <w:p w14:paraId="690FC134">
            <w:pPr>
              <w:snapToGrid w:val="0"/>
              <w:jc w:val="center"/>
              <w:rPr>
                <w:rFonts w:hint="eastAsia"/>
                <w:color w:val="auto"/>
                <w:kern w:val="0"/>
                <w:szCs w:val="21"/>
                <w:lang w:val="zh-CN"/>
              </w:rPr>
            </w:pPr>
            <w:r>
              <w:rPr>
                <w:rFonts w:hint="eastAsia"/>
                <w:color w:val="auto"/>
                <w:kern w:val="0"/>
                <w:szCs w:val="21"/>
                <w:lang w:val="en-US" w:eastAsia="zh-CN"/>
              </w:rPr>
              <w:t>景观多样性、完整性等</w:t>
            </w:r>
          </w:p>
        </w:tc>
        <w:tc>
          <w:tcPr>
            <w:tcW w:w="2156" w:type="dxa"/>
            <w:vAlign w:val="center"/>
          </w:tcPr>
          <w:p w14:paraId="28B8767A">
            <w:pPr>
              <w:snapToGrid w:val="0"/>
              <w:jc w:val="center"/>
              <w:rPr>
                <w:rFonts w:hint="eastAsia"/>
                <w:color w:val="auto"/>
                <w:kern w:val="0"/>
                <w:szCs w:val="21"/>
                <w:lang w:val="zh-CN"/>
              </w:rPr>
            </w:pPr>
          </w:p>
        </w:tc>
        <w:tc>
          <w:tcPr>
            <w:tcW w:w="1360" w:type="dxa"/>
            <w:vAlign w:val="center"/>
          </w:tcPr>
          <w:p w14:paraId="79492D73">
            <w:pPr>
              <w:snapToGrid w:val="0"/>
              <w:jc w:val="center"/>
              <w:rPr>
                <w:rFonts w:hint="eastAsia"/>
                <w:color w:val="auto"/>
                <w:kern w:val="0"/>
                <w:szCs w:val="21"/>
                <w:lang w:val="zh-CN"/>
              </w:rPr>
            </w:pPr>
          </w:p>
        </w:tc>
        <w:tc>
          <w:tcPr>
            <w:tcW w:w="1047" w:type="dxa"/>
            <w:vAlign w:val="center"/>
          </w:tcPr>
          <w:p w14:paraId="77903766">
            <w:pPr>
              <w:snapToGrid w:val="0"/>
              <w:jc w:val="center"/>
              <w:rPr>
                <w:rFonts w:hint="eastAsia"/>
                <w:color w:val="auto"/>
                <w:kern w:val="0"/>
                <w:szCs w:val="21"/>
                <w:lang w:val="zh-CN"/>
              </w:rPr>
            </w:pPr>
          </w:p>
        </w:tc>
      </w:tr>
      <w:tr w14:paraId="0D2FDF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1" w:hRule="atLeast"/>
        </w:trPr>
        <w:tc>
          <w:tcPr>
            <w:tcW w:w="1848" w:type="dxa"/>
            <w:vAlign w:val="center"/>
          </w:tcPr>
          <w:p w14:paraId="2D39791F">
            <w:pPr>
              <w:snapToGrid w:val="0"/>
              <w:jc w:val="center"/>
              <w:rPr>
                <w:rFonts w:hint="eastAsia"/>
                <w:color w:val="auto"/>
                <w:kern w:val="0"/>
                <w:szCs w:val="21"/>
                <w:lang w:val="zh-CN"/>
              </w:rPr>
            </w:pPr>
            <w:r>
              <w:rPr>
                <w:rFonts w:hint="eastAsia"/>
                <w:color w:val="auto"/>
                <w:kern w:val="0"/>
                <w:szCs w:val="21"/>
                <w:lang w:val="en-US" w:eastAsia="zh-CN"/>
              </w:rPr>
              <w:t>自然遗迹</w:t>
            </w:r>
          </w:p>
        </w:tc>
        <w:tc>
          <w:tcPr>
            <w:tcW w:w="2472" w:type="dxa"/>
            <w:vAlign w:val="center"/>
          </w:tcPr>
          <w:p w14:paraId="4DC529E0">
            <w:pPr>
              <w:snapToGrid w:val="0"/>
              <w:jc w:val="center"/>
              <w:rPr>
                <w:rFonts w:hint="eastAsia"/>
                <w:color w:val="auto"/>
                <w:kern w:val="0"/>
                <w:szCs w:val="21"/>
                <w:lang w:val="zh-CN"/>
              </w:rPr>
            </w:pPr>
            <w:r>
              <w:rPr>
                <w:rFonts w:hint="eastAsia"/>
                <w:color w:val="auto"/>
                <w:kern w:val="0"/>
                <w:szCs w:val="21"/>
                <w:lang w:val="en-US" w:eastAsia="zh-CN"/>
              </w:rPr>
              <w:t>遗迹多样性、完整性等</w:t>
            </w:r>
          </w:p>
        </w:tc>
        <w:tc>
          <w:tcPr>
            <w:tcW w:w="2156" w:type="dxa"/>
            <w:vAlign w:val="center"/>
          </w:tcPr>
          <w:p w14:paraId="12927825">
            <w:pPr>
              <w:snapToGrid w:val="0"/>
              <w:jc w:val="center"/>
              <w:rPr>
                <w:rFonts w:hint="eastAsia"/>
                <w:color w:val="auto"/>
                <w:kern w:val="0"/>
                <w:szCs w:val="21"/>
                <w:lang w:val="zh-CN"/>
              </w:rPr>
            </w:pPr>
          </w:p>
        </w:tc>
        <w:tc>
          <w:tcPr>
            <w:tcW w:w="1360" w:type="dxa"/>
            <w:vAlign w:val="center"/>
          </w:tcPr>
          <w:p w14:paraId="4C055584">
            <w:pPr>
              <w:snapToGrid w:val="0"/>
              <w:jc w:val="center"/>
              <w:rPr>
                <w:rFonts w:hint="eastAsia"/>
                <w:color w:val="auto"/>
                <w:kern w:val="0"/>
                <w:szCs w:val="21"/>
                <w:lang w:val="zh-CN"/>
              </w:rPr>
            </w:pPr>
          </w:p>
        </w:tc>
        <w:tc>
          <w:tcPr>
            <w:tcW w:w="1047" w:type="dxa"/>
            <w:vAlign w:val="center"/>
          </w:tcPr>
          <w:p w14:paraId="4E2A1DBF">
            <w:pPr>
              <w:snapToGrid w:val="0"/>
              <w:jc w:val="center"/>
              <w:rPr>
                <w:rFonts w:hint="eastAsia"/>
                <w:color w:val="auto"/>
                <w:kern w:val="0"/>
                <w:szCs w:val="21"/>
                <w:lang w:val="zh-CN"/>
              </w:rPr>
            </w:pPr>
          </w:p>
        </w:tc>
      </w:tr>
    </w:tbl>
    <w:p w14:paraId="1F4AA459">
      <w:pPr>
        <w:pStyle w:val="548"/>
        <w:rPr>
          <w:color w:val="auto"/>
        </w:rPr>
      </w:pPr>
      <w:bookmarkStart w:id="49" w:name="_Toc149054195"/>
      <w:r>
        <w:rPr>
          <w:color w:val="auto"/>
        </w:rPr>
        <w:t>2.5评价标准</w:t>
      </w:r>
      <w:bookmarkEnd w:id="47"/>
      <w:bookmarkEnd w:id="48"/>
      <w:bookmarkEnd w:id="49"/>
    </w:p>
    <w:p w14:paraId="447DF3A0">
      <w:pPr>
        <w:pStyle w:val="137"/>
        <w:rPr>
          <w:color w:val="auto"/>
        </w:rPr>
      </w:pPr>
      <w:r>
        <w:rPr>
          <w:color w:val="auto"/>
        </w:rPr>
        <w:t>2.5.1环境质量标准</w:t>
      </w:r>
    </w:p>
    <w:p w14:paraId="15287ADC">
      <w:pPr>
        <w:spacing w:line="500" w:lineRule="exact"/>
        <w:ind w:firstLine="480" w:firstLineChars="200"/>
        <w:rPr>
          <w:snapToGrid w:val="0"/>
          <w:color w:val="auto"/>
          <w:sz w:val="24"/>
          <w:szCs w:val="22"/>
        </w:rPr>
      </w:pPr>
      <w:r>
        <w:rPr>
          <w:rFonts w:hint="eastAsia"/>
          <w:snapToGrid w:val="0"/>
          <w:color w:val="auto"/>
          <w:sz w:val="24"/>
          <w:szCs w:val="22"/>
        </w:rPr>
        <w:t>（</w:t>
      </w:r>
      <w:r>
        <w:rPr>
          <w:snapToGrid w:val="0"/>
          <w:color w:val="auto"/>
          <w:sz w:val="24"/>
          <w:szCs w:val="22"/>
        </w:rPr>
        <w:t>1</w:t>
      </w:r>
      <w:r>
        <w:rPr>
          <w:rFonts w:hint="eastAsia"/>
          <w:snapToGrid w:val="0"/>
          <w:color w:val="auto"/>
          <w:sz w:val="24"/>
          <w:szCs w:val="22"/>
        </w:rPr>
        <w:t>）环境空气</w:t>
      </w:r>
    </w:p>
    <w:p w14:paraId="20301B7F">
      <w:pPr>
        <w:spacing w:line="500" w:lineRule="exact"/>
        <w:ind w:firstLine="480" w:firstLineChars="200"/>
        <w:rPr>
          <w:rFonts w:hint="eastAsia"/>
          <w:snapToGrid w:val="0"/>
          <w:color w:val="auto"/>
          <w:kern w:val="0"/>
          <w:sz w:val="24"/>
          <w:szCs w:val="22"/>
        </w:rPr>
      </w:pPr>
      <w:r>
        <w:rPr>
          <w:rFonts w:hint="eastAsia"/>
          <w:snapToGrid w:val="0"/>
          <w:color w:val="auto"/>
          <w:kern w:val="0"/>
          <w:sz w:val="24"/>
          <w:szCs w:val="22"/>
          <w:lang w:val="en-US" w:eastAsia="zh-CN"/>
        </w:rPr>
        <w:t>本项目所在区域二类区</w:t>
      </w:r>
      <w:r>
        <w:rPr>
          <w:rFonts w:hint="default"/>
          <w:snapToGrid w:val="0"/>
          <w:color w:val="auto"/>
          <w:kern w:val="0"/>
          <w:sz w:val="24"/>
          <w:szCs w:val="22"/>
          <w:lang w:val="en-US" w:eastAsia="zh-CN"/>
        </w:rPr>
        <w:t>NO</w:t>
      </w:r>
      <w:r>
        <w:rPr>
          <w:rFonts w:hint="default"/>
          <w:snapToGrid w:val="0"/>
          <w:color w:val="auto"/>
          <w:kern w:val="0"/>
          <w:sz w:val="24"/>
          <w:szCs w:val="22"/>
          <w:vertAlign w:val="subscript"/>
          <w:lang w:val="en-US" w:eastAsia="zh-CN"/>
        </w:rPr>
        <w:t>2</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SO</w:t>
      </w:r>
      <w:r>
        <w:rPr>
          <w:rFonts w:hint="default"/>
          <w:snapToGrid w:val="0"/>
          <w:color w:val="auto"/>
          <w:kern w:val="0"/>
          <w:sz w:val="24"/>
          <w:szCs w:val="22"/>
          <w:vertAlign w:val="subscript"/>
          <w:lang w:val="en-US" w:eastAsia="zh-CN"/>
        </w:rPr>
        <w:t>2</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PM</w:t>
      </w:r>
      <w:r>
        <w:rPr>
          <w:rFonts w:hint="default"/>
          <w:snapToGrid w:val="0"/>
          <w:color w:val="auto"/>
          <w:kern w:val="0"/>
          <w:sz w:val="24"/>
          <w:szCs w:val="22"/>
          <w:vertAlign w:val="subscript"/>
          <w:lang w:val="en-US" w:eastAsia="zh-CN"/>
        </w:rPr>
        <w:t>10</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PM</w:t>
      </w:r>
      <w:r>
        <w:rPr>
          <w:rFonts w:hint="default"/>
          <w:snapToGrid w:val="0"/>
          <w:color w:val="auto"/>
          <w:kern w:val="0"/>
          <w:sz w:val="24"/>
          <w:szCs w:val="22"/>
          <w:vertAlign w:val="subscript"/>
          <w:lang w:val="en-US" w:eastAsia="zh-CN"/>
        </w:rPr>
        <w:t>2.5</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CO</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O</w:t>
      </w:r>
      <w:r>
        <w:rPr>
          <w:rFonts w:hint="default"/>
          <w:snapToGrid w:val="0"/>
          <w:color w:val="auto"/>
          <w:kern w:val="0"/>
          <w:sz w:val="24"/>
          <w:szCs w:val="22"/>
          <w:vertAlign w:val="subscript"/>
          <w:lang w:val="en-US" w:eastAsia="zh-CN"/>
        </w:rPr>
        <w:t>3</w:t>
      </w:r>
      <w:r>
        <w:rPr>
          <w:rFonts w:hint="eastAsia"/>
          <w:snapToGrid w:val="0"/>
          <w:color w:val="auto"/>
          <w:kern w:val="0"/>
          <w:sz w:val="24"/>
          <w:szCs w:val="22"/>
          <w:lang w:val="en-US" w:eastAsia="zh-CN"/>
        </w:rPr>
        <w:t>执行《环境空气质量标准》（</w:t>
      </w:r>
      <w:r>
        <w:rPr>
          <w:rFonts w:hint="default"/>
          <w:snapToGrid w:val="0"/>
          <w:color w:val="auto"/>
          <w:kern w:val="0"/>
          <w:sz w:val="24"/>
          <w:szCs w:val="22"/>
          <w:lang w:val="en-US" w:eastAsia="zh-CN"/>
        </w:rPr>
        <w:t>GB 3095</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2026</w:t>
      </w:r>
      <w:r>
        <w:rPr>
          <w:rFonts w:hint="eastAsia"/>
          <w:snapToGrid w:val="0"/>
          <w:color w:val="auto"/>
          <w:kern w:val="0"/>
          <w:sz w:val="24"/>
          <w:szCs w:val="22"/>
          <w:lang w:val="en-US" w:eastAsia="zh-CN"/>
        </w:rPr>
        <w:t>）表</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中的过渡阶段二级标准浓度限值（执行至</w:t>
      </w:r>
      <w:r>
        <w:rPr>
          <w:rFonts w:hint="default"/>
          <w:snapToGrid w:val="0"/>
          <w:color w:val="auto"/>
          <w:kern w:val="0"/>
          <w:sz w:val="24"/>
          <w:szCs w:val="22"/>
          <w:lang w:val="en-US" w:eastAsia="zh-CN"/>
        </w:rPr>
        <w:t>2030</w:t>
      </w:r>
      <w:r>
        <w:rPr>
          <w:rFonts w:hint="eastAsia"/>
          <w:snapToGrid w:val="0"/>
          <w:color w:val="auto"/>
          <w:kern w:val="0"/>
          <w:sz w:val="24"/>
          <w:szCs w:val="22"/>
          <w:lang w:val="en-US" w:eastAsia="zh-CN"/>
        </w:rPr>
        <w:t>年</w:t>
      </w:r>
      <w:r>
        <w:rPr>
          <w:rFonts w:hint="default"/>
          <w:snapToGrid w:val="0"/>
          <w:color w:val="auto"/>
          <w:kern w:val="0"/>
          <w:sz w:val="24"/>
          <w:szCs w:val="22"/>
          <w:lang w:val="en-US" w:eastAsia="zh-CN"/>
        </w:rPr>
        <w:t>12</w:t>
      </w:r>
      <w:r>
        <w:rPr>
          <w:rFonts w:hint="eastAsia"/>
          <w:snapToGrid w:val="0"/>
          <w:color w:val="auto"/>
          <w:kern w:val="0"/>
          <w:sz w:val="24"/>
          <w:szCs w:val="22"/>
          <w:lang w:val="en-US" w:eastAsia="zh-CN"/>
        </w:rPr>
        <w:t>月</w:t>
      </w:r>
      <w:r>
        <w:rPr>
          <w:rFonts w:hint="default"/>
          <w:snapToGrid w:val="0"/>
          <w:color w:val="auto"/>
          <w:kern w:val="0"/>
          <w:sz w:val="24"/>
          <w:szCs w:val="22"/>
          <w:lang w:val="en-US" w:eastAsia="zh-CN"/>
        </w:rPr>
        <w:t>31</w:t>
      </w:r>
      <w:r>
        <w:rPr>
          <w:rFonts w:hint="eastAsia"/>
          <w:snapToGrid w:val="0"/>
          <w:color w:val="auto"/>
          <w:kern w:val="0"/>
          <w:sz w:val="24"/>
          <w:szCs w:val="22"/>
          <w:lang w:val="en-US" w:eastAsia="zh-CN"/>
        </w:rPr>
        <w:t>日）以及基本项目二级标准浓度限值（</w:t>
      </w:r>
      <w:r>
        <w:rPr>
          <w:rFonts w:hint="default"/>
          <w:snapToGrid w:val="0"/>
          <w:color w:val="auto"/>
          <w:kern w:val="0"/>
          <w:sz w:val="24"/>
          <w:szCs w:val="22"/>
          <w:lang w:val="en-US" w:eastAsia="zh-CN"/>
        </w:rPr>
        <w:t>2031</w:t>
      </w:r>
      <w:r>
        <w:rPr>
          <w:rFonts w:hint="eastAsia"/>
          <w:snapToGrid w:val="0"/>
          <w:color w:val="auto"/>
          <w:kern w:val="0"/>
          <w:sz w:val="24"/>
          <w:szCs w:val="22"/>
          <w:lang w:val="en-US" w:eastAsia="zh-CN"/>
        </w:rPr>
        <w:t>年</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月</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日起执行）；</w:t>
      </w:r>
      <w:r>
        <w:rPr>
          <w:rFonts w:hint="default"/>
          <w:snapToGrid w:val="0"/>
          <w:color w:val="auto"/>
          <w:kern w:val="0"/>
          <w:sz w:val="24"/>
          <w:szCs w:val="22"/>
          <w:lang w:val="en-US" w:eastAsia="zh-CN"/>
        </w:rPr>
        <w:t>TSP</w:t>
      </w:r>
      <w:r>
        <w:rPr>
          <w:rFonts w:hint="eastAsia"/>
          <w:snapToGrid w:val="0"/>
          <w:color w:val="auto"/>
          <w:kern w:val="0"/>
          <w:sz w:val="24"/>
          <w:szCs w:val="22"/>
          <w:lang w:val="en-US" w:eastAsia="zh-CN"/>
        </w:rPr>
        <w:t>执行《环境空气质量标准》（</w:t>
      </w:r>
      <w:r>
        <w:rPr>
          <w:rFonts w:hint="default"/>
          <w:snapToGrid w:val="0"/>
          <w:color w:val="auto"/>
          <w:kern w:val="0"/>
          <w:sz w:val="24"/>
          <w:szCs w:val="22"/>
          <w:lang w:val="en-US" w:eastAsia="zh-CN"/>
        </w:rPr>
        <w:t>GB 3095</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2026</w:t>
      </w:r>
      <w:r>
        <w:rPr>
          <w:rFonts w:hint="eastAsia"/>
          <w:snapToGrid w:val="0"/>
          <w:color w:val="auto"/>
          <w:kern w:val="0"/>
          <w:sz w:val="24"/>
          <w:szCs w:val="22"/>
          <w:lang w:val="en-US" w:eastAsia="zh-CN"/>
        </w:rPr>
        <w:t>）表</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中二级标准浓度限值；一类区</w:t>
      </w:r>
      <w:r>
        <w:rPr>
          <w:rFonts w:hint="default"/>
          <w:snapToGrid w:val="0"/>
          <w:color w:val="auto"/>
          <w:kern w:val="0"/>
          <w:sz w:val="24"/>
          <w:szCs w:val="22"/>
          <w:lang w:val="en-US" w:eastAsia="zh-CN"/>
        </w:rPr>
        <w:t>NO</w:t>
      </w:r>
      <w:r>
        <w:rPr>
          <w:rFonts w:hint="default"/>
          <w:snapToGrid w:val="0"/>
          <w:color w:val="auto"/>
          <w:kern w:val="0"/>
          <w:sz w:val="24"/>
          <w:szCs w:val="22"/>
          <w:vertAlign w:val="subscript"/>
          <w:lang w:val="en-US" w:eastAsia="zh-CN"/>
        </w:rPr>
        <w:t>2</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SO</w:t>
      </w:r>
      <w:r>
        <w:rPr>
          <w:rFonts w:hint="default"/>
          <w:snapToGrid w:val="0"/>
          <w:color w:val="auto"/>
          <w:kern w:val="0"/>
          <w:sz w:val="24"/>
          <w:szCs w:val="22"/>
          <w:vertAlign w:val="subscript"/>
          <w:lang w:val="en-US" w:eastAsia="zh-CN"/>
        </w:rPr>
        <w:t>2</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PM</w:t>
      </w:r>
      <w:r>
        <w:rPr>
          <w:rFonts w:hint="default"/>
          <w:snapToGrid w:val="0"/>
          <w:color w:val="auto"/>
          <w:kern w:val="0"/>
          <w:sz w:val="24"/>
          <w:szCs w:val="22"/>
          <w:vertAlign w:val="subscript"/>
          <w:lang w:val="en-US" w:eastAsia="zh-CN"/>
        </w:rPr>
        <w:t>10</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PM</w:t>
      </w:r>
      <w:r>
        <w:rPr>
          <w:rFonts w:hint="default"/>
          <w:snapToGrid w:val="0"/>
          <w:color w:val="auto"/>
          <w:kern w:val="0"/>
          <w:sz w:val="24"/>
          <w:szCs w:val="22"/>
          <w:vertAlign w:val="subscript"/>
          <w:lang w:val="en-US" w:eastAsia="zh-CN"/>
        </w:rPr>
        <w:t>2.5</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CO</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O</w:t>
      </w:r>
      <w:r>
        <w:rPr>
          <w:rFonts w:hint="default"/>
          <w:snapToGrid w:val="0"/>
          <w:color w:val="auto"/>
          <w:kern w:val="0"/>
          <w:sz w:val="24"/>
          <w:szCs w:val="22"/>
          <w:vertAlign w:val="subscript"/>
          <w:lang w:val="en-US" w:eastAsia="zh-CN"/>
        </w:rPr>
        <w:t>3</w:t>
      </w:r>
      <w:r>
        <w:rPr>
          <w:rFonts w:hint="eastAsia"/>
          <w:snapToGrid w:val="0"/>
          <w:color w:val="auto"/>
          <w:kern w:val="0"/>
          <w:sz w:val="24"/>
          <w:szCs w:val="22"/>
          <w:lang w:val="en-US" w:eastAsia="zh-CN"/>
        </w:rPr>
        <w:t>执行《环境空气质量标准》（</w:t>
      </w:r>
      <w:r>
        <w:rPr>
          <w:rFonts w:hint="default"/>
          <w:snapToGrid w:val="0"/>
          <w:color w:val="auto"/>
          <w:kern w:val="0"/>
          <w:sz w:val="24"/>
          <w:szCs w:val="22"/>
          <w:lang w:val="en-US" w:eastAsia="zh-CN"/>
        </w:rPr>
        <w:t>GB3095</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2026</w:t>
      </w:r>
      <w:r>
        <w:rPr>
          <w:rFonts w:hint="eastAsia"/>
          <w:snapToGrid w:val="0"/>
          <w:color w:val="auto"/>
          <w:kern w:val="0"/>
          <w:sz w:val="24"/>
          <w:szCs w:val="22"/>
          <w:lang w:val="en-US" w:eastAsia="zh-CN"/>
        </w:rPr>
        <w:t>）表</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中的过渡阶段一级标准浓度限值（执行至</w:t>
      </w:r>
      <w:r>
        <w:rPr>
          <w:rFonts w:hint="default"/>
          <w:snapToGrid w:val="0"/>
          <w:color w:val="auto"/>
          <w:kern w:val="0"/>
          <w:sz w:val="24"/>
          <w:szCs w:val="22"/>
          <w:lang w:val="en-US" w:eastAsia="zh-CN"/>
        </w:rPr>
        <w:t>2030</w:t>
      </w:r>
      <w:r>
        <w:rPr>
          <w:rFonts w:hint="eastAsia"/>
          <w:snapToGrid w:val="0"/>
          <w:color w:val="auto"/>
          <w:kern w:val="0"/>
          <w:sz w:val="24"/>
          <w:szCs w:val="22"/>
          <w:lang w:val="en-US" w:eastAsia="zh-CN"/>
        </w:rPr>
        <w:t>年</w:t>
      </w:r>
      <w:r>
        <w:rPr>
          <w:rFonts w:hint="default"/>
          <w:snapToGrid w:val="0"/>
          <w:color w:val="auto"/>
          <w:kern w:val="0"/>
          <w:sz w:val="24"/>
          <w:szCs w:val="22"/>
          <w:lang w:val="en-US" w:eastAsia="zh-CN"/>
        </w:rPr>
        <w:t>12</w:t>
      </w:r>
      <w:r>
        <w:rPr>
          <w:rFonts w:hint="eastAsia"/>
          <w:snapToGrid w:val="0"/>
          <w:color w:val="auto"/>
          <w:kern w:val="0"/>
          <w:sz w:val="24"/>
          <w:szCs w:val="22"/>
          <w:lang w:val="en-US" w:eastAsia="zh-CN"/>
        </w:rPr>
        <w:t>月</w:t>
      </w:r>
      <w:r>
        <w:rPr>
          <w:rFonts w:hint="default"/>
          <w:snapToGrid w:val="0"/>
          <w:color w:val="auto"/>
          <w:kern w:val="0"/>
          <w:sz w:val="24"/>
          <w:szCs w:val="22"/>
          <w:lang w:val="en-US" w:eastAsia="zh-CN"/>
        </w:rPr>
        <w:t>31</w:t>
      </w:r>
      <w:r>
        <w:rPr>
          <w:rFonts w:hint="eastAsia"/>
          <w:snapToGrid w:val="0"/>
          <w:color w:val="auto"/>
          <w:kern w:val="0"/>
          <w:sz w:val="24"/>
          <w:szCs w:val="22"/>
          <w:lang w:val="en-US" w:eastAsia="zh-CN"/>
        </w:rPr>
        <w:t>日）以及基本项目一级标准浓度限值（</w:t>
      </w:r>
      <w:r>
        <w:rPr>
          <w:rFonts w:hint="default"/>
          <w:snapToGrid w:val="0"/>
          <w:color w:val="auto"/>
          <w:kern w:val="0"/>
          <w:sz w:val="24"/>
          <w:szCs w:val="22"/>
          <w:lang w:val="en-US" w:eastAsia="zh-CN"/>
        </w:rPr>
        <w:t>2031</w:t>
      </w:r>
      <w:r>
        <w:rPr>
          <w:rFonts w:hint="eastAsia"/>
          <w:snapToGrid w:val="0"/>
          <w:color w:val="auto"/>
          <w:kern w:val="0"/>
          <w:sz w:val="24"/>
          <w:szCs w:val="22"/>
          <w:lang w:val="en-US" w:eastAsia="zh-CN"/>
        </w:rPr>
        <w:t>年</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月</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日起执行）；</w:t>
      </w:r>
      <w:r>
        <w:rPr>
          <w:rFonts w:hint="default"/>
          <w:snapToGrid w:val="0"/>
          <w:color w:val="auto"/>
          <w:kern w:val="0"/>
          <w:sz w:val="24"/>
          <w:szCs w:val="22"/>
          <w:lang w:val="en-US" w:eastAsia="zh-CN"/>
        </w:rPr>
        <w:t>TSP</w:t>
      </w:r>
      <w:r>
        <w:rPr>
          <w:rFonts w:hint="eastAsia"/>
          <w:snapToGrid w:val="0"/>
          <w:color w:val="auto"/>
          <w:kern w:val="0"/>
          <w:sz w:val="24"/>
          <w:szCs w:val="22"/>
          <w:lang w:val="en-US" w:eastAsia="zh-CN"/>
        </w:rPr>
        <w:t>执行《环境空气质量标准》（</w:t>
      </w:r>
      <w:r>
        <w:rPr>
          <w:rFonts w:hint="default"/>
          <w:snapToGrid w:val="0"/>
          <w:color w:val="auto"/>
          <w:kern w:val="0"/>
          <w:sz w:val="24"/>
          <w:szCs w:val="22"/>
          <w:lang w:val="en-US" w:eastAsia="zh-CN"/>
        </w:rPr>
        <w:t>GB 3095</w:t>
      </w:r>
      <w:r>
        <w:rPr>
          <w:rFonts w:hint="eastAsia"/>
          <w:snapToGrid w:val="0"/>
          <w:color w:val="auto"/>
          <w:kern w:val="0"/>
          <w:sz w:val="24"/>
          <w:szCs w:val="22"/>
          <w:lang w:val="en-US" w:eastAsia="zh-CN"/>
        </w:rPr>
        <w:t>—</w:t>
      </w:r>
      <w:r>
        <w:rPr>
          <w:rFonts w:hint="default"/>
          <w:snapToGrid w:val="0"/>
          <w:color w:val="auto"/>
          <w:kern w:val="0"/>
          <w:sz w:val="24"/>
          <w:szCs w:val="22"/>
          <w:lang w:val="en-US" w:eastAsia="zh-CN"/>
        </w:rPr>
        <w:t>2026</w:t>
      </w:r>
      <w:r>
        <w:rPr>
          <w:rFonts w:hint="eastAsia"/>
          <w:snapToGrid w:val="0"/>
          <w:color w:val="auto"/>
          <w:kern w:val="0"/>
          <w:sz w:val="24"/>
          <w:szCs w:val="22"/>
          <w:lang w:val="en-US" w:eastAsia="zh-CN"/>
        </w:rPr>
        <w:t>）表</w:t>
      </w:r>
      <w:r>
        <w:rPr>
          <w:rFonts w:hint="default"/>
          <w:snapToGrid w:val="0"/>
          <w:color w:val="auto"/>
          <w:kern w:val="0"/>
          <w:sz w:val="24"/>
          <w:szCs w:val="22"/>
          <w:lang w:val="en-US" w:eastAsia="zh-CN"/>
        </w:rPr>
        <w:t>1</w:t>
      </w:r>
      <w:r>
        <w:rPr>
          <w:rFonts w:hint="eastAsia"/>
          <w:snapToGrid w:val="0"/>
          <w:color w:val="auto"/>
          <w:kern w:val="0"/>
          <w:sz w:val="24"/>
          <w:szCs w:val="22"/>
          <w:lang w:val="en-US" w:eastAsia="zh-CN"/>
        </w:rPr>
        <w:t>中二级标准浓度限值</w:t>
      </w:r>
      <w:r>
        <w:rPr>
          <w:rFonts w:hint="eastAsia"/>
          <w:snapToGrid w:val="0"/>
          <w:color w:val="auto"/>
          <w:kern w:val="0"/>
          <w:sz w:val="24"/>
          <w:szCs w:val="22"/>
        </w:rPr>
        <w:t>。</w:t>
      </w:r>
    </w:p>
    <w:p w14:paraId="77B980FC">
      <w:pPr>
        <w:adjustRightInd w:val="0"/>
        <w:snapToGrid w:val="0"/>
        <w:spacing w:line="500" w:lineRule="exact"/>
        <w:jc w:val="center"/>
        <w:rPr>
          <w:rFonts w:eastAsia="黑体"/>
          <w:snapToGrid w:val="0"/>
          <w:color w:val="auto"/>
          <w:sz w:val="24"/>
          <w:szCs w:val="22"/>
          <w:lang w:val="zh-CN"/>
        </w:rPr>
      </w:pPr>
      <w:r>
        <w:rPr>
          <w:rFonts w:hint="eastAsia" w:eastAsia="黑体"/>
          <w:snapToGrid w:val="0"/>
          <w:color w:val="auto"/>
          <w:sz w:val="24"/>
          <w:szCs w:val="22"/>
          <w:lang w:val="zh-CN"/>
        </w:rPr>
        <w:t>表</w:t>
      </w:r>
      <w:r>
        <w:rPr>
          <w:rFonts w:eastAsia="黑体"/>
          <w:snapToGrid w:val="0"/>
          <w:color w:val="auto"/>
          <w:sz w:val="24"/>
          <w:szCs w:val="22"/>
          <w:lang w:val="zh-CN"/>
        </w:rPr>
        <w:t>2-5-1</w:t>
      </w:r>
      <w:r>
        <w:rPr>
          <w:rFonts w:hint="eastAsia" w:eastAsia="黑体"/>
          <w:snapToGrid w:val="0"/>
          <w:color w:val="auto"/>
          <w:sz w:val="24"/>
          <w:szCs w:val="22"/>
          <w:lang w:val="zh-CN"/>
        </w:rPr>
        <w:t>环境空气质量标准</w:t>
      </w:r>
    </w:p>
    <w:tbl>
      <w:tblPr>
        <w:tblStyle w:val="45"/>
        <w:tblW w:w="4971"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07"/>
        <w:gridCol w:w="2203"/>
        <w:gridCol w:w="825"/>
        <w:gridCol w:w="928"/>
        <w:gridCol w:w="1094"/>
        <w:gridCol w:w="852"/>
        <w:gridCol w:w="853"/>
        <w:gridCol w:w="852"/>
        <w:gridCol w:w="860"/>
      </w:tblGrid>
      <w:tr w14:paraId="7CFB3B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2" w:type="pct"/>
            <w:vMerge w:val="restart"/>
            <w:tcBorders>
              <w:top w:val="single" w:color="auto" w:sz="12" w:space="0"/>
              <w:left w:val="nil"/>
              <w:bottom w:val="single" w:color="auto" w:sz="4" w:space="0"/>
              <w:right w:val="single" w:color="auto" w:sz="4" w:space="0"/>
            </w:tcBorders>
            <w:vAlign w:val="center"/>
          </w:tcPr>
          <w:p w14:paraId="374DE021">
            <w:pPr>
              <w:adjustRightInd w:val="0"/>
              <w:snapToGrid w:val="0"/>
              <w:jc w:val="center"/>
              <w:rPr>
                <w:snapToGrid w:val="0"/>
                <w:color w:val="auto"/>
                <w:kern w:val="0"/>
                <w:szCs w:val="22"/>
                <w:lang w:val="zh-CN"/>
              </w:rPr>
            </w:pPr>
            <w:r>
              <w:rPr>
                <w:rFonts w:hint="eastAsia"/>
                <w:snapToGrid w:val="0"/>
                <w:color w:val="auto"/>
                <w:kern w:val="0"/>
                <w:szCs w:val="22"/>
                <w:lang w:val="zh-CN"/>
              </w:rPr>
              <w:t>环境</w:t>
            </w:r>
          </w:p>
          <w:p w14:paraId="1143202F">
            <w:pPr>
              <w:adjustRightInd w:val="0"/>
              <w:snapToGrid w:val="0"/>
              <w:jc w:val="center"/>
              <w:rPr>
                <w:snapToGrid w:val="0"/>
                <w:color w:val="auto"/>
                <w:kern w:val="0"/>
                <w:szCs w:val="22"/>
                <w:lang w:val="zh-CN"/>
              </w:rPr>
            </w:pPr>
            <w:r>
              <w:rPr>
                <w:rFonts w:hint="eastAsia"/>
                <w:snapToGrid w:val="0"/>
                <w:color w:val="auto"/>
                <w:kern w:val="0"/>
                <w:szCs w:val="22"/>
                <w:lang w:val="zh-CN"/>
              </w:rPr>
              <w:t>要素</w:t>
            </w:r>
          </w:p>
        </w:tc>
        <w:tc>
          <w:tcPr>
            <w:tcW w:w="1227" w:type="pct"/>
            <w:vMerge w:val="restart"/>
            <w:tcBorders>
              <w:top w:val="single" w:color="auto" w:sz="12" w:space="0"/>
              <w:left w:val="single" w:color="auto" w:sz="4" w:space="0"/>
              <w:bottom w:val="single" w:color="auto" w:sz="4" w:space="0"/>
              <w:right w:val="single" w:color="auto" w:sz="4" w:space="0"/>
            </w:tcBorders>
            <w:vAlign w:val="center"/>
          </w:tcPr>
          <w:p w14:paraId="7CAE295C">
            <w:pPr>
              <w:adjustRightInd w:val="0"/>
              <w:snapToGrid w:val="0"/>
              <w:jc w:val="center"/>
              <w:rPr>
                <w:snapToGrid w:val="0"/>
                <w:color w:val="auto"/>
                <w:kern w:val="0"/>
                <w:szCs w:val="22"/>
                <w:lang w:val="zh-CN"/>
              </w:rPr>
            </w:pPr>
            <w:r>
              <w:rPr>
                <w:rFonts w:hint="eastAsia"/>
                <w:snapToGrid w:val="0"/>
                <w:color w:val="auto"/>
                <w:kern w:val="0"/>
                <w:szCs w:val="22"/>
                <w:lang w:val="zh-CN"/>
              </w:rPr>
              <w:t>标准名称及级别</w:t>
            </w:r>
          </w:p>
        </w:tc>
        <w:tc>
          <w:tcPr>
            <w:tcW w:w="459" w:type="pct"/>
            <w:vMerge w:val="restart"/>
            <w:tcBorders>
              <w:top w:val="single" w:color="auto" w:sz="12" w:space="0"/>
              <w:left w:val="single" w:color="auto" w:sz="4" w:space="0"/>
              <w:bottom w:val="single" w:color="auto" w:sz="4" w:space="0"/>
              <w:right w:val="single" w:color="auto" w:sz="4" w:space="0"/>
            </w:tcBorders>
            <w:vAlign w:val="center"/>
          </w:tcPr>
          <w:p w14:paraId="78176042">
            <w:pPr>
              <w:adjustRightInd w:val="0"/>
              <w:snapToGrid w:val="0"/>
              <w:jc w:val="center"/>
              <w:rPr>
                <w:snapToGrid w:val="0"/>
                <w:color w:val="auto"/>
                <w:kern w:val="0"/>
                <w:szCs w:val="22"/>
                <w:lang w:val="zh-CN"/>
              </w:rPr>
            </w:pPr>
            <w:r>
              <w:rPr>
                <w:rFonts w:hint="eastAsia"/>
                <w:snapToGrid w:val="0"/>
                <w:color w:val="auto"/>
                <w:kern w:val="0"/>
                <w:szCs w:val="22"/>
                <w:lang w:val="zh-CN"/>
              </w:rPr>
              <w:t>项目</w:t>
            </w:r>
          </w:p>
        </w:tc>
        <w:tc>
          <w:tcPr>
            <w:tcW w:w="3030" w:type="pct"/>
            <w:gridSpan w:val="6"/>
            <w:tcBorders>
              <w:top w:val="single" w:color="auto" w:sz="12" w:space="0"/>
              <w:left w:val="single" w:color="auto" w:sz="4" w:space="0"/>
              <w:bottom w:val="single" w:color="auto" w:sz="4" w:space="0"/>
              <w:right w:val="nil"/>
            </w:tcBorders>
            <w:vAlign w:val="center"/>
          </w:tcPr>
          <w:p w14:paraId="57374013">
            <w:pPr>
              <w:adjustRightInd w:val="0"/>
              <w:snapToGrid w:val="0"/>
              <w:jc w:val="center"/>
              <w:rPr>
                <w:rFonts w:hint="eastAsia"/>
                <w:snapToGrid w:val="0"/>
                <w:color w:val="auto"/>
                <w:kern w:val="0"/>
                <w:szCs w:val="22"/>
                <w:lang w:val="zh-CN"/>
              </w:rPr>
            </w:pPr>
            <w:r>
              <w:rPr>
                <w:rFonts w:hint="eastAsia"/>
                <w:snapToGrid w:val="0"/>
                <w:color w:val="auto"/>
                <w:kern w:val="0"/>
                <w:szCs w:val="22"/>
                <w:lang w:val="zh-CN"/>
              </w:rPr>
              <w:t>标准值</w:t>
            </w:r>
          </w:p>
        </w:tc>
      </w:tr>
      <w:tr w14:paraId="1B03CD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82" w:type="pct"/>
            <w:vMerge w:val="continue"/>
            <w:tcBorders>
              <w:top w:val="single" w:color="auto" w:sz="12" w:space="0"/>
              <w:left w:val="nil"/>
              <w:bottom w:val="single" w:color="auto" w:sz="4" w:space="0"/>
              <w:right w:val="single" w:color="auto" w:sz="4" w:space="0"/>
            </w:tcBorders>
            <w:vAlign w:val="center"/>
          </w:tcPr>
          <w:p w14:paraId="3C5C392D">
            <w:pPr>
              <w:widowControl/>
              <w:jc w:val="left"/>
              <w:rPr>
                <w:snapToGrid w:val="0"/>
                <w:color w:val="auto"/>
                <w:kern w:val="0"/>
                <w:szCs w:val="22"/>
                <w:lang w:val="zh-CN"/>
              </w:rPr>
            </w:pPr>
          </w:p>
        </w:tc>
        <w:tc>
          <w:tcPr>
            <w:tcW w:w="1227" w:type="pct"/>
            <w:vMerge w:val="continue"/>
            <w:tcBorders>
              <w:top w:val="single" w:color="auto" w:sz="12" w:space="0"/>
              <w:left w:val="single" w:color="auto" w:sz="4" w:space="0"/>
              <w:bottom w:val="single" w:color="auto" w:sz="4" w:space="0"/>
              <w:right w:val="single" w:color="auto" w:sz="4" w:space="0"/>
            </w:tcBorders>
            <w:vAlign w:val="center"/>
          </w:tcPr>
          <w:p w14:paraId="1BDCEAF6">
            <w:pPr>
              <w:widowControl/>
              <w:jc w:val="left"/>
              <w:rPr>
                <w:snapToGrid w:val="0"/>
                <w:color w:val="auto"/>
                <w:kern w:val="0"/>
                <w:szCs w:val="22"/>
                <w:lang w:val="zh-CN"/>
              </w:rPr>
            </w:pPr>
          </w:p>
        </w:tc>
        <w:tc>
          <w:tcPr>
            <w:tcW w:w="459" w:type="pct"/>
            <w:vMerge w:val="continue"/>
            <w:tcBorders>
              <w:top w:val="single" w:color="auto" w:sz="12" w:space="0"/>
              <w:left w:val="single" w:color="auto" w:sz="4" w:space="0"/>
              <w:bottom w:val="single" w:color="auto" w:sz="4" w:space="0"/>
              <w:right w:val="single" w:color="auto" w:sz="4" w:space="0"/>
            </w:tcBorders>
            <w:vAlign w:val="center"/>
          </w:tcPr>
          <w:p w14:paraId="399DDACB">
            <w:pPr>
              <w:widowControl/>
              <w:jc w:val="left"/>
              <w:rPr>
                <w:snapToGrid w:val="0"/>
                <w:color w:val="auto"/>
                <w:kern w:val="0"/>
                <w:szCs w:val="22"/>
                <w:lang w:val="zh-CN"/>
              </w:rPr>
            </w:pPr>
          </w:p>
        </w:tc>
        <w:tc>
          <w:tcPr>
            <w:tcW w:w="1126" w:type="pct"/>
            <w:gridSpan w:val="2"/>
            <w:vMerge w:val="restart"/>
            <w:tcBorders>
              <w:top w:val="single" w:color="auto" w:sz="4" w:space="0"/>
              <w:left w:val="single" w:color="auto" w:sz="4" w:space="0"/>
              <w:right w:val="nil"/>
            </w:tcBorders>
            <w:vAlign w:val="center"/>
          </w:tcPr>
          <w:p w14:paraId="66A9AE08">
            <w:pPr>
              <w:adjustRightInd w:val="0"/>
              <w:snapToGrid w:val="0"/>
              <w:jc w:val="center"/>
              <w:rPr>
                <w:rFonts w:hint="eastAsia"/>
                <w:snapToGrid w:val="0"/>
                <w:color w:val="auto"/>
                <w:kern w:val="0"/>
                <w:szCs w:val="22"/>
                <w:lang w:val="zh-CN"/>
              </w:rPr>
            </w:pPr>
            <w:r>
              <w:rPr>
                <w:rFonts w:hint="eastAsia"/>
                <w:snapToGrid w:val="0"/>
                <w:color w:val="auto"/>
                <w:kern w:val="0"/>
                <w:szCs w:val="22"/>
                <w:lang w:val="zh-CN"/>
              </w:rPr>
              <w:t>单位</w:t>
            </w:r>
          </w:p>
        </w:tc>
        <w:tc>
          <w:tcPr>
            <w:tcW w:w="1903" w:type="pct"/>
            <w:gridSpan w:val="4"/>
            <w:tcBorders>
              <w:top w:val="single" w:color="auto" w:sz="4" w:space="0"/>
              <w:left w:val="single" w:color="auto" w:sz="4" w:space="0"/>
              <w:bottom w:val="single" w:color="auto" w:sz="4" w:space="0"/>
              <w:right w:val="nil"/>
            </w:tcBorders>
            <w:vAlign w:val="center"/>
          </w:tcPr>
          <w:p w14:paraId="17A4A64B">
            <w:pPr>
              <w:adjustRightInd w:val="0"/>
              <w:snapToGrid w:val="0"/>
              <w:jc w:val="center"/>
              <w:rPr>
                <w:rFonts w:hint="eastAsia"/>
                <w:snapToGrid w:val="0"/>
                <w:color w:val="auto"/>
                <w:kern w:val="0"/>
                <w:szCs w:val="22"/>
                <w:lang w:val="zh-CN"/>
              </w:rPr>
            </w:pPr>
            <w:r>
              <w:rPr>
                <w:rFonts w:hint="eastAsia"/>
                <w:snapToGrid w:val="0"/>
                <w:color w:val="auto"/>
                <w:kern w:val="0"/>
                <w:szCs w:val="22"/>
                <w:lang w:val="zh-CN"/>
              </w:rPr>
              <w:t>数值</w:t>
            </w:r>
          </w:p>
        </w:tc>
      </w:tr>
      <w:tr w14:paraId="51EA7A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82" w:type="pct"/>
            <w:vMerge w:val="continue"/>
            <w:tcBorders>
              <w:left w:val="nil"/>
              <w:bottom w:val="single" w:color="auto" w:sz="4" w:space="0"/>
              <w:right w:val="single" w:color="auto" w:sz="4" w:space="0"/>
            </w:tcBorders>
            <w:vAlign w:val="center"/>
          </w:tcPr>
          <w:p w14:paraId="5640066E">
            <w:pPr>
              <w:adjustRightInd w:val="0"/>
              <w:snapToGrid w:val="0"/>
              <w:jc w:val="center"/>
              <w:rPr>
                <w:color w:val="auto"/>
              </w:rPr>
            </w:pPr>
          </w:p>
        </w:tc>
        <w:tc>
          <w:tcPr>
            <w:tcW w:w="1227" w:type="pct"/>
            <w:vMerge w:val="continue"/>
            <w:tcBorders>
              <w:left w:val="single" w:color="auto" w:sz="4" w:space="0"/>
              <w:bottom w:val="single" w:color="auto" w:sz="4" w:space="0"/>
              <w:right w:val="single" w:color="auto" w:sz="4" w:space="0"/>
            </w:tcBorders>
            <w:vAlign w:val="center"/>
          </w:tcPr>
          <w:p w14:paraId="21C07CBC">
            <w:pPr>
              <w:adjustRightInd w:val="0"/>
              <w:snapToGrid w:val="0"/>
              <w:jc w:val="center"/>
              <w:rPr>
                <w:color w:val="auto"/>
              </w:rPr>
            </w:pPr>
          </w:p>
        </w:tc>
        <w:tc>
          <w:tcPr>
            <w:tcW w:w="459" w:type="pct"/>
            <w:vMerge w:val="continue"/>
            <w:tcBorders>
              <w:left w:val="single" w:color="auto" w:sz="4" w:space="0"/>
              <w:bottom w:val="single" w:color="auto" w:sz="4" w:space="0"/>
              <w:right w:val="single" w:color="auto" w:sz="4" w:space="0"/>
            </w:tcBorders>
            <w:vAlign w:val="center"/>
          </w:tcPr>
          <w:p w14:paraId="3054A988">
            <w:pPr>
              <w:adjustRightInd w:val="0"/>
              <w:snapToGrid w:val="0"/>
              <w:jc w:val="center"/>
              <w:rPr>
                <w:color w:val="auto"/>
              </w:rPr>
            </w:pPr>
          </w:p>
        </w:tc>
        <w:tc>
          <w:tcPr>
            <w:tcW w:w="1126" w:type="pct"/>
            <w:gridSpan w:val="2"/>
            <w:vMerge w:val="continue"/>
            <w:tcBorders>
              <w:left w:val="single" w:color="auto" w:sz="4" w:space="0"/>
              <w:bottom w:val="single" w:color="auto" w:sz="4" w:space="0"/>
              <w:right w:val="nil"/>
            </w:tcBorders>
            <w:vAlign w:val="center"/>
          </w:tcPr>
          <w:p w14:paraId="481EBA33">
            <w:pPr>
              <w:adjustRightInd w:val="0"/>
              <w:snapToGrid w:val="0"/>
              <w:jc w:val="center"/>
              <w:rPr>
                <w:rFonts w:hint="eastAsia"/>
                <w:snapToGrid w:val="0"/>
                <w:color w:val="auto"/>
                <w:kern w:val="0"/>
                <w:szCs w:val="22"/>
                <w:lang w:val="zh-CN"/>
              </w:rPr>
            </w:pPr>
          </w:p>
        </w:tc>
        <w:tc>
          <w:tcPr>
            <w:tcW w:w="949" w:type="pct"/>
            <w:gridSpan w:val="2"/>
            <w:tcBorders>
              <w:top w:val="single" w:color="auto" w:sz="4" w:space="0"/>
              <w:left w:val="single" w:color="auto" w:sz="4" w:space="0"/>
              <w:bottom w:val="single" w:color="auto" w:sz="4" w:space="0"/>
              <w:right w:val="nil"/>
            </w:tcBorders>
            <w:vAlign w:val="center"/>
          </w:tcPr>
          <w:p w14:paraId="0D652A75">
            <w:pPr>
              <w:adjustRightInd w:val="0"/>
              <w:snapToGrid w:val="0"/>
              <w:jc w:val="center"/>
              <w:rPr>
                <w:rFonts w:hint="eastAsia" w:eastAsia="宋体"/>
                <w:snapToGrid w:val="0"/>
                <w:color w:val="auto"/>
                <w:kern w:val="0"/>
                <w:szCs w:val="22"/>
                <w:lang w:val="en-US" w:eastAsia="zh-CN"/>
              </w:rPr>
            </w:pPr>
            <w:r>
              <w:rPr>
                <w:rFonts w:hint="eastAsia"/>
                <w:snapToGrid w:val="0"/>
                <w:color w:val="auto"/>
                <w:kern w:val="0"/>
                <w:szCs w:val="22"/>
                <w:lang w:val="en-US" w:eastAsia="zh-CN"/>
              </w:rPr>
              <w:t>过渡阶段浓度限值</w:t>
            </w:r>
          </w:p>
        </w:tc>
        <w:tc>
          <w:tcPr>
            <w:tcW w:w="953" w:type="pct"/>
            <w:gridSpan w:val="2"/>
            <w:tcBorders>
              <w:top w:val="single" w:color="auto" w:sz="4" w:space="0"/>
              <w:left w:val="single" w:color="auto" w:sz="4" w:space="0"/>
              <w:bottom w:val="single" w:color="auto" w:sz="4" w:space="0"/>
              <w:right w:val="nil"/>
            </w:tcBorders>
            <w:vAlign w:val="center"/>
          </w:tcPr>
          <w:p w14:paraId="4325F948">
            <w:pPr>
              <w:adjustRightInd w:val="0"/>
              <w:snapToGrid w:val="0"/>
              <w:jc w:val="center"/>
              <w:rPr>
                <w:rFonts w:hint="default" w:eastAsia="宋体"/>
                <w:snapToGrid w:val="0"/>
                <w:color w:val="auto"/>
                <w:kern w:val="0"/>
                <w:szCs w:val="22"/>
                <w:lang w:val="en-US" w:eastAsia="zh-CN"/>
              </w:rPr>
            </w:pPr>
            <w:r>
              <w:rPr>
                <w:rFonts w:hint="eastAsia"/>
                <w:snapToGrid w:val="0"/>
                <w:color w:val="auto"/>
                <w:kern w:val="0"/>
                <w:szCs w:val="22"/>
                <w:lang w:val="en-US" w:eastAsia="zh-CN"/>
              </w:rPr>
              <w:t>浓度限值</w:t>
            </w:r>
          </w:p>
        </w:tc>
      </w:tr>
      <w:tr w14:paraId="0767FC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90" w:hRule="atLeast"/>
        </w:trPr>
        <w:tc>
          <w:tcPr>
            <w:tcW w:w="282" w:type="pct"/>
            <w:vMerge w:val="continue"/>
            <w:tcBorders>
              <w:left w:val="nil"/>
              <w:bottom w:val="single" w:color="auto" w:sz="4" w:space="0"/>
              <w:right w:val="single" w:color="auto" w:sz="4" w:space="0"/>
            </w:tcBorders>
            <w:vAlign w:val="center"/>
          </w:tcPr>
          <w:p w14:paraId="1D5101C3">
            <w:pPr>
              <w:adjustRightInd w:val="0"/>
              <w:snapToGrid w:val="0"/>
              <w:jc w:val="center"/>
              <w:rPr>
                <w:color w:val="auto"/>
              </w:rPr>
            </w:pPr>
          </w:p>
        </w:tc>
        <w:tc>
          <w:tcPr>
            <w:tcW w:w="1227" w:type="pct"/>
            <w:vMerge w:val="continue"/>
            <w:tcBorders>
              <w:left w:val="single" w:color="auto" w:sz="4" w:space="0"/>
              <w:bottom w:val="single" w:color="auto" w:sz="4" w:space="0"/>
              <w:right w:val="single" w:color="auto" w:sz="4" w:space="0"/>
            </w:tcBorders>
            <w:vAlign w:val="center"/>
          </w:tcPr>
          <w:p w14:paraId="131CF329">
            <w:pPr>
              <w:adjustRightInd w:val="0"/>
              <w:snapToGrid w:val="0"/>
              <w:jc w:val="center"/>
              <w:rPr>
                <w:color w:val="auto"/>
              </w:rPr>
            </w:pPr>
          </w:p>
        </w:tc>
        <w:tc>
          <w:tcPr>
            <w:tcW w:w="459" w:type="pct"/>
            <w:vMerge w:val="continue"/>
            <w:tcBorders>
              <w:left w:val="single" w:color="auto" w:sz="4" w:space="0"/>
              <w:bottom w:val="single" w:color="auto" w:sz="4" w:space="0"/>
              <w:right w:val="single" w:color="auto" w:sz="4" w:space="0"/>
            </w:tcBorders>
            <w:vAlign w:val="center"/>
          </w:tcPr>
          <w:p w14:paraId="09497849">
            <w:pPr>
              <w:adjustRightInd w:val="0"/>
              <w:snapToGrid w:val="0"/>
              <w:jc w:val="center"/>
              <w:rPr>
                <w:color w:val="auto"/>
              </w:rPr>
            </w:pPr>
          </w:p>
        </w:tc>
        <w:tc>
          <w:tcPr>
            <w:tcW w:w="1126" w:type="pct"/>
            <w:gridSpan w:val="2"/>
            <w:vMerge w:val="continue"/>
            <w:tcBorders>
              <w:left w:val="single" w:color="auto" w:sz="4" w:space="0"/>
              <w:bottom w:val="single" w:color="auto" w:sz="4" w:space="0"/>
              <w:right w:val="nil"/>
            </w:tcBorders>
            <w:vAlign w:val="center"/>
          </w:tcPr>
          <w:p w14:paraId="5FFB3DD0">
            <w:pPr>
              <w:adjustRightInd w:val="0"/>
              <w:snapToGrid w:val="0"/>
              <w:jc w:val="center"/>
              <w:rPr>
                <w:color w:val="auto"/>
              </w:rPr>
            </w:pPr>
          </w:p>
        </w:tc>
        <w:tc>
          <w:tcPr>
            <w:tcW w:w="474" w:type="pct"/>
            <w:tcBorders>
              <w:top w:val="single" w:color="auto" w:sz="4" w:space="0"/>
              <w:left w:val="single" w:color="auto" w:sz="4" w:space="0"/>
              <w:bottom w:val="single" w:color="auto" w:sz="4" w:space="0"/>
              <w:right w:val="nil"/>
            </w:tcBorders>
            <w:vAlign w:val="center"/>
          </w:tcPr>
          <w:p w14:paraId="45D6148D">
            <w:pPr>
              <w:adjustRightInd w:val="0"/>
              <w:snapToGrid w:val="0"/>
              <w:jc w:val="center"/>
              <w:rPr>
                <w:rFonts w:hint="eastAsia" w:eastAsia="宋体"/>
                <w:snapToGrid w:val="0"/>
                <w:color w:val="auto"/>
                <w:kern w:val="0"/>
                <w:szCs w:val="22"/>
                <w:lang w:val="en-US" w:eastAsia="zh-CN"/>
              </w:rPr>
            </w:pPr>
            <w:r>
              <w:rPr>
                <w:rFonts w:hint="eastAsia"/>
                <w:snapToGrid w:val="0"/>
                <w:color w:val="auto"/>
                <w:kern w:val="0"/>
                <w:szCs w:val="22"/>
                <w:lang w:val="en-US" w:eastAsia="zh-CN"/>
              </w:rPr>
              <w:t>一级</w:t>
            </w:r>
          </w:p>
        </w:tc>
        <w:tc>
          <w:tcPr>
            <w:tcW w:w="475" w:type="pct"/>
            <w:tcBorders>
              <w:top w:val="single" w:color="auto" w:sz="4" w:space="0"/>
              <w:left w:val="single" w:color="auto" w:sz="4" w:space="0"/>
              <w:bottom w:val="single" w:color="auto" w:sz="4" w:space="0"/>
              <w:right w:val="nil"/>
            </w:tcBorders>
            <w:vAlign w:val="center"/>
          </w:tcPr>
          <w:p w14:paraId="1FC0FD15">
            <w:pPr>
              <w:adjustRightInd w:val="0"/>
              <w:snapToGrid w:val="0"/>
              <w:jc w:val="center"/>
              <w:rPr>
                <w:rFonts w:hint="eastAsia" w:eastAsia="宋体"/>
                <w:snapToGrid w:val="0"/>
                <w:color w:val="auto"/>
                <w:kern w:val="0"/>
                <w:szCs w:val="22"/>
                <w:lang w:val="en-US" w:eastAsia="zh-CN"/>
              </w:rPr>
            </w:pPr>
            <w:r>
              <w:rPr>
                <w:rFonts w:hint="eastAsia"/>
                <w:snapToGrid w:val="0"/>
                <w:color w:val="auto"/>
                <w:kern w:val="0"/>
                <w:szCs w:val="22"/>
                <w:lang w:val="en-US" w:eastAsia="zh-CN"/>
              </w:rPr>
              <w:t>二级</w:t>
            </w:r>
          </w:p>
        </w:tc>
        <w:tc>
          <w:tcPr>
            <w:tcW w:w="474" w:type="pct"/>
            <w:tcBorders>
              <w:top w:val="single" w:color="auto" w:sz="4" w:space="0"/>
              <w:left w:val="single" w:color="auto" w:sz="4" w:space="0"/>
              <w:bottom w:val="single" w:color="auto" w:sz="4" w:space="0"/>
              <w:right w:val="nil"/>
            </w:tcBorders>
            <w:vAlign w:val="center"/>
          </w:tcPr>
          <w:p w14:paraId="2BD223CD">
            <w:pPr>
              <w:adjustRightInd w:val="0"/>
              <w:snapToGrid w:val="0"/>
              <w:jc w:val="center"/>
              <w:rPr>
                <w:rFonts w:hint="eastAsia"/>
                <w:snapToGrid w:val="0"/>
                <w:color w:val="auto"/>
                <w:kern w:val="0"/>
                <w:szCs w:val="22"/>
                <w:lang w:val="zh-CN"/>
              </w:rPr>
            </w:pPr>
            <w:r>
              <w:rPr>
                <w:rFonts w:hint="eastAsia"/>
                <w:snapToGrid w:val="0"/>
                <w:color w:val="auto"/>
                <w:kern w:val="0"/>
                <w:szCs w:val="22"/>
                <w:lang w:val="en-US" w:eastAsia="zh-CN"/>
              </w:rPr>
              <w:t>一级</w:t>
            </w:r>
          </w:p>
        </w:tc>
        <w:tc>
          <w:tcPr>
            <w:tcW w:w="478" w:type="pct"/>
            <w:tcBorders>
              <w:top w:val="single" w:color="auto" w:sz="4" w:space="0"/>
              <w:left w:val="single" w:color="auto" w:sz="4" w:space="0"/>
              <w:bottom w:val="single" w:color="auto" w:sz="4" w:space="0"/>
              <w:right w:val="nil"/>
            </w:tcBorders>
            <w:vAlign w:val="center"/>
          </w:tcPr>
          <w:p w14:paraId="26889DAC">
            <w:pPr>
              <w:adjustRightInd w:val="0"/>
              <w:snapToGrid w:val="0"/>
              <w:jc w:val="center"/>
              <w:rPr>
                <w:rFonts w:hint="eastAsia"/>
                <w:snapToGrid w:val="0"/>
                <w:color w:val="auto"/>
                <w:kern w:val="0"/>
                <w:szCs w:val="22"/>
                <w:lang w:val="zh-CN"/>
              </w:rPr>
            </w:pPr>
            <w:r>
              <w:rPr>
                <w:rFonts w:hint="eastAsia"/>
                <w:snapToGrid w:val="0"/>
                <w:color w:val="auto"/>
                <w:kern w:val="0"/>
                <w:szCs w:val="22"/>
                <w:lang w:val="en-US" w:eastAsia="zh-CN"/>
              </w:rPr>
              <w:t>二级</w:t>
            </w:r>
          </w:p>
        </w:tc>
      </w:tr>
      <w:tr w14:paraId="3767A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1" w:hRule="atLeast"/>
        </w:trPr>
        <w:tc>
          <w:tcPr>
            <w:tcW w:w="282" w:type="pct"/>
            <w:vMerge w:val="restart"/>
            <w:tcBorders>
              <w:top w:val="single" w:color="auto" w:sz="4" w:space="0"/>
              <w:left w:val="nil"/>
              <w:bottom w:val="single" w:color="auto" w:sz="12" w:space="0"/>
              <w:right w:val="single" w:color="auto" w:sz="4" w:space="0"/>
            </w:tcBorders>
            <w:vAlign w:val="center"/>
          </w:tcPr>
          <w:p w14:paraId="45477FE6">
            <w:pPr>
              <w:adjustRightInd w:val="0"/>
              <w:snapToGrid w:val="0"/>
              <w:jc w:val="center"/>
              <w:rPr>
                <w:snapToGrid w:val="0"/>
                <w:color w:val="auto"/>
                <w:kern w:val="0"/>
                <w:szCs w:val="22"/>
                <w:lang w:val="zh-CN"/>
              </w:rPr>
            </w:pPr>
            <w:r>
              <w:rPr>
                <w:rFonts w:hint="eastAsia"/>
                <w:snapToGrid w:val="0"/>
                <w:color w:val="auto"/>
                <w:kern w:val="0"/>
                <w:szCs w:val="22"/>
                <w:lang w:val="zh-CN"/>
              </w:rPr>
              <w:t>环</w:t>
            </w:r>
          </w:p>
          <w:p w14:paraId="3362FF74">
            <w:pPr>
              <w:adjustRightInd w:val="0"/>
              <w:snapToGrid w:val="0"/>
              <w:jc w:val="center"/>
              <w:rPr>
                <w:snapToGrid w:val="0"/>
                <w:color w:val="auto"/>
                <w:kern w:val="0"/>
                <w:szCs w:val="22"/>
                <w:lang w:val="zh-CN"/>
              </w:rPr>
            </w:pPr>
            <w:r>
              <w:rPr>
                <w:rFonts w:hint="eastAsia"/>
                <w:snapToGrid w:val="0"/>
                <w:color w:val="auto"/>
                <w:kern w:val="0"/>
                <w:szCs w:val="22"/>
                <w:lang w:val="zh-CN"/>
              </w:rPr>
              <w:t>境</w:t>
            </w:r>
          </w:p>
          <w:p w14:paraId="782C50BB">
            <w:pPr>
              <w:adjustRightInd w:val="0"/>
              <w:snapToGrid w:val="0"/>
              <w:jc w:val="center"/>
              <w:rPr>
                <w:snapToGrid w:val="0"/>
                <w:color w:val="auto"/>
                <w:kern w:val="0"/>
                <w:szCs w:val="22"/>
                <w:lang w:val="zh-CN"/>
              </w:rPr>
            </w:pPr>
            <w:r>
              <w:rPr>
                <w:rFonts w:hint="eastAsia"/>
                <w:snapToGrid w:val="0"/>
                <w:color w:val="auto"/>
                <w:kern w:val="0"/>
                <w:szCs w:val="22"/>
                <w:lang w:val="zh-CN"/>
              </w:rPr>
              <w:t>空</w:t>
            </w:r>
          </w:p>
          <w:p w14:paraId="0D70D10C">
            <w:pPr>
              <w:adjustRightInd w:val="0"/>
              <w:snapToGrid w:val="0"/>
              <w:jc w:val="center"/>
              <w:rPr>
                <w:snapToGrid w:val="0"/>
                <w:color w:val="auto"/>
                <w:kern w:val="0"/>
                <w:szCs w:val="22"/>
                <w:lang w:val="zh-CN"/>
              </w:rPr>
            </w:pPr>
            <w:r>
              <w:rPr>
                <w:rFonts w:hint="eastAsia"/>
                <w:snapToGrid w:val="0"/>
                <w:color w:val="auto"/>
                <w:kern w:val="0"/>
                <w:szCs w:val="22"/>
                <w:lang w:val="zh-CN"/>
              </w:rPr>
              <w:t>气</w:t>
            </w:r>
          </w:p>
        </w:tc>
        <w:tc>
          <w:tcPr>
            <w:tcW w:w="1227" w:type="pct"/>
            <w:vMerge w:val="restart"/>
            <w:tcBorders>
              <w:top w:val="single" w:color="auto" w:sz="4" w:space="0"/>
              <w:left w:val="single" w:color="auto" w:sz="4" w:space="0"/>
              <w:bottom w:val="single" w:color="auto" w:sz="12" w:space="0"/>
              <w:right w:val="single" w:color="auto" w:sz="4" w:space="0"/>
            </w:tcBorders>
            <w:vAlign w:val="center"/>
          </w:tcPr>
          <w:p w14:paraId="5A930193">
            <w:pPr>
              <w:adjustRightInd w:val="0"/>
              <w:snapToGrid w:val="0"/>
              <w:rPr>
                <w:snapToGrid w:val="0"/>
                <w:color w:val="auto"/>
                <w:kern w:val="0"/>
                <w:szCs w:val="22"/>
                <w:lang w:val="zh-CN"/>
              </w:rPr>
            </w:pPr>
            <w:r>
              <w:rPr>
                <w:rFonts w:hint="eastAsia"/>
                <w:snapToGrid w:val="0"/>
                <w:color w:val="auto"/>
                <w:kern w:val="0"/>
                <w:szCs w:val="22"/>
                <w:lang w:val="zh-CN"/>
              </w:rPr>
              <w:t>《环境空气质量标准》（</w:t>
            </w:r>
            <w:r>
              <w:rPr>
                <w:snapToGrid w:val="0"/>
                <w:color w:val="auto"/>
                <w:kern w:val="0"/>
                <w:szCs w:val="22"/>
                <w:lang w:val="zh-CN"/>
              </w:rPr>
              <w:t>GB3095-20</w:t>
            </w:r>
            <w:r>
              <w:rPr>
                <w:rFonts w:hint="eastAsia"/>
                <w:snapToGrid w:val="0"/>
                <w:color w:val="auto"/>
                <w:kern w:val="0"/>
                <w:szCs w:val="22"/>
                <w:lang w:val="en-US" w:eastAsia="zh-CN"/>
              </w:rPr>
              <w:t>26</w:t>
            </w:r>
            <w:r>
              <w:rPr>
                <w:rFonts w:hint="eastAsia"/>
                <w:snapToGrid w:val="0"/>
                <w:color w:val="auto"/>
                <w:kern w:val="0"/>
                <w:szCs w:val="22"/>
                <w:lang w:val="zh-CN"/>
              </w:rPr>
              <w:t>）中二级标准</w:t>
            </w:r>
          </w:p>
        </w:tc>
        <w:tc>
          <w:tcPr>
            <w:tcW w:w="459" w:type="pct"/>
            <w:tcBorders>
              <w:top w:val="single" w:color="auto" w:sz="4" w:space="0"/>
              <w:left w:val="single" w:color="auto" w:sz="4" w:space="0"/>
              <w:bottom w:val="single" w:color="auto" w:sz="4" w:space="0"/>
              <w:right w:val="single" w:color="auto" w:sz="4" w:space="0"/>
            </w:tcBorders>
            <w:vAlign w:val="center"/>
          </w:tcPr>
          <w:p w14:paraId="5AD0BEE6">
            <w:pPr>
              <w:jc w:val="center"/>
              <w:rPr>
                <w:snapToGrid w:val="0"/>
                <w:color w:val="auto"/>
                <w:szCs w:val="22"/>
                <w:lang w:val="zh-CN"/>
              </w:rPr>
            </w:pPr>
            <w:r>
              <w:rPr>
                <w:snapToGrid w:val="0"/>
                <w:color w:val="auto"/>
                <w:szCs w:val="22"/>
                <w:lang w:val="zh-CN"/>
              </w:rPr>
              <w:t>PM</w:t>
            </w:r>
            <w:r>
              <w:rPr>
                <w:snapToGrid w:val="0"/>
                <w:color w:val="auto"/>
                <w:szCs w:val="22"/>
                <w:vertAlign w:val="subscript"/>
                <w:lang w:val="zh-CN"/>
              </w:rPr>
              <w:t>10</w:t>
            </w:r>
          </w:p>
        </w:tc>
        <w:tc>
          <w:tcPr>
            <w:tcW w:w="517" w:type="pct"/>
            <w:vMerge w:val="restart"/>
            <w:tcBorders>
              <w:top w:val="single" w:color="auto" w:sz="4" w:space="0"/>
              <w:left w:val="single" w:color="auto" w:sz="4" w:space="0"/>
              <w:bottom w:val="single" w:color="auto" w:sz="4" w:space="0"/>
              <w:right w:val="single" w:color="auto" w:sz="4" w:space="0"/>
            </w:tcBorders>
            <w:vAlign w:val="center"/>
          </w:tcPr>
          <w:p w14:paraId="5F40E316">
            <w:pPr>
              <w:jc w:val="center"/>
              <w:rPr>
                <w:snapToGrid w:val="0"/>
                <w:color w:val="auto"/>
                <w:szCs w:val="22"/>
                <w:lang w:val="zh-CN"/>
              </w:rPr>
            </w:pPr>
            <w:r>
              <w:rPr>
                <w:snapToGrid w:val="0"/>
                <w:color w:val="auto"/>
                <w:szCs w:val="22"/>
                <w:lang w:val="zh-CN"/>
              </w:rPr>
              <w:t>μg/m</w:t>
            </w:r>
            <w:r>
              <w:rPr>
                <w:snapToGrid w:val="0"/>
                <w:color w:val="auto"/>
                <w:szCs w:val="22"/>
                <w:vertAlign w:val="superscript"/>
                <w:lang w:val="zh-CN"/>
              </w:rPr>
              <w:t>3</w:t>
            </w:r>
          </w:p>
        </w:tc>
        <w:tc>
          <w:tcPr>
            <w:tcW w:w="609" w:type="pct"/>
            <w:tcBorders>
              <w:top w:val="single" w:color="auto" w:sz="4" w:space="0"/>
              <w:left w:val="single" w:color="auto" w:sz="4" w:space="0"/>
              <w:bottom w:val="single" w:color="auto" w:sz="4" w:space="0"/>
              <w:right w:val="single" w:color="auto" w:sz="4" w:space="0"/>
            </w:tcBorders>
            <w:vAlign w:val="center"/>
          </w:tcPr>
          <w:p w14:paraId="7AB4654A">
            <w:pPr>
              <w:jc w:val="center"/>
              <w:rPr>
                <w:rFonts w:hint="default" w:eastAsia="宋体"/>
                <w:snapToGrid w:val="0"/>
                <w:color w:val="auto"/>
                <w:szCs w:val="22"/>
                <w:lang w:val="en-US" w:eastAsia="zh-CN"/>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3AC213D3">
            <w:pPr>
              <w:jc w:val="center"/>
              <w:rPr>
                <w:rFonts w:hint="default" w:eastAsia="宋体"/>
                <w:snapToGrid w:val="0"/>
                <w:color w:val="auto"/>
                <w:szCs w:val="22"/>
                <w:lang w:val="en-US" w:eastAsia="zh-CN"/>
              </w:rPr>
            </w:pPr>
            <w:r>
              <w:rPr>
                <w:rFonts w:hint="eastAsia"/>
                <w:snapToGrid w:val="0"/>
                <w:color w:val="auto"/>
                <w:szCs w:val="22"/>
                <w:lang w:val="en-US" w:eastAsia="zh-CN"/>
              </w:rPr>
              <w:t>50</w:t>
            </w:r>
          </w:p>
        </w:tc>
        <w:tc>
          <w:tcPr>
            <w:tcW w:w="475" w:type="pct"/>
            <w:tcBorders>
              <w:top w:val="single" w:color="auto" w:sz="4" w:space="0"/>
              <w:left w:val="single" w:color="auto" w:sz="4" w:space="0"/>
              <w:bottom w:val="single" w:color="auto" w:sz="4" w:space="0"/>
              <w:right w:val="nil"/>
            </w:tcBorders>
            <w:vAlign w:val="center"/>
          </w:tcPr>
          <w:p w14:paraId="7217B397">
            <w:pPr>
              <w:jc w:val="center"/>
              <w:rPr>
                <w:rFonts w:hint="default"/>
                <w:snapToGrid w:val="0"/>
                <w:color w:val="auto"/>
                <w:szCs w:val="22"/>
                <w:lang w:val="en-US" w:eastAsia="zh-CN"/>
              </w:rPr>
            </w:pPr>
            <w:r>
              <w:rPr>
                <w:rFonts w:hint="eastAsia"/>
                <w:snapToGrid w:val="0"/>
                <w:color w:val="auto"/>
                <w:szCs w:val="22"/>
                <w:lang w:val="en-US" w:eastAsia="zh-CN"/>
              </w:rPr>
              <w:t>120</w:t>
            </w:r>
          </w:p>
        </w:tc>
        <w:tc>
          <w:tcPr>
            <w:tcW w:w="474" w:type="pct"/>
            <w:tcBorders>
              <w:top w:val="single" w:color="auto" w:sz="4" w:space="0"/>
              <w:left w:val="single" w:color="auto" w:sz="4" w:space="0"/>
              <w:bottom w:val="single" w:color="auto" w:sz="4" w:space="0"/>
              <w:right w:val="nil"/>
            </w:tcBorders>
            <w:vAlign w:val="center"/>
          </w:tcPr>
          <w:p w14:paraId="0B0CCBB9">
            <w:pPr>
              <w:jc w:val="center"/>
              <w:rPr>
                <w:rFonts w:hint="default"/>
                <w:snapToGrid w:val="0"/>
                <w:color w:val="auto"/>
                <w:szCs w:val="22"/>
                <w:lang w:val="en-US" w:eastAsia="zh-CN"/>
              </w:rPr>
            </w:pPr>
            <w:r>
              <w:rPr>
                <w:rFonts w:hint="eastAsia"/>
                <w:snapToGrid w:val="0"/>
                <w:color w:val="auto"/>
                <w:szCs w:val="22"/>
                <w:lang w:val="en-US" w:eastAsia="zh-CN"/>
              </w:rPr>
              <w:t>50</w:t>
            </w:r>
          </w:p>
        </w:tc>
        <w:tc>
          <w:tcPr>
            <w:tcW w:w="478" w:type="pct"/>
            <w:tcBorders>
              <w:top w:val="single" w:color="auto" w:sz="4" w:space="0"/>
              <w:left w:val="single" w:color="auto" w:sz="4" w:space="0"/>
              <w:bottom w:val="single" w:color="auto" w:sz="4" w:space="0"/>
              <w:right w:val="nil"/>
            </w:tcBorders>
            <w:vAlign w:val="center"/>
          </w:tcPr>
          <w:p w14:paraId="12431272">
            <w:pPr>
              <w:jc w:val="center"/>
              <w:rPr>
                <w:rFonts w:hint="default"/>
                <w:snapToGrid w:val="0"/>
                <w:color w:val="auto"/>
                <w:szCs w:val="22"/>
                <w:lang w:val="en-US" w:eastAsia="zh-CN"/>
              </w:rPr>
            </w:pPr>
            <w:r>
              <w:rPr>
                <w:rFonts w:hint="eastAsia"/>
                <w:snapToGrid w:val="0"/>
                <w:color w:val="auto"/>
                <w:szCs w:val="22"/>
                <w:lang w:val="en-US" w:eastAsia="zh-CN"/>
              </w:rPr>
              <w:t>100</w:t>
            </w:r>
          </w:p>
        </w:tc>
      </w:tr>
      <w:tr w14:paraId="4C92F0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82" w:type="pct"/>
            <w:vMerge w:val="continue"/>
            <w:tcBorders>
              <w:left w:val="nil"/>
              <w:right w:val="single" w:color="auto" w:sz="4" w:space="0"/>
            </w:tcBorders>
            <w:vAlign w:val="center"/>
          </w:tcPr>
          <w:p w14:paraId="335C09C0">
            <w:pPr>
              <w:adjustRightInd w:val="0"/>
              <w:snapToGrid w:val="0"/>
              <w:jc w:val="center"/>
              <w:rPr>
                <w:rFonts w:hint="eastAsia"/>
                <w:snapToGrid w:val="0"/>
                <w:color w:val="auto"/>
                <w:kern w:val="0"/>
                <w:szCs w:val="22"/>
                <w:lang w:val="zh-CN"/>
              </w:rPr>
            </w:pPr>
          </w:p>
        </w:tc>
        <w:tc>
          <w:tcPr>
            <w:tcW w:w="1227" w:type="pct"/>
            <w:vMerge w:val="continue"/>
            <w:tcBorders>
              <w:left w:val="single" w:color="auto" w:sz="4" w:space="0"/>
              <w:right w:val="single" w:color="auto" w:sz="4" w:space="0"/>
            </w:tcBorders>
            <w:vAlign w:val="center"/>
          </w:tcPr>
          <w:p w14:paraId="26ED21A1">
            <w:pPr>
              <w:adjustRightInd w:val="0"/>
              <w:snapToGrid w:val="0"/>
              <w:rPr>
                <w:rFonts w:hint="eastAsia"/>
                <w:snapToGrid w:val="0"/>
                <w:color w:val="auto"/>
                <w:kern w:val="0"/>
                <w:szCs w:val="22"/>
                <w:lang w:val="zh-CN"/>
              </w:rPr>
            </w:pPr>
          </w:p>
        </w:tc>
        <w:tc>
          <w:tcPr>
            <w:tcW w:w="459" w:type="pct"/>
            <w:tcBorders>
              <w:top w:val="single" w:color="auto" w:sz="4" w:space="0"/>
              <w:left w:val="single" w:color="auto" w:sz="4" w:space="0"/>
              <w:bottom w:val="single" w:color="auto" w:sz="4" w:space="0"/>
              <w:right w:val="single" w:color="auto" w:sz="4" w:space="0"/>
            </w:tcBorders>
            <w:vAlign w:val="center"/>
          </w:tcPr>
          <w:p w14:paraId="451581DC">
            <w:pPr>
              <w:jc w:val="center"/>
              <w:rPr>
                <w:rFonts w:hint="default" w:eastAsia="宋体"/>
                <w:snapToGrid w:val="0"/>
                <w:color w:val="auto"/>
                <w:szCs w:val="22"/>
                <w:lang w:val="en-US" w:eastAsia="zh-CN"/>
              </w:rPr>
            </w:pPr>
            <w:r>
              <w:rPr>
                <w:rFonts w:hint="eastAsia"/>
                <w:snapToGrid w:val="0"/>
                <w:color w:val="auto"/>
                <w:szCs w:val="22"/>
                <w:lang w:val="en-US" w:eastAsia="zh-CN"/>
              </w:rPr>
              <w:t>PM</w:t>
            </w:r>
            <w:r>
              <w:rPr>
                <w:rFonts w:hint="eastAsia"/>
                <w:snapToGrid w:val="0"/>
                <w:color w:val="auto"/>
                <w:szCs w:val="22"/>
                <w:vertAlign w:val="subscript"/>
                <w:lang w:val="en-US" w:eastAsia="zh-CN"/>
              </w:rPr>
              <w:t>2.5</w:t>
            </w:r>
          </w:p>
        </w:tc>
        <w:tc>
          <w:tcPr>
            <w:tcW w:w="517" w:type="pct"/>
            <w:vMerge w:val="continue"/>
            <w:tcBorders>
              <w:left w:val="single" w:color="auto" w:sz="4" w:space="0"/>
              <w:right w:val="single" w:color="auto" w:sz="4" w:space="0"/>
            </w:tcBorders>
            <w:vAlign w:val="center"/>
          </w:tcPr>
          <w:p w14:paraId="019F74B2">
            <w:pPr>
              <w:jc w:val="center"/>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7A6984A8">
            <w:pPr>
              <w:jc w:val="center"/>
              <w:rPr>
                <w:rFonts w:hint="eastAsia" w:ascii="Times New Roman" w:hAnsi="Times New Roman" w:eastAsia="宋体" w:cs="Times New Roman"/>
                <w:snapToGrid w:val="0"/>
                <w:color w:val="auto"/>
                <w:kern w:val="2"/>
                <w:sz w:val="21"/>
                <w:szCs w:val="22"/>
                <w:lang w:val="en-US" w:eastAsia="zh-CN" w:bidi="ar-SA"/>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06D4915F">
            <w:pPr>
              <w:jc w:val="center"/>
              <w:rPr>
                <w:rFonts w:hint="default"/>
                <w:snapToGrid w:val="0"/>
                <w:color w:val="auto"/>
                <w:szCs w:val="22"/>
                <w:lang w:val="en-US" w:eastAsia="zh-CN"/>
              </w:rPr>
            </w:pPr>
            <w:r>
              <w:rPr>
                <w:rFonts w:hint="eastAsia"/>
                <w:snapToGrid w:val="0"/>
                <w:color w:val="auto"/>
                <w:szCs w:val="22"/>
                <w:lang w:val="en-US" w:eastAsia="zh-CN"/>
              </w:rPr>
              <w:t>35</w:t>
            </w:r>
          </w:p>
        </w:tc>
        <w:tc>
          <w:tcPr>
            <w:tcW w:w="475" w:type="pct"/>
            <w:tcBorders>
              <w:top w:val="single" w:color="auto" w:sz="4" w:space="0"/>
              <w:left w:val="single" w:color="auto" w:sz="4" w:space="0"/>
              <w:bottom w:val="single" w:color="auto" w:sz="4" w:space="0"/>
              <w:right w:val="nil"/>
            </w:tcBorders>
            <w:vAlign w:val="center"/>
          </w:tcPr>
          <w:p w14:paraId="1E3B7D6C">
            <w:pPr>
              <w:jc w:val="center"/>
              <w:rPr>
                <w:rFonts w:hint="default"/>
                <w:snapToGrid w:val="0"/>
                <w:color w:val="auto"/>
                <w:szCs w:val="22"/>
                <w:lang w:val="en-US" w:eastAsia="zh-CN"/>
              </w:rPr>
            </w:pPr>
            <w:r>
              <w:rPr>
                <w:rFonts w:hint="eastAsia"/>
                <w:snapToGrid w:val="0"/>
                <w:color w:val="auto"/>
                <w:szCs w:val="22"/>
                <w:lang w:val="en-US" w:eastAsia="zh-CN"/>
              </w:rPr>
              <w:t>60</w:t>
            </w:r>
          </w:p>
        </w:tc>
        <w:tc>
          <w:tcPr>
            <w:tcW w:w="474" w:type="pct"/>
            <w:tcBorders>
              <w:top w:val="single" w:color="auto" w:sz="4" w:space="0"/>
              <w:left w:val="single" w:color="auto" w:sz="4" w:space="0"/>
              <w:bottom w:val="single" w:color="auto" w:sz="4" w:space="0"/>
              <w:right w:val="nil"/>
            </w:tcBorders>
            <w:vAlign w:val="center"/>
          </w:tcPr>
          <w:p w14:paraId="657FE7AC">
            <w:pPr>
              <w:jc w:val="center"/>
              <w:rPr>
                <w:rFonts w:hint="default"/>
                <w:snapToGrid w:val="0"/>
                <w:color w:val="auto"/>
                <w:szCs w:val="22"/>
                <w:lang w:val="en-US" w:eastAsia="zh-CN"/>
              </w:rPr>
            </w:pPr>
            <w:r>
              <w:rPr>
                <w:rFonts w:hint="eastAsia"/>
                <w:snapToGrid w:val="0"/>
                <w:color w:val="auto"/>
                <w:szCs w:val="22"/>
                <w:lang w:val="en-US" w:eastAsia="zh-CN"/>
              </w:rPr>
              <w:t>25</w:t>
            </w:r>
          </w:p>
        </w:tc>
        <w:tc>
          <w:tcPr>
            <w:tcW w:w="478" w:type="pct"/>
            <w:tcBorders>
              <w:top w:val="single" w:color="auto" w:sz="4" w:space="0"/>
              <w:left w:val="single" w:color="auto" w:sz="4" w:space="0"/>
              <w:bottom w:val="single" w:color="auto" w:sz="4" w:space="0"/>
              <w:right w:val="nil"/>
            </w:tcBorders>
            <w:vAlign w:val="center"/>
          </w:tcPr>
          <w:p w14:paraId="1223196D">
            <w:pPr>
              <w:jc w:val="center"/>
              <w:rPr>
                <w:rFonts w:hint="default"/>
                <w:snapToGrid w:val="0"/>
                <w:color w:val="auto"/>
                <w:szCs w:val="22"/>
                <w:lang w:val="en-US" w:eastAsia="zh-CN"/>
              </w:rPr>
            </w:pPr>
            <w:r>
              <w:rPr>
                <w:rFonts w:hint="eastAsia"/>
                <w:snapToGrid w:val="0"/>
                <w:color w:val="auto"/>
                <w:szCs w:val="22"/>
                <w:lang w:val="en-US" w:eastAsia="zh-CN"/>
              </w:rPr>
              <w:t>50</w:t>
            </w:r>
          </w:p>
        </w:tc>
      </w:tr>
      <w:tr w14:paraId="02AA10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6" w:hRule="atLeast"/>
        </w:trPr>
        <w:tc>
          <w:tcPr>
            <w:tcW w:w="282" w:type="pct"/>
            <w:vMerge w:val="continue"/>
            <w:tcBorders>
              <w:top w:val="single" w:color="auto" w:sz="4" w:space="0"/>
              <w:left w:val="nil"/>
              <w:bottom w:val="single" w:color="auto" w:sz="12" w:space="0"/>
              <w:right w:val="single" w:color="auto" w:sz="4" w:space="0"/>
            </w:tcBorders>
            <w:vAlign w:val="center"/>
          </w:tcPr>
          <w:p w14:paraId="0AA12B56">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382B8A57">
            <w:pPr>
              <w:widowControl/>
              <w:jc w:val="left"/>
              <w:rPr>
                <w:snapToGrid w:val="0"/>
                <w:color w:val="auto"/>
                <w:kern w:val="0"/>
                <w:szCs w:val="22"/>
                <w:lang w:val="zh-CN"/>
              </w:rPr>
            </w:pPr>
          </w:p>
        </w:tc>
        <w:tc>
          <w:tcPr>
            <w:tcW w:w="459" w:type="pct"/>
            <w:vMerge w:val="restart"/>
            <w:tcBorders>
              <w:top w:val="single" w:color="auto" w:sz="4" w:space="0"/>
              <w:left w:val="single" w:color="auto" w:sz="4" w:space="0"/>
              <w:bottom w:val="single" w:color="auto" w:sz="4" w:space="0"/>
              <w:right w:val="single" w:color="auto" w:sz="4" w:space="0"/>
            </w:tcBorders>
            <w:vAlign w:val="center"/>
          </w:tcPr>
          <w:p w14:paraId="6FF89977">
            <w:pPr>
              <w:adjustRightInd w:val="0"/>
              <w:snapToGrid w:val="0"/>
              <w:jc w:val="center"/>
              <w:rPr>
                <w:snapToGrid w:val="0"/>
                <w:color w:val="auto"/>
                <w:kern w:val="0"/>
                <w:szCs w:val="22"/>
                <w:lang w:val="zh-CN"/>
              </w:rPr>
            </w:pPr>
            <w:r>
              <w:rPr>
                <w:snapToGrid w:val="0"/>
                <w:color w:val="auto"/>
                <w:kern w:val="0"/>
                <w:szCs w:val="22"/>
              </w:rPr>
              <w:t>NO</w:t>
            </w:r>
            <w:r>
              <w:rPr>
                <w:snapToGrid w:val="0"/>
                <w:color w:val="auto"/>
                <w:kern w:val="0"/>
                <w:szCs w:val="22"/>
                <w:vertAlign w:val="subscript"/>
              </w:rPr>
              <w:t>2</w:t>
            </w: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7C3762D8">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326B7FA6">
            <w:pPr>
              <w:adjustRightInd w:val="0"/>
              <w:snapToGrid w:val="0"/>
              <w:jc w:val="center"/>
              <w:rPr>
                <w:snapToGrid w:val="0"/>
                <w:color w:val="auto"/>
                <w:kern w:val="0"/>
                <w:szCs w:val="22"/>
                <w:lang w:val="zh-CN"/>
              </w:rPr>
            </w:pPr>
            <w:r>
              <w:rPr>
                <w:snapToGrid w:val="0"/>
                <w:color w:val="auto"/>
                <w:szCs w:val="22"/>
                <w:lang w:val="zh-CN"/>
              </w:rPr>
              <w:t>1</w:t>
            </w:r>
            <w:r>
              <w:rPr>
                <w:rFonts w:hint="eastAsia"/>
                <w:snapToGrid w:val="0"/>
                <w:color w:val="auto"/>
                <w:szCs w:val="22"/>
                <w:lang w:val="zh-CN"/>
              </w:rPr>
              <w:t>小时平均</w:t>
            </w:r>
          </w:p>
        </w:tc>
        <w:tc>
          <w:tcPr>
            <w:tcW w:w="474" w:type="pct"/>
            <w:tcBorders>
              <w:top w:val="single" w:color="auto" w:sz="4" w:space="0"/>
              <w:left w:val="single" w:color="auto" w:sz="4" w:space="0"/>
              <w:bottom w:val="single" w:color="auto" w:sz="4" w:space="0"/>
              <w:right w:val="nil"/>
            </w:tcBorders>
            <w:vAlign w:val="center"/>
          </w:tcPr>
          <w:p w14:paraId="7D75013A">
            <w:pPr>
              <w:adjustRightInd w:val="0"/>
              <w:snapToGrid w:val="0"/>
              <w:jc w:val="center"/>
              <w:rPr>
                <w:rFonts w:hint="default" w:eastAsia="宋体"/>
                <w:snapToGrid w:val="0"/>
                <w:color w:val="auto"/>
                <w:kern w:val="0"/>
                <w:szCs w:val="22"/>
                <w:lang w:val="en-US" w:eastAsia="zh-CN"/>
              </w:rPr>
            </w:pPr>
            <w:r>
              <w:rPr>
                <w:rFonts w:hint="eastAsia"/>
                <w:snapToGrid w:val="0"/>
                <w:color w:val="auto"/>
                <w:szCs w:val="22"/>
                <w:lang w:val="en-US" w:eastAsia="zh-CN"/>
              </w:rPr>
              <w:t>200</w:t>
            </w:r>
          </w:p>
        </w:tc>
        <w:tc>
          <w:tcPr>
            <w:tcW w:w="475" w:type="pct"/>
            <w:tcBorders>
              <w:top w:val="single" w:color="auto" w:sz="4" w:space="0"/>
              <w:left w:val="single" w:color="auto" w:sz="4" w:space="0"/>
              <w:bottom w:val="single" w:color="auto" w:sz="4" w:space="0"/>
              <w:right w:val="nil"/>
            </w:tcBorders>
            <w:vAlign w:val="center"/>
          </w:tcPr>
          <w:p w14:paraId="13D4CCDC">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200</w:t>
            </w:r>
          </w:p>
        </w:tc>
        <w:tc>
          <w:tcPr>
            <w:tcW w:w="474" w:type="pct"/>
            <w:tcBorders>
              <w:top w:val="single" w:color="auto" w:sz="4" w:space="0"/>
              <w:left w:val="single" w:color="auto" w:sz="4" w:space="0"/>
              <w:bottom w:val="single" w:color="auto" w:sz="4" w:space="0"/>
              <w:right w:val="nil"/>
            </w:tcBorders>
            <w:vAlign w:val="center"/>
          </w:tcPr>
          <w:p w14:paraId="02BDEB44">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200</w:t>
            </w:r>
          </w:p>
        </w:tc>
        <w:tc>
          <w:tcPr>
            <w:tcW w:w="478" w:type="pct"/>
            <w:tcBorders>
              <w:top w:val="single" w:color="auto" w:sz="4" w:space="0"/>
              <w:left w:val="single" w:color="auto" w:sz="4" w:space="0"/>
              <w:bottom w:val="single" w:color="auto" w:sz="4" w:space="0"/>
              <w:right w:val="nil"/>
            </w:tcBorders>
            <w:vAlign w:val="center"/>
          </w:tcPr>
          <w:p w14:paraId="58398C94">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200</w:t>
            </w:r>
          </w:p>
        </w:tc>
      </w:tr>
      <w:tr w14:paraId="02338A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82" w:type="pct"/>
            <w:vMerge w:val="continue"/>
            <w:tcBorders>
              <w:top w:val="single" w:color="auto" w:sz="4" w:space="0"/>
              <w:left w:val="nil"/>
              <w:bottom w:val="single" w:color="auto" w:sz="12" w:space="0"/>
              <w:right w:val="single" w:color="auto" w:sz="4" w:space="0"/>
            </w:tcBorders>
            <w:vAlign w:val="center"/>
          </w:tcPr>
          <w:p w14:paraId="3F12E6A3">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6AA25230">
            <w:pPr>
              <w:widowControl/>
              <w:jc w:val="left"/>
              <w:rPr>
                <w:snapToGrid w:val="0"/>
                <w:color w:val="auto"/>
                <w:kern w:val="0"/>
                <w:szCs w:val="22"/>
                <w:lang w:val="zh-CN"/>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64BC7A8A">
            <w:pPr>
              <w:widowControl/>
              <w:jc w:val="left"/>
              <w:rPr>
                <w:snapToGrid w:val="0"/>
                <w:color w:val="auto"/>
                <w:kern w:val="0"/>
                <w:szCs w:val="22"/>
                <w:lang w:val="zh-CN"/>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5164B9D3">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6386694A">
            <w:pPr>
              <w:jc w:val="center"/>
              <w:rPr>
                <w:snapToGrid w:val="0"/>
                <w:color w:val="auto"/>
                <w:kern w:val="0"/>
                <w:szCs w:val="22"/>
                <w:lang w:val="zh-CN"/>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38203D6E">
            <w:pPr>
              <w:adjustRightInd w:val="0"/>
              <w:snapToGrid w:val="0"/>
              <w:jc w:val="center"/>
              <w:rPr>
                <w:snapToGrid w:val="0"/>
                <w:color w:val="auto"/>
                <w:kern w:val="0"/>
                <w:szCs w:val="22"/>
                <w:lang w:val="zh-CN"/>
              </w:rPr>
            </w:pPr>
            <w:r>
              <w:rPr>
                <w:rFonts w:hint="eastAsia"/>
                <w:snapToGrid w:val="0"/>
                <w:color w:val="auto"/>
                <w:szCs w:val="22"/>
                <w:lang w:val="en-US" w:eastAsia="zh-CN"/>
              </w:rPr>
              <w:t>80</w:t>
            </w:r>
          </w:p>
        </w:tc>
        <w:tc>
          <w:tcPr>
            <w:tcW w:w="475" w:type="pct"/>
            <w:tcBorders>
              <w:top w:val="single" w:color="auto" w:sz="4" w:space="0"/>
              <w:left w:val="single" w:color="auto" w:sz="4" w:space="0"/>
              <w:bottom w:val="single" w:color="auto" w:sz="4" w:space="0"/>
              <w:right w:val="nil"/>
            </w:tcBorders>
            <w:vAlign w:val="center"/>
          </w:tcPr>
          <w:p w14:paraId="01092150">
            <w:pPr>
              <w:adjustRightInd w:val="0"/>
              <w:snapToGrid w:val="0"/>
              <w:jc w:val="center"/>
              <w:rPr>
                <w:snapToGrid w:val="0"/>
                <w:color w:val="auto"/>
                <w:szCs w:val="22"/>
                <w:lang w:val="zh-CN"/>
              </w:rPr>
            </w:pPr>
            <w:r>
              <w:rPr>
                <w:rFonts w:hint="eastAsia"/>
                <w:snapToGrid w:val="0"/>
                <w:color w:val="auto"/>
                <w:szCs w:val="22"/>
                <w:lang w:val="en-US" w:eastAsia="zh-CN"/>
              </w:rPr>
              <w:t>80</w:t>
            </w:r>
          </w:p>
        </w:tc>
        <w:tc>
          <w:tcPr>
            <w:tcW w:w="474" w:type="pct"/>
            <w:tcBorders>
              <w:top w:val="single" w:color="auto" w:sz="4" w:space="0"/>
              <w:left w:val="single" w:color="auto" w:sz="4" w:space="0"/>
              <w:bottom w:val="single" w:color="auto" w:sz="4" w:space="0"/>
              <w:right w:val="nil"/>
            </w:tcBorders>
            <w:vAlign w:val="center"/>
          </w:tcPr>
          <w:p w14:paraId="166ED2C1">
            <w:pPr>
              <w:adjustRightInd w:val="0"/>
              <w:snapToGrid w:val="0"/>
              <w:jc w:val="center"/>
              <w:rPr>
                <w:snapToGrid w:val="0"/>
                <w:color w:val="auto"/>
                <w:szCs w:val="22"/>
                <w:lang w:val="zh-CN"/>
              </w:rPr>
            </w:pPr>
            <w:r>
              <w:rPr>
                <w:rFonts w:hint="eastAsia"/>
                <w:snapToGrid w:val="0"/>
                <w:color w:val="auto"/>
                <w:szCs w:val="22"/>
                <w:lang w:val="en-US" w:eastAsia="zh-CN"/>
              </w:rPr>
              <w:t>50</w:t>
            </w:r>
          </w:p>
        </w:tc>
        <w:tc>
          <w:tcPr>
            <w:tcW w:w="478" w:type="pct"/>
            <w:tcBorders>
              <w:top w:val="single" w:color="auto" w:sz="4" w:space="0"/>
              <w:left w:val="single" w:color="auto" w:sz="4" w:space="0"/>
              <w:bottom w:val="single" w:color="auto" w:sz="4" w:space="0"/>
              <w:right w:val="nil"/>
            </w:tcBorders>
            <w:vAlign w:val="center"/>
          </w:tcPr>
          <w:p w14:paraId="1A1AA8AF">
            <w:pPr>
              <w:adjustRightInd w:val="0"/>
              <w:snapToGrid w:val="0"/>
              <w:jc w:val="center"/>
              <w:rPr>
                <w:snapToGrid w:val="0"/>
                <w:color w:val="auto"/>
                <w:szCs w:val="22"/>
                <w:lang w:val="zh-CN"/>
              </w:rPr>
            </w:pPr>
            <w:r>
              <w:rPr>
                <w:rFonts w:hint="eastAsia"/>
                <w:snapToGrid w:val="0"/>
                <w:color w:val="auto"/>
                <w:szCs w:val="22"/>
                <w:lang w:val="en-US" w:eastAsia="zh-CN"/>
              </w:rPr>
              <w:t>50</w:t>
            </w:r>
          </w:p>
        </w:tc>
      </w:tr>
      <w:tr w14:paraId="168B75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3" w:hRule="atLeast"/>
        </w:trPr>
        <w:tc>
          <w:tcPr>
            <w:tcW w:w="282" w:type="pct"/>
            <w:vMerge w:val="continue"/>
            <w:tcBorders>
              <w:top w:val="single" w:color="auto" w:sz="4" w:space="0"/>
              <w:left w:val="nil"/>
              <w:bottom w:val="single" w:color="auto" w:sz="12" w:space="0"/>
              <w:right w:val="single" w:color="auto" w:sz="4" w:space="0"/>
            </w:tcBorders>
            <w:vAlign w:val="center"/>
          </w:tcPr>
          <w:p w14:paraId="7203AB78">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50F5242D">
            <w:pPr>
              <w:widowControl/>
              <w:jc w:val="left"/>
              <w:rPr>
                <w:snapToGrid w:val="0"/>
                <w:color w:val="auto"/>
                <w:kern w:val="0"/>
                <w:szCs w:val="22"/>
                <w:lang w:val="zh-CN"/>
              </w:rPr>
            </w:pPr>
          </w:p>
        </w:tc>
        <w:tc>
          <w:tcPr>
            <w:tcW w:w="459" w:type="pct"/>
            <w:vMerge w:val="restart"/>
            <w:tcBorders>
              <w:top w:val="single" w:color="auto" w:sz="4" w:space="0"/>
              <w:left w:val="single" w:color="auto" w:sz="4" w:space="0"/>
              <w:bottom w:val="single" w:color="auto" w:sz="4" w:space="0"/>
              <w:right w:val="single" w:color="auto" w:sz="4" w:space="0"/>
            </w:tcBorders>
            <w:vAlign w:val="center"/>
          </w:tcPr>
          <w:p w14:paraId="7ECBFF20">
            <w:pPr>
              <w:jc w:val="center"/>
              <w:rPr>
                <w:snapToGrid w:val="0"/>
                <w:color w:val="auto"/>
                <w:szCs w:val="22"/>
                <w:lang w:val="zh-CN"/>
              </w:rPr>
            </w:pPr>
            <w:r>
              <w:rPr>
                <w:snapToGrid w:val="0"/>
                <w:color w:val="auto"/>
                <w:szCs w:val="22"/>
                <w:lang w:val="zh-CN"/>
              </w:rPr>
              <w:t>SO</w:t>
            </w:r>
            <w:r>
              <w:rPr>
                <w:snapToGrid w:val="0"/>
                <w:color w:val="auto"/>
                <w:szCs w:val="22"/>
                <w:vertAlign w:val="subscript"/>
                <w:lang w:val="zh-CN"/>
              </w:rPr>
              <w:t>2</w:t>
            </w: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16BCB3FC">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5EAA5572">
            <w:pPr>
              <w:jc w:val="center"/>
              <w:rPr>
                <w:snapToGrid w:val="0"/>
                <w:color w:val="auto"/>
                <w:szCs w:val="22"/>
                <w:lang w:val="zh-CN"/>
              </w:rPr>
            </w:pPr>
            <w:r>
              <w:rPr>
                <w:snapToGrid w:val="0"/>
                <w:color w:val="auto"/>
                <w:szCs w:val="22"/>
                <w:lang w:val="zh-CN"/>
              </w:rPr>
              <w:t>1</w:t>
            </w:r>
            <w:r>
              <w:rPr>
                <w:rFonts w:hint="eastAsia"/>
                <w:snapToGrid w:val="0"/>
                <w:color w:val="auto"/>
                <w:szCs w:val="22"/>
                <w:lang w:val="zh-CN"/>
              </w:rPr>
              <w:t>小时平均</w:t>
            </w:r>
          </w:p>
        </w:tc>
        <w:tc>
          <w:tcPr>
            <w:tcW w:w="474" w:type="pct"/>
            <w:tcBorders>
              <w:top w:val="single" w:color="auto" w:sz="4" w:space="0"/>
              <w:left w:val="single" w:color="auto" w:sz="4" w:space="0"/>
              <w:bottom w:val="single" w:color="auto" w:sz="4" w:space="0"/>
              <w:right w:val="nil"/>
            </w:tcBorders>
            <w:vAlign w:val="center"/>
          </w:tcPr>
          <w:p w14:paraId="4423C15C">
            <w:pPr>
              <w:jc w:val="center"/>
              <w:rPr>
                <w:rFonts w:hint="default" w:eastAsia="宋体"/>
                <w:snapToGrid w:val="0"/>
                <w:color w:val="auto"/>
                <w:szCs w:val="22"/>
                <w:lang w:val="en-US" w:eastAsia="zh-CN"/>
              </w:rPr>
            </w:pPr>
            <w:r>
              <w:rPr>
                <w:rFonts w:hint="eastAsia"/>
                <w:snapToGrid w:val="0"/>
                <w:color w:val="auto"/>
                <w:szCs w:val="22"/>
                <w:lang w:val="en-US" w:eastAsia="zh-CN"/>
              </w:rPr>
              <w:t>150</w:t>
            </w:r>
          </w:p>
        </w:tc>
        <w:tc>
          <w:tcPr>
            <w:tcW w:w="475" w:type="pct"/>
            <w:tcBorders>
              <w:top w:val="single" w:color="auto" w:sz="4" w:space="0"/>
              <w:left w:val="single" w:color="auto" w:sz="4" w:space="0"/>
              <w:bottom w:val="single" w:color="auto" w:sz="4" w:space="0"/>
              <w:right w:val="nil"/>
            </w:tcBorders>
            <w:vAlign w:val="center"/>
          </w:tcPr>
          <w:p w14:paraId="27297536">
            <w:pPr>
              <w:jc w:val="center"/>
              <w:rPr>
                <w:rFonts w:hint="default"/>
                <w:snapToGrid w:val="0"/>
                <w:color w:val="auto"/>
                <w:szCs w:val="22"/>
                <w:lang w:val="en-US" w:eastAsia="zh-CN"/>
              </w:rPr>
            </w:pPr>
            <w:r>
              <w:rPr>
                <w:rFonts w:hint="eastAsia"/>
                <w:snapToGrid w:val="0"/>
                <w:color w:val="auto"/>
                <w:szCs w:val="22"/>
                <w:lang w:val="en-US" w:eastAsia="zh-CN"/>
              </w:rPr>
              <w:t>500</w:t>
            </w:r>
          </w:p>
        </w:tc>
        <w:tc>
          <w:tcPr>
            <w:tcW w:w="474" w:type="pct"/>
            <w:tcBorders>
              <w:top w:val="single" w:color="auto" w:sz="4" w:space="0"/>
              <w:left w:val="single" w:color="auto" w:sz="4" w:space="0"/>
              <w:bottom w:val="single" w:color="auto" w:sz="4" w:space="0"/>
              <w:right w:val="nil"/>
            </w:tcBorders>
            <w:vAlign w:val="center"/>
          </w:tcPr>
          <w:p w14:paraId="1A57540F">
            <w:pPr>
              <w:jc w:val="center"/>
              <w:rPr>
                <w:rFonts w:hint="default"/>
                <w:snapToGrid w:val="0"/>
                <w:color w:val="auto"/>
                <w:szCs w:val="22"/>
                <w:lang w:val="en-US" w:eastAsia="zh-CN"/>
              </w:rPr>
            </w:pPr>
            <w:r>
              <w:rPr>
                <w:rFonts w:hint="eastAsia"/>
                <w:snapToGrid w:val="0"/>
                <w:color w:val="auto"/>
                <w:szCs w:val="22"/>
                <w:lang w:val="en-US" w:eastAsia="zh-CN"/>
              </w:rPr>
              <w:t>50</w:t>
            </w:r>
          </w:p>
        </w:tc>
        <w:tc>
          <w:tcPr>
            <w:tcW w:w="478" w:type="pct"/>
            <w:tcBorders>
              <w:top w:val="single" w:color="auto" w:sz="4" w:space="0"/>
              <w:left w:val="single" w:color="auto" w:sz="4" w:space="0"/>
              <w:bottom w:val="single" w:color="auto" w:sz="4" w:space="0"/>
              <w:right w:val="nil"/>
            </w:tcBorders>
            <w:vAlign w:val="center"/>
          </w:tcPr>
          <w:p w14:paraId="34F30490">
            <w:pPr>
              <w:jc w:val="center"/>
              <w:rPr>
                <w:rFonts w:hint="default"/>
                <w:snapToGrid w:val="0"/>
                <w:color w:val="auto"/>
                <w:szCs w:val="22"/>
                <w:lang w:val="en-US" w:eastAsia="zh-CN"/>
              </w:rPr>
            </w:pPr>
            <w:r>
              <w:rPr>
                <w:rFonts w:hint="eastAsia"/>
                <w:snapToGrid w:val="0"/>
                <w:color w:val="auto"/>
                <w:szCs w:val="22"/>
                <w:lang w:val="en-US" w:eastAsia="zh-CN"/>
              </w:rPr>
              <w:t>50</w:t>
            </w:r>
          </w:p>
        </w:tc>
      </w:tr>
      <w:tr w14:paraId="40B794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82" w:type="pct"/>
            <w:vMerge w:val="continue"/>
            <w:tcBorders>
              <w:top w:val="single" w:color="auto" w:sz="4" w:space="0"/>
              <w:left w:val="nil"/>
              <w:bottom w:val="single" w:color="auto" w:sz="12" w:space="0"/>
              <w:right w:val="single" w:color="auto" w:sz="4" w:space="0"/>
            </w:tcBorders>
            <w:vAlign w:val="center"/>
          </w:tcPr>
          <w:p w14:paraId="4EB20904">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08306364">
            <w:pPr>
              <w:widowControl/>
              <w:jc w:val="left"/>
              <w:rPr>
                <w:snapToGrid w:val="0"/>
                <w:color w:val="auto"/>
                <w:kern w:val="0"/>
                <w:szCs w:val="22"/>
                <w:lang w:val="zh-CN"/>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3F3AF72D">
            <w:pPr>
              <w:widowControl/>
              <w:jc w:val="left"/>
              <w:rPr>
                <w:snapToGrid w:val="0"/>
                <w:color w:val="auto"/>
                <w:szCs w:val="22"/>
                <w:lang w:val="zh-CN"/>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61859468">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395988B8">
            <w:pPr>
              <w:jc w:val="center"/>
              <w:rPr>
                <w:snapToGrid w:val="0"/>
                <w:color w:val="auto"/>
                <w:szCs w:val="22"/>
                <w:lang w:val="zh-CN"/>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006294CE">
            <w:pPr>
              <w:jc w:val="center"/>
              <w:rPr>
                <w:snapToGrid w:val="0"/>
                <w:color w:val="auto"/>
                <w:szCs w:val="22"/>
                <w:lang w:val="zh-CN"/>
              </w:rPr>
            </w:pPr>
            <w:r>
              <w:rPr>
                <w:rFonts w:hint="eastAsia"/>
                <w:snapToGrid w:val="0"/>
                <w:color w:val="auto"/>
                <w:szCs w:val="22"/>
                <w:lang w:val="en-US" w:eastAsia="zh-CN"/>
              </w:rPr>
              <w:t>150</w:t>
            </w:r>
          </w:p>
        </w:tc>
        <w:tc>
          <w:tcPr>
            <w:tcW w:w="475" w:type="pct"/>
            <w:tcBorders>
              <w:top w:val="single" w:color="auto" w:sz="4" w:space="0"/>
              <w:left w:val="single" w:color="auto" w:sz="4" w:space="0"/>
              <w:bottom w:val="single" w:color="auto" w:sz="4" w:space="0"/>
              <w:right w:val="nil"/>
            </w:tcBorders>
            <w:vAlign w:val="center"/>
          </w:tcPr>
          <w:p w14:paraId="5D28B550">
            <w:pPr>
              <w:jc w:val="center"/>
              <w:rPr>
                <w:snapToGrid w:val="0"/>
                <w:color w:val="auto"/>
                <w:szCs w:val="22"/>
                <w:lang w:val="zh-CN"/>
              </w:rPr>
            </w:pPr>
            <w:r>
              <w:rPr>
                <w:rFonts w:hint="eastAsia"/>
                <w:snapToGrid w:val="0"/>
                <w:color w:val="auto"/>
                <w:szCs w:val="22"/>
                <w:lang w:val="en-US" w:eastAsia="zh-CN"/>
              </w:rPr>
              <w:t>500</w:t>
            </w:r>
          </w:p>
        </w:tc>
        <w:tc>
          <w:tcPr>
            <w:tcW w:w="474" w:type="pct"/>
            <w:tcBorders>
              <w:top w:val="single" w:color="auto" w:sz="4" w:space="0"/>
              <w:left w:val="single" w:color="auto" w:sz="4" w:space="0"/>
              <w:bottom w:val="single" w:color="auto" w:sz="4" w:space="0"/>
              <w:right w:val="nil"/>
            </w:tcBorders>
            <w:vAlign w:val="center"/>
          </w:tcPr>
          <w:p w14:paraId="21C52FF0">
            <w:pPr>
              <w:jc w:val="center"/>
              <w:rPr>
                <w:snapToGrid w:val="0"/>
                <w:color w:val="auto"/>
                <w:szCs w:val="22"/>
                <w:lang w:val="zh-CN"/>
              </w:rPr>
            </w:pPr>
            <w:r>
              <w:rPr>
                <w:rFonts w:hint="eastAsia"/>
                <w:snapToGrid w:val="0"/>
                <w:color w:val="auto"/>
                <w:szCs w:val="22"/>
                <w:lang w:val="en-US" w:eastAsia="zh-CN"/>
              </w:rPr>
              <w:t>50</w:t>
            </w:r>
          </w:p>
        </w:tc>
        <w:tc>
          <w:tcPr>
            <w:tcW w:w="478" w:type="pct"/>
            <w:tcBorders>
              <w:top w:val="single" w:color="auto" w:sz="4" w:space="0"/>
              <w:left w:val="single" w:color="auto" w:sz="4" w:space="0"/>
              <w:bottom w:val="single" w:color="auto" w:sz="4" w:space="0"/>
              <w:right w:val="nil"/>
            </w:tcBorders>
            <w:vAlign w:val="center"/>
          </w:tcPr>
          <w:p w14:paraId="605098D8">
            <w:pPr>
              <w:jc w:val="center"/>
              <w:rPr>
                <w:snapToGrid w:val="0"/>
                <w:color w:val="auto"/>
                <w:szCs w:val="22"/>
                <w:lang w:val="zh-CN"/>
              </w:rPr>
            </w:pPr>
            <w:r>
              <w:rPr>
                <w:rFonts w:hint="eastAsia"/>
                <w:snapToGrid w:val="0"/>
                <w:color w:val="auto"/>
                <w:szCs w:val="22"/>
                <w:lang w:val="en-US" w:eastAsia="zh-CN"/>
              </w:rPr>
              <w:t>50</w:t>
            </w:r>
          </w:p>
        </w:tc>
      </w:tr>
      <w:tr w14:paraId="291993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82" w:type="pct"/>
            <w:vMerge w:val="continue"/>
            <w:tcBorders>
              <w:top w:val="single" w:color="auto" w:sz="4" w:space="0"/>
              <w:left w:val="nil"/>
              <w:bottom w:val="single" w:color="auto" w:sz="12" w:space="0"/>
              <w:right w:val="single" w:color="auto" w:sz="4" w:space="0"/>
            </w:tcBorders>
            <w:vAlign w:val="center"/>
          </w:tcPr>
          <w:p w14:paraId="14AAB5AD">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7DFBC5D8">
            <w:pPr>
              <w:widowControl/>
              <w:jc w:val="left"/>
              <w:rPr>
                <w:snapToGrid w:val="0"/>
                <w:color w:val="auto"/>
                <w:kern w:val="0"/>
                <w:szCs w:val="22"/>
                <w:lang w:val="zh-CN"/>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32050EA5">
            <w:pPr>
              <w:widowControl/>
              <w:jc w:val="left"/>
              <w:rPr>
                <w:snapToGrid w:val="0"/>
                <w:color w:val="auto"/>
                <w:szCs w:val="22"/>
                <w:lang w:val="zh-CN"/>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4DF65BBD">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7E7A4E0A">
            <w:pPr>
              <w:jc w:val="center"/>
              <w:rPr>
                <w:snapToGrid w:val="0"/>
                <w:color w:val="auto"/>
                <w:szCs w:val="22"/>
                <w:lang w:val="zh-CN"/>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2628EEBA">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60</w:t>
            </w:r>
          </w:p>
        </w:tc>
        <w:tc>
          <w:tcPr>
            <w:tcW w:w="475" w:type="pct"/>
            <w:tcBorders>
              <w:top w:val="single" w:color="auto" w:sz="4" w:space="0"/>
              <w:left w:val="single" w:color="auto" w:sz="4" w:space="0"/>
              <w:bottom w:val="single" w:color="auto" w:sz="4" w:space="0"/>
              <w:right w:val="nil"/>
            </w:tcBorders>
            <w:vAlign w:val="center"/>
          </w:tcPr>
          <w:p w14:paraId="09A098AA">
            <w:pPr>
              <w:adjustRightInd w:val="0"/>
              <w:snapToGrid w:val="0"/>
              <w:jc w:val="center"/>
              <w:rPr>
                <w:rFonts w:hint="eastAsia"/>
                <w:snapToGrid w:val="0"/>
                <w:color w:val="auto"/>
                <w:szCs w:val="22"/>
                <w:lang w:val="en-US" w:eastAsia="zh-CN"/>
              </w:rPr>
            </w:pPr>
          </w:p>
        </w:tc>
        <w:tc>
          <w:tcPr>
            <w:tcW w:w="474" w:type="pct"/>
            <w:tcBorders>
              <w:top w:val="single" w:color="auto" w:sz="4" w:space="0"/>
              <w:left w:val="single" w:color="auto" w:sz="4" w:space="0"/>
              <w:bottom w:val="single" w:color="auto" w:sz="4" w:space="0"/>
              <w:right w:val="nil"/>
            </w:tcBorders>
            <w:vAlign w:val="center"/>
          </w:tcPr>
          <w:p w14:paraId="0511E09B">
            <w:pPr>
              <w:adjustRightInd w:val="0"/>
              <w:snapToGrid w:val="0"/>
              <w:jc w:val="center"/>
              <w:rPr>
                <w:rFonts w:hint="eastAsia"/>
                <w:snapToGrid w:val="0"/>
                <w:color w:val="auto"/>
                <w:szCs w:val="22"/>
                <w:lang w:val="en-US" w:eastAsia="zh-CN"/>
              </w:rPr>
            </w:pPr>
          </w:p>
        </w:tc>
        <w:tc>
          <w:tcPr>
            <w:tcW w:w="478" w:type="pct"/>
            <w:tcBorders>
              <w:top w:val="single" w:color="auto" w:sz="4" w:space="0"/>
              <w:left w:val="single" w:color="auto" w:sz="4" w:space="0"/>
              <w:bottom w:val="single" w:color="auto" w:sz="4" w:space="0"/>
              <w:right w:val="nil"/>
            </w:tcBorders>
            <w:vAlign w:val="center"/>
          </w:tcPr>
          <w:p w14:paraId="248AAC51">
            <w:pPr>
              <w:adjustRightInd w:val="0"/>
              <w:snapToGrid w:val="0"/>
              <w:jc w:val="center"/>
              <w:rPr>
                <w:rFonts w:hint="eastAsia"/>
                <w:snapToGrid w:val="0"/>
                <w:color w:val="auto"/>
                <w:szCs w:val="22"/>
                <w:lang w:val="en-US" w:eastAsia="zh-CN"/>
              </w:rPr>
            </w:pPr>
          </w:p>
        </w:tc>
      </w:tr>
      <w:tr w14:paraId="428DC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82" w:type="pct"/>
            <w:vMerge w:val="continue"/>
            <w:tcBorders>
              <w:top w:val="single" w:color="auto" w:sz="4" w:space="0"/>
              <w:left w:val="nil"/>
              <w:bottom w:val="single" w:color="auto" w:sz="12" w:space="0"/>
              <w:right w:val="single" w:color="auto" w:sz="4" w:space="0"/>
            </w:tcBorders>
            <w:vAlign w:val="center"/>
          </w:tcPr>
          <w:p w14:paraId="774BC4E7">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48BE49C5">
            <w:pPr>
              <w:widowControl/>
              <w:jc w:val="left"/>
              <w:rPr>
                <w:snapToGrid w:val="0"/>
                <w:color w:val="auto"/>
                <w:kern w:val="0"/>
                <w:szCs w:val="22"/>
                <w:lang w:val="zh-CN"/>
              </w:rPr>
            </w:pPr>
          </w:p>
        </w:tc>
        <w:tc>
          <w:tcPr>
            <w:tcW w:w="459" w:type="pct"/>
            <w:tcBorders>
              <w:top w:val="single" w:color="auto" w:sz="4" w:space="0"/>
              <w:left w:val="single" w:color="auto" w:sz="4" w:space="0"/>
              <w:bottom w:val="single" w:color="auto" w:sz="4" w:space="0"/>
              <w:right w:val="single" w:color="auto" w:sz="4" w:space="0"/>
            </w:tcBorders>
            <w:vAlign w:val="center"/>
          </w:tcPr>
          <w:p w14:paraId="7B766912">
            <w:pPr>
              <w:widowControl/>
              <w:jc w:val="left"/>
              <w:rPr>
                <w:rFonts w:hint="default" w:eastAsia="宋体"/>
                <w:snapToGrid w:val="0"/>
                <w:color w:val="auto"/>
                <w:szCs w:val="22"/>
                <w:lang w:val="en-US" w:eastAsia="zh-CN"/>
              </w:rPr>
            </w:pPr>
            <w:r>
              <w:rPr>
                <w:rFonts w:hint="eastAsia"/>
                <w:snapToGrid w:val="0"/>
                <w:color w:val="auto"/>
                <w:szCs w:val="22"/>
                <w:lang w:val="en-US" w:eastAsia="zh-CN"/>
              </w:rPr>
              <w:t>TSP</w:t>
            </w: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13E17F14">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4AA07117">
            <w:pPr>
              <w:jc w:val="center"/>
              <w:rPr>
                <w:rFonts w:hint="eastAsia" w:ascii="Times New Roman" w:hAnsi="Times New Roman" w:eastAsia="宋体" w:cs="Times New Roman"/>
                <w:snapToGrid w:val="0"/>
                <w:color w:val="auto"/>
                <w:kern w:val="2"/>
                <w:sz w:val="21"/>
                <w:szCs w:val="22"/>
                <w:lang w:val="en-US" w:eastAsia="zh-CN" w:bidi="ar-SA"/>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6A6D747C">
            <w:pPr>
              <w:adjustRightInd w:val="0"/>
              <w:snapToGrid w:val="0"/>
              <w:jc w:val="center"/>
              <w:rPr>
                <w:rFonts w:hint="default"/>
                <w:snapToGrid w:val="0"/>
                <w:color w:val="auto"/>
                <w:szCs w:val="22"/>
                <w:lang w:val="en-US" w:eastAsia="zh-CN"/>
              </w:rPr>
            </w:pPr>
            <w:r>
              <w:rPr>
                <w:rFonts w:hint="eastAsia"/>
                <w:snapToGrid w:val="0"/>
                <w:color w:val="auto"/>
                <w:szCs w:val="22"/>
                <w:lang w:val="en-US" w:eastAsia="zh-CN"/>
              </w:rPr>
              <w:t>/</w:t>
            </w:r>
          </w:p>
        </w:tc>
        <w:tc>
          <w:tcPr>
            <w:tcW w:w="475" w:type="pct"/>
            <w:tcBorders>
              <w:top w:val="single" w:color="auto" w:sz="4" w:space="0"/>
              <w:left w:val="single" w:color="auto" w:sz="4" w:space="0"/>
              <w:bottom w:val="single" w:color="auto" w:sz="4" w:space="0"/>
              <w:right w:val="nil"/>
            </w:tcBorders>
            <w:vAlign w:val="center"/>
          </w:tcPr>
          <w:p w14:paraId="5BEEC204">
            <w:pPr>
              <w:adjustRightInd w:val="0"/>
              <w:snapToGrid w:val="0"/>
              <w:jc w:val="center"/>
              <w:rPr>
                <w:rFonts w:hint="default"/>
                <w:snapToGrid w:val="0"/>
                <w:color w:val="auto"/>
                <w:szCs w:val="22"/>
                <w:lang w:val="en-US" w:eastAsia="zh-CN"/>
              </w:rPr>
            </w:pPr>
            <w:r>
              <w:rPr>
                <w:rFonts w:hint="eastAsia"/>
                <w:snapToGrid w:val="0"/>
                <w:color w:val="auto"/>
                <w:szCs w:val="22"/>
                <w:lang w:val="en-US" w:eastAsia="zh-CN"/>
              </w:rPr>
              <w:t>/</w:t>
            </w:r>
          </w:p>
        </w:tc>
        <w:tc>
          <w:tcPr>
            <w:tcW w:w="474" w:type="pct"/>
            <w:tcBorders>
              <w:top w:val="single" w:color="auto" w:sz="4" w:space="0"/>
              <w:left w:val="single" w:color="auto" w:sz="4" w:space="0"/>
              <w:bottom w:val="single" w:color="auto" w:sz="4" w:space="0"/>
              <w:right w:val="nil"/>
            </w:tcBorders>
            <w:vAlign w:val="center"/>
          </w:tcPr>
          <w:p w14:paraId="400D2AEF">
            <w:pPr>
              <w:adjustRightInd w:val="0"/>
              <w:snapToGrid w:val="0"/>
              <w:jc w:val="center"/>
              <w:rPr>
                <w:rFonts w:hint="default"/>
                <w:snapToGrid w:val="0"/>
                <w:color w:val="auto"/>
                <w:szCs w:val="22"/>
                <w:lang w:val="en-US" w:eastAsia="zh-CN"/>
              </w:rPr>
            </w:pPr>
            <w:r>
              <w:rPr>
                <w:rFonts w:hint="eastAsia"/>
                <w:snapToGrid w:val="0"/>
                <w:color w:val="auto"/>
                <w:szCs w:val="22"/>
                <w:lang w:val="en-US" w:eastAsia="zh-CN"/>
              </w:rPr>
              <w:t>120</w:t>
            </w:r>
          </w:p>
        </w:tc>
        <w:tc>
          <w:tcPr>
            <w:tcW w:w="478" w:type="pct"/>
            <w:tcBorders>
              <w:top w:val="single" w:color="auto" w:sz="4" w:space="0"/>
              <w:left w:val="single" w:color="auto" w:sz="4" w:space="0"/>
              <w:bottom w:val="single" w:color="auto" w:sz="4" w:space="0"/>
              <w:right w:val="nil"/>
            </w:tcBorders>
            <w:vAlign w:val="center"/>
          </w:tcPr>
          <w:p w14:paraId="4ACF01C5">
            <w:pPr>
              <w:adjustRightInd w:val="0"/>
              <w:snapToGrid w:val="0"/>
              <w:jc w:val="center"/>
              <w:rPr>
                <w:rFonts w:hint="default"/>
                <w:snapToGrid w:val="0"/>
                <w:color w:val="auto"/>
                <w:szCs w:val="22"/>
                <w:lang w:val="en-US" w:eastAsia="zh-CN"/>
              </w:rPr>
            </w:pPr>
            <w:r>
              <w:rPr>
                <w:rFonts w:hint="eastAsia"/>
                <w:snapToGrid w:val="0"/>
                <w:color w:val="auto"/>
                <w:szCs w:val="22"/>
                <w:lang w:val="en-US" w:eastAsia="zh-CN"/>
              </w:rPr>
              <w:t>300</w:t>
            </w:r>
          </w:p>
        </w:tc>
      </w:tr>
      <w:tr w14:paraId="38924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7" w:hRule="atLeast"/>
        </w:trPr>
        <w:tc>
          <w:tcPr>
            <w:tcW w:w="282" w:type="pct"/>
            <w:vMerge w:val="continue"/>
            <w:tcBorders>
              <w:top w:val="single" w:color="auto" w:sz="4" w:space="0"/>
              <w:left w:val="nil"/>
              <w:bottom w:val="single" w:color="auto" w:sz="12" w:space="0"/>
              <w:right w:val="single" w:color="auto" w:sz="4" w:space="0"/>
            </w:tcBorders>
            <w:vAlign w:val="center"/>
          </w:tcPr>
          <w:p w14:paraId="272ECBF9">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47C1E11D">
            <w:pPr>
              <w:widowControl/>
              <w:jc w:val="left"/>
              <w:rPr>
                <w:snapToGrid w:val="0"/>
                <w:color w:val="auto"/>
                <w:kern w:val="0"/>
                <w:szCs w:val="22"/>
                <w:lang w:val="zh-CN"/>
              </w:rPr>
            </w:pPr>
          </w:p>
        </w:tc>
        <w:tc>
          <w:tcPr>
            <w:tcW w:w="459" w:type="pct"/>
            <w:vMerge w:val="restart"/>
            <w:tcBorders>
              <w:top w:val="single" w:color="auto" w:sz="4" w:space="0"/>
              <w:left w:val="single" w:color="auto" w:sz="4" w:space="0"/>
              <w:bottom w:val="single" w:color="auto" w:sz="4" w:space="0"/>
              <w:right w:val="single" w:color="auto" w:sz="4" w:space="0"/>
            </w:tcBorders>
            <w:vAlign w:val="center"/>
          </w:tcPr>
          <w:p w14:paraId="72E1F1E8">
            <w:pPr>
              <w:jc w:val="center"/>
              <w:rPr>
                <w:snapToGrid w:val="0"/>
                <w:color w:val="auto"/>
                <w:szCs w:val="22"/>
                <w:lang w:val="zh-CN"/>
              </w:rPr>
            </w:pPr>
            <w:r>
              <w:rPr>
                <w:snapToGrid w:val="0"/>
                <w:color w:val="auto"/>
                <w:szCs w:val="22"/>
                <w:lang w:val="zh-CN"/>
              </w:rPr>
              <w:t>O</w:t>
            </w:r>
            <w:r>
              <w:rPr>
                <w:snapToGrid w:val="0"/>
                <w:color w:val="auto"/>
                <w:szCs w:val="22"/>
                <w:vertAlign w:val="subscript"/>
                <w:lang w:val="zh-CN"/>
              </w:rPr>
              <w:t>3</w:t>
            </w: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62FF091B">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1F032F59">
            <w:pPr>
              <w:adjustRightInd w:val="0"/>
              <w:snapToGrid w:val="0"/>
              <w:jc w:val="center"/>
              <w:rPr>
                <w:snapToGrid w:val="0"/>
                <w:color w:val="auto"/>
                <w:szCs w:val="22"/>
                <w:lang w:val="zh-CN"/>
              </w:rPr>
            </w:pPr>
            <w:r>
              <w:rPr>
                <w:rFonts w:hint="eastAsia"/>
                <w:snapToGrid w:val="0"/>
                <w:color w:val="auto"/>
                <w:szCs w:val="22"/>
                <w:lang w:val="zh-CN"/>
              </w:rPr>
              <w:t>日最大</w:t>
            </w:r>
            <w:r>
              <w:rPr>
                <w:snapToGrid w:val="0"/>
                <w:color w:val="auto"/>
                <w:szCs w:val="22"/>
                <w:lang w:val="zh-CN"/>
              </w:rPr>
              <w:t>8</w:t>
            </w:r>
            <w:r>
              <w:rPr>
                <w:rFonts w:hint="eastAsia"/>
                <w:snapToGrid w:val="0"/>
                <w:color w:val="auto"/>
                <w:szCs w:val="22"/>
                <w:lang w:val="zh-CN"/>
              </w:rPr>
              <w:t>小时平均</w:t>
            </w:r>
          </w:p>
        </w:tc>
        <w:tc>
          <w:tcPr>
            <w:tcW w:w="474" w:type="pct"/>
            <w:tcBorders>
              <w:top w:val="single" w:color="auto" w:sz="4" w:space="0"/>
              <w:left w:val="single" w:color="auto" w:sz="4" w:space="0"/>
              <w:bottom w:val="single" w:color="auto" w:sz="4" w:space="0"/>
              <w:right w:val="nil"/>
            </w:tcBorders>
            <w:vAlign w:val="center"/>
          </w:tcPr>
          <w:p w14:paraId="4799995A">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100</w:t>
            </w:r>
          </w:p>
        </w:tc>
        <w:tc>
          <w:tcPr>
            <w:tcW w:w="475" w:type="pct"/>
            <w:tcBorders>
              <w:top w:val="single" w:color="auto" w:sz="4" w:space="0"/>
              <w:left w:val="single" w:color="auto" w:sz="4" w:space="0"/>
              <w:bottom w:val="single" w:color="auto" w:sz="4" w:space="0"/>
              <w:right w:val="nil"/>
            </w:tcBorders>
            <w:vAlign w:val="center"/>
          </w:tcPr>
          <w:p w14:paraId="68CB65DE">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160</w:t>
            </w:r>
          </w:p>
        </w:tc>
        <w:tc>
          <w:tcPr>
            <w:tcW w:w="474" w:type="pct"/>
            <w:tcBorders>
              <w:top w:val="single" w:color="auto" w:sz="4" w:space="0"/>
              <w:left w:val="single" w:color="auto" w:sz="4" w:space="0"/>
              <w:bottom w:val="single" w:color="auto" w:sz="4" w:space="0"/>
              <w:right w:val="nil"/>
            </w:tcBorders>
            <w:vAlign w:val="center"/>
          </w:tcPr>
          <w:p w14:paraId="4CC60675">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100</w:t>
            </w:r>
          </w:p>
        </w:tc>
        <w:tc>
          <w:tcPr>
            <w:tcW w:w="478" w:type="pct"/>
            <w:tcBorders>
              <w:top w:val="single" w:color="auto" w:sz="4" w:space="0"/>
              <w:left w:val="single" w:color="auto" w:sz="4" w:space="0"/>
              <w:bottom w:val="single" w:color="auto" w:sz="4" w:space="0"/>
              <w:right w:val="nil"/>
            </w:tcBorders>
            <w:vAlign w:val="center"/>
          </w:tcPr>
          <w:p w14:paraId="75041384">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160</w:t>
            </w:r>
          </w:p>
        </w:tc>
      </w:tr>
      <w:tr w14:paraId="174527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1" w:hRule="atLeast"/>
        </w:trPr>
        <w:tc>
          <w:tcPr>
            <w:tcW w:w="282" w:type="pct"/>
            <w:vMerge w:val="continue"/>
            <w:tcBorders>
              <w:top w:val="single" w:color="auto" w:sz="4" w:space="0"/>
              <w:left w:val="nil"/>
              <w:bottom w:val="single" w:color="auto" w:sz="12" w:space="0"/>
              <w:right w:val="single" w:color="auto" w:sz="4" w:space="0"/>
            </w:tcBorders>
            <w:vAlign w:val="center"/>
          </w:tcPr>
          <w:p w14:paraId="176FC751">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6C5FEDFC">
            <w:pPr>
              <w:widowControl/>
              <w:jc w:val="left"/>
              <w:rPr>
                <w:snapToGrid w:val="0"/>
                <w:color w:val="auto"/>
                <w:kern w:val="0"/>
                <w:szCs w:val="22"/>
                <w:lang w:val="zh-CN"/>
              </w:rPr>
            </w:pPr>
          </w:p>
        </w:tc>
        <w:tc>
          <w:tcPr>
            <w:tcW w:w="459" w:type="pct"/>
            <w:vMerge w:val="continue"/>
            <w:tcBorders>
              <w:top w:val="single" w:color="auto" w:sz="4" w:space="0"/>
              <w:left w:val="single" w:color="auto" w:sz="4" w:space="0"/>
              <w:bottom w:val="single" w:color="auto" w:sz="4" w:space="0"/>
              <w:right w:val="single" w:color="auto" w:sz="4" w:space="0"/>
            </w:tcBorders>
            <w:vAlign w:val="center"/>
          </w:tcPr>
          <w:p w14:paraId="6434943C">
            <w:pPr>
              <w:widowControl/>
              <w:jc w:val="left"/>
              <w:rPr>
                <w:snapToGrid w:val="0"/>
                <w:color w:val="auto"/>
                <w:szCs w:val="22"/>
                <w:lang w:val="zh-CN"/>
              </w:rPr>
            </w:pPr>
          </w:p>
        </w:tc>
        <w:tc>
          <w:tcPr>
            <w:tcW w:w="517" w:type="pct"/>
            <w:vMerge w:val="continue"/>
            <w:tcBorders>
              <w:top w:val="single" w:color="auto" w:sz="4" w:space="0"/>
              <w:left w:val="single" w:color="auto" w:sz="4" w:space="0"/>
              <w:bottom w:val="single" w:color="auto" w:sz="4" w:space="0"/>
              <w:right w:val="single" w:color="auto" w:sz="4" w:space="0"/>
            </w:tcBorders>
            <w:vAlign w:val="center"/>
          </w:tcPr>
          <w:p w14:paraId="3424C1BE">
            <w:pPr>
              <w:widowControl/>
              <w:jc w:val="left"/>
              <w:rPr>
                <w:snapToGrid w:val="0"/>
                <w:color w:val="auto"/>
                <w:szCs w:val="22"/>
                <w:lang w:val="zh-CN"/>
              </w:rPr>
            </w:pPr>
          </w:p>
        </w:tc>
        <w:tc>
          <w:tcPr>
            <w:tcW w:w="609" w:type="pct"/>
            <w:tcBorders>
              <w:top w:val="single" w:color="auto" w:sz="4" w:space="0"/>
              <w:left w:val="single" w:color="auto" w:sz="4" w:space="0"/>
              <w:bottom w:val="single" w:color="auto" w:sz="4" w:space="0"/>
              <w:right w:val="single" w:color="auto" w:sz="4" w:space="0"/>
            </w:tcBorders>
            <w:vAlign w:val="center"/>
          </w:tcPr>
          <w:p w14:paraId="197D9EB7">
            <w:pPr>
              <w:adjustRightInd w:val="0"/>
              <w:snapToGrid w:val="0"/>
              <w:jc w:val="center"/>
              <w:rPr>
                <w:snapToGrid w:val="0"/>
                <w:color w:val="auto"/>
                <w:szCs w:val="22"/>
                <w:lang w:val="zh-CN"/>
              </w:rPr>
            </w:pPr>
            <w:r>
              <w:rPr>
                <w:snapToGrid w:val="0"/>
                <w:color w:val="auto"/>
                <w:szCs w:val="22"/>
                <w:lang w:val="zh-CN"/>
              </w:rPr>
              <w:t>1</w:t>
            </w:r>
            <w:r>
              <w:rPr>
                <w:rFonts w:hint="eastAsia"/>
                <w:snapToGrid w:val="0"/>
                <w:color w:val="auto"/>
                <w:szCs w:val="22"/>
                <w:lang w:val="zh-CN"/>
              </w:rPr>
              <w:t>小时平均</w:t>
            </w:r>
          </w:p>
        </w:tc>
        <w:tc>
          <w:tcPr>
            <w:tcW w:w="474" w:type="pct"/>
            <w:tcBorders>
              <w:top w:val="single" w:color="auto" w:sz="4" w:space="0"/>
              <w:left w:val="single" w:color="auto" w:sz="4" w:space="0"/>
              <w:bottom w:val="single" w:color="auto" w:sz="4" w:space="0"/>
              <w:right w:val="nil"/>
            </w:tcBorders>
            <w:vAlign w:val="center"/>
          </w:tcPr>
          <w:p w14:paraId="6B8BFCEF">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160</w:t>
            </w:r>
          </w:p>
        </w:tc>
        <w:tc>
          <w:tcPr>
            <w:tcW w:w="475" w:type="pct"/>
            <w:tcBorders>
              <w:top w:val="single" w:color="auto" w:sz="4" w:space="0"/>
              <w:left w:val="single" w:color="auto" w:sz="4" w:space="0"/>
              <w:bottom w:val="single" w:color="auto" w:sz="4" w:space="0"/>
              <w:right w:val="nil"/>
            </w:tcBorders>
            <w:vAlign w:val="center"/>
          </w:tcPr>
          <w:p w14:paraId="70711989">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200</w:t>
            </w:r>
          </w:p>
        </w:tc>
        <w:tc>
          <w:tcPr>
            <w:tcW w:w="474" w:type="pct"/>
            <w:tcBorders>
              <w:top w:val="single" w:color="auto" w:sz="4" w:space="0"/>
              <w:left w:val="single" w:color="auto" w:sz="4" w:space="0"/>
              <w:bottom w:val="single" w:color="auto" w:sz="4" w:space="0"/>
              <w:right w:val="nil"/>
            </w:tcBorders>
            <w:vAlign w:val="center"/>
          </w:tcPr>
          <w:p w14:paraId="1B9F328E">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160</w:t>
            </w:r>
          </w:p>
        </w:tc>
        <w:tc>
          <w:tcPr>
            <w:tcW w:w="478" w:type="pct"/>
            <w:tcBorders>
              <w:top w:val="single" w:color="auto" w:sz="4" w:space="0"/>
              <w:left w:val="single" w:color="auto" w:sz="4" w:space="0"/>
              <w:bottom w:val="single" w:color="auto" w:sz="4" w:space="0"/>
              <w:right w:val="nil"/>
            </w:tcBorders>
            <w:vAlign w:val="center"/>
          </w:tcPr>
          <w:p w14:paraId="25EFAAF7">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160</w:t>
            </w:r>
          </w:p>
        </w:tc>
      </w:tr>
      <w:tr w14:paraId="0029E4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6" w:hRule="atLeast"/>
        </w:trPr>
        <w:tc>
          <w:tcPr>
            <w:tcW w:w="282" w:type="pct"/>
            <w:vMerge w:val="continue"/>
            <w:tcBorders>
              <w:top w:val="single" w:color="auto" w:sz="4" w:space="0"/>
              <w:left w:val="nil"/>
              <w:bottom w:val="single" w:color="auto" w:sz="12" w:space="0"/>
              <w:right w:val="single" w:color="auto" w:sz="4" w:space="0"/>
            </w:tcBorders>
            <w:vAlign w:val="center"/>
          </w:tcPr>
          <w:p w14:paraId="6A31B7EB">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3DA9C1E5">
            <w:pPr>
              <w:widowControl/>
              <w:jc w:val="left"/>
              <w:rPr>
                <w:snapToGrid w:val="0"/>
                <w:color w:val="auto"/>
                <w:kern w:val="0"/>
                <w:szCs w:val="22"/>
                <w:lang w:val="zh-CN"/>
              </w:rPr>
            </w:pPr>
          </w:p>
        </w:tc>
        <w:tc>
          <w:tcPr>
            <w:tcW w:w="459" w:type="pct"/>
            <w:vMerge w:val="restart"/>
            <w:tcBorders>
              <w:top w:val="single" w:color="auto" w:sz="4" w:space="0"/>
              <w:left w:val="single" w:color="auto" w:sz="4" w:space="0"/>
              <w:bottom w:val="single" w:color="auto" w:sz="12" w:space="0"/>
              <w:right w:val="single" w:color="auto" w:sz="4" w:space="0"/>
            </w:tcBorders>
            <w:vAlign w:val="center"/>
          </w:tcPr>
          <w:p w14:paraId="1B50CBBC">
            <w:pPr>
              <w:jc w:val="center"/>
              <w:rPr>
                <w:snapToGrid w:val="0"/>
                <w:color w:val="auto"/>
                <w:szCs w:val="22"/>
                <w:lang w:val="zh-CN"/>
              </w:rPr>
            </w:pPr>
            <w:r>
              <w:rPr>
                <w:snapToGrid w:val="0"/>
                <w:color w:val="auto"/>
                <w:szCs w:val="22"/>
                <w:lang w:val="zh-CN"/>
              </w:rPr>
              <w:t>CO</w:t>
            </w:r>
          </w:p>
        </w:tc>
        <w:tc>
          <w:tcPr>
            <w:tcW w:w="517" w:type="pct"/>
            <w:vMerge w:val="restart"/>
            <w:tcBorders>
              <w:top w:val="single" w:color="auto" w:sz="4" w:space="0"/>
              <w:left w:val="single" w:color="auto" w:sz="4" w:space="0"/>
              <w:bottom w:val="single" w:color="auto" w:sz="12" w:space="0"/>
              <w:right w:val="single" w:color="auto" w:sz="4" w:space="0"/>
            </w:tcBorders>
            <w:vAlign w:val="center"/>
          </w:tcPr>
          <w:p w14:paraId="6E24AA7E">
            <w:pPr>
              <w:jc w:val="center"/>
              <w:rPr>
                <w:snapToGrid w:val="0"/>
                <w:color w:val="auto"/>
                <w:szCs w:val="22"/>
                <w:lang w:val="zh-CN"/>
              </w:rPr>
            </w:pPr>
            <w:r>
              <w:rPr>
                <w:snapToGrid w:val="0"/>
                <w:color w:val="auto"/>
                <w:szCs w:val="22"/>
                <w:lang w:val="zh-CN"/>
              </w:rPr>
              <w:t>mg/m</w:t>
            </w:r>
            <w:r>
              <w:rPr>
                <w:snapToGrid w:val="0"/>
                <w:color w:val="auto"/>
                <w:szCs w:val="22"/>
                <w:vertAlign w:val="superscript"/>
                <w:lang w:val="zh-CN"/>
              </w:rPr>
              <w:t>3</w:t>
            </w:r>
          </w:p>
        </w:tc>
        <w:tc>
          <w:tcPr>
            <w:tcW w:w="609" w:type="pct"/>
            <w:tcBorders>
              <w:top w:val="single" w:color="auto" w:sz="4" w:space="0"/>
              <w:left w:val="single" w:color="auto" w:sz="4" w:space="0"/>
              <w:bottom w:val="single" w:color="auto" w:sz="4" w:space="0"/>
              <w:right w:val="single" w:color="auto" w:sz="4" w:space="0"/>
            </w:tcBorders>
            <w:shd w:val="clear" w:color="auto" w:fill="auto"/>
            <w:vAlign w:val="center"/>
          </w:tcPr>
          <w:p w14:paraId="7328BAD8">
            <w:pPr>
              <w:jc w:val="center"/>
              <w:rPr>
                <w:rFonts w:hint="default" w:ascii="Times New Roman" w:hAnsi="Times New Roman" w:eastAsia="宋体" w:cs="Times New Roman"/>
                <w:snapToGrid w:val="0"/>
                <w:color w:val="auto"/>
                <w:kern w:val="2"/>
                <w:sz w:val="21"/>
                <w:szCs w:val="22"/>
                <w:lang w:val="zh-CN" w:eastAsia="zh-CN" w:bidi="ar-SA"/>
              </w:rPr>
            </w:pPr>
            <w:r>
              <w:rPr>
                <w:rFonts w:hint="eastAsia"/>
                <w:snapToGrid w:val="0"/>
                <w:color w:val="auto"/>
                <w:szCs w:val="22"/>
                <w:lang w:val="en-US" w:eastAsia="zh-CN"/>
              </w:rPr>
              <w:t>日平均</w:t>
            </w:r>
          </w:p>
        </w:tc>
        <w:tc>
          <w:tcPr>
            <w:tcW w:w="474" w:type="pct"/>
            <w:tcBorders>
              <w:top w:val="single" w:color="auto" w:sz="4" w:space="0"/>
              <w:left w:val="single" w:color="auto" w:sz="4" w:space="0"/>
              <w:bottom w:val="single" w:color="auto" w:sz="4" w:space="0"/>
              <w:right w:val="nil"/>
            </w:tcBorders>
            <w:vAlign w:val="center"/>
          </w:tcPr>
          <w:p w14:paraId="220810D5">
            <w:pPr>
              <w:adjustRightInd w:val="0"/>
              <w:snapToGrid w:val="0"/>
              <w:jc w:val="center"/>
              <w:rPr>
                <w:snapToGrid w:val="0"/>
                <w:color w:val="auto"/>
                <w:szCs w:val="22"/>
                <w:lang w:val="zh-CN"/>
              </w:rPr>
            </w:pPr>
            <w:r>
              <w:rPr>
                <w:snapToGrid w:val="0"/>
                <w:color w:val="auto"/>
                <w:szCs w:val="22"/>
                <w:lang w:val="zh-CN"/>
              </w:rPr>
              <w:t>4</w:t>
            </w:r>
          </w:p>
        </w:tc>
        <w:tc>
          <w:tcPr>
            <w:tcW w:w="475" w:type="pct"/>
            <w:tcBorders>
              <w:top w:val="single" w:color="auto" w:sz="4" w:space="0"/>
              <w:left w:val="single" w:color="auto" w:sz="4" w:space="0"/>
              <w:bottom w:val="single" w:color="auto" w:sz="4" w:space="0"/>
              <w:right w:val="nil"/>
            </w:tcBorders>
            <w:vAlign w:val="center"/>
          </w:tcPr>
          <w:p w14:paraId="21CD54D4">
            <w:pPr>
              <w:adjustRightInd w:val="0"/>
              <w:snapToGrid w:val="0"/>
              <w:jc w:val="center"/>
              <w:rPr>
                <w:rFonts w:hint="eastAsia" w:eastAsia="宋体"/>
                <w:snapToGrid w:val="0"/>
                <w:color w:val="auto"/>
                <w:szCs w:val="22"/>
                <w:lang w:val="en-US" w:eastAsia="zh-CN"/>
              </w:rPr>
            </w:pPr>
            <w:r>
              <w:rPr>
                <w:rFonts w:hint="eastAsia"/>
                <w:snapToGrid w:val="0"/>
                <w:color w:val="auto"/>
                <w:szCs w:val="22"/>
                <w:lang w:val="en-US" w:eastAsia="zh-CN"/>
              </w:rPr>
              <w:t>4</w:t>
            </w:r>
          </w:p>
        </w:tc>
        <w:tc>
          <w:tcPr>
            <w:tcW w:w="474" w:type="pct"/>
            <w:tcBorders>
              <w:top w:val="single" w:color="auto" w:sz="4" w:space="0"/>
              <w:left w:val="single" w:color="auto" w:sz="4" w:space="0"/>
              <w:bottom w:val="single" w:color="auto" w:sz="4" w:space="0"/>
              <w:right w:val="nil"/>
            </w:tcBorders>
            <w:vAlign w:val="center"/>
          </w:tcPr>
          <w:p w14:paraId="1100D82F">
            <w:pPr>
              <w:adjustRightInd w:val="0"/>
              <w:snapToGrid w:val="0"/>
              <w:jc w:val="center"/>
              <w:rPr>
                <w:rFonts w:hint="eastAsia" w:eastAsia="宋体"/>
                <w:snapToGrid w:val="0"/>
                <w:color w:val="auto"/>
                <w:szCs w:val="22"/>
                <w:lang w:val="en-US" w:eastAsia="zh-CN"/>
              </w:rPr>
            </w:pPr>
            <w:r>
              <w:rPr>
                <w:rFonts w:hint="eastAsia"/>
                <w:snapToGrid w:val="0"/>
                <w:color w:val="auto"/>
                <w:szCs w:val="22"/>
                <w:lang w:val="en-US" w:eastAsia="zh-CN"/>
              </w:rPr>
              <w:t>4</w:t>
            </w:r>
          </w:p>
        </w:tc>
        <w:tc>
          <w:tcPr>
            <w:tcW w:w="478" w:type="pct"/>
            <w:tcBorders>
              <w:top w:val="single" w:color="auto" w:sz="4" w:space="0"/>
              <w:left w:val="single" w:color="auto" w:sz="4" w:space="0"/>
              <w:bottom w:val="single" w:color="auto" w:sz="4" w:space="0"/>
              <w:right w:val="nil"/>
            </w:tcBorders>
            <w:vAlign w:val="center"/>
          </w:tcPr>
          <w:p w14:paraId="6FD40646">
            <w:pPr>
              <w:adjustRightInd w:val="0"/>
              <w:snapToGrid w:val="0"/>
              <w:jc w:val="center"/>
              <w:rPr>
                <w:rFonts w:hint="eastAsia" w:eastAsia="宋体"/>
                <w:snapToGrid w:val="0"/>
                <w:color w:val="auto"/>
                <w:szCs w:val="22"/>
                <w:lang w:val="en-US" w:eastAsia="zh-CN"/>
              </w:rPr>
            </w:pPr>
            <w:r>
              <w:rPr>
                <w:rFonts w:hint="eastAsia"/>
                <w:snapToGrid w:val="0"/>
                <w:color w:val="auto"/>
                <w:szCs w:val="22"/>
                <w:lang w:val="en-US" w:eastAsia="zh-CN"/>
              </w:rPr>
              <w:t>4</w:t>
            </w:r>
          </w:p>
        </w:tc>
      </w:tr>
      <w:tr w14:paraId="3F952B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9" w:hRule="atLeast"/>
        </w:trPr>
        <w:tc>
          <w:tcPr>
            <w:tcW w:w="282" w:type="pct"/>
            <w:vMerge w:val="continue"/>
            <w:tcBorders>
              <w:top w:val="single" w:color="auto" w:sz="4" w:space="0"/>
              <w:left w:val="nil"/>
              <w:bottom w:val="single" w:color="auto" w:sz="12" w:space="0"/>
              <w:right w:val="single" w:color="auto" w:sz="4" w:space="0"/>
            </w:tcBorders>
            <w:vAlign w:val="center"/>
          </w:tcPr>
          <w:p w14:paraId="121165F3">
            <w:pPr>
              <w:widowControl/>
              <w:jc w:val="left"/>
              <w:rPr>
                <w:snapToGrid w:val="0"/>
                <w:color w:val="auto"/>
                <w:kern w:val="0"/>
                <w:szCs w:val="22"/>
                <w:lang w:val="zh-CN"/>
              </w:rPr>
            </w:pPr>
          </w:p>
        </w:tc>
        <w:tc>
          <w:tcPr>
            <w:tcW w:w="1227" w:type="pct"/>
            <w:vMerge w:val="continue"/>
            <w:tcBorders>
              <w:top w:val="single" w:color="auto" w:sz="4" w:space="0"/>
              <w:left w:val="single" w:color="auto" w:sz="4" w:space="0"/>
              <w:bottom w:val="single" w:color="auto" w:sz="12" w:space="0"/>
              <w:right w:val="single" w:color="auto" w:sz="4" w:space="0"/>
            </w:tcBorders>
            <w:vAlign w:val="center"/>
          </w:tcPr>
          <w:p w14:paraId="65ECD198">
            <w:pPr>
              <w:widowControl/>
              <w:jc w:val="left"/>
              <w:rPr>
                <w:snapToGrid w:val="0"/>
                <w:color w:val="auto"/>
                <w:kern w:val="0"/>
                <w:szCs w:val="22"/>
                <w:lang w:val="zh-CN"/>
              </w:rPr>
            </w:pPr>
          </w:p>
        </w:tc>
        <w:tc>
          <w:tcPr>
            <w:tcW w:w="459" w:type="pct"/>
            <w:vMerge w:val="continue"/>
            <w:tcBorders>
              <w:top w:val="single" w:color="auto" w:sz="4" w:space="0"/>
              <w:left w:val="single" w:color="auto" w:sz="4" w:space="0"/>
              <w:bottom w:val="single" w:color="auto" w:sz="12" w:space="0"/>
              <w:right w:val="single" w:color="auto" w:sz="4" w:space="0"/>
            </w:tcBorders>
            <w:vAlign w:val="center"/>
          </w:tcPr>
          <w:p w14:paraId="4BDDE8E8">
            <w:pPr>
              <w:widowControl/>
              <w:jc w:val="left"/>
              <w:rPr>
                <w:snapToGrid w:val="0"/>
                <w:color w:val="auto"/>
                <w:szCs w:val="22"/>
                <w:lang w:val="zh-CN"/>
              </w:rPr>
            </w:pPr>
          </w:p>
        </w:tc>
        <w:tc>
          <w:tcPr>
            <w:tcW w:w="517" w:type="pct"/>
            <w:vMerge w:val="continue"/>
            <w:tcBorders>
              <w:top w:val="single" w:color="auto" w:sz="4" w:space="0"/>
              <w:left w:val="single" w:color="auto" w:sz="4" w:space="0"/>
              <w:bottom w:val="single" w:color="auto" w:sz="12" w:space="0"/>
              <w:right w:val="single" w:color="auto" w:sz="4" w:space="0"/>
            </w:tcBorders>
            <w:vAlign w:val="center"/>
          </w:tcPr>
          <w:p w14:paraId="008D924F">
            <w:pPr>
              <w:widowControl/>
              <w:jc w:val="left"/>
              <w:rPr>
                <w:snapToGrid w:val="0"/>
                <w:color w:val="auto"/>
                <w:szCs w:val="22"/>
                <w:lang w:val="zh-CN"/>
              </w:rPr>
            </w:pPr>
          </w:p>
        </w:tc>
        <w:tc>
          <w:tcPr>
            <w:tcW w:w="609" w:type="pct"/>
            <w:tcBorders>
              <w:top w:val="single" w:color="auto" w:sz="4" w:space="0"/>
              <w:left w:val="single" w:color="auto" w:sz="4" w:space="0"/>
              <w:bottom w:val="single" w:color="auto" w:sz="12" w:space="0"/>
              <w:right w:val="single" w:color="auto" w:sz="4" w:space="0"/>
            </w:tcBorders>
            <w:vAlign w:val="center"/>
          </w:tcPr>
          <w:p w14:paraId="12ACDE97">
            <w:pPr>
              <w:adjustRightInd w:val="0"/>
              <w:snapToGrid w:val="0"/>
              <w:jc w:val="center"/>
              <w:rPr>
                <w:snapToGrid w:val="0"/>
                <w:color w:val="auto"/>
                <w:szCs w:val="22"/>
                <w:lang w:val="zh-CN"/>
              </w:rPr>
            </w:pPr>
            <w:r>
              <w:rPr>
                <w:snapToGrid w:val="0"/>
                <w:color w:val="auto"/>
                <w:szCs w:val="22"/>
                <w:lang w:val="zh-CN"/>
              </w:rPr>
              <w:t>1</w:t>
            </w:r>
            <w:r>
              <w:rPr>
                <w:rFonts w:hint="eastAsia"/>
                <w:snapToGrid w:val="0"/>
                <w:color w:val="auto"/>
                <w:szCs w:val="22"/>
                <w:lang w:val="zh-CN"/>
              </w:rPr>
              <w:t>小时平均</w:t>
            </w:r>
          </w:p>
        </w:tc>
        <w:tc>
          <w:tcPr>
            <w:tcW w:w="474" w:type="pct"/>
            <w:tcBorders>
              <w:top w:val="single" w:color="auto" w:sz="4" w:space="0"/>
              <w:left w:val="single" w:color="auto" w:sz="4" w:space="0"/>
              <w:bottom w:val="single" w:color="auto" w:sz="12" w:space="0"/>
              <w:right w:val="nil"/>
            </w:tcBorders>
            <w:vAlign w:val="center"/>
          </w:tcPr>
          <w:p w14:paraId="64DBF764">
            <w:pPr>
              <w:adjustRightInd w:val="0"/>
              <w:snapToGrid w:val="0"/>
              <w:jc w:val="center"/>
              <w:rPr>
                <w:snapToGrid w:val="0"/>
                <w:color w:val="auto"/>
                <w:szCs w:val="22"/>
                <w:lang w:val="zh-CN"/>
              </w:rPr>
            </w:pPr>
            <w:r>
              <w:rPr>
                <w:snapToGrid w:val="0"/>
                <w:color w:val="auto"/>
                <w:szCs w:val="22"/>
                <w:lang w:val="zh-CN"/>
              </w:rPr>
              <w:t>10</w:t>
            </w:r>
          </w:p>
        </w:tc>
        <w:tc>
          <w:tcPr>
            <w:tcW w:w="475" w:type="pct"/>
            <w:tcBorders>
              <w:top w:val="single" w:color="auto" w:sz="4" w:space="0"/>
              <w:left w:val="single" w:color="auto" w:sz="4" w:space="0"/>
              <w:bottom w:val="single" w:color="auto" w:sz="12" w:space="0"/>
              <w:right w:val="nil"/>
            </w:tcBorders>
            <w:vAlign w:val="center"/>
          </w:tcPr>
          <w:p w14:paraId="1AD64630">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10</w:t>
            </w:r>
          </w:p>
        </w:tc>
        <w:tc>
          <w:tcPr>
            <w:tcW w:w="474" w:type="pct"/>
            <w:tcBorders>
              <w:top w:val="single" w:color="auto" w:sz="4" w:space="0"/>
              <w:left w:val="single" w:color="auto" w:sz="4" w:space="0"/>
              <w:bottom w:val="single" w:color="auto" w:sz="12" w:space="0"/>
              <w:right w:val="nil"/>
            </w:tcBorders>
            <w:vAlign w:val="center"/>
          </w:tcPr>
          <w:p w14:paraId="510E28F2">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10</w:t>
            </w:r>
          </w:p>
        </w:tc>
        <w:tc>
          <w:tcPr>
            <w:tcW w:w="478" w:type="pct"/>
            <w:tcBorders>
              <w:top w:val="single" w:color="auto" w:sz="4" w:space="0"/>
              <w:left w:val="single" w:color="auto" w:sz="4" w:space="0"/>
              <w:bottom w:val="single" w:color="auto" w:sz="12" w:space="0"/>
              <w:right w:val="nil"/>
            </w:tcBorders>
            <w:vAlign w:val="center"/>
          </w:tcPr>
          <w:p w14:paraId="39343285">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10</w:t>
            </w:r>
          </w:p>
        </w:tc>
      </w:tr>
    </w:tbl>
    <w:p w14:paraId="4AE0DEEE">
      <w:pPr>
        <w:spacing w:line="500" w:lineRule="exact"/>
        <w:ind w:firstLine="480" w:firstLineChars="200"/>
        <w:rPr>
          <w:snapToGrid w:val="0"/>
          <w:color w:val="auto"/>
          <w:kern w:val="0"/>
          <w:sz w:val="24"/>
          <w:szCs w:val="22"/>
        </w:rPr>
      </w:pPr>
      <w:r>
        <w:rPr>
          <w:rFonts w:hint="eastAsia"/>
          <w:snapToGrid w:val="0"/>
          <w:color w:val="auto"/>
          <w:kern w:val="0"/>
          <w:sz w:val="24"/>
          <w:szCs w:val="22"/>
        </w:rPr>
        <w:t>（</w:t>
      </w:r>
      <w:r>
        <w:rPr>
          <w:snapToGrid w:val="0"/>
          <w:color w:val="auto"/>
          <w:kern w:val="0"/>
          <w:sz w:val="24"/>
          <w:szCs w:val="22"/>
        </w:rPr>
        <w:t>2</w:t>
      </w:r>
      <w:r>
        <w:rPr>
          <w:rFonts w:hint="eastAsia"/>
          <w:snapToGrid w:val="0"/>
          <w:color w:val="auto"/>
          <w:kern w:val="0"/>
          <w:sz w:val="24"/>
          <w:szCs w:val="22"/>
        </w:rPr>
        <w:t>）地下水</w:t>
      </w:r>
    </w:p>
    <w:p w14:paraId="30DABF69">
      <w:pPr>
        <w:spacing w:line="500" w:lineRule="exact"/>
        <w:ind w:firstLine="480" w:firstLineChars="200"/>
        <w:rPr>
          <w:snapToGrid w:val="0"/>
          <w:color w:val="auto"/>
          <w:kern w:val="0"/>
          <w:sz w:val="24"/>
          <w:szCs w:val="22"/>
        </w:rPr>
      </w:pPr>
      <w:r>
        <w:rPr>
          <w:rFonts w:hint="eastAsia"/>
          <w:snapToGrid w:val="0"/>
          <w:color w:val="auto"/>
          <w:kern w:val="0"/>
          <w:sz w:val="24"/>
          <w:szCs w:val="22"/>
        </w:rPr>
        <w:t>项目所在区域地下水为</w:t>
      </w:r>
      <w:r>
        <w:rPr>
          <w:snapToGrid w:val="0"/>
          <w:color w:val="auto"/>
          <w:kern w:val="0"/>
          <w:sz w:val="24"/>
          <w:szCs w:val="22"/>
        </w:rPr>
        <w:fldChar w:fldCharType="begin"/>
      </w:r>
      <w:r>
        <w:rPr>
          <w:snapToGrid w:val="0"/>
          <w:color w:val="auto"/>
          <w:kern w:val="0"/>
          <w:sz w:val="24"/>
          <w:szCs w:val="22"/>
        </w:rPr>
        <w:instrText xml:space="preserve"> = 3 \* ROMAN </w:instrText>
      </w:r>
      <w:r>
        <w:rPr>
          <w:snapToGrid w:val="0"/>
          <w:color w:val="auto"/>
          <w:kern w:val="0"/>
          <w:sz w:val="24"/>
          <w:szCs w:val="22"/>
        </w:rPr>
        <w:fldChar w:fldCharType="separate"/>
      </w:r>
      <w:r>
        <w:rPr>
          <w:snapToGrid w:val="0"/>
          <w:color w:val="auto"/>
          <w:kern w:val="0"/>
          <w:sz w:val="24"/>
          <w:szCs w:val="22"/>
        </w:rPr>
        <w:t>III</w:t>
      </w:r>
      <w:r>
        <w:rPr>
          <w:snapToGrid w:val="0"/>
          <w:color w:val="auto"/>
          <w:kern w:val="0"/>
          <w:sz w:val="24"/>
          <w:szCs w:val="22"/>
        </w:rPr>
        <w:fldChar w:fldCharType="end"/>
      </w:r>
      <w:r>
        <w:rPr>
          <w:rFonts w:hint="eastAsia"/>
          <w:snapToGrid w:val="0"/>
          <w:color w:val="auto"/>
          <w:kern w:val="0"/>
          <w:sz w:val="24"/>
          <w:szCs w:val="22"/>
        </w:rPr>
        <w:t>类，执行《地下水质量标准》（</w:t>
      </w:r>
      <w:r>
        <w:rPr>
          <w:snapToGrid w:val="0"/>
          <w:color w:val="auto"/>
          <w:kern w:val="0"/>
          <w:sz w:val="24"/>
          <w:szCs w:val="22"/>
        </w:rPr>
        <w:t>GB/T14848-2017</w:t>
      </w:r>
      <w:r>
        <w:rPr>
          <w:rFonts w:hint="eastAsia"/>
          <w:snapToGrid w:val="0"/>
          <w:color w:val="auto"/>
          <w:kern w:val="0"/>
          <w:sz w:val="24"/>
          <w:szCs w:val="22"/>
        </w:rPr>
        <w:t>）中</w:t>
      </w:r>
      <w:r>
        <w:rPr>
          <w:snapToGrid w:val="0"/>
          <w:color w:val="auto"/>
          <w:kern w:val="0"/>
          <w:sz w:val="24"/>
          <w:szCs w:val="22"/>
        </w:rPr>
        <w:fldChar w:fldCharType="begin"/>
      </w:r>
      <w:r>
        <w:rPr>
          <w:snapToGrid w:val="0"/>
          <w:color w:val="auto"/>
          <w:kern w:val="0"/>
          <w:sz w:val="24"/>
          <w:szCs w:val="22"/>
        </w:rPr>
        <w:instrText xml:space="preserve"> = 3 \* ROMAN </w:instrText>
      </w:r>
      <w:r>
        <w:rPr>
          <w:snapToGrid w:val="0"/>
          <w:color w:val="auto"/>
          <w:kern w:val="0"/>
          <w:sz w:val="24"/>
          <w:szCs w:val="22"/>
        </w:rPr>
        <w:fldChar w:fldCharType="separate"/>
      </w:r>
      <w:r>
        <w:rPr>
          <w:snapToGrid w:val="0"/>
          <w:color w:val="auto"/>
          <w:kern w:val="0"/>
          <w:sz w:val="24"/>
          <w:szCs w:val="22"/>
        </w:rPr>
        <w:t>III</w:t>
      </w:r>
      <w:r>
        <w:rPr>
          <w:snapToGrid w:val="0"/>
          <w:color w:val="auto"/>
          <w:kern w:val="0"/>
          <w:sz w:val="24"/>
          <w:szCs w:val="22"/>
        </w:rPr>
        <w:fldChar w:fldCharType="end"/>
      </w:r>
      <w:r>
        <w:rPr>
          <w:rFonts w:hint="eastAsia"/>
          <w:snapToGrid w:val="0"/>
          <w:color w:val="auto"/>
          <w:kern w:val="0"/>
          <w:sz w:val="24"/>
          <w:szCs w:val="22"/>
        </w:rPr>
        <w:t>类标准。</w:t>
      </w:r>
    </w:p>
    <w:p w14:paraId="28050EDC">
      <w:pPr>
        <w:adjustRightInd w:val="0"/>
        <w:snapToGrid w:val="0"/>
        <w:spacing w:line="500" w:lineRule="exact"/>
        <w:jc w:val="center"/>
        <w:rPr>
          <w:rFonts w:eastAsia="黑体"/>
          <w:snapToGrid w:val="0"/>
          <w:color w:val="auto"/>
          <w:sz w:val="24"/>
          <w:szCs w:val="22"/>
          <w:lang w:val="zh-CN"/>
        </w:rPr>
      </w:pPr>
      <w:r>
        <w:rPr>
          <w:rFonts w:hint="eastAsia" w:eastAsia="黑体"/>
          <w:snapToGrid w:val="0"/>
          <w:color w:val="auto"/>
          <w:sz w:val="24"/>
          <w:szCs w:val="22"/>
          <w:lang w:val="zh-CN"/>
        </w:rPr>
        <w:t>表</w:t>
      </w:r>
      <w:r>
        <w:rPr>
          <w:rFonts w:eastAsia="黑体"/>
          <w:snapToGrid w:val="0"/>
          <w:color w:val="auto"/>
          <w:sz w:val="24"/>
          <w:szCs w:val="22"/>
          <w:lang w:val="zh-CN"/>
        </w:rPr>
        <w:t>2-5-2</w:t>
      </w:r>
      <w:r>
        <w:rPr>
          <w:rFonts w:hint="eastAsia" w:eastAsia="黑体"/>
          <w:snapToGrid w:val="0"/>
          <w:color w:val="auto"/>
          <w:sz w:val="24"/>
          <w:szCs w:val="22"/>
          <w:lang w:val="zh-CN"/>
        </w:rPr>
        <w:t>地下水质量标准</w:t>
      </w:r>
    </w:p>
    <w:tbl>
      <w:tblPr>
        <w:tblStyle w:val="7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4"/>
        <w:gridCol w:w="2130"/>
        <w:gridCol w:w="2840"/>
        <w:gridCol w:w="2000"/>
        <w:gridCol w:w="1382"/>
      </w:tblGrid>
      <w:tr w14:paraId="2FCC31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7" w:type="pct"/>
            <w:vMerge w:val="restart"/>
            <w:vAlign w:val="center"/>
          </w:tcPr>
          <w:p w14:paraId="693A27E8">
            <w:pPr>
              <w:adjustRightInd w:val="0"/>
              <w:snapToGrid w:val="0"/>
              <w:jc w:val="center"/>
              <w:rPr>
                <w:snapToGrid w:val="0"/>
                <w:color w:val="auto"/>
                <w:kern w:val="0"/>
                <w:szCs w:val="22"/>
                <w:lang w:val="zh-CN"/>
              </w:rPr>
            </w:pPr>
            <w:r>
              <w:rPr>
                <w:rFonts w:hint="eastAsia"/>
                <w:snapToGrid w:val="0"/>
                <w:color w:val="auto"/>
                <w:kern w:val="0"/>
                <w:szCs w:val="22"/>
                <w:lang w:val="zh-CN"/>
              </w:rPr>
              <w:t>环境</w:t>
            </w:r>
          </w:p>
          <w:p w14:paraId="0E0536EB">
            <w:pPr>
              <w:adjustRightInd w:val="0"/>
              <w:snapToGrid w:val="0"/>
              <w:jc w:val="center"/>
              <w:rPr>
                <w:snapToGrid w:val="0"/>
                <w:color w:val="auto"/>
                <w:kern w:val="0"/>
                <w:szCs w:val="22"/>
                <w:lang w:val="zh-CN"/>
              </w:rPr>
            </w:pPr>
            <w:r>
              <w:rPr>
                <w:rFonts w:hint="eastAsia"/>
                <w:snapToGrid w:val="0"/>
                <w:color w:val="auto"/>
                <w:kern w:val="0"/>
                <w:szCs w:val="22"/>
                <w:lang w:val="zh-CN"/>
              </w:rPr>
              <w:t>要素</w:t>
            </w:r>
          </w:p>
        </w:tc>
        <w:tc>
          <w:tcPr>
            <w:tcW w:w="966" w:type="pct"/>
            <w:vMerge w:val="restart"/>
            <w:vAlign w:val="center"/>
          </w:tcPr>
          <w:p w14:paraId="6F2A00F2">
            <w:pPr>
              <w:adjustRightInd w:val="0"/>
              <w:snapToGrid w:val="0"/>
              <w:jc w:val="center"/>
              <w:rPr>
                <w:snapToGrid w:val="0"/>
                <w:color w:val="auto"/>
                <w:kern w:val="0"/>
                <w:szCs w:val="22"/>
                <w:lang w:val="zh-CN"/>
              </w:rPr>
            </w:pPr>
            <w:r>
              <w:rPr>
                <w:rFonts w:hint="eastAsia"/>
                <w:snapToGrid w:val="0"/>
                <w:color w:val="auto"/>
                <w:kern w:val="0"/>
                <w:szCs w:val="22"/>
                <w:lang w:val="zh-CN"/>
              </w:rPr>
              <w:t>标准名称及级别</w:t>
            </w:r>
          </w:p>
        </w:tc>
        <w:tc>
          <w:tcPr>
            <w:tcW w:w="1627" w:type="pct"/>
            <w:vMerge w:val="restart"/>
            <w:vAlign w:val="center"/>
          </w:tcPr>
          <w:p w14:paraId="4114C226">
            <w:pPr>
              <w:adjustRightInd w:val="0"/>
              <w:snapToGrid w:val="0"/>
              <w:jc w:val="center"/>
              <w:rPr>
                <w:snapToGrid w:val="0"/>
                <w:color w:val="auto"/>
                <w:kern w:val="0"/>
                <w:szCs w:val="22"/>
                <w:lang w:val="zh-CN"/>
              </w:rPr>
            </w:pPr>
            <w:r>
              <w:rPr>
                <w:rFonts w:hint="eastAsia"/>
                <w:snapToGrid w:val="0"/>
                <w:color w:val="auto"/>
                <w:kern w:val="0"/>
                <w:szCs w:val="22"/>
                <w:lang w:val="zh-CN"/>
              </w:rPr>
              <w:t>项目</w:t>
            </w:r>
          </w:p>
        </w:tc>
        <w:tc>
          <w:tcPr>
            <w:tcW w:w="0" w:type="auto"/>
            <w:gridSpan w:val="2"/>
            <w:vAlign w:val="center"/>
          </w:tcPr>
          <w:p w14:paraId="086F462B">
            <w:pPr>
              <w:adjustRightInd w:val="0"/>
              <w:snapToGrid w:val="0"/>
              <w:jc w:val="center"/>
              <w:rPr>
                <w:snapToGrid w:val="0"/>
                <w:color w:val="auto"/>
                <w:kern w:val="0"/>
                <w:szCs w:val="22"/>
                <w:lang w:val="zh-CN"/>
              </w:rPr>
            </w:pPr>
            <w:r>
              <w:rPr>
                <w:rFonts w:hint="eastAsia"/>
                <w:snapToGrid w:val="0"/>
                <w:color w:val="auto"/>
                <w:kern w:val="0"/>
                <w:szCs w:val="22"/>
                <w:lang w:val="zh-CN"/>
              </w:rPr>
              <w:t>标准值</w:t>
            </w:r>
          </w:p>
        </w:tc>
      </w:tr>
      <w:tr w14:paraId="3675C3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AC7693C">
            <w:pPr>
              <w:widowControl/>
              <w:snapToGrid w:val="0"/>
              <w:jc w:val="left"/>
              <w:rPr>
                <w:snapToGrid w:val="0"/>
                <w:color w:val="auto"/>
                <w:kern w:val="0"/>
                <w:szCs w:val="22"/>
                <w:lang w:val="zh-CN"/>
              </w:rPr>
            </w:pPr>
          </w:p>
        </w:tc>
        <w:tc>
          <w:tcPr>
            <w:tcW w:w="0" w:type="auto"/>
            <w:vMerge w:val="continue"/>
            <w:vAlign w:val="center"/>
          </w:tcPr>
          <w:p w14:paraId="0FEAE471">
            <w:pPr>
              <w:widowControl/>
              <w:snapToGrid w:val="0"/>
              <w:jc w:val="left"/>
              <w:rPr>
                <w:snapToGrid w:val="0"/>
                <w:color w:val="auto"/>
                <w:kern w:val="0"/>
                <w:szCs w:val="22"/>
                <w:lang w:val="zh-CN"/>
              </w:rPr>
            </w:pPr>
          </w:p>
        </w:tc>
        <w:tc>
          <w:tcPr>
            <w:tcW w:w="0" w:type="auto"/>
            <w:vMerge w:val="continue"/>
            <w:vAlign w:val="center"/>
          </w:tcPr>
          <w:p w14:paraId="39B26398">
            <w:pPr>
              <w:widowControl/>
              <w:snapToGrid w:val="0"/>
              <w:jc w:val="left"/>
              <w:rPr>
                <w:snapToGrid w:val="0"/>
                <w:color w:val="auto"/>
                <w:kern w:val="0"/>
                <w:szCs w:val="22"/>
                <w:lang w:val="zh-CN"/>
              </w:rPr>
            </w:pPr>
          </w:p>
        </w:tc>
        <w:tc>
          <w:tcPr>
            <w:tcW w:w="1161" w:type="pct"/>
            <w:vAlign w:val="center"/>
          </w:tcPr>
          <w:p w14:paraId="724B3F53">
            <w:pPr>
              <w:adjustRightInd w:val="0"/>
              <w:snapToGrid w:val="0"/>
              <w:jc w:val="center"/>
              <w:rPr>
                <w:snapToGrid w:val="0"/>
                <w:color w:val="auto"/>
                <w:kern w:val="0"/>
                <w:szCs w:val="22"/>
                <w:lang w:val="zh-CN"/>
              </w:rPr>
            </w:pPr>
            <w:r>
              <w:rPr>
                <w:rFonts w:hint="eastAsia"/>
                <w:snapToGrid w:val="0"/>
                <w:color w:val="auto"/>
                <w:kern w:val="0"/>
                <w:szCs w:val="22"/>
                <w:lang w:val="zh-CN"/>
              </w:rPr>
              <w:t>单位</w:t>
            </w:r>
          </w:p>
        </w:tc>
        <w:tc>
          <w:tcPr>
            <w:tcW w:w="819" w:type="pct"/>
            <w:vAlign w:val="center"/>
          </w:tcPr>
          <w:p w14:paraId="70E2B04D">
            <w:pPr>
              <w:adjustRightInd w:val="0"/>
              <w:snapToGrid w:val="0"/>
              <w:jc w:val="center"/>
              <w:rPr>
                <w:snapToGrid w:val="0"/>
                <w:color w:val="auto"/>
                <w:kern w:val="0"/>
                <w:szCs w:val="22"/>
                <w:lang w:val="zh-CN"/>
              </w:rPr>
            </w:pPr>
            <w:r>
              <w:rPr>
                <w:rFonts w:hint="eastAsia"/>
                <w:snapToGrid w:val="0"/>
                <w:color w:val="auto"/>
                <w:kern w:val="0"/>
                <w:szCs w:val="22"/>
                <w:lang w:val="zh-CN"/>
              </w:rPr>
              <w:t>数值</w:t>
            </w:r>
          </w:p>
        </w:tc>
      </w:tr>
      <w:tr w14:paraId="5DE7B9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7" w:type="pct"/>
            <w:vMerge w:val="restart"/>
            <w:vAlign w:val="center"/>
          </w:tcPr>
          <w:p w14:paraId="456716C7">
            <w:pPr>
              <w:adjustRightInd w:val="0"/>
              <w:snapToGrid w:val="0"/>
              <w:jc w:val="center"/>
              <w:rPr>
                <w:snapToGrid w:val="0"/>
                <w:color w:val="auto"/>
                <w:kern w:val="0"/>
                <w:szCs w:val="22"/>
                <w:lang w:val="zh-CN"/>
              </w:rPr>
            </w:pPr>
            <w:r>
              <w:rPr>
                <w:rFonts w:hint="eastAsia"/>
                <w:snapToGrid w:val="0"/>
                <w:color w:val="auto"/>
                <w:kern w:val="0"/>
                <w:szCs w:val="22"/>
                <w:lang w:val="zh-CN"/>
              </w:rPr>
              <w:t>地</w:t>
            </w:r>
          </w:p>
          <w:p w14:paraId="24BD05F9">
            <w:pPr>
              <w:adjustRightInd w:val="0"/>
              <w:snapToGrid w:val="0"/>
              <w:jc w:val="center"/>
              <w:rPr>
                <w:snapToGrid w:val="0"/>
                <w:color w:val="auto"/>
                <w:kern w:val="0"/>
                <w:szCs w:val="22"/>
                <w:lang w:val="zh-CN"/>
              </w:rPr>
            </w:pPr>
            <w:r>
              <w:rPr>
                <w:rFonts w:hint="eastAsia"/>
                <w:snapToGrid w:val="0"/>
                <w:color w:val="auto"/>
                <w:kern w:val="0"/>
                <w:szCs w:val="22"/>
                <w:lang w:val="zh-CN"/>
              </w:rPr>
              <w:t>下</w:t>
            </w:r>
          </w:p>
          <w:p w14:paraId="77AB29DA">
            <w:pPr>
              <w:adjustRightInd w:val="0"/>
              <w:snapToGrid w:val="0"/>
              <w:jc w:val="center"/>
              <w:rPr>
                <w:snapToGrid w:val="0"/>
                <w:color w:val="auto"/>
                <w:kern w:val="0"/>
                <w:szCs w:val="22"/>
                <w:lang w:val="zh-CN"/>
              </w:rPr>
            </w:pPr>
            <w:r>
              <w:rPr>
                <w:rFonts w:hint="eastAsia"/>
                <w:snapToGrid w:val="0"/>
                <w:color w:val="auto"/>
                <w:kern w:val="0"/>
                <w:szCs w:val="22"/>
                <w:lang w:val="zh-CN"/>
              </w:rPr>
              <w:t>水</w:t>
            </w:r>
          </w:p>
          <w:p w14:paraId="317FA32C">
            <w:pPr>
              <w:adjustRightInd w:val="0"/>
              <w:snapToGrid w:val="0"/>
              <w:jc w:val="center"/>
              <w:rPr>
                <w:snapToGrid w:val="0"/>
                <w:color w:val="auto"/>
                <w:kern w:val="0"/>
                <w:szCs w:val="22"/>
                <w:lang w:val="zh-CN"/>
              </w:rPr>
            </w:pPr>
            <w:r>
              <w:rPr>
                <w:rFonts w:hint="eastAsia"/>
                <w:snapToGrid w:val="0"/>
                <w:color w:val="auto"/>
                <w:kern w:val="0"/>
                <w:szCs w:val="22"/>
                <w:lang w:val="zh-CN"/>
              </w:rPr>
              <w:t>环</w:t>
            </w:r>
          </w:p>
          <w:p w14:paraId="7BC7F565">
            <w:pPr>
              <w:adjustRightInd w:val="0"/>
              <w:snapToGrid w:val="0"/>
              <w:jc w:val="center"/>
              <w:rPr>
                <w:snapToGrid w:val="0"/>
                <w:color w:val="auto"/>
                <w:kern w:val="0"/>
                <w:szCs w:val="22"/>
                <w:lang w:val="zh-CN"/>
              </w:rPr>
            </w:pPr>
            <w:r>
              <w:rPr>
                <w:rFonts w:hint="eastAsia"/>
                <w:snapToGrid w:val="0"/>
                <w:color w:val="auto"/>
                <w:kern w:val="0"/>
                <w:szCs w:val="22"/>
                <w:lang w:val="zh-CN"/>
              </w:rPr>
              <w:t>境</w:t>
            </w:r>
          </w:p>
        </w:tc>
        <w:tc>
          <w:tcPr>
            <w:tcW w:w="966" w:type="pct"/>
            <w:vMerge w:val="restart"/>
            <w:vAlign w:val="center"/>
          </w:tcPr>
          <w:p w14:paraId="42CCE906">
            <w:pPr>
              <w:adjustRightInd w:val="0"/>
              <w:snapToGrid w:val="0"/>
              <w:rPr>
                <w:snapToGrid w:val="0"/>
                <w:color w:val="auto"/>
                <w:kern w:val="0"/>
                <w:szCs w:val="22"/>
                <w:lang w:val="zh-CN"/>
              </w:rPr>
            </w:pPr>
            <w:bookmarkStart w:id="50" w:name="_Hlk73542284"/>
            <w:r>
              <w:rPr>
                <w:rFonts w:hint="eastAsia"/>
                <w:snapToGrid w:val="0"/>
                <w:color w:val="auto"/>
                <w:kern w:val="0"/>
                <w:szCs w:val="22"/>
                <w:lang w:val="zh-CN"/>
              </w:rPr>
              <w:t>《地下水质量标准》（</w:t>
            </w:r>
            <w:r>
              <w:rPr>
                <w:snapToGrid w:val="0"/>
                <w:color w:val="auto"/>
                <w:kern w:val="0"/>
                <w:szCs w:val="22"/>
                <w:lang w:val="zh-CN"/>
              </w:rPr>
              <w:t>GB/T14848-2017</w:t>
            </w:r>
            <w:r>
              <w:rPr>
                <w:rFonts w:hint="eastAsia"/>
                <w:snapToGrid w:val="0"/>
                <w:color w:val="auto"/>
                <w:kern w:val="0"/>
                <w:szCs w:val="22"/>
                <w:lang w:val="zh-CN"/>
              </w:rPr>
              <w:t>）中</w:t>
            </w:r>
            <w:r>
              <w:rPr>
                <w:rFonts w:hint="eastAsia" w:ascii="等线" w:hAnsi="等线" w:eastAsia="等线"/>
                <w:color w:val="auto"/>
                <w:szCs w:val="22"/>
              </w:rPr>
              <w:fldChar w:fldCharType="begin"/>
            </w:r>
            <w:r>
              <w:rPr>
                <w:snapToGrid w:val="0"/>
                <w:color w:val="auto"/>
                <w:kern w:val="0"/>
                <w:szCs w:val="22"/>
                <w:lang w:val="zh-CN"/>
              </w:rPr>
              <w:instrText xml:space="preserve"> = 3 \* ROMAN </w:instrText>
            </w:r>
            <w:r>
              <w:rPr>
                <w:rFonts w:hint="eastAsia" w:ascii="等线" w:hAnsi="等线" w:eastAsia="等线"/>
                <w:color w:val="auto"/>
                <w:szCs w:val="22"/>
              </w:rPr>
              <w:fldChar w:fldCharType="separate"/>
            </w:r>
            <w:r>
              <w:rPr>
                <w:snapToGrid w:val="0"/>
                <w:color w:val="auto"/>
                <w:kern w:val="0"/>
                <w:szCs w:val="22"/>
                <w:lang w:val="zh-CN"/>
              </w:rPr>
              <w:t>III</w:t>
            </w:r>
            <w:r>
              <w:rPr>
                <w:rFonts w:hint="eastAsia" w:ascii="等线" w:hAnsi="等线" w:eastAsia="等线"/>
                <w:color w:val="auto"/>
                <w:szCs w:val="22"/>
              </w:rPr>
              <w:fldChar w:fldCharType="end"/>
            </w:r>
            <w:r>
              <w:rPr>
                <w:rFonts w:hint="eastAsia"/>
                <w:snapToGrid w:val="0"/>
                <w:color w:val="auto"/>
                <w:kern w:val="0"/>
                <w:szCs w:val="22"/>
                <w:lang w:val="zh-CN"/>
              </w:rPr>
              <w:t>类标准</w:t>
            </w:r>
            <w:bookmarkEnd w:id="50"/>
          </w:p>
        </w:tc>
        <w:tc>
          <w:tcPr>
            <w:tcW w:w="1627" w:type="pct"/>
            <w:vAlign w:val="center"/>
          </w:tcPr>
          <w:p w14:paraId="4307E27B">
            <w:pPr>
              <w:adjustRightInd w:val="0"/>
              <w:snapToGrid w:val="0"/>
              <w:jc w:val="center"/>
              <w:rPr>
                <w:snapToGrid w:val="0"/>
                <w:color w:val="auto"/>
                <w:kern w:val="0"/>
                <w:szCs w:val="22"/>
                <w:lang w:val="zh-CN"/>
              </w:rPr>
            </w:pPr>
            <w:r>
              <w:rPr>
                <w:snapToGrid w:val="0"/>
                <w:color w:val="auto"/>
                <w:kern w:val="0"/>
                <w:szCs w:val="22"/>
                <w:lang w:val="zh-CN"/>
              </w:rPr>
              <w:t>pH</w:t>
            </w:r>
            <w:r>
              <w:rPr>
                <w:rFonts w:hint="eastAsia"/>
                <w:snapToGrid w:val="0"/>
                <w:color w:val="auto"/>
                <w:kern w:val="0"/>
                <w:szCs w:val="22"/>
                <w:lang w:val="zh-CN"/>
              </w:rPr>
              <w:t>值</w:t>
            </w:r>
          </w:p>
        </w:tc>
        <w:tc>
          <w:tcPr>
            <w:tcW w:w="1161" w:type="pct"/>
            <w:vAlign w:val="center"/>
          </w:tcPr>
          <w:p w14:paraId="1C3B1E18">
            <w:pPr>
              <w:adjustRightInd w:val="0"/>
              <w:snapToGrid w:val="0"/>
              <w:jc w:val="center"/>
              <w:rPr>
                <w:snapToGrid w:val="0"/>
                <w:color w:val="auto"/>
                <w:kern w:val="0"/>
                <w:szCs w:val="22"/>
                <w:lang w:val="zh-CN"/>
              </w:rPr>
            </w:pPr>
            <w:r>
              <w:rPr>
                <w:rFonts w:hint="eastAsia"/>
                <w:snapToGrid w:val="0"/>
                <w:color w:val="auto"/>
                <w:kern w:val="0"/>
                <w:szCs w:val="22"/>
                <w:lang w:val="zh-CN"/>
              </w:rPr>
              <w:t>无量纲</w:t>
            </w:r>
          </w:p>
        </w:tc>
        <w:tc>
          <w:tcPr>
            <w:tcW w:w="819" w:type="pct"/>
            <w:vAlign w:val="center"/>
          </w:tcPr>
          <w:p w14:paraId="59A67A12">
            <w:pPr>
              <w:adjustRightInd w:val="0"/>
              <w:snapToGrid w:val="0"/>
              <w:jc w:val="center"/>
              <w:rPr>
                <w:snapToGrid w:val="0"/>
                <w:color w:val="auto"/>
                <w:kern w:val="0"/>
                <w:szCs w:val="22"/>
                <w:lang w:val="zh-CN"/>
              </w:rPr>
            </w:pPr>
            <w:r>
              <w:rPr>
                <w:snapToGrid w:val="0"/>
                <w:color w:val="auto"/>
                <w:kern w:val="0"/>
                <w:szCs w:val="22"/>
                <w:lang w:val="zh-CN"/>
              </w:rPr>
              <w:t>6.5</w:t>
            </w:r>
            <w:r>
              <w:rPr>
                <w:rFonts w:hint="eastAsia"/>
                <w:snapToGrid w:val="0"/>
                <w:color w:val="auto"/>
                <w:kern w:val="0"/>
                <w:szCs w:val="22"/>
                <w:lang w:val="zh-CN"/>
              </w:rPr>
              <w:t>～</w:t>
            </w:r>
            <w:r>
              <w:rPr>
                <w:snapToGrid w:val="0"/>
                <w:color w:val="auto"/>
                <w:kern w:val="0"/>
                <w:szCs w:val="22"/>
                <w:lang w:val="zh-CN"/>
              </w:rPr>
              <w:t>8.5</w:t>
            </w:r>
          </w:p>
        </w:tc>
      </w:tr>
      <w:tr w14:paraId="2EFBF0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D113BFD">
            <w:pPr>
              <w:widowControl/>
              <w:snapToGrid w:val="0"/>
              <w:jc w:val="left"/>
              <w:rPr>
                <w:snapToGrid w:val="0"/>
                <w:color w:val="auto"/>
                <w:kern w:val="0"/>
                <w:szCs w:val="22"/>
                <w:lang w:val="zh-CN"/>
              </w:rPr>
            </w:pPr>
          </w:p>
        </w:tc>
        <w:tc>
          <w:tcPr>
            <w:tcW w:w="0" w:type="auto"/>
            <w:vMerge w:val="continue"/>
            <w:vAlign w:val="center"/>
          </w:tcPr>
          <w:p w14:paraId="7E55678B">
            <w:pPr>
              <w:widowControl/>
              <w:snapToGrid w:val="0"/>
              <w:jc w:val="left"/>
              <w:rPr>
                <w:snapToGrid w:val="0"/>
                <w:color w:val="auto"/>
                <w:kern w:val="0"/>
                <w:szCs w:val="22"/>
                <w:lang w:val="zh-CN"/>
              </w:rPr>
            </w:pPr>
          </w:p>
        </w:tc>
        <w:tc>
          <w:tcPr>
            <w:tcW w:w="1627" w:type="pct"/>
            <w:vAlign w:val="center"/>
          </w:tcPr>
          <w:p w14:paraId="537C386F">
            <w:pPr>
              <w:adjustRightInd w:val="0"/>
              <w:snapToGrid w:val="0"/>
              <w:jc w:val="center"/>
              <w:rPr>
                <w:snapToGrid w:val="0"/>
                <w:color w:val="auto"/>
                <w:kern w:val="0"/>
                <w:szCs w:val="22"/>
                <w:lang w:val="zh-CN"/>
              </w:rPr>
            </w:pPr>
            <w:r>
              <w:rPr>
                <w:rFonts w:hint="eastAsia"/>
                <w:snapToGrid w:val="0"/>
                <w:color w:val="auto"/>
                <w:kern w:val="0"/>
                <w:szCs w:val="22"/>
                <w:lang w:val="zh-CN"/>
              </w:rPr>
              <w:t>总硬度</w:t>
            </w:r>
          </w:p>
        </w:tc>
        <w:tc>
          <w:tcPr>
            <w:tcW w:w="1161" w:type="pct"/>
            <w:vMerge w:val="restart"/>
            <w:vAlign w:val="center"/>
          </w:tcPr>
          <w:p w14:paraId="79CD513C">
            <w:pPr>
              <w:adjustRightInd w:val="0"/>
              <w:snapToGrid w:val="0"/>
              <w:jc w:val="center"/>
              <w:rPr>
                <w:snapToGrid w:val="0"/>
                <w:color w:val="auto"/>
                <w:kern w:val="0"/>
                <w:szCs w:val="22"/>
                <w:lang w:val="zh-CN"/>
              </w:rPr>
            </w:pPr>
            <w:r>
              <w:rPr>
                <w:snapToGrid w:val="0"/>
                <w:color w:val="auto"/>
                <w:kern w:val="0"/>
                <w:szCs w:val="22"/>
                <w:lang w:val="zh-CN"/>
              </w:rPr>
              <w:t>mg/L</w:t>
            </w:r>
          </w:p>
        </w:tc>
        <w:tc>
          <w:tcPr>
            <w:tcW w:w="819" w:type="pct"/>
            <w:vAlign w:val="center"/>
          </w:tcPr>
          <w:p w14:paraId="67DFEB28">
            <w:pPr>
              <w:adjustRightInd w:val="0"/>
              <w:snapToGrid w:val="0"/>
              <w:jc w:val="center"/>
              <w:rPr>
                <w:snapToGrid w:val="0"/>
                <w:color w:val="auto"/>
                <w:kern w:val="0"/>
                <w:szCs w:val="22"/>
                <w:lang w:val="zh-CN"/>
              </w:rPr>
            </w:pPr>
            <w:r>
              <w:rPr>
                <w:snapToGrid w:val="0"/>
                <w:color w:val="auto"/>
                <w:kern w:val="0"/>
                <w:szCs w:val="22"/>
                <w:lang w:val="zh-CN"/>
              </w:rPr>
              <w:t>≤450</w:t>
            </w:r>
          </w:p>
        </w:tc>
      </w:tr>
      <w:tr w14:paraId="455F6C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95FF468">
            <w:pPr>
              <w:widowControl/>
              <w:snapToGrid w:val="0"/>
              <w:jc w:val="left"/>
              <w:rPr>
                <w:snapToGrid w:val="0"/>
                <w:color w:val="auto"/>
                <w:kern w:val="0"/>
                <w:szCs w:val="22"/>
                <w:lang w:val="zh-CN"/>
              </w:rPr>
            </w:pPr>
          </w:p>
        </w:tc>
        <w:tc>
          <w:tcPr>
            <w:tcW w:w="0" w:type="auto"/>
            <w:vMerge w:val="continue"/>
            <w:vAlign w:val="center"/>
          </w:tcPr>
          <w:p w14:paraId="09B1A1C9">
            <w:pPr>
              <w:widowControl/>
              <w:snapToGrid w:val="0"/>
              <w:jc w:val="left"/>
              <w:rPr>
                <w:snapToGrid w:val="0"/>
                <w:color w:val="auto"/>
                <w:kern w:val="0"/>
                <w:szCs w:val="22"/>
                <w:lang w:val="zh-CN"/>
              </w:rPr>
            </w:pPr>
          </w:p>
        </w:tc>
        <w:tc>
          <w:tcPr>
            <w:tcW w:w="1627" w:type="pct"/>
            <w:vAlign w:val="center"/>
          </w:tcPr>
          <w:p w14:paraId="4A232257">
            <w:pPr>
              <w:adjustRightInd w:val="0"/>
              <w:snapToGrid w:val="0"/>
              <w:jc w:val="center"/>
              <w:rPr>
                <w:snapToGrid w:val="0"/>
                <w:color w:val="auto"/>
                <w:kern w:val="0"/>
                <w:szCs w:val="22"/>
                <w:lang w:val="zh-CN"/>
              </w:rPr>
            </w:pPr>
            <w:r>
              <w:rPr>
                <w:rFonts w:hint="eastAsia"/>
                <w:snapToGrid w:val="0"/>
                <w:color w:val="auto"/>
                <w:kern w:val="0"/>
                <w:szCs w:val="22"/>
                <w:lang w:val="zh-CN"/>
              </w:rPr>
              <w:t>铁</w:t>
            </w:r>
          </w:p>
        </w:tc>
        <w:tc>
          <w:tcPr>
            <w:tcW w:w="0" w:type="auto"/>
            <w:vMerge w:val="continue"/>
            <w:vAlign w:val="center"/>
          </w:tcPr>
          <w:p w14:paraId="19667280">
            <w:pPr>
              <w:widowControl/>
              <w:snapToGrid w:val="0"/>
              <w:jc w:val="left"/>
              <w:rPr>
                <w:snapToGrid w:val="0"/>
                <w:color w:val="auto"/>
                <w:kern w:val="0"/>
                <w:szCs w:val="22"/>
                <w:lang w:val="zh-CN"/>
              </w:rPr>
            </w:pPr>
          </w:p>
        </w:tc>
        <w:tc>
          <w:tcPr>
            <w:tcW w:w="819" w:type="pct"/>
            <w:vAlign w:val="center"/>
          </w:tcPr>
          <w:p w14:paraId="5EE031FE">
            <w:pPr>
              <w:adjustRightInd w:val="0"/>
              <w:snapToGrid w:val="0"/>
              <w:jc w:val="center"/>
              <w:rPr>
                <w:snapToGrid w:val="0"/>
                <w:color w:val="auto"/>
                <w:kern w:val="0"/>
                <w:szCs w:val="22"/>
                <w:lang w:val="zh-CN"/>
              </w:rPr>
            </w:pPr>
            <w:r>
              <w:rPr>
                <w:snapToGrid w:val="0"/>
                <w:color w:val="auto"/>
                <w:kern w:val="0"/>
                <w:szCs w:val="22"/>
                <w:lang w:val="zh-CN"/>
              </w:rPr>
              <w:t>≤0.3</w:t>
            </w:r>
          </w:p>
        </w:tc>
      </w:tr>
      <w:tr w14:paraId="26356F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897AA4A">
            <w:pPr>
              <w:widowControl/>
              <w:snapToGrid w:val="0"/>
              <w:jc w:val="left"/>
              <w:rPr>
                <w:snapToGrid w:val="0"/>
                <w:color w:val="auto"/>
                <w:kern w:val="0"/>
                <w:szCs w:val="22"/>
                <w:lang w:val="zh-CN"/>
              </w:rPr>
            </w:pPr>
          </w:p>
        </w:tc>
        <w:tc>
          <w:tcPr>
            <w:tcW w:w="0" w:type="auto"/>
            <w:vMerge w:val="continue"/>
            <w:vAlign w:val="center"/>
          </w:tcPr>
          <w:p w14:paraId="08A608EB">
            <w:pPr>
              <w:widowControl/>
              <w:snapToGrid w:val="0"/>
              <w:jc w:val="left"/>
              <w:rPr>
                <w:snapToGrid w:val="0"/>
                <w:color w:val="auto"/>
                <w:kern w:val="0"/>
                <w:szCs w:val="22"/>
                <w:lang w:val="zh-CN"/>
              </w:rPr>
            </w:pPr>
          </w:p>
        </w:tc>
        <w:tc>
          <w:tcPr>
            <w:tcW w:w="1627" w:type="pct"/>
            <w:vAlign w:val="center"/>
          </w:tcPr>
          <w:p w14:paraId="2435D85B">
            <w:pPr>
              <w:adjustRightInd w:val="0"/>
              <w:snapToGrid w:val="0"/>
              <w:jc w:val="center"/>
              <w:rPr>
                <w:snapToGrid w:val="0"/>
                <w:color w:val="auto"/>
                <w:kern w:val="0"/>
                <w:szCs w:val="22"/>
                <w:lang w:val="zh-CN"/>
              </w:rPr>
            </w:pPr>
            <w:r>
              <w:rPr>
                <w:rFonts w:hint="eastAsia"/>
                <w:snapToGrid w:val="0"/>
                <w:color w:val="auto"/>
                <w:kern w:val="0"/>
                <w:szCs w:val="22"/>
                <w:lang w:val="zh-CN"/>
              </w:rPr>
              <w:t>锰</w:t>
            </w:r>
          </w:p>
        </w:tc>
        <w:tc>
          <w:tcPr>
            <w:tcW w:w="0" w:type="auto"/>
            <w:vMerge w:val="continue"/>
            <w:vAlign w:val="center"/>
          </w:tcPr>
          <w:p w14:paraId="53A20186">
            <w:pPr>
              <w:widowControl/>
              <w:snapToGrid w:val="0"/>
              <w:jc w:val="left"/>
              <w:rPr>
                <w:snapToGrid w:val="0"/>
                <w:color w:val="auto"/>
                <w:kern w:val="0"/>
                <w:szCs w:val="22"/>
                <w:lang w:val="zh-CN"/>
              </w:rPr>
            </w:pPr>
          </w:p>
        </w:tc>
        <w:tc>
          <w:tcPr>
            <w:tcW w:w="819" w:type="pct"/>
            <w:vAlign w:val="center"/>
          </w:tcPr>
          <w:p w14:paraId="37301E54">
            <w:pPr>
              <w:adjustRightInd w:val="0"/>
              <w:snapToGrid w:val="0"/>
              <w:jc w:val="center"/>
              <w:rPr>
                <w:snapToGrid w:val="0"/>
                <w:color w:val="auto"/>
                <w:kern w:val="0"/>
                <w:szCs w:val="22"/>
                <w:lang w:val="zh-CN"/>
              </w:rPr>
            </w:pPr>
            <w:r>
              <w:rPr>
                <w:snapToGrid w:val="0"/>
                <w:color w:val="auto"/>
                <w:kern w:val="0"/>
                <w:szCs w:val="22"/>
                <w:lang w:val="zh-CN"/>
              </w:rPr>
              <w:t>≤0.1</w:t>
            </w:r>
          </w:p>
        </w:tc>
      </w:tr>
      <w:tr w14:paraId="37CDCD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05C8DB6">
            <w:pPr>
              <w:widowControl/>
              <w:snapToGrid w:val="0"/>
              <w:jc w:val="left"/>
              <w:rPr>
                <w:snapToGrid w:val="0"/>
                <w:color w:val="auto"/>
                <w:kern w:val="0"/>
                <w:szCs w:val="22"/>
                <w:lang w:val="zh-CN"/>
              </w:rPr>
            </w:pPr>
          </w:p>
        </w:tc>
        <w:tc>
          <w:tcPr>
            <w:tcW w:w="0" w:type="auto"/>
            <w:vMerge w:val="continue"/>
            <w:vAlign w:val="center"/>
          </w:tcPr>
          <w:p w14:paraId="03821054">
            <w:pPr>
              <w:widowControl/>
              <w:snapToGrid w:val="0"/>
              <w:jc w:val="left"/>
              <w:rPr>
                <w:snapToGrid w:val="0"/>
                <w:color w:val="auto"/>
                <w:kern w:val="0"/>
                <w:szCs w:val="22"/>
                <w:lang w:val="zh-CN"/>
              </w:rPr>
            </w:pPr>
          </w:p>
        </w:tc>
        <w:tc>
          <w:tcPr>
            <w:tcW w:w="1627" w:type="pct"/>
            <w:vAlign w:val="center"/>
          </w:tcPr>
          <w:p w14:paraId="360DC93D">
            <w:pPr>
              <w:adjustRightInd w:val="0"/>
              <w:snapToGrid w:val="0"/>
              <w:jc w:val="center"/>
              <w:rPr>
                <w:snapToGrid w:val="0"/>
                <w:color w:val="auto"/>
                <w:kern w:val="0"/>
                <w:szCs w:val="22"/>
                <w:lang w:val="zh-CN"/>
              </w:rPr>
            </w:pPr>
            <w:r>
              <w:rPr>
                <w:rFonts w:hint="eastAsia"/>
                <w:snapToGrid w:val="0"/>
                <w:color w:val="auto"/>
                <w:kern w:val="0"/>
                <w:szCs w:val="22"/>
                <w:lang w:val="zh-CN"/>
              </w:rPr>
              <w:t>溶解性总固体</w:t>
            </w:r>
          </w:p>
        </w:tc>
        <w:tc>
          <w:tcPr>
            <w:tcW w:w="0" w:type="auto"/>
            <w:vMerge w:val="continue"/>
            <w:vAlign w:val="center"/>
          </w:tcPr>
          <w:p w14:paraId="6C09DF3F">
            <w:pPr>
              <w:widowControl/>
              <w:snapToGrid w:val="0"/>
              <w:jc w:val="left"/>
              <w:rPr>
                <w:snapToGrid w:val="0"/>
                <w:color w:val="auto"/>
                <w:kern w:val="0"/>
                <w:szCs w:val="22"/>
                <w:lang w:val="zh-CN"/>
              </w:rPr>
            </w:pPr>
          </w:p>
        </w:tc>
        <w:tc>
          <w:tcPr>
            <w:tcW w:w="819" w:type="pct"/>
            <w:vAlign w:val="center"/>
          </w:tcPr>
          <w:p w14:paraId="1A8FC563">
            <w:pPr>
              <w:adjustRightInd w:val="0"/>
              <w:snapToGrid w:val="0"/>
              <w:jc w:val="center"/>
              <w:rPr>
                <w:snapToGrid w:val="0"/>
                <w:color w:val="auto"/>
                <w:kern w:val="0"/>
                <w:szCs w:val="22"/>
                <w:lang w:val="zh-CN"/>
              </w:rPr>
            </w:pPr>
            <w:r>
              <w:rPr>
                <w:snapToGrid w:val="0"/>
                <w:color w:val="auto"/>
                <w:kern w:val="0"/>
                <w:szCs w:val="22"/>
                <w:lang w:val="zh-CN"/>
              </w:rPr>
              <w:t>≤1000</w:t>
            </w:r>
          </w:p>
        </w:tc>
      </w:tr>
      <w:tr w14:paraId="6E04A1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9E371E3">
            <w:pPr>
              <w:widowControl/>
              <w:snapToGrid w:val="0"/>
              <w:jc w:val="left"/>
              <w:rPr>
                <w:snapToGrid w:val="0"/>
                <w:color w:val="auto"/>
                <w:kern w:val="0"/>
                <w:szCs w:val="22"/>
                <w:lang w:val="zh-CN"/>
              </w:rPr>
            </w:pPr>
          </w:p>
        </w:tc>
        <w:tc>
          <w:tcPr>
            <w:tcW w:w="0" w:type="auto"/>
            <w:vMerge w:val="continue"/>
            <w:vAlign w:val="center"/>
          </w:tcPr>
          <w:p w14:paraId="1EE63EE8">
            <w:pPr>
              <w:widowControl/>
              <w:snapToGrid w:val="0"/>
              <w:jc w:val="left"/>
              <w:rPr>
                <w:snapToGrid w:val="0"/>
                <w:color w:val="auto"/>
                <w:kern w:val="0"/>
                <w:szCs w:val="22"/>
                <w:lang w:val="zh-CN"/>
              </w:rPr>
            </w:pPr>
          </w:p>
        </w:tc>
        <w:tc>
          <w:tcPr>
            <w:tcW w:w="1627" w:type="pct"/>
            <w:vAlign w:val="center"/>
          </w:tcPr>
          <w:p w14:paraId="4B0B3857">
            <w:pPr>
              <w:adjustRightInd w:val="0"/>
              <w:snapToGrid w:val="0"/>
              <w:jc w:val="center"/>
              <w:rPr>
                <w:snapToGrid w:val="0"/>
                <w:color w:val="auto"/>
                <w:kern w:val="0"/>
                <w:szCs w:val="22"/>
                <w:lang w:val="zh-CN"/>
              </w:rPr>
            </w:pPr>
            <w:r>
              <w:rPr>
                <w:rFonts w:hint="eastAsia"/>
                <w:snapToGrid w:val="0"/>
                <w:color w:val="auto"/>
                <w:kern w:val="0"/>
                <w:szCs w:val="22"/>
                <w:lang w:val="zh-CN"/>
              </w:rPr>
              <w:t>挥发酚类</w:t>
            </w:r>
          </w:p>
        </w:tc>
        <w:tc>
          <w:tcPr>
            <w:tcW w:w="0" w:type="auto"/>
            <w:vMerge w:val="continue"/>
            <w:vAlign w:val="center"/>
          </w:tcPr>
          <w:p w14:paraId="58920ABD">
            <w:pPr>
              <w:widowControl/>
              <w:snapToGrid w:val="0"/>
              <w:jc w:val="left"/>
              <w:rPr>
                <w:snapToGrid w:val="0"/>
                <w:color w:val="auto"/>
                <w:kern w:val="0"/>
                <w:szCs w:val="22"/>
                <w:lang w:val="zh-CN"/>
              </w:rPr>
            </w:pPr>
          </w:p>
        </w:tc>
        <w:tc>
          <w:tcPr>
            <w:tcW w:w="819" w:type="pct"/>
            <w:vAlign w:val="center"/>
          </w:tcPr>
          <w:p w14:paraId="14DC5BCC">
            <w:pPr>
              <w:adjustRightInd w:val="0"/>
              <w:snapToGrid w:val="0"/>
              <w:jc w:val="center"/>
              <w:rPr>
                <w:snapToGrid w:val="0"/>
                <w:color w:val="auto"/>
                <w:kern w:val="0"/>
                <w:szCs w:val="22"/>
                <w:lang w:val="zh-CN"/>
              </w:rPr>
            </w:pPr>
            <w:r>
              <w:rPr>
                <w:snapToGrid w:val="0"/>
                <w:color w:val="auto"/>
                <w:kern w:val="0"/>
                <w:szCs w:val="22"/>
                <w:lang w:val="zh-CN"/>
              </w:rPr>
              <w:t>≤0.002</w:t>
            </w:r>
          </w:p>
        </w:tc>
      </w:tr>
      <w:tr w14:paraId="392253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EEF4E1C">
            <w:pPr>
              <w:widowControl/>
              <w:snapToGrid w:val="0"/>
              <w:jc w:val="left"/>
              <w:rPr>
                <w:snapToGrid w:val="0"/>
                <w:color w:val="auto"/>
                <w:kern w:val="0"/>
                <w:szCs w:val="22"/>
                <w:lang w:val="zh-CN"/>
              </w:rPr>
            </w:pPr>
          </w:p>
        </w:tc>
        <w:tc>
          <w:tcPr>
            <w:tcW w:w="0" w:type="auto"/>
            <w:vMerge w:val="continue"/>
            <w:vAlign w:val="center"/>
          </w:tcPr>
          <w:p w14:paraId="68EC469C">
            <w:pPr>
              <w:widowControl/>
              <w:snapToGrid w:val="0"/>
              <w:jc w:val="left"/>
              <w:rPr>
                <w:snapToGrid w:val="0"/>
                <w:color w:val="auto"/>
                <w:kern w:val="0"/>
                <w:szCs w:val="22"/>
                <w:lang w:val="zh-CN"/>
              </w:rPr>
            </w:pPr>
          </w:p>
        </w:tc>
        <w:tc>
          <w:tcPr>
            <w:tcW w:w="1627" w:type="pct"/>
            <w:vAlign w:val="center"/>
          </w:tcPr>
          <w:p w14:paraId="3BE16FDE">
            <w:pPr>
              <w:adjustRightInd w:val="0"/>
              <w:snapToGrid w:val="0"/>
              <w:jc w:val="center"/>
              <w:rPr>
                <w:snapToGrid w:val="0"/>
                <w:color w:val="auto"/>
                <w:kern w:val="0"/>
                <w:szCs w:val="22"/>
                <w:lang w:val="zh-CN"/>
              </w:rPr>
            </w:pPr>
            <w:r>
              <w:rPr>
                <w:rFonts w:hint="eastAsia"/>
                <w:snapToGrid w:val="0"/>
                <w:color w:val="auto"/>
                <w:kern w:val="0"/>
                <w:szCs w:val="22"/>
                <w:lang w:val="zh-CN"/>
              </w:rPr>
              <w:t>耗氧量</w:t>
            </w:r>
          </w:p>
        </w:tc>
        <w:tc>
          <w:tcPr>
            <w:tcW w:w="0" w:type="auto"/>
            <w:vMerge w:val="continue"/>
            <w:vAlign w:val="center"/>
          </w:tcPr>
          <w:p w14:paraId="39259746">
            <w:pPr>
              <w:widowControl/>
              <w:snapToGrid w:val="0"/>
              <w:jc w:val="left"/>
              <w:rPr>
                <w:snapToGrid w:val="0"/>
                <w:color w:val="auto"/>
                <w:kern w:val="0"/>
                <w:szCs w:val="22"/>
                <w:lang w:val="zh-CN"/>
              </w:rPr>
            </w:pPr>
          </w:p>
        </w:tc>
        <w:tc>
          <w:tcPr>
            <w:tcW w:w="819" w:type="pct"/>
            <w:vAlign w:val="center"/>
          </w:tcPr>
          <w:p w14:paraId="5495FA2A">
            <w:pPr>
              <w:adjustRightInd w:val="0"/>
              <w:snapToGrid w:val="0"/>
              <w:jc w:val="center"/>
              <w:rPr>
                <w:snapToGrid w:val="0"/>
                <w:color w:val="auto"/>
                <w:kern w:val="0"/>
                <w:szCs w:val="22"/>
                <w:lang w:val="zh-CN"/>
              </w:rPr>
            </w:pPr>
            <w:r>
              <w:rPr>
                <w:snapToGrid w:val="0"/>
                <w:color w:val="auto"/>
                <w:kern w:val="0"/>
                <w:szCs w:val="22"/>
                <w:lang w:val="zh-CN"/>
              </w:rPr>
              <w:t>≤3.0</w:t>
            </w:r>
          </w:p>
        </w:tc>
      </w:tr>
      <w:tr w14:paraId="280A39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B2D5F84">
            <w:pPr>
              <w:widowControl/>
              <w:snapToGrid w:val="0"/>
              <w:jc w:val="left"/>
              <w:rPr>
                <w:snapToGrid w:val="0"/>
                <w:color w:val="auto"/>
                <w:kern w:val="0"/>
                <w:szCs w:val="22"/>
                <w:lang w:val="zh-CN"/>
              </w:rPr>
            </w:pPr>
          </w:p>
        </w:tc>
        <w:tc>
          <w:tcPr>
            <w:tcW w:w="0" w:type="auto"/>
            <w:vMerge w:val="continue"/>
            <w:vAlign w:val="center"/>
          </w:tcPr>
          <w:p w14:paraId="3A670CA9">
            <w:pPr>
              <w:widowControl/>
              <w:snapToGrid w:val="0"/>
              <w:jc w:val="left"/>
              <w:rPr>
                <w:snapToGrid w:val="0"/>
                <w:color w:val="auto"/>
                <w:kern w:val="0"/>
                <w:szCs w:val="22"/>
                <w:lang w:val="zh-CN"/>
              </w:rPr>
            </w:pPr>
          </w:p>
        </w:tc>
        <w:tc>
          <w:tcPr>
            <w:tcW w:w="1627" w:type="pct"/>
            <w:vAlign w:val="center"/>
          </w:tcPr>
          <w:p w14:paraId="529533C3">
            <w:pPr>
              <w:adjustRightInd w:val="0"/>
              <w:snapToGrid w:val="0"/>
              <w:jc w:val="center"/>
              <w:rPr>
                <w:snapToGrid w:val="0"/>
                <w:color w:val="auto"/>
                <w:kern w:val="0"/>
                <w:szCs w:val="22"/>
                <w:lang w:val="zh-CN"/>
              </w:rPr>
            </w:pPr>
            <w:r>
              <w:rPr>
                <w:rFonts w:hint="eastAsia"/>
                <w:snapToGrid w:val="0"/>
                <w:color w:val="auto"/>
                <w:kern w:val="0"/>
                <w:szCs w:val="22"/>
                <w:lang w:val="zh-CN"/>
              </w:rPr>
              <w:t>铅</w:t>
            </w:r>
          </w:p>
        </w:tc>
        <w:tc>
          <w:tcPr>
            <w:tcW w:w="0" w:type="auto"/>
            <w:vMerge w:val="continue"/>
            <w:vAlign w:val="center"/>
          </w:tcPr>
          <w:p w14:paraId="65A0E6CB">
            <w:pPr>
              <w:widowControl/>
              <w:snapToGrid w:val="0"/>
              <w:jc w:val="left"/>
              <w:rPr>
                <w:snapToGrid w:val="0"/>
                <w:color w:val="auto"/>
                <w:kern w:val="0"/>
                <w:szCs w:val="22"/>
                <w:lang w:val="zh-CN"/>
              </w:rPr>
            </w:pPr>
          </w:p>
        </w:tc>
        <w:tc>
          <w:tcPr>
            <w:tcW w:w="819" w:type="pct"/>
            <w:vAlign w:val="center"/>
          </w:tcPr>
          <w:p w14:paraId="2983B9DA">
            <w:pPr>
              <w:adjustRightInd w:val="0"/>
              <w:snapToGrid w:val="0"/>
              <w:jc w:val="center"/>
              <w:rPr>
                <w:snapToGrid w:val="0"/>
                <w:color w:val="auto"/>
                <w:kern w:val="0"/>
                <w:szCs w:val="22"/>
                <w:lang w:val="zh-CN"/>
              </w:rPr>
            </w:pPr>
            <w:r>
              <w:rPr>
                <w:snapToGrid w:val="0"/>
                <w:color w:val="auto"/>
                <w:kern w:val="0"/>
                <w:szCs w:val="22"/>
                <w:lang w:val="zh-CN"/>
              </w:rPr>
              <w:t>≤0.05</w:t>
            </w:r>
          </w:p>
        </w:tc>
      </w:tr>
      <w:tr w14:paraId="029DF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6CEE7E4">
            <w:pPr>
              <w:widowControl/>
              <w:snapToGrid w:val="0"/>
              <w:jc w:val="left"/>
              <w:rPr>
                <w:snapToGrid w:val="0"/>
                <w:color w:val="auto"/>
                <w:kern w:val="0"/>
                <w:szCs w:val="22"/>
                <w:lang w:val="zh-CN"/>
              </w:rPr>
            </w:pPr>
          </w:p>
        </w:tc>
        <w:tc>
          <w:tcPr>
            <w:tcW w:w="0" w:type="auto"/>
            <w:vMerge w:val="continue"/>
            <w:vAlign w:val="center"/>
          </w:tcPr>
          <w:p w14:paraId="1F601FCD">
            <w:pPr>
              <w:widowControl/>
              <w:snapToGrid w:val="0"/>
              <w:jc w:val="left"/>
              <w:rPr>
                <w:snapToGrid w:val="0"/>
                <w:color w:val="auto"/>
                <w:kern w:val="0"/>
                <w:szCs w:val="22"/>
                <w:lang w:val="zh-CN"/>
              </w:rPr>
            </w:pPr>
          </w:p>
        </w:tc>
        <w:tc>
          <w:tcPr>
            <w:tcW w:w="1627" w:type="pct"/>
            <w:vAlign w:val="center"/>
          </w:tcPr>
          <w:p w14:paraId="79A4C184">
            <w:pPr>
              <w:adjustRightInd w:val="0"/>
              <w:snapToGrid w:val="0"/>
              <w:jc w:val="center"/>
              <w:rPr>
                <w:snapToGrid w:val="0"/>
                <w:color w:val="auto"/>
                <w:kern w:val="0"/>
                <w:szCs w:val="22"/>
                <w:lang w:val="zh-CN"/>
              </w:rPr>
            </w:pPr>
            <w:r>
              <w:rPr>
                <w:rFonts w:hint="eastAsia"/>
                <w:snapToGrid w:val="0"/>
                <w:color w:val="auto"/>
                <w:kern w:val="0"/>
                <w:szCs w:val="22"/>
                <w:lang w:val="zh-CN"/>
              </w:rPr>
              <w:t>六价铬</w:t>
            </w:r>
          </w:p>
        </w:tc>
        <w:tc>
          <w:tcPr>
            <w:tcW w:w="0" w:type="auto"/>
            <w:vMerge w:val="continue"/>
            <w:vAlign w:val="center"/>
          </w:tcPr>
          <w:p w14:paraId="15AE6C8F">
            <w:pPr>
              <w:widowControl/>
              <w:snapToGrid w:val="0"/>
              <w:jc w:val="left"/>
              <w:rPr>
                <w:snapToGrid w:val="0"/>
                <w:color w:val="auto"/>
                <w:kern w:val="0"/>
                <w:szCs w:val="22"/>
                <w:lang w:val="zh-CN"/>
              </w:rPr>
            </w:pPr>
          </w:p>
        </w:tc>
        <w:tc>
          <w:tcPr>
            <w:tcW w:w="819" w:type="pct"/>
            <w:vAlign w:val="center"/>
          </w:tcPr>
          <w:p w14:paraId="2BF094CE">
            <w:pPr>
              <w:adjustRightInd w:val="0"/>
              <w:snapToGrid w:val="0"/>
              <w:jc w:val="center"/>
              <w:rPr>
                <w:snapToGrid w:val="0"/>
                <w:color w:val="auto"/>
                <w:kern w:val="0"/>
                <w:szCs w:val="22"/>
                <w:lang w:val="zh-CN"/>
              </w:rPr>
            </w:pPr>
            <w:r>
              <w:rPr>
                <w:snapToGrid w:val="0"/>
                <w:color w:val="auto"/>
                <w:kern w:val="0"/>
                <w:szCs w:val="22"/>
                <w:lang w:val="zh-CN"/>
              </w:rPr>
              <w:t>≤0.05</w:t>
            </w:r>
          </w:p>
        </w:tc>
      </w:tr>
      <w:tr w14:paraId="0C0FA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F9424B4">
            <w:pPr>
              <w:widowControl/>
              <w:snapToGrid w:val="0"/>
              <w:jc w:val="left"/>
              <w:rPr>
                <w:snapToGrid w:val="0"/>
                <w:color w:val="auto"/>
                <w:kern w:val="0"/>
                <w:szCs w:val="22"/>
                <w:lang w:val="zh-CN"/>
              </w:rPr>
            </w:pPr>
          </w:p>
        </w:tc>
        <w:tc>
          <w:tcPr>
            <w:tcW w:w="0" w:type="auto"/>
            <w:vMerge w:val="continue"/>
            <w:vAlign w:val="center"/>
          </w:tcPr>
          <w:p w14:paraId="2C216964">
            <w:pPr>
              <w:widowControl/>
              <w:snapToGrid w:val="0"/>
              <w:jc w:val="left"/>
              <w:rPr>
                <w:snapToGrid w:val="0"/>
                <w:color w:val="auto"/>
                <w:kern w:val="0"/>
                <w:szCs w:val="22"/>
                <w:lang w:val="zh-CN"/>
              </w:rPr>
            </w:pPr>
          </w:p>
        </w:tc>
        <w:tc>
          <w:tcPr>
            <w:tcW w:w="1627" w:type="pct"/>
            <w:vAlign w:val="center"/>
          </w:tcPr>
          <w:p w14:paraId="6AD274C6">
            <w:pPr>
              <w:adjustRightInd w:val="0"/>
              <w:snapToGrid w:val="0"/>
              <w:jc w:val="center"/>
              <w:rPr>
                <w:snapToGrid w:val="0"/>
                <w:color w:val="auto"/>
                <w:kern w:val="0"/>
                <w:szCs w:val="22"/>
                <w:lang w:val="zh-CN"/>
              </w:rPr>
            </w:pPr>
            <w:r>
              <w:rPr>
                <w:rFonts w:hint="eastAsia"/>
                <w:snapToGrid w:val="0"/>
                <w:color w:val="auto"/>
                <w:kern w:val="0"/>
                <w:szCs w:val="22"/>
                <w:lang w:val="zh-CN"/>
              </w:rPr>
              <w:t>镉</w:t>
            </w:r>
          </w:p>
        </w:tc>
        <w:tc>
          <w:tcPr>
            <w:tcW w:w="0" w:type="auto"/>
            <w:vMerge w:val="continue"/>
            <w:vAlign w:val="center"/>
          </w:tcPr>
          <w:p w14:paraId="7AAF38BA">
            <w:pPr>
              <w:widowControl/>
              <w:snapToGrid w:val="0"/>
              <w:jc w:val="left"/>
              <w:rPr>
                <w:snapToGrid w:val="0"/>
                <w:color w:val="auto"/>
                <w:kern w:val="0"/>
                <w:szCs w:val="22"/>
                <w:lang w:val="zh-CN"/>
              </w:rPr>
            </w:pPr>
          </w:p>
        </w:tc>
        <w:tc>
          <w:tcPr>
            <w:tcW w:w="819" w:type="pct"/>
            <w:vAlign w:val="center"/>
          </w:tcPr>
          <w:p w14:paraId="041EB192">
            <w:pPr>
              <w:adjustRightInd w:val="0"/>
              <w:snapToGrid w:val="0"/>
              <w:jc w:val="center"/>
              <w:rPr>
                <w:snapToGrid w:val="0"/>
                <w:color w:val="auto"/>
                <w:kern w:val="0"/>
                <w:szCs w:val="22"/>
                <w:lang w:val="zh-CN"/>
              </w:rPr>
            </w:pPr>
            <w:r>
              <w:rPr>
                <w:snapToGrid w:val="0"/>
                <w:color w:val="auto"/>
                <w:kern w:val="0"/>
                <w:szCs w:val="22"/>
                <w:lang w:val="zh-CN"/>
              </w:rPr>
              <w:t>≤0.01</w:t>
            </w:r>
          </w:p>
        </w:tc>
      </w:tr>
      <w:tr w14:paraId="797A21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29629D4">
            <w:pPr>
              <w:widowControl/>
              <w:snapToGrid w:val="0"/>
              <w:jc w:val="left"/>
              <w:rPr>
                <w:snapToGrid w:val="0"/>
                <w:color w:val="auto"/>
                <w:kern w:val="0"/>
                <w:szCs w:val="22"/>
                <w:lang w:val="zh-CN"/>
              </w:rPr>
            </w:pPr>
          </w:p>
        </w:tc>
        <w:tc>
          <w:tcPr>
            <w:tcW w:w="0" w:type="auto"/>
            <w:vMerge w:val="continue"/>
            <w:vAlign w:val="center"/>
          </w:tcPr>
          <w:p w14:paraId="3107B274">
            <w:pPr>
              <w:widowControl/>
              <w:snapToGrid w:val="0"/>
              <w:jc w:val="left"/>
              <w:rPr>
                <w:snapToGrid w:val="0"/>
                <w:color w:val="auto"/>
                <w:kern w:val="0"/>
                <w:szCs w:val="22"/>
                <w:lang w:val="zh-CN"/>
              </w:rPr>
            </w:pPr>
          </w:p>
        </w:tc>
        <w:tc>
          <w:tcPr>
            <w:tcW w:w="1627" w:type="pct"/>
            <w:vAlign w:val="center"/>
          </w:tcPr>
          <w:p w14:paraId="4AB1F983">
            <w:pPr>
              <w:adjustRightInd w:val="0"/>
              <w:snapToGrid w:val="0"/>
              <w:jc w:val="center"/>
              <w:rPr>
                <w:snapToGrid w:val="0"/>
                <w:color w:val="auto"/>
                <w:kern w:val="0"/>
                <w:szCs w:val="22"/>
                <w:lang w:val="zh-CN"/>
              </w:rPr>
            </w:pPr>
            <w:r>
              <w:rPr>
                <w:rFonts w:hint="eastAsia"/>
                <w:snapToGrid w:val="0"/>
                <w:color w:val="auto"/>
                <w:kern w:val="0"/>
                <w:szCs w:val="22"/>
                <w:lang w:val="zh-CN"/>
              </w:rPr>
              <w:t>砷</w:t>
            </w:r>
          </w:p>
        </w:tc>
        <w:tc>
          <w:tcPr>
            <w:tcW w:w="0" w:type="auto"/>
            <w:vMerge w:val="continue"/>
            <w:vAlign w:val="center"/>
          </w:tcPr>
          <w:p w14:paraId="48857C6A">
            <w:pPr>
              <w:widowControl/>
              <w:snapToGrid w:val="0"/>
              <w:jc w:val="left"/>
              <w:rPr>
                <w:snapToGrid w:val="0"/>
                <w:color w:val="auto"/>
                <w:kern w:val="0"/>
                <w:szCs w:val="22"/>
                <w:lang w:val="zh-CN"/>
              </w:rPr>
            </w:pPr>
          </w:p>
        </w:tc>
        <w:tc>
          <w:tcPr>
            <w:tcW w:w="819" w:type="pct"/>
            <w:vAlign w:val="center"/>
          </w:tcPr>
          <w:p w14:paraId="731A1B8E">
            <w:pPr>
              <w:adjustRightInd w:val="0"/>
              <w:snapToGrid w:val="0"/>
              <w:jc w:val="center"/>
              <w:rPr>
                <w:snapToGrid w:val="0"/>
                <w:color w:val="auto"/>
                <w:kern w:val="0"/>
                <w:szCs w:val="22"/>
                <w:lang w:val="zh-CN"/>
              </w:rPr>
            </w:pPr>
            <w:r>
              <w:rPr>
                <w:snapToGrid w:val="0"/>
                <w:color w:val="auto"/>
                <w:kern w:val="0"/>
                <w:szCs w:val="22"/>
                <w:lang w:val="zh-CN"/>
              </w:rPr>
              <w:t>≤0.05</w:t>
            </w:r>
          </w:p>
        </w:tc>
      </w:tr>
      <w:tr w14:paraId="2D9A78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D38A1AB">
            <w:pPr>
              <w:widowControl/>
              <w:snapToGrid w:val="0"/>
              <w:jc w:val="left"/>
              <w:rPr>
                <w:snapToGrid w:val="0"/>
                <w:color w:val="auto"/>
                <w:kern w:val="0"/>
                <w:szCs w:val="22"/>
                <w:lang w:val="zh-CN"/>
              </w:rPr>
            </w:pPr>
          </w:p>
        </w:tc>
        <w:tc>
          <w:tcPr>
            <w:tcW w:w="0" w:type="auto"/>
            <w:vMerge w:val="continue"/>
            <w:vAlign w:val="center"/>
          </w:tcPr>
          <w:p w14:paraId="689685D8">
            <w:pPr>
              <w:widowControl/>
              <w:snapToGrid w:val="0"/>
              <w:jc w:val="left"/>
              <w:rPr>
                <w:snapToGrid w:val="0"/>
                <w:color w:val="auto"/>
                <w:kern w:val="0"/>
                <w:szCs w:val="22"/>
                <w:lang w:val="zh-CN"/>
              </w:rPr>
            </w:pPr>
          </w:p>
        </w:tc>
        <w:tc>
          <w:tcPr>
            <w:tcW w:w="1627" w:type="pct"/>
            <w:vAlign w:val="center"/>
          </w:tcPr>
          <w:p w14:paraId="01090126">
            <w:pPr>
              <w:adjustRightInd w:val="0"/>
              <w:snapToGrid w:val="0"/>
              <w:jc w:val="center"/>
              <w:rPr>
                <w:snapToGrid w:val="0"/>
                <w:color w:val="auto"/>
                <w:kern w:val="0"/>
                <w:szCs w:val="22"/>
                <w:lang w:val="zh-CN"/>
              </w:rPr>
            </w:pPr>
            <w:r>
              <w:rPr>
                <w:rFonts w:hint="eastAsia"/>
                <w:snapToGrid w:val="0"/>
                <w:color w:val="auto"/>
                <w:kern w:val="0"/>
                <w:szCs w:val="22"/>
                <w:lang w:val="zh-CN"/>
              </w:rPr>
              <w:t>汞</w:t>
            </w:r>
          </w:p>
        </w:tc>
        <w:tc>
          <w:tcPr>
            <w:tcW w:w="0" w:type="auto"/>
            <w:vMerge w:val="continue"/>
            <w:vAlign w:val="center"/>
          </w:tcPr>
          <w:p w14:paraId="5B728F36">
            <w:pPr>
              <w:widowControl/>
              <w:snapToGrid w:val="0"/>
              <w:jc w:val="left"/>
              <w:rPr>
                <w:snapToGrid w:val="0"/>
                <w:color w:val="auto"/>
                <w:kern w:val="0"/>
                <w:szCs w:val="22"/>
                <w:lang w:val="zh-CN"/>
              </w:rPr>
            </w:pPr>
          </w:p>
        </w:tc>
        <w:tc>
          <w:tcPr>
            <w:tcW w:w="819" w:type="pct"/>
            <w:vAlign w:val="center"/>
          </w:tcPr>
          <w:p w14:paraId="019FBBB4">
            <w:pPr>
              <w:adjustRightInd w:val="0"/>
              <w:snapToGrid w:val="0"/>
              <w:jc w:val="center"/>
              <w:rPr>
                <w:snapToGrid w:val="0"/>
                <w:color w:val="auto"/>
                <w:kern w:val="0"/>
                <w:szCs w:val="22"/>
                <w:lang w:val="zh-CN"/>
              </w:rPr>
            </w:pPr>
            <w:r>
              <w:rPr>
                <w:snapToGrid w:val="0"/>
                <w:color w:val="auto"/>
                <w:kern w:val="0"/>
                <w:szCs w:val="22"/>
                <w:lang w:val="zh-CN"/>
              </w:rPr>
              <w:t>≤0.001</w:t>
            </w:r>
          </w:p>
        </w:tc>
      </w:tr>
      <w:tr w14:paraId="57951F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1935F80">
            <w:pPr>
              <w:widowControl/>
              <w:snapToGrid w:val="0"/>
              <w:jc w:val="left"/>
              <w:rPr>
                <w:snapToGrid w:val="0"/>
                <w:color w:val="auto"/>
                <w:kern w:val="0"/>
                <w:szCs w:val="22"/>
                <w:lang w:val="zh-CN"/>
              </w:rPr>
            </w:pPr>
          </w:p>
        </w:tc>
        <w:tc>
          <w:tcPr>
            <w:tcW w:w="0" w:type="auto"/>
            <w:vMerge w:val="continue"/>
            <w:vAlign w:val="center"/>
          </w:tcPr>
          <w:p w14:paraId="4F4EA04A">
            <w:pPr>
              <w:widowControl/>
              <w:snapToGrid w:val="0"/>
              <w:jc w:val="left"/>
              <w:rPr>
                <w:snapToGrid w:val="0"/>
                <w:color w:val="auto"/>
                <w:kern w:val="0"/>
                <w:szCs w:val="22"/>
                <w:lang w:val="zh-CN"/>
              </w:rPr>
            </w:pPr>
          </w:p>
        </w:tc>
        <w:tc>
          <w:tcPr>
            <w:tcW w:w="1627" w:type="pct"/>
            <w:vAlign w:val="center"/>
          </w:tcPr>
          <w:p w14:paraId="4BF1C083">
            <w:pPr>
              <w:adjustRightInd w:val="0"/>
              <w:snapToGrid w:val="0"/>
              <w:jc w:val="center"/>
              <w:rPr>
                <w:snapToGrid w:val="0"/>
                <w:color w:val="auto"/>
                <w:kern w:val="0"/>
                <w:szCs w:val="22"/>
                <w:lang w:val="zh-CN"/>
              </w:rPr>
            </w:pPr>
            <w:r>
              <w:rPr>
                <w:rFonts w:hint="eastAsia"/>
                <w:snapToGrid w:val="0"/>
                <w:color w:val="auto"/>
                <w:kern w:val="0"/>
                <w:szCs w:val="22"/>
                <w:lang w:val="zh-CN"/>
              </w:rPr>
              <w:t>硝酸盐</w:t>
            </w:r>
          </w:p>
        </w:tc>
        <w:tc>
          <w:tcPr>
            <w:tcW w:w="0" w:type="auto"/>
            <w:vMerge w:val="continue"/>
            <w:vAlign w:val="center"/>
          </w:tcPr>
          <w:p w14:paraId="52C91B20">
            <w:pPr>
              <w:widowControl/>
              <w:snapToGrid w:val="0"/>
              <w:jc w:val="left"/>
              <w:rPr>
                <w:snapToGrid w:val="0"/>
                <w:color w:val="auto"/>
                <w:kern w:val="0"/>
                <w:szCs w:val="22"/>
                <w:lang w:val="zh-CN"/>
              </w:rPr>
            </w:pPr>
          </w:p>
        </w:tc>
        <w:tc>
          <w:tcPr>
            <w:tcW w:w="819" w:type="pct"/>
            <w:vAlign w:val="center"/>
          </w:tcPr>
          <w:p w14:paraId="37688984">
            <w:pPr>
              <w:adjustRightInd w:val="0"/>
              <w:snapToGrid w:val="0"/>
              <w:jc w:val="center"/>
              <w:rPr>
                <w:snapToGrid w:val="0"/>
                <w:color w:val="auto"/>
                <w:kern w:val="0"/>
                <w:szCs w:val="22"/>
                <w:lang w:val="zh-CN"/>
              </w:rPr>
            </w:pPr>
            <w:r>
              <w:rPr>
                <w:snapToGrid w:val="0"/>
                <w:color w:val="auto"/>
                <w:kern w:val="0"/>
                <w:szCs w:val="22"/>
                <w:lang w:val="zh-CN"/>
              </w:rPr>
              <w:t>≤20</w:t>
            </w:r>
          </w:p>
        </w:tc>
      </w:tr>
      <w:tr w14:paraId="7191D5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8EC6B69">
            <w:pPr>
              <w:widowControl/>
              <w:snapToGrid w:val="0"/>
              <w:jc w:val="left"/>
              <w:rPr>
                <w:snapToGrid w:val="0"/>
                <w:color w:val="auto"/>
                <w:kern w:val="0"/>
                <w:szCs w:val="22"/>
                <w:lang w:val="zh-CN"/>
              </w:rPr>
            </w:pPr>
          </w:p>
        </w:tc>
        <w:tc>
          <w:tcPr>
            <w:tcW w:w="0" w:type="auto"/>
            <w:vMerge w:val="continue"/>
            <w:vAlign w:val="center"/>
          </w:tcPr>
          <w:p w14:paraId="33DE641B">
            <w:pPr>
              <w:widowControl/>
              <w:snapToGrid w:val="0"/>
              <w:jc w:val="left"/>
              <w:rPr>
                <w:snapToGrid w:val="0"/>
                <w:color w:val="auto"/>
                <w:kern w:val="0"/>
                <w:szCs w:val="22"/>
                <w:lang w:val="zh-CN"/>
              </w:rPr>
            </w:pPr>
          </w:p>
        </w:tc>
        <w:tc>
          <w:tcPr>
            <w:tcW w:w="1627" w:type="pct"/>
            <w:vAlign w:val="center"/>
          </w:tcPr>
          <w:p w14:paraId="7DA8D83D">
            <w:pPr>
              <w:adjustRightInd w:val="0"/>
              <w:snapToGrid w:val="0"/>
              <w:jc w:val="center"/>
              <w:rPr>
                <w:snapToGrid w:val="0"/>
                <w:color w:val="auto"/>
                <w:kern w:val="0"/>
                <w:szCs w:val="22"/>
                <w:lang w:val="zh-CN"/>
              </w:rPr>
            </w:pPr>
            <w:r>
              <w:rPr>
                <w:rFonts w:hint="eastAsia"/>
                <w:snapToGrid w:val="0"/>
                <w:color w:val="auto"/>
                <w:kern w:val="0"/>
                <w:szCs w:val="22"/>
                <w:lang w:val="zh-CN"/>
              </w:rPr>
              <w:t>亚硝酸盐</w:t>
            </w:r>
          </w:p>
        </w:tc>
        <w:tc>
          <w:tcPr>
            <w:tcW w:w="0" w:type="auto"/>
            <w:vMerge w:val="continue"/>
            <w:vAlign w:val="center"/>
          </w:tcPr>
          <w:p w14:paraId="2363C2C7">
            <w:pPr>
              <w:widowControl/>
              <w:snapToGrid w:val="0"/>
              <w:jc w:val="left"/>
              <w:rPr>
                <w:snapToGrid w:val="0"/>
                <w:color w:val="auto"/>
                <w:kern w:val="0"/>
                <w:szCs w:val="22"/>
                <w:lang w:val="zh-CN"/>
              </w:rPr>
            </w:pPr>
          </w:p>
        </w:tc>
        <w:tc>
          <w:tcPr>
            <w:tcW w:w="819" w:type="pct"/>
            <w:vAlign w:val="center"/>
          </w:tcPr>
          <w:p w14:paraId="0F4A0B73">
            <w:pPr>
              <w:adjustRightInd w:val="0"/>
              <w:snapToGrid w:val="0"/>
              <w:jc w:val="center"/>
              <w:rPr>
                <w:snapToGrid w:val="0"/>
                <w:color w:val="auto"/>
                <w:kern w:val="0"/>
                <w:szCs w:val="22"/>
                <w:lang w:val="zh-CN"/>
              </w:rPr>
            </w:pPr>
            <w:r>
              <w:rPr>
                <w:snapToGrid w:val="0"/>
                <w:color w:val="auto"/>
                <w:kern w:val="0"/>
                <w:szCs w:val="22"/>
                <w:lang w:val="zh-CN"/>
              </w:rPr>
              <w:t>≤0.02</w:t>
            </w:r>
          </w:p>
        </w:tc>
      </w:tr>
      <w:tr w14:paraId="726C1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6C184A7">
            <w:pPr>
              <w:widowControl/>
              <w:snapToGrid w:val="0"/>
              <w:jc w:val="left"/>
              <w:rPr>
                <w:snapToGrid w:val="0"/>
                <w:color w:val="auto"/>
                <w:kern w:val="0"/>
                <w:szCs w:val="22"/>
                <w:lang w:val="zh-CN"/>
              </w:rPr>
            </w:pPr>
          </w:p>
        </w:tc>
        <w:tc>
          <w:tcPr>
            <w:tcW w:w="0" w:type="auto"/>
            <w:vMerge w:val="continue"/>
            <w:vAlign w:val="center"/>
          </w:tcPr>
          <w:p w14:paraId="242D0674">
            <w:pPr>
              <w:widowControl/>
              <w:snapToGrid w:val="0"/>
              <w:jc w:val="left"/>
              <w:rPr>
                <w:snapToGrid w:val="0"/>
                <w:color w:val="auto"/>
                <w:kern w:val="0"/>
                <w:szCs w:val="22"/>
                <w:lang w:val="zh-CN"/>
              </w:rPr>
            </w:pPr>
          </w:p>
        </w:tc>
        <w:tc>
          <w:tcPr>
            <w:tcW w:w="1627" w:type="pct"/>
            <w:vAlign w:val="center"/>
          </w:tcPr>
          <w:p w14:paraId="4EDD6D46">
            <w:pPr>
              <w:adjustRightInd w:val="0"/>
              <w:snapToGrid w:val="0"/>
              <w:jc w:val="center"/>
              <w:rPr>
                <w:snapToGrid w:val="0"/>
                <w:color w:val="auto"/>
                <w:kern w:val="0"/>
                <w:szCs w:val="22"/>
                <w:lang w:val="zh-CN"/>
              </w:rPr>
            </w:pPr>
            <w:r>
              <w:rPr>
                <w:rFonts w:hint="eastAsia"/>
                <w:snapToGrid w:val="0"/>
                <w:color w:val="auto"/>
                <w:kern w:val="0"/>
                <w:szCs w:val="22"/>
                <w:lang w:val="zh-CN"/>
              </w:rPr>
              <w:t>氨氮</w:t>
            </w:r>
          </w:p>
        </w:tc>
        <w:tc>
          <w:tcPr>
            <w:tcW w:w="0" w:type="auto"/>
            <w:vMerge w:val="continue"/>
            <w:vAlign w:val="center"/>
          </w:tcPr>
          <w:p w14:paraId="1F4B447D">
            <w:pPr>
              <w:widowControl/>
              <w:snapToGrid w:val="0"/>
              <w:jc w:val="left"/>
              <w:rPr>
                <w:snapToGrid w:val="0"/>
                <w:color w:val="auto"/>
                <w:kern w:val="0"/>
                <w:szCs w:val="22"/>
                <w:lang w:val="zh-CN"/>
              </w:rPr>
            </w:pPr>
          </w:p>
        </w:tc>
        <w:tc>
          <w:tcPr>
            <w:tcW w:w="819" w:type="pct"/>
            <w:vAlign w:val="center"/>
          </w:tcPr>
          <w:p w14:paraId="572BA558">
            <w:pPr>
              <w:adjustRightInd w:val="0"/>
              <w:snapToGrid w:val="0"/>
              <w:jc w:val="center"/>
              <w:rPr>
                <w:snapToGrid w:val="0"/>
                <w:color w:val="auto"/>
                <w:kern w:val="0"/>
                <w:szCs w:val="22"/>
                <w:lang w:val="zh-CN"/>
              </w:rPr>
            </w:pPr>
            <w:r>
              <w:rPr>
                <w:snapToGrid w:val="0"/>
                <w:color w:val="auto"/>
                <w:kern w:val="0"/>
                <w:szCs w:val="22"/>
                <w:lang w:val="zh-CN"/>
              </w:rPr>
              <w:t>≤0.5</w:t>
            </w:r>
          </w:p>
        </w:tc>
      </w:tr>
      <w:tr w14:paraId="194AA2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CA6CCDA">
            <w:pPr>
              <w:widowControl/>
              <w:snapToGrid w:val="0"/>
              <w:jc w:val="left"/>
              <w:rPr>
                <w:snapToGrid w:val="0"/>
                <w:color w:val="auto"/>
                <w:kern w:val="0"/>
                <w:szCs w:val="22"/>
                <w:lang w:val="zh-CN"/>
              </w:rPr>
            </w:pPr>
          </w:p>
        </w:tc>
        <w:tc>
          <w:tcPr>
            <w:tcW w:w="0" w:type="auto"/>
            <w:vMerge w:val="continue"/>
            <w:vAlign w:val="center"/>
          </w:tcPr>
          <w:p w14:paraId="2ECAC0A6">
            <w:pPr>
              <w:widowControl/>
              <w:snapToGrid w:val="0"/>
              <w:jc w:val="left"/>
              <w:rPr>
                <w:snapToGrid w:val="0"/>
                <w:color w:val="auto"/>
                <w:kern w:val="0"/>
                <w:szCs w:val="22"/>
                <w:lang w:val="zh-CN"/>
              </w:rPr>
            </w:pPr>
          </w:p>
        </w:tc>
        <w:tc>
          <w:tcPr>
            <w:tcW w:w="1627" w:type="pct"/>
            <w:vAlign w:val="center"/>
          </w:tcPr>
          <w:p w14:paraId="7F631A31">
            <w:pPr>
              <w:adjustRightInd w:val="0"/>
              <w:snapToGrid w:val="0"/>
              <w:jc w:val="center"/>
              <w:rPr>
                <w:snapToGrid w:val="0"/>
                <w:color w:val="auto"/>
                <w:kern w:val="0"/>
                <w:szCs w:val="22"/>
                <w:lang w:val="zh-CN"/>
              </w:rPr>
            </w:pPr>
            <w:r>
              <w:rPr>
                <w:rFonts w:hint="eastAsia"/>
                <w:snapToGrid w:val="0"/>
                <w:color w:val="auto"/>
                <w:kern w:val="0"/>
                <w:szCs w:val="22"/>
                <w:lang w:val="zh-CN"/>
              </w:rPr>
              <w:t>氟化物</w:t>
            </w:r>
          </w:p>
        </w:tc>
        <w:tc>
          <w:tcPr>
            <w:tcW w:w="0" w:type="auto"/>
            <w:vMerge w:val="continue"/>
            <w:vAlign w:val="center"/>
          </w:tcPr>
          <w:p w14:paraId="1F518F62">
            <w:pPr>
              <w:widowControl/>
              <w:snapToGrid w:val="0"/>
              <w:jc w:val="left"/>
              <w:rPr>
                <w:snapToGrid w:val="0"/>
                <w:color w:val="auto"/>
                <w:kern w:val="0"/>
                <w:szCs w:val="22"/>
                <w:lang w:val="zh-CN"/>
              </w:rPr>
            </w:pPr>
          </w:p>
        </w:tc>
        <w:tc>
          <w:tcPr>
            <w:tcW w:w="819" w:type="pct"/>
            <w:vAlign w:val="center"/>
          </w:tcPr>
          <w:p w14:paraId="457FC773">
            <w:pPr>
              <w:adjustRightInd w:val="0"/>
              <w:snapToGrid w:val="0"/>
              <w:jc w:val="center"/>
              <w:rPr>
                <w:snapToGrid w:val="0"/>
                <w:color w:val="auto"/>
                <w:kern w:val="0"/>
                <w:szCs w:val="22"/>
                <w:lang w:val="zh-CN"/>
              </w:rPr>
            </w:pPr>
            <w:r>
              <w:rPr>
                <w:snapToGrid w:val="0"/>
                <w:color w:val="auto"/>
                <w:kern w:val="0"/>
                <w:szCs w:val="22"/>
                <w:lang w:val="zh-CN"/>
              </w:rPr>
              <w:t>≤1.0</w:t>
            </w:r>
          </w:p>
        </w:tc>
      </w:tr>
      <w:tr w14:paraId="7F5D13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779606B">
            <w:pPr>
              <w:widowControl/>
              <w:snapToGrid w:val="0"/>
              <w:jc w:val="left"/>
              <w:rPr>
                <w:snapToGrid w:val="0"/>
                <w:color w:val="auto"/>
                <w:kern w:val="0"/>
                <w:szCs w:val="22"/>
                <w:lang w:val="zh-CN"/>
              </w:rPr>
            </w:pPr>
          </w:p>
        </w:tc>
        <w:tc>
          <w:tcPr>
            <w:tcW w:w="0" w:type="auto"/>
            <w:vMerge w:val="continue"/>
            <w:vAlign w:val="center"/>
          </w:tcPr>
          <w:p w14:paraId="2D14BA6C">
            <w:pPr>
              <w:widowControl/>
              <w:snapToGrid w:val="0"/>
              <w:jc w:val="left"/>
              <w:rPr>
                <w:snapToGrid w:val="0"/>
                <w:color w:val="auto"/>
                <w:kern w:val="0"/>
                <w:szCs w:val="22"/>
                <w:lang w:val="zh-CN"/>
              </w:rPr>
            </w:pPr>
          </w:p>
        </w:tc>
        <w:tc>
          <w:tcPr>
            <w:tcW w:w="1627" w:type="pct"/>
            <w:vAlign w:val="center"/>
          </w:tcPr>
          <w:p w14:paraId="3CF0A65A">
            <w:pPr>
              <w:adjustRightInd w:val="0"/>
              <w:snapToGrid w:val="0"/>
              <w:jc w:val="center"/>
              <w:rPr>
                <w:snapToGrid w:val="0"/>
                <w:color w:val="auto"/>
                <w:kern w:val="0"/>
                <w:szCs w:val="22"/>
                <w:lang w:val="zh-CN"/>
              </w:rPr>
            </w:pPr>
            <w:r>
              <w:rPr>
                <w:rFonts w:hint="eastAsia"/>
                <w:snapToGrid w:val="0"/>
                <w:color w:val="auto"/>
                <w:kern w:val="0"/>
                <w:szCs w:val="22"/>
                <w:lang w:val="zh-CN"/>
              </w:rPr>
              <w:t>氰化物</w:t>
            </w:r>
          </w:p>
        </w:tc>
        <w:tc>
          <w:tcPr>
            <w:tcW w:w="0" w:type="auto"/>
            <w:vMerge w:val="continue"/>
            <w:vAlign w:val="center"/>
          </w:tcPr>
          <w:p w14:paraId="4FD2E721">
            <w:pPr>
              <w:widowControl/>
              <w:snapToGrid w:val="0"/>
              <w:jc w:val="left"/>
              <w:rPr>
                <w:snapToGrid w:val="0"/>
                <w:color w:val="auto"/>
                <w:kern w:val="0"/>
                <w:szCs w:val="22"/>
                <w:lang w:val="zh-CN"/>
              </w:rPr>
            </w:pPr>
          </w:p>
        </w:tc>
        <w:tc>
          <w:tcPr>
            <w:tcW w:w="819" w:type="pct"/>
            <w:vAlign w:val="center"/>
          </w:tcPr>
          <w:p w14:paraId="0EFB4657">
            <w:pPr>
              <w:adjustRightInd w:val="0"/>
              <w:snapToGrid w:val="0"/>
              <w:jc w:val="center"/>
              <w:rPr>
                <w:snapToGrid w:val="0"/>
                <w:color w:val="auto"/>
                <w:kern w:val="0"/>
                <w:szCs w:val="22"/>
                <w:lang w:val="zh-CN"/>
              </w:rPr>
            </w:pPr>
            <w:r>
              <w:rPr>
                <w:snapToGrid w:val="0"/>
                <w:color w:val="auto"/>
                <w:kern w:val="0"/>
                <w:szCs w:val="22"/>
                <w:lang w:val="zh-CN"/>
              </w:rPr>
              <w:t>≤0.05</w:t>
            </w:r>
          </w:p>
        </w:tc>
      </w:tr>
      <w:tr w14:paraId="1570F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B52E9EB">
            <w:pPr>
              <w:widowControl/>
              <w:snapToGrid w:val="0"/>
              <w:jc w:val="left"/>
              <w:rPr>
                <w:snapToGrid w:val="0"/>
                <w:color w:val="auto"/>
                <w:kern w:val="0"/>
                <w:szCs w:val="22"/>
                <w:lang w:val="zh-CN"/>
              </w:rPr>
            </w:pPr>
          </w:p>
        </w:tc>
        <w:tc>
          <w:tcPr>
            <w:tcW w:w="0" w:type="auto"/>
            <w:vMerge w:val="continue"/>
            <w:vAlign w:val="center"/>
          </w:tcPr>
          <w:p w14:paraId="53812A99">
            <w:pPr>
              <w:widowControl/>
              <w:snapToGrid w:val="0"/>
              <w:jc w:val="left"/>
              <w:rPr>
                <w:snapToGrid w:val="0"/>
                <w:color w:val="auto"/>
                <w:kern w:val="0"/>
                <w:szCs w:val="22"/>
                <w:lang w:val="zh-CN"/>
              </w:rPr>
            </w:pPr>
          </w:p>
        </w:tc>
        <w:tc>
          <w:tcPr>
            <w:tcW w:w="1627" w:type="pct"/>
            <w:vAlign w:val="center"/>
          </w:tcPr>
          <w:p w14:paraId="1FA091D9">
            <w:pPr>
              <w:adjustRightInd w:val="0"/>
              <w:snapToGrid w:val="0"/>
              <w:jc w:val="center"/>
              <w:rPr>
                <w:snapToGrid w:val="0"/>
                <w:color w:val="auto"/>
                <w:kern w:val="0"/>
                <w:szCs w:val="22"/>
                <w:lang w:val="zh-CN"/>
              </w:rPr>
            </w:pPr>
            <w:r>
              <w:rPr>
                <w:rFonts w:hint="eastAsia"/>
                <w:snapToGrid w:val="0"/>
                <w:color w:val="auto"/>
                <w:kern w:val="0"/>
                <w:szCs w:val="22"/>
                <w:lang w:val="zh-CN"/>
              </w:rPr>
              <w:t>氯化物</w:t>
            </w:r>
          </w:p>
        </w:tc>
        <w:tc>
          <w:tcPr>
            <w:tcW w:w="0" w:type="auto"/>
            <w:vMerge w:val="continue"/>
            <w:vAlign w:val="center"/>
          </w:tcPr>
          <w:p w14:paraId="7047AB45">
            <w:pPr>
              <w:widowControl/>
              <w:snapToGrid w:val="0"/>
              <w:jc w:val="left"/>
              <w:rPr>
                <w:snapToGrid w:val="0"/>
                <w:color w:val="auto"/>
                <w:kern w:val="0"/>
                <w:szCs w:val="22"/>
                <w:lang w:val="zh-CN"/>
              </w:rPr>
            </w:pPr>
          </w:p>
        </w:tc>
        <w:tc>
          <w:tcPr>
            <w:tcW w:w="819" w:type="pct"/>
            <w:vAlign w:val="center"/>
          </w:tcPr>
          <w:p w14:paraId="6336F026">
            <w:pPr>
              <w:adjustRightInd w:val="0"/>
              <w:snapToGrid w:val="0"/>
              <w:jc w:val="center"/>
              <w:rPr>
                <w:snapToGrid w:val="0"/>
                <w:color w:val="auto"/>
                <w:kern w:val="0"/>
                <w:szCs w:val="22"/>
                <w:lang w:val="zh-CN"/>
              </w:rPr>
            </w:pPr>
            <w:r>
              <w:rPr>
                <w:snapToGrid w:val="0"/>
                <w:color w:val="auto"/>
                <w:kern w:val="0"/>
                <w:szCs w:val="22"/>
                <w:lang w:val="zh-CN"/>
              </w:rPr>
              <w:t>≤250</w:t>
            </w:r>
          </w:p>
        </w:tc>
      </w:tr>
      <w:tr w14:paraId="1FF6A5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EFCDB92">
            <w:pPr>
              <w:widowControl/>
              <w:snapToGrid w:val="0"/>
              <w:jc w:val="left"/>
              <w:rPr>
                <w:snapToGrid w:val="0"/>
                <w:color w:val="auto"/>
                <w:kern w:val="0"/>
                <w:szCs w:val="22"/>
                <w:lang w:val="zh-CN"/>
              </w:rPr>
            </w:pPr>
          </w:p>
        </w:tc>
        <w:tc>
          <w:tcPr>
            <w:tcW w:w="0" w:type="auto"/>
            <w:vMerge w:val="continue"/>
            <w:vAlign w:val="center"/>
          </w:tcPr>
          <w:p w14:paraId="18888DCC">
            <w:pPr>
              <w:widowControl/>
              <w:snapToGrid w:val="0"/>
              <w:jc w:val="left"/>
              <w:rPr>
                <w:snapToGrid w:val="0"/>
                <w:color w:val="auto"/>
                <w:kern w:val="0"/>
                <w:szCs w:val="22"/>
                <w:lang w:val="zh-CN"/>
              </w:rPr>
            </w:pPr>
          </w:p>
        </w:tc>
        <w:tc>
          <w:tcPr>
            <w:tcW w:w="1627" w:type="pct"/>
            <w:vAlign w:val="center"/>
          </w:tcPr>
          <w:p w14:paraId="1C7A8E99">
            <w:pPr>
              <w:adjustRightInd w:val="0"/>
              <w:snapToGrid w:val="0"/>
              <w:jc w:val="center"/>
              <w:rPr>
                <w:snapToGrid w:val="0"/>
                <w:color w:val="auto"/>
                <w:kern w:val="0"/>
                <w:szCs w:val="22"/>
                <w:lang w:val="zh-CN"/>
              </w:rPr>
            </w:pPr>
            <w:r>
              <w:rPr>
                <w:rFonts w:hint="eastAsia"/>
                <w:snapToGrid w:val="0"/>
                <w:color w:val="auto"/>
                <w:kern w:val="0"/>
                <w:szCs w:val="22"/>
                <w:lang w:val="zh-CN"/>
              </w:rPr>
              <w:t>硫酸盐</w:t>
            </w:r>
          </w:p>
        </w:tc>
        <w:tc>
          <w:tcPr>
            <w:tcW w:w="0" w:type="auto"/>
            <w:vMerge w:val="continue"/>
            <w:vAlign w:val="center"/>
          </w:tcPr>
          <w:p w14:paraId="5BD10879">
            <w:pPr>
              <w:widowControl/>
              <w:snapToGrid w:val="0"/>
              <w:jc w:val="left"/>
              <w:rPr>
                <w:snapToGrid w:val="0"/>
                <w:color w:val="auto"/>
                <w:kern w:val="0"/>
                <w:szCs w:val="22"/>
                <w:lang w:val="zh-CN"/>
              </w:rPr>
            </w:pPr>
          </w:p>
        </w:tc>
        <w:tc>
          <w:tcPr>
            <w:tcW w:w="819" w:type="pct"/>
            <w:vAlign w:val="center"/>
          </w:tcPr>
          <w:p w14:paraId="57A6ACD4">
            <w:pPr>
              <w:adjustRightInd w:val="0"/>
              <w:snapToGrid w:val="0"/>
              <w:jc w:val="center"/>
              <w:rPr>
                <w:snapToGrid w:val="0"/>
                <w:color w:val="auto"/>
                <w:kern w:val="0"/>
                <w:szCs w:val="22"/>
                <w:lang w:val="zh-CN"/>
              </w:rPr>
            </w:pPr>
            <w:r>
              <w:rPr>
                <w:snapToGrid w:val="0"/>
                <w:color w:val="auto"/>
                <w:kern w:val="0"/>
                <w:szCs w:val="22"/>
                <w:lang w:val="zh-CN"/>
              </w:rPr>
              <w:t>≤250</w:t>
            </w:r>
          </w:p>
        </w:tc>
      </w:tr>
      <w:tr w14:paraId="06F7E9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3F7BB1B8">
            <w:pPr>
              <w:widowControl/>
              <w:snapToGrid w:val="0"/>
              <w:jc w:val="left"/>
              <w:rPr>
                <w:snapToGrid w:val="0"/>
                <w:color w:val="auto"/>
                <w:kern w:val="0"/>
                <w:szCs w:val="22"/>
                <w:lang w:val="zh-CN"/>
              </w:rPr>
            </w:pPr>
          </w:p>
        </w:tc>
        <w:tc>
          <w:tcPr>
            <w:tcW w:w="0" w:type="auto"/>
            <w:vMerge w:val="continue"/>
            <w:vAlign w:val="center"/>
          </w:tcPr>
          <w:p w14:paraId="44F7CBE1">
            <w:pPr>
              <w:widowControl/>
              <w:snapToGrid w:val="0"/>
              <w:jc w:val="left"/>
              <w:rPr>
                <w:snapToGrid w:val="0"/>
                <w:color w:val="auto"/>
                <w:kern w:val="0"/>
                <w:szCs w:val="22"/>
                <w:lang w:val="zh-CN"/>
              </w:rPr>
            </w:pPr>
          </w:p>
        </w:tc>
        <w:tc>
          <w:tcPr>
            <w:tcW w:w="1627" w:type="pct"/>
            <w:vAlign w:val="center"/>
          </w:tcPr>
          <w:p w14:paraId="1BC1EDF6">
            <w:pPr>
              <w:adjustRightInd w:val="0"/>
              <w:snapToGrid w:val="0"/>
              <w:jc w:val="center"/>
              <w:rPr>
                <w:snapToGrid w:val="0"/>
                <w:color w:val="auto"/>
                <w:kern w:val="0"/>
                <w:szCs w:val="22"/>
                <w:lang w:val="zh-CN"/>
              </w:rPr>
            </w:pPr>
            <w:r>
              <w:rPr>
                <w:rFonts w:hint="eastAsia"/>
                <w:snapToGrid w:val="0"/>
                <w:color w:val="auto"/>
                <w:kern w:val="0"/>
                <w:szCs w:val="22"/>
                <w:lang w:val="zh-CN"/>
              </w:rPr>
              <w:t>菌落总数</w:t>
            </w:r>
          </w:p>
        </w:tc>
        <w:tc>
          <w:tcPr>
            <w:tcW w:w="1161" w:type="pct"/>
            <w:vAlign w:val="center"/>
          </w:tcPr>
          <w:p w14:paraId="2CA4375D">
            <w:pPr>
              <w:adjustRightInd w:val="0"/>
              <w:snapToGrid w:val="0"/>
              <w:jc w:val="center"/>
              <w:rPr>
                <w:snapToGrid w:val="0"/>
                <w:color w:val="auto"/>
                <w:kern w:val="0"/>
                <w:szCs w:val="22"/>
                <w:lang w:val="zh-CN"/>
              </w:rPr>
            </w:pPr>
            <w:r>
              <w:rPr>
                <w:snapToGrid w:val="0"/>
                <w:color w:val="auto"/>
                <w:kern w:val="0"/>
                <w:szCs w:val="22"/>
                <w:lang w:val="zh-CN"/>
              </w:rPr>
              <w:t>CFU/mL</w:t>
            </w:r>
          </w:p>
        </w:tc>
        <w:tc>
          <w:tcPr>
            <w:tcW w:w="819" w:type="pct"/>
            <w:vAlign w:val="center"/>
          </w:tcPr>
          <w:p w14:paraId="3F20FC31">
            <w:pPr>
              <w:adjustRightInd w:val="0"/>
              <w:snapToGrid w:val="0"/>
              <w:jc w:val="center"/>
              <w:rPr>
                <w:snapToGrid w:val="0"/>
                <w:color w:val="auto"/>
                <w:kern w:val="0"/>
                <w:szCs w:val="22"/>
                <w:lang w:val="zh-CN"/>
              </w:rPr>
            </w:pPr>
            <w:r>
              <w:rPr>
                <w:snapToGrid w:val="0"/>
                <w:color w:val="auto"/>
                <w:kern w:val="0"/>
                <w:szCs w:val="22"/>
                <w:lang w:val="zh-CN"/>
              </w:rPr>
              <w:t>≤100</w:t>
            </w:r>
          </w:p>
        </w:tc>
      </w:tr>
      <w:tr w14:paraId="642DA9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0B017F8">
            <w:pPr>
              <w:widowControl/>
              <w:snapToGrid w:val="0"/>
              <w:jc w:val="left"/>
              <w:rPr>
                <w:snapToGrid w:val="0"/>
                <w:color w:val="auto"/>
                <w:kern w:val="0"/>
                <w:szCs w:val="22"/>
                <w:lang w:val="zh-CN"/>
              </w:rPr>
            </w:pPr>
          </w:p>
        </w:tc>
        <w:tc>
          <w:tcPr>
            <w:tcW w:w="0" w:type="auto"/>
            <w:vMerge w:val="continue"/>
            <w:vAlign w:val="center"/>
          </w:tcPr>
          <w:p w14:paraId="27C6E4FA">
            <w:pPr>
              <w:widowControl/>
              <w:snapToGrid w:val="0"/>
              <w:jc w:val="left"/>
              <w:rPr>
                <w:snapToGrid w:val="0"/>
                <w:color w:val="auto"/>
                <w:kern w:val="0"/>
                <w:szCs w:val="22"/>
                <w:lang w:val="zh-CN"/>
              </w:rPr>
            </w:pPr>
          </w:p>
        </w:tc>
        <w:tc>
          <w:tcPr>
            <w:tcW w:w="1627" w:type="pct"/>
            <w:vAlign w:val="center"/>
          </w:tcPr>
          <w:p w14:paraId="0FDC5B30">
            <w:pPr>
              <w:adjustRightInd w:val="0"/>
              <w:snapToGrid w:val="0"/>
              <w:jc w:val="center"/>
              <w:rPr>
                <w:snapToGrid w:val="0"/>
                <w:color w:val="auto"/>
                <w:kern w:val="0"/>
                <w:szCs w:val="22"/>
                <w:lang w:val="zh-CN"/>
              </w:rPr>
            </w:pPr>
            <w:r>
              <w:rPr>
                <w:rFonts w:hint="eastAsia"/>
                <w:snapToGrid w:val="0"/>
                <w:color w:val="auto"/>
                <w:kern w:val="0"/>
                <w:szCs w:val="22"/>
                <w:lang w:val="zh-CN"/>
              </w:rPr>
              <w:t>总大肠菌群</w:t>
            </w:r>
          </w:p>
        </w:tc>
        <w:tc>
          <w:tcPr>
            <w:tcW w:w="1161" w:type="pct"/>
            <w:vAlign w:val="center"/>
          </w:tcPr>
          <w:p w14:paraId="1C2C9DF3">
            <w:pPr>
              <w:adjustRightInd w:val="0"/>
              <w:snapToGrid w:val="0"/>
              <w:jc w:val="center"/>
              <w:rPr>
                <w:snapToGrid w:val="0"/>
                <w:color w:val="auto"/>
                <w:kern w:val="0"/>
                <w:szCs w:val="22"/>
              </w:rPr>
            </w:pPr>
            <w:r>
              <w:rPr>
                <w:snapToGrid w:val="0"/>
                <w:color w:val="auto"/>
                <w:kern w:val="0"/>
                <w:szCs w:val="22"/>
              </w:rPr>
              <w:t>MPN/100mL</w:t>
            </w:r>
            <w:r>
              <w:rPr>
                <w:rFonts w:hint="eastAsia"/>
                <w:snapToGrid w:val="0"/>
                <w:color w:val="auto"/>
                <w:kern w:val="0"/>
                <w:szCs w:val="22"/>
                <w:lang w:val="zh-CN"/>
              </w:rPr>
              <w:t>或</w:t>
            </w:r>
            <w:r>
              <w:rPr>
                <w:snapToGrid w:val="0"/>
                <w:color w:val="auto"/>
                <w:kern w:val="0"/>
                <w:szCs w:val="22"/>
              </w:rPr>
              <w:t>CFU/100mL</w:t>
            </w:r>
          </w:p>
        </w:tc>
        <w:tc>
          <w:tcPr>
            <w:tcW w:w="819" w:type="pct"/>
            <w:vAlign w:val="center"/>
          </w:tcPr>
          <w:p w14:paraId="7496205A">
            <w:pPr>
              <w:adjustRightInd w:val="0"/>
              <w:snapToGrid w:val="0"/>
              <w:jc w:val="center"/>
              <w:rPr>
                <w:snapToGrid w:val="0"/>
                <w:color w:val="auto"/>
                <w:kern w:val="0"/>
                <w:szCs w:val="22"/>
                <w:lang w:val="zh-CN"/>
              </w:rPr>
            </w:pPr>
            <w:r>
              <w:rPr>
                <w:snapToGrid w:val="0"/>
                <w:color w:val="auto"/>
                <w:kern w:val="0"/>
                <w:szCs w:val="22"/>
                <w:lang w:val="zh-CN"/>
              </w:rPr>
              <w:t>≤3.0</w:t>
            </w:r>
          </w:p>
        </w:tc>
      </w:tr>
    </w:tbl>
    <w:p w14:paraId="7C0F5227">
      <w:pPr>
        <w:spacing w:line="500" w:lineRule="exact"/>
        <w:ind w:firstLine="480" w:firstLineChars="200"/>
        <w:rPr>
          <w:snapToGrid w:val="0"/>
          <w:color w:val="auto"/>
          <w:kern w:val="0"/>
          <w:sz w:val="24"/>
          <w:szCs w:val="22"/>
        </w:rPr>
      </w:pPr>
      <w:r>
        <w:rPr>
          <w:rFonts w:hint="eastAsia"/>
          <w:snapToGrid w:val="0"/>
          <w:color w:val="auto"/>
          <w:kern w:val="0"/>
          <w:sz w:val="24"/>
          <w:szCs w:val="22"/>
        </w:rPr>
        <w:t>（</w:t>
      </w:r>
      <w:r>
        <w:rPr>
          <w:snapToGrid w:val="0"/>
          <w:color w:val="auto"/>
          <w:kern w:val="0"/>
          <w:sz w:val="24"/>
          <w:szCs w:val="22"/>
        </w:rPr>
        <w:t>3</w:t>
      </w:r>
      <w:r>
        <w:rPr>
          <w:rFonts w:hint="eastAsia"/>
          <w:snapToGrid w:val="0"/>
          <w:color w:val="auto"/>
          <w:kern w:val="0"/>
          <w:sz w:val="24"/>
          <w:szCs w:val="22"/>
        </w:rPr>
        <w:t>）地表水</w:t>
      </w:r>
    </w:p>
    <w:p w14:paraId="5804B0ED">
      <w:pPr>
        <w:adjustRightInd w:val="0"/>
        <w:snapToGrid w:val="0"/>
        <w:spacing w:line="500" w:lineRule="exact"/>
        <w:ind w:firstLine="480" w:firstLineChars="200"/>
        <w:rPr>
          <w:color w:val="auto"/>
          <w:kern w:val="0"/>
          <w:sz w:val="24"/>
        </w:rPr>
      </w:pPr>
      <w:r>
        <w:rPr>
          <w:rFonts w:hint="eastAsia"/>
          <w:color w:val="auto"/>
          <w:kern w:val="0"/>
          <w:sz w:val="24"/>
        </w:rPr>
        <w:t>本项目所处区域主要地表水为</w:t>
      </w:r>
      <w:r>
        <w:rPr>
          <w:rFonts w:hint="eastAsia"/>
          <w:color w:val="auto"/>
          <w:kern w:val="0"/>
          <w:sz w:val="24"/>
          <w:lang w:val="en-US" w:eastAsia="zh-CN"/>
        </w:rPr>
        <w:t>三新沟</w:t>
      </w:r>
      <w:r>
        <w:rPr>
          <w:rFonts w:hint="eastAsia"/>
          <w:color w:val="auto"/>
          <w:kern w:val="0"/>
          <w:sz w:val="24"/>
        </w:rPr>
        <w:t>，无规划水体类别。</w:t>
      </w:r>
      <w:r>
        <w:rPr>
          <w:rFonts w:hint="eastAsia"/>
          <w:color w:val="auto"/>
          <w:kern w:val="0"/>
          <w:sz w:val="24"/>
          <w:lang w:val="en-US" w:eastAsia="zh-CN"/>
        </w:rPr>
        <w:t>三新沟最终</w:t>
      </w:r>
      <w:r>
        <w:rPr>
          <w:rFonts w:hint="eastAsia"/>
          <w:color w:val="auto"/>
          <w:kern w:val="0"/>
          <w:sz w:val="24"/>
        </w:rPr>
        <w:t>汇入穆棱河，根据《全国重要江河湖泊水功能区划》</w:t>
      </w:r>
      <w:r>
        <w:rPr>
          <w:rFonts w:hint="eastAsia"/>
          <w:color w:val="auto"/>
          <w:kern w:val="0"/>
          <w:sz w:val="24"/>
          <w:lang w:eastAsia="zh-CN"/>
        </w:rPr>
        <w:t>（</w:t>
      </w:r>
      <w:r>
        <w:rPr>
          <w:color w:val="auto"/>
          <w:kern w:val="0"/>
          <w:sz w:val="24"/>
        </w:rPr>
        <w:t>2011-2030</w:t>
      </w:r>
      <w:r>
        <w:rPr>
          <w:rFonts w:hint="eastAsia"/>
          <w:color w:val="auto"/>
          <w:kern w:val="0"/>
          <w:sz w:val="24"/>
        </w:rPr>
        <w:t>年</w:t>
      </w:r>
      <w:r>
        <w:rPr>
          <w:rFonts w:hint="eastAsia"/>
          <w:color w:val="auto"/>
          <w:kern w:val="0"/>
          <w:sz w:val="24"/>
          <w:lang w:eastAsia="zh-CN"/>
        </w:rPr>
        <w:t>）</w:t>
      </w:r>
      <w:r>
        <w:rPr>
          <w:rFonts w:hint="eastAsia"/>
          <w:color w:val="auto"/>
          <w:kern w:val="0"/>
          <w:sz w:val="24"/>
        </w:rPr>
        <w:t>，项目区穆棱河所在一级水功能区名称为穆棱河鸡西市开发利用区，二级水功能区名称为穆棱河鸡东县、密山市农业用水区，起始断面为鸡古路西</w:t>
      </w:r>
      <w:r>
        <w:rPr>
          <w:color w:val="auto"/>
          <w:kern w:val="0"/>
          <w:sz w:val="24"/>
        </w:rPr>
        <w:t>100m</w:t>
      </w:r>
      <w:r>
        <w:rPr>
          <w:rFonts w:hint="eastAsia"/>
          <w:color w:val="auto"/>
          <w:kern w:val="0"/>
          <w:sz w:val="24"/>
        </w:rPr>
        <w:t>，终止断面为凯北站，水质目标为</w:t>
      </w:r>
      <w:r>
        <w:rPr>
          <w:color w:val="auto"/>
          <w:kern w:val="0"/>
          <w:sz w:val="24"/>
        </w:rPr>
        <w:t>III</w:t>
      </w:r>
      <w:r>
        <w:rPr>
          <w:rFonts w:hint="eastAsia"/>
          <w:color w:val="auto"/>
          <w:kern w:val="0"/>
          <w:sz w:val="24"/>
        </w:rPr>
        <w:t>类。因此</w:t>
      </w:r>
      <w:r>
        <w:rPr>
          <w:rFonts w:hint="eastAsia"/>
          <w:color w:val="auto"/>
          <w:kern w:val="0"/>
          <w:sz w:val="24"/>
          <w:lang w:val="en-US" w:eastAsia="zh-CN"/>
        </w:rPr>
        <w:t>三新沟</w:t>
      </w:r>
      <w:r>
        <w:rPr>
          <w:rFonts w:hint="eastAsia"/>
          <w:color w:val="auto"/>
          <w:kern w:val="0"/>
          <w:sz w:val="24"/>
        </w:rPr>
        <w:t>执行《地表水环境质量标准》（</w:t>
      </w:r>
      <w:r>
        <w:rPr>
          <w:color w:val="auto"/>
          <w:kern w:val="0"/>
          <w:sz w:val="24"/>
        </w:rPr>
        <w:t>GB3838-2002</w:t>
      </w:r>
      <w:r>
        <w:rPr>
          <w:rFonts w:hint="eastAsia"/>
          <w:color w:val="auto"/>
          <w:kern w:val="0"/>
          <w:sz w:val="24"/>
        </w:rPr>
        <w:t>）中</w:t>
      </w:r>
      <w:r>
        <w:rPr>
          <w:color w:val="auto"/>
          <w:kern w:val="0"/>
          <w:sz w:val="24"/>
        </w:rPr>
        <w:fldChar w:fldCharType="begin"/>
      </w:r>
      <w:r>
        <w:rPr>
          <w:color w:val="auto"/>
          <w:kern w:val="0"/>
          <w:sz w:val="24"/>
        </w:rPr>
        <w:instrText xml:space="preserve"> = 3 \* ROMAN </w:instrText>
      </w:r>
      <w:r>
        <w:rPr>
          <w:color w:val="auto"/>
          <w:kern w:val="0"/>
          <w:sz w:val="24"/>
        </w:rPr>
        <w:fldChar w:fldCharType="separate"/>
      </w:r>
      <w:r>
        <w:rPr>
          <w:rFonts w:hint="eastAsia"/>
          <w:color w:val="auto"/>
          <w:kern w:val="0"/>
          <w:sz w:val="24"/>
        </w:rPr>
        <w:t>III</w:t>
      </w:r>
      <w:r>
        <w:rPr>
          <w:color w:val="auto"/>
          <w:kern w:val="0"/>
          <w:sz w:val="24"/>
        </w:rPr>
        <w:fldChar w:fldCharType="end"/>
      </w:r>
      <w:r>
        <w:rPr>
          <w:rFonts w:hint="eastAsia"/>
          <w:color w:val="auto"/>
          <w:kern w:val="0"/>
          <w:sz w:val="24"/>
        </w:rPr>
        <w:t>类标准。</w:t>
      </w:r>
    </w:p>
    <w:p w14:paraId="721DE00E">
      <w:pPr>
        <w:adjustRightInd w:val="0"/>
        <w:snapToGrid w:val="0"/>
        <w:spacing w:line="500" w:lineRule="exact"/>
        <w:jc w:val="center"/>
        <w:rPr>
          <w:rFonts w:eastAsia="黑体"/>
          <w:snapToGrid w:val="0"/>
          <w:color w:val="auto"/>
          <w:sz w:val="24"/>
          <w:szCs w:val="22"/>
          <w:lang w:val="zh-CN"/>
        </w:rPr>
      </w:pPr>
      <w:r>
        <w:rPr>
          <w:rFonts w:hint="eastAsia" w:eastAsia="黑体"/>
          <w:snapToGrid w:val="0"/>
          <w:color w:val="auto"/>
          <w:sz w:val="24"/>
          <w:szCs w:val="22"/>
          <w:lang w:val="zh-CN"/>
        </w:rPr>
        <w:t>表</w:t>
      </w:r>
      <w:r>
        <w:rPr>
          <w:rFonts w:eastAsia="黑体"/>
          <w:snapToGrid w:val="0"/>
          <w:color w:val="auto"/>
          <w:sz w:val="24"/>
          <w:szCs w:val="22"/>
          <w:lang w:val="zh-CN"/>
        </w:rPr>
        <w:t>2-5-3</w:t>
      </w:r>
      <w:r>
        <w:rPr>
          <w:rFonts w:hint="eastAsia" w:eastAsia="黑体"/>
          <w:snapToGrid w:val="0"/>
          <w:color w:val="auto"/>
          <w:sz w:val="24"/>
          <w:szCs w:val="22"/>
          <w:lang w:val="zh-CN"/>
        </w:rPr>
        <w:t>地表水质量标准</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60"/>
        <w:gridCol w:w="1232"/>
        <w:gridCol w:w="1207"/>
        <w:gridCol w:w="783"/>
        <w:gridCol w:w="5244"/>
      </w:tblGrid>
      <w:tr w14:paraId="04FADA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0" w:type="auto"/>
            <w:vMerge w:val="restart"/>
            <w:tcBorders>
              <w:top w:val="single" w:color="auto" w:sz="12" w:space="0"/>
              <w:left w:val="nil"/>
              <w:bottom w:val="single" w:color="auto" w:sz="12" w:space="0"/>
              <w:right w:val="single" w:color="auto" w:sz="4" w:space="0"/>
            </w:tcBorders>
            <w:vAlign w:val="center"/>
          </w:tcPr>
          <w:p w14:paraId="4FF717DE">
            <w:pPr>
              <w:adjustRightInd w:val="0"/>
              <w:snapToGrid w:val="0"/>
              <w:jc w:val="center"/>
              <w:rPr>
                <w:snapToGrid w:val="0"/>
                <w:color w:val="auto"/>
                <w:kern w:val="0"/>
                <w:szCs w:val="22"/>
                <w:lang w:val="zh-CN"/>
              </w:rPr>
            </w:pPr>
            <w:r>
              <w:rPr>
                <w:rFonts w:hint="eastAsia"/>
                <w:snapToGrid w:val="0"/>
                <w:color w:val="auto"/>
                <w:kern w:val="0"/>
                <w:szCs w:val="22"/>
                <w:lang w:val="zh-CN"/>
              </w:rPr>
              <w:t>环境</w:t>
            </w:r>
          </w:p>
          <w:p w14:paraId="0CB806D1">
            <w:pPr>
              <w:adjustRightInd w:val="0"/>
              <w:snapToGrid w:val="0"/>
              <w:jc w:val="center"/>
              <w:rPr>
                <w:snapToGrid w:val="0"/>
                <w:color w:val="auto"/>
                <w:kern w:val="0"/>
                <w:szCs w:val="22"/>
                <w:lang w:val="zh-CN"/>
              </w:rPr>
            </w:pPr>
            <w:r>
              <w:rPr>
                <w:rFonts w:hint="eastAsia"/>
                <w:snapToGrid w:val="0"/>
                <w:color w:val="auto"/>
                <w:kern w:val="0"/>
                <w:szCs w:val="22"/>
                <w:lang w:val="zh-CN"/>
              </w:rPr>
              <w:t>要素</w:t>
            </w:r>
          </w:p>
        </w:tc>
        <w:tc>
          <w:tcPr>
            <w:tcW w:w="0" w:type="auto"/>
            <w:vMerge w:val="restart"/>
            <w:tcBorders>
              <w:top w:val="single" w:color="auto" w:sz="12" w:space="0"/>
              <w:left w:val="single" w:color="auto" w:sz="4" w:space="0"/>
              <w:bottom w:val="single" w:color="auto" w:sz="12" w:space="0"/>
              <w:right w:val="single" w:color="auto" w:sz="4" w:space="0"/>
            </w:tcBorders>
            <w:vAlign w:val="center"/>
          </w:tcPr>
          <w:p w14:paraId="7491B7FC">
            <w:pPr>
              <w:adjustRightInd w:val="0"/>
              <w:snapToGrid w:val="0"/>
              <w:jc w:val="center"/>
              <w:rPr>
                <w:snapToGrid w:val="0"/>
                <w:color w:val="auto"/>
                <w:kern w:val="0"/>
                <w:szCs w:val="22"/>
                <w:lang w:val="zh-CN"/>
              </w:rPr>
            </w:pPr>
            <w:r>
              <w:rPr>
                <w:rFonts w:hint="eastAsia"/>
                <w:snapToGrid w:val="0"/>
                <w:color w:val="auto"/>
                <w:kern w:val="0"/>
                <w:szCs w:val="22"/>
                <w:lang w:val="zh-CN"/>
              </w:rPr>
              <w:t>标准名称及级别</w:t>
            </w:r>
          </w:p>
        </w:tc>
        <w:tc>
          <w:tcPr>
            <w:tcW w:w="0" w:type="auto"/>
            <w:vMerge w:val="restart"/>
            <w:tcBorders>
              <w:top w:val="single" w:color="auto" w:sz="12" w:space="0"/>
              <w:left w:val="single" w:color="auto" w:sz="4" w:space="0"/>
              <w:bottom w:val="single" w:color="auto" w:sz="4" w:space="0"/>
              <w:right w:val="single" w:color="auto" w:sz="4" w:space="0"/>
            </w:tcBorders>
            <w:vAlign w:val="center"/>
          </w:tcPr>
          <w:p w14:paraId="46D2D508">
            <w:pPr>
              <w:adjustRightInd w:val="0"/>
              <w:snapToGrid w:val="0"/>
              <w:jc w:val="center"/>
              <w:rPr>
                <w:snapToGrid w:val="0"/>
                <w:color w:val="auto"/>
                <w:kern w:val="0"/>
                <w:szCs w:val="22"/>
                <w:lang w:val="zh-CN"/>
              </w:rPr>
            </w:pPr>
            <w:r>
              <w:rPr>
                <w:rFonts w:hint="eastAsia"/>
                <w:snapToGrid w:val="0"/>
                <w:color w:val="auto"/>
                <w:kern w:val="0"/>
                <w:szCs w:val="22"/>
                <w:lang w:val="zh-CN"/>
              </w:rPr>
              <w:t>项目</w:t>
            </w:r>
          </w:p>
        </w:tc>
        <w:tc>
          <w:tcPr>
            <w:tcW w:w="0" w:type="auto"/>
            <w:gridSpan w:val="2"/>
            <w:tcBorders>
              <w:top w:val="single" w:color="auto" w:sz="12" w:space="0"/>
              <w:left w:val="single" w:color="auto" w:sz="4" w:space="0"/>
              <w:bottom w:val="single" w:color="auto" w:sz="4" w:space="0"/>
              <w:right w:val="nil"/>
            </w:tcBorders>
            <w:vAlign w:val="center"/>
          </w:tcPr>
          <w:p w14:paraId="1DB72EC3">
            <w:pPr>
              <w:adjustRightInd w:val="0"/>
              <w:snapToGrid w:val="0"/>
              <w:jc w:val="center"/>
              <w:rPr>
                <w:snapToGrid w:val="0"/>
                <w:color w:val="auto"/>
                <w:kern w:val="0"/>
                <w:szCs w:val="22"/>
                <w:lang w:val="zh-CN"/>
              </w:rPr>
            </w:pPr>
            <w:r>
              <w:rPr>
                <w:rFonts w:hint="eastAsia"/>
                <w:snapToGrid w:val="0"/>
                <w:color w:val="auto"/>
                <w:kern w:val="0"/>
                <w:szCs w:val="22"/>
                <w:lang w:val="zh-CN"/>
              </w:rPr>
              <w:t>标准值</w:t>
            </w:r>
          </w:p>
        </w:tc>
      </w:tr>
      <w:tr w14:paraId="5507C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0" w:type="auto"/>
            <w:vMerge w:val="continue"/>
            <w:tcBorders>
              <w:top w:val="single" w:color="auto" w:sz="12" w:space="0"/>
              <w:left w:val="nil"/>
              <w:bottom w:val="single" w:color="auto" w:sz="12" w:space="0"/>
              <w:right w:val="single" w:color="auto" w:sz="4" w:space="0"/>
            </w:tcBorders>
            <w:vAlign w:val="center"/>
          </w:tcPr>
          <w:p w14:paraId="4F965C42">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261A255B">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4" w:space="0"/>
              <w:right w:val="single" w:color="auto" w:sz="4" w:space="0"/>
            </w:tcBorders>
            <w:vAlign w:val="center"/>
          </w:tcPr>
          <w:p w14:paraId="1F4C5BB4">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2BB4A395">
            <w:pPr>
              <w:adjustRightInd w:val="0"/>
              <w:snapToGrid w:val="0"/>
              <w:jc w:val="center"/>
              <w:rPr>
                <w:snapToGrid w:val="0"/>
                <w:color w:val="auto"/>
                <w:kern w:val="0"/>
                <w:szCs w:val="22"/>
                <w:lang w:val="zh-CN"/>
              </w:rPr>
            </w:pPr>
            <w:r>
              <w:rPr>
                <w:rFonts w:hint="eastAsia"/>
                <w:snapToGrid w:val="0"/>
                <w:color w:val="auto"/>
                <w:kern w:val="0"/>
                <w:szCs w:val="22"/>
                <w:lang w:val="zh-CN"/>
              </w:rPr>
              <w:t>单位</w:t>
            </w:r>
          </w:p>
        </w:tc>
        <w:tc>
          <w:tcPr>
            <w:tcW w:w="0" w:type="auto"/>
            <w:tcBorders>
              <w:top w:val="single" w:color="auto" w:sz="4" w:space="0"/>
              <w:left w:val="single" w:color="auto" w:sz="4" w:space="0"/>
              <w:bottom w:val="single" w:color="auto" w:sz="4" w:space="0"/>
              <w:right w:val="nil"/>
            </w:tcBorders>
            <w:vAlign w:val="center"/>
          </w:tcPr>
          <w:p w14:paraId="7D3779B2">
            <w:pPr>
              <w:adjustRightInd w:val="0"/>
              <w:snapToGrid w:val="0"/>
              <w:jc w:val="center"/>
              <w:rPr>
                <w:snapToGrid w:val="0"/>
                <w:color w:val="auto"/>
                <w:kern w:val="0"/>
                <w:szCs w:val="22"/>
                <w:lang w:val="zh-CN"/>
              </w:rPr>
            </w:pPr>
            <w:r>
              <w:rPr>
                <w:rFonts w:hint="eastAsia"/>
                <w:snapToGrid w:val="0"/>
                <w:color w:val="auto"/>
                <w:kern w:val="0"/>
                <w:szCs w:val="22"/>
                <w:lang w:val="zh-CN"/>
              </w:rPr>
              <w:t>数值</w:t>
            </w:r>
          </w:p>
        </w:tc>
      </w:tr>
      <w:tr w14:paraId="66639B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641051CE">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0CCB0CE0">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3F332D8A">
            <w:pPr>
              <w:adjustRightInd w:val="0"/>
              <w:snapToGrid w:val="0"/>
              <w:jc w:val="center"/>
              <w:rPr>
                <w:snapToGrid w:val="0"/>
                <w:color w:val="auto"/>
                <w:kern w:val="0"/>
                <w:szCs w:val="21"/>
              </w:rPr>
            </w:pPr>
            <w:r>
              <w:rPr>
                <w:rFonts w:hint="eastAsia"/>
                <w:snapToGrid w:val="0"/>
                <w:color w:val="auto"/>
                <w:kern w:val="0"/>
                <w:szCs w:val="21"/>
              </w:rPr>
              <w:t>水温</w:t>
            </w:r>
          </w:p>
        </w:tc>
        <w:tc>
          <w:tcPr>
            <w:tcW w:w="0" w:type="auto"/>
            <w:tcBorders>
              <w:top w:val="single" w:color="auto" w:sz="4" w:space="0"/>
              <w:left w:val="single" w:color="auto" w:sz="4" w:space="0"/>
              <w:bottom w:val="single" w:color="auto" w:sz="4" w:space="0"/>
              <w:right w:val="single" w:color="auto" w:sz="4" w:space="0"/>
            </w:tcBorders>
            <w:vAlign w:val="center"/>
          </w:tcPr>
          <w:p w14:paraId="6C9BB772">
            <w:pPr>
              <w:adjustRightInd w:val="0"/>
              <w:snapToGrid w:val="0"/>
              <w:jc w:val="center"/>
              <w:rPr>
                <w:snapToGrid w:val="0"/>
                <w:color w:val="auto"/>
                <w:kern w:val="0"/>
                <w:szCs w:val="22"/>
                <w:lang w:val="zh-CN"/>
              </w:rPr>
            </w:pPr>
            <w:r>
              <w:rPr>
                <w:rFonts w:hint="eastAsia" w:ascii="宋体" w:hAnsi="宋体" w:cs="宋体"/>
                <w:snapToGrid w:val="0"/>
                <w:color w:val="auto"/>
                <w:kern w:val="0"/>
                <w:szCs w:val="22"/>
                <w:lang w:val="zh-CN"/>
              </w:rPr>
              <w:t>℃</w:t>
            </w:r>
          </w:p>
        </w:tc>
        <w:tc>
          <w:tcPr>
            <w:tcW w:w="0" w:type="auto"/>
            <w:tcBorders>
              <w:top w:val="single" w:color="auto" w:sz="4" w:space="0"/>
              <w:left w:val="single" w:color="auto" w:sz="4" w:space="0"/>
              <w:bottom w:val="single" w:color="auto" w:sz="4" w:space="0"/>
              <w:right w:val="nil"/>
            </w:tcBorders>
            <w:vAlign w:val="center"/>
          </w:tcPr>
          <w:p w14:paraId="0D468EEF">
            <w:pPr>
              <w:adjustRightInd w:val="0"/>
              <w:snapToGrid w:val="0"/>
              <w:rPr>
                <w:snapToGrid w:val="0"/>
                <w:color w:val="auto"/>
                <w:kern w:val="0"/>
                <w:szCs w:val="22"/>
                <w:lang w:val="zh-CN"/>
              </w:rPr>
            </w:pPr>
            <w:r>
              <w:rPr>
                <w:rFonts w:hint="eastAsia"/>
                <w:snapToGrid w:val="0"/>
                <w:color w:val="auto"/>
                <w:kern w:val="0"/>
                <w:szCs w:val="22"/>
                <w:lang w:val="zh-CN"/>
              </w:rPr>
              <w:t>人为造成的环境水温变化应限制在：周平均最大温升≤</w:t>
            </w:r>
            <w:r>
              <w:rPr>
                <w:snapToGrid w:val="0"/>
                <w:color w:val="auto"/>
                <w:kern w:val="0"/>
                <w:szCs w:val="22"/>
                <w:lang w:val="zh-CN"/>
              </w:rPr>
              <w:t>1</w:t>
            </w:r>
            <w:r>
              <w:rPr>
                <w:rFonts w:hint="eastAsia" w:ascii="宋体" w:hAnsi="宋体" w:cs="宋体"/>
                <w:snapToGrid w:val="0"/>
                <w:color w:val="auto"/>
                <w:kern w:val="0"/>
                <w:szCs w:val="22"/>
                <w:lang w:val="zh-CN"/>
              </w:rPr>
              <w:t>℃，</w:t>
            </w:r>
            <w:r>
              <w:rPr>
                <w:rFonts w:hint="eastAsia"/>
                <w:snapToGrid w:val="0"/>
                <w:color w:val="auto"/>
                <w:kern w:val="0"/>
                <w:szCs w:val="22"/>
                <w:lang w:val="zh-CN"/>
              </w:rPr>
              <w:t>周平均最大温降≤</w:t>
            </w:r>
            <w:r>
              <w:rPr>
                <w:snapToGrid w:val="0"/>
                <w:color w:val="auto"/>
                <w:kern w:val="0"/>
                <w:szCs w:val="22"/>
                <w:lang w:val="zh-CN"/>
              </w:rPr>
              <w:t>2</w:t>
            </w:r>
            <w:r>
              <w:rPr>
                <w:rFonts w:hint="eastAsia" w:ascii="宋体" w:hAnsi="宋体" w:cs="宋体"/>
                <w:snapToGrid w:val="0"/>
                <w:color w:val="auto"/>
                <w:kern w:val="0"/>
                <w:szCs w:val="22"/>
                <w:lang w:val="zh-CN"/>
              </w:rPr>
              <w:t>℃</w:t>
            </w:r>
          </w:p>
        </w:tc>
      </w:tr>
      <w:tr w14:paraId="40A91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0FBEF88D">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324E296E">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64F87311">
            <w:pPr>
              <w:adjustRightInd w:val="0"/>
              <w:snapToGrid w:val="0"/>
              <w:jc w:val="center"/>
              <w:rPr>
                <w:snapToGrid w:val="0"/>
                <w:color w:val="auto"/>
                <w:kern w:val="0"/>
                <w:szCs w:val="22"/>
                <w:lang w:val="zh-CN"/>
              </w:rPr>
            </w:pPr>
            <w:r>
              <w:rPr>
                <w:snapToGrid w:val="0"/>
                <w:color w:val="auto"/>
                <w:kern w:val="0"/>
                <w:szCs w:val="22"/>
                <w:lang w:val="zh-CN"/>
              </w:rPr>
              <w:t>pH</w:t>
            </w:r>
          </w:p>
        </w:tc>
        <w:tc>
          <w:tcPr>
            <w:tcW w:w="0" w:type="auto"/>
            <w:tcBorders>
              <w:top w:val="single" w:color="auto" w:sz="4" w:space="0"/>
              <w:left w:val="single" w:color="auto" w:sz="4" w:space="0"/>
              <w:bottom w:val="single" w:color="auto" w:sz="4" w:space="0"/>
              <w:right w:val="single" w:color="auto" w:sz="4" w:space="0"/>
            </w:tcBorders>
            <w:vAlign w:val="center"/>
          </w:tcPr>
          <w:p w14:paraId="7A5AF5F8">
            <w:pPr>
              <w:adjustRightInd w:val="0"/>
              <w:snapToGrid w:val="0"/>
              <w:jc w:val="center"/>
              <w:rPr>
                <w:snapToGrid w:val="0"/>
                <w:color w:val="auto"/>
                <w:kern w:val="0"/>
                <w:szCs w:val="22"/>
                <w:lang w:val="zh-CN"/>
              </w:rPr>
            </w:pPr>
            <w:r>
              <w:rPr>
                <w:rFonts w:hint="eastAsia"/>
                <w:snapToGrid w:val="0"/>
                <w:color w:val="auto"/>
                <w:kern w:val="0"/>
                <w:szCs w:val="22"/>
                <w:lang w:val="zh-CN"/>
              </w:rPr>
              <w:t>无量纲</w:t>
            </w:r>
          </w:p>
        </w:tc>
        <w:tc>
          <w:tcPr>
            <w:tcW w:w="0" w:type="auto"/>
            <w:tcBorders>
              <w:top w:val="single" w:color="auto" w:sz="4" w:space="0"/>
              <w:left w:val="single" w:color="auto" w:sz="4" w:space="0"/>
              <w:bottom w:val="single" w:color="auto" w:sz="4" w:space="0"/>
              <w:right w:val="nil"/>
            </w:tcBorders>
            <w:vAlign w:val="center"/>
          </w:tcPr>
          <w:p w14:paraId="210403B3">
            <w:pPr>
              <w:adjustRightInd w:val="0"/>
              <w:snapToGrid w:val="0"/>
              <w:jc w:val="center"/>
              <w:rPr>
                <w:snapToGrid w:val="0"/>
                <w:color w:val="auto"/>
                <w:kern w:val="0"/>
                <w:szCs w:val="22"/>
                <w:lang w:val="zh-CN"/>
              </w:rPr>
            </w:pPr>
            <w:r>
              <w:rPr>
                <w:snapToGrid w:val="0"/>
                <w:color w:val="auto"/>
                <w:kern w:val="0"/>
                <w:szCs w:val="22"/>
                <w:lang w:val="zh-CN"/>
              </w:rPr>
              <w:t>6~9</w:t>
            </w:r>
          </w:p>
        </w:tc>
      </w:tr>
      <w:tr w14:paraId="2BE864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45EC7B6E">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732F331C">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021C4354">
            <w:pPr>
              <w:adjustRightInd w:val="0"/>
              <w:snapToGrid w:val="0"/>
              <w:jc w:val="center"/>
              <w:rPr>
                <w:snapToGrid w:val="0"/>
                <w:color w:val="auto"/>
                <w:kern w:val="0"/>
                <w:szCs w:val="22"/>
                <w:lang w:val="zh-CN"/>
              </w:rPr>
            </w:pPr>
            <w:r>
              <w:rPr>
                <w:rFonts w:hint="eastAsia"/>
                <w:snapToGrid w:val="0"/>
                <w:color w:val="auto"/>
                <w:kern w:val="0"/>
                <w:szCs w:val="22"/>
                <w:lang w:val="zh-CN"/>
              </w:rPr>
              <w:t>溶解氧</w:t>
            </w:r>
          </w:p>
        </w:tc>
        <w:tc>
          <w:tcPr>
            <w:tcW w:w="0" w:type="auto"/>
            <w:vMerge w:val="restart"/>
            <w:tcBorders>
              <w:top w:val="single" w:color="auto" w:sz="4" w:space="0"/>
              <w:left w:val="single" w:color="auto" w:sz="4" w:space="0"/>
              <w:bottom w:val="single" w:color="auto" w:sz="12" w:space="0"/>
              <w:right w:val="single" w:color="auto" w:sz="4" w:space="0"/>
            </w:tcBorders>
            <w:vAlign w:val="center"/>
          </w:tcPr>
          <w:p w14:paraId="45DD2FAE">
            <w:pPr>
              <w:adjustRightInd w:val="0"/>
              <w:snapToGrid w:val="0"/>
              <w:jc w:val="center"/>
              <w:rPr>
                <w:snapToGrid w:val="0"/>
                <w:color w:val="auto"/>
                <w:kern w:val="0"/>
                <w:szCs w:val="22"/>
                <w:lang w:val="zh-CN"/>
              </w:rPr>
            </w:pPr>
            <w:r>
              <w:rPr>
                <w:snapToGrid w:val="0"/>
                <w:color w:val="auto"/>
                <w:kern w:val="0"/>
                <w:szCs w:val="22"/>
                <w:lang w:val="zh-CN"/>
              </w:rPr>
              <w:t>mg/L</w:t>
            </w:r>
          </w:p>
        </w:tc>
        <w:tc>
          <w:tcPr>
            <w:tcW w:w="0" w:type="auto"/>
            <w:tcBorders>
              <w:top w:val="single" w:color="auto" w:sz="4" w:space="0"/>
              <w:left w:val="single" w:color="auto" w:sz="4" w:space="0"/>
              <w:bottom w:val="single" w:color="auto" w:sz="4" w:space="0"/>
              <w:right w:val="nil"/>
            </w:tcBorders>
            <w:vAlign w:val="center"/>
          </w:tcPr>
          <w:p w14:paraId="588E7544">
            <w:pPr>
              <w:adjustRightInd w:val="0"/>
              <w:snapToGrid w:val="0"/>
              <w:jc w:val="center"/>
              <w:rPr>
                <w:snapToGrid w:val="0"/>
                <w:color w:val="auto"/>
                <w:kern w:val="0"/>
                <w:szCs w:val="22"/>
                <w:lang w:val="zh-CN"/>
              </w:rPr>
            </w:pPr>
            <w:r>
              <w:rPr>
                <w:rFonts w:hint="eastAsia"/>
                <w:snapToGrid w:val="0"/>
                <w:color w:val="auto"/>
                <w:kern w:val="0"/>
                <w:szCs w:val="22"/>
                <w:lang w:val="zh-CN"/>
              </w:rPr>
              <w:t>≥</w:t>
            </w:r>
            <w:r>
              <w:rPr>
                <w:snapToGrid w:val="0"/>
                <w:color w:val="auto"/>
                <w:kern w:val="0"/>
                <w:szCs w:val="22"/>
                <w:lang w:val="zh-CN"/>
              </w:rPr>
              <w:t>5</w:t>
            </w:r>
          </w:p>
        </w:tc>
      </w:tr>
      <w:tr w14:paraId="560438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203FADF2">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0B26529E">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4D1A0EA2">
            <w:pPr>
              <w:adjustRightInd w:val="0"/>
              <w:snapToGrid w:val="0"/>
              <w:jc w:val="center"/>
              <w:rPr>
                <w:snapToGrid w:val="0"/>
                <w:color w:val="auto"/>
                <w:kern w:val="0"/>
                <w:szCs w:val="22"/>
                <w:lang w:val="zh-CN"/>
              </w:rPr>
            </w:pPr>
            <w:r>
              <w:rPr>
                <w:rFonts w:hint="eastAsia"/>
                <w:snapToGrid w:val="0"/>
                <w:color w:val="auto"/>
                <w:kern w:val="0"/>
                <w:szCs w:val="22"/>
                <w:lang w:val="zh-CN"/>
              </w:rPr>
              <w:t>高锰酸盐指数</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18BA9BFA">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nil"/>
            </w:tcBorders>
            <w:vAlign w:val="center"/>
          </w:tcPr>
          <w:p w14:paraId="3F4C3CA1">
            <w:pPr>
              <w:adjustRightInd w:val="0"/>
              <w:snapToGrid w:val="0"/>
              <w:jc w:val="center"/>
              <w:rPr>
                <w:snapToGrid w:val="0"/>
                <w:color w:val="auto"/>
                <w:kern w:val="0"/>
                <w:szCs w:val="22"/>
                <w:lang w:val="zh-CN"/>
              </w:rPr>
            </w:pPr>
            <w:r>
              <w:rPr>
                <w:snapToGrid w:val="0"/>
                <w:color w:val="auto"/>
                <w:kern w:val="0"/>
                <w:szCs w:val="22"/>
                <w:lang w:val="zh-CN"/>
              </w:rPr>
              <w:t>≤6</w:t>
            </w:r>
          </w:p>
        </w:tc>
      </w:tr>
      <w:tr w14:paraId="0669F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20D25D39">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571B186F">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6C369D07">
            <w:pPr>
              <w:adjustRightInd w:val="0"/>
              <w:snapToGrid w:val="0"/>
              <w:jc w:val="center"/>
              <w:rPr>
                <w:snapToGrid w:val="0"/>
                <w:color w:val="auto"/>
                <w:kern w:val="0"/>
                <w:szCs w:val="22"/>
                <w:lang w:val="zh-CN"/>
              </w:rPr>
            </w:pPr>
            <w:r>
              <w:rPr>
                <w:snapToGrid w:val="0"/>
                <w:color w:val="auto"/>
                <w:kern w:val="0"/>
                <w:szCs w:val="22"/>
                <w:lang w:val="zh-CN"/>
              </w:rPr>
              <w:t>COD</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51899527">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nil"/>
            </w:tcBorders>
            <w:vAlign w:val="center"/>
          </w:tcPr>
          <w:p w14:paraId="28666C14">
            <w:pPr>
              <w:adjustRightInd w:val="0"/>
              <w:snapToGrid w:val="0"/>
              <w:jc w:val="center"/>
              <w:rPr>
                <w:snapToGrid w:val="0"/>
                <w:color w:val="auto"/>
                <w:kern w:val="0"/>
                <w:szCs w:val="22"/>
                <w:lang w:val="zh-CN"/>
              </w:rPr>
            </w:pPr>
            <w:r>
              <w:rPr>
                <w:snapToGrid w:val="0"/>
                <w:color w:val="auto"/>
                <w:kern w:val="0"/>
                <w:szCs w:val="22"/>
                <w:lang w:val="zh-CN"/>
              </w:rPr>
              <w:t>≤20</w:t>
            </w:r>
          </w:p>
        </w:tc>
      </w:tr>
      <w:tr w14:paraId="1F4DCC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114D1606">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11CEEEAD">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32A6A86E">
            <w:pPr>
              <w:adjustRightInd w:val="0"/>
              <w:snapToGrid w:val="0"/>
              <w:jc w:val="center"/>
              <w:rPr>
                <w:snapToGrid w:val="0"/>
                <w:color w:val="auto"/>
                <w:kern w:val="0"/>
                <w:szCs w:val="22"/>
                <w:lang w:val="zh-CN"/>
              </w:rPr>
            </w:pPr>
            <w:r>
              <w:rPr>
                <w:snapToGrid w:val="0"/>
                <w:color w:val="auto"/>
                <w:kern w:val="0"/>
                <w:szCs w:val="22"/>
                <w:lang w:val="zh-CN"/>
              </w:rPr>
              <w:t>BOD</w:t>
            </w:r>
            <w:r>
              <w:rPr>
                <w:snapToGrid w:val="0"/>
                <w:color w:val="auto"/>
                <w:kern w:val="0"/>
                <w:szCs w:val="22"/>
                <w:vertAlign w:val="subscript"/>
                <w:lang w:val="zh-CN"/>
              </w:rPr>
              <w:t>5</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21E1997D">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nil"/>
            </w:tcBorders>
            <w:vAlign w:val="center"/>
          </w:tcPr>
          <w:p w14:paraId="3C9B143C">
            <w:pPr>
              <w:adjustRightInd w:val="0"/>
              <w:snapToGrid w:val="0"/>
              <w:jc w:val="center"/>
              <w:rPr>
                <w:snapToGrid w:val="0"/>
                <w:color w:val="auto"/>
                <w:kern w:val="0"/>
                <w:szCs w:val="22"/>
                <w:lang w:val="zh-CN"/>
              </w:rPr>
            </w:pPr>
            <w:r>
              <w:rPr>
                <w:snapToGrid w:val="0"/>
                <w:color w:val="auto"/>
                <w:kern w:val="0"/>
                <w:szCs w:val="22"/>
                <w:lang w:val="zh-CN"/>
              </w:rPr>
              <w:t>≤4</w:t>
            </w:r>
          </w:p>
        </w:tc>
      </w:tr>
      <w:tr w14:paraId="27E52D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6EB84F72">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004ACD14">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372F3653">
            <w:pPr>
              <w:adjustRightInd w:val="0"/>
              <w:snapToGrid w:val="0"/>
              <w:jc w:val="center"/>
              <w:rPr>
                <w:snapToGrid w:val="0"/>
                <w:color w:val="auto"/>
                <w:kern w:val="0"/>
                <w:szCs w:val="22"/>
                <w:lang w:val="zh-CN"/>
              </w:rPr>
            </w:pPr>
            <w:r>
              <w:rPr>
                <w:rFonts w:hint="eastAsia"/>
                <w:snapToGrid w:val="0"/>
                <w:color w:val="auto"/>
                <w:kern w:val="0"/>
                <w:szCs w:val="22"/>
                <w:lang w:val="zh-CN"/>
              </w:rPr>
              <w:t>氨氮</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23B7A8C6">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nil"/>
            </w:tcBorders>
            <w:vAlign w:val="center"/>
          </w:tcPr>
          <w:p w14:paraId="59324BC8">
            <w:pPr>
              <w:adjustRightInd w:val="0"/>
              <w:snapToGrid w:val="0"/>
              <w:jc w:val="center"/>
              <w:rPr>
                <w:snapToGrid w:val="0"/>
                <w:color w:val="auto"/>
                <w:kern w:val="0"/>
                <w:szCs w:val="22"/>
                <w:lang w:val="zh-CN"/>
              </w:rPr>
            </w:pPr>
            <w:r>
              <w:rPr>
                <w:snapToGrid w:val="0"/>
                <w:color w:val="auto"/>
                <w:kern w:val="0"/>
                <w:szCs w:val="22"/>
                <w:lang w:val="zh-CN"/>
              </w:rPr>
              <w:t>≤1.0</w:t>
            </w:r>
          </w:p>
        </w:tc>
      </w:tr>
      <w:tr w14:paraId="214117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1DE28587">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2B8F70D1">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43C79640">
            <w:pPr>
              <w:adjustRightInd w:val="0"/>
              <w:snapToGrid w:val="0"/>
              <w:jc w:val="center"/>
              <w:rPr>
                <w:snapToGrid w:val="0"/>
                <w:color w:val="auto"/>
                <w:kern w:val="0"/>
                <w:szCs w:val="22"/>
                <w:lang w:val="zh-CN"/>
              </w:rPr>
            </w:pPr>
            <w:r>
              <w:rPr>
                <w:rFonts w:hint="eastAsia"/>
                <w:snapToGrid w:val="0"/>
                <w:color w:val="auto"/>
                <w:kern w:val="0"/>
                <w:szCs w:val="22"/>
                <w:lang w:val="zh-CN"/>
              </w:rPr>
              <w:t>总磷</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50BF9433">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4" w:space="0"/>
              <w:right w:val="nil"/>
            </w:tcBorders>
            <w:vAlign w:val="center"/>
          </w:tcPr>
          <w:p w14:paraId="02DB22CC">
            <w:pPr>
              <w:adjustRightInd w:val="0"/>
              <w:snapToGrid w:val="0"/>
              <w:jc w:val="center"/>
              <w:rPr>
                <w:snapToGrid w:val="0"/>
                <w:color w:val="auto"/>
                <w:kern w:val="0"/>
                <w:szCs w:val="22"/>
                <w:lang w:val="zh-CN"/>
              </w:rPr>
            </w:pPr>
            <w:r>
              <w:rPr>
                <w:snapToGrid w:val="0"/>
                <w:color w:val="auto"/>
                <w:kern w:val="0"/>
                <w:szCs w:val="22"/>
                <w:lang w:val="zh-CN"/>
              </w:rPr>
              <w:t>≤0.2</w:t>
            </w:r>
          </w:p>
        </w:tc>
      </w:tr>
      <w:tr w14:paraId="0E9D5B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12" w:space="0"/>
              <w:right w:val="single" w:color="auto" w:sz="4" w:space="0"/>
            </w:tcBorders>
            <w:vAlign w:val="center"/>
          </w:tcPr>
          <w:p w14:paraId="35825706">
            <w:pPr>
              <w:widowControl/>
              <w:jc w:val="left"/>
              <w:rPr>
                <w:snapToGrid w:val="0"/>
                <w:color w:val="auto"/>
                <w:kern w:val="0"/>
                <w:szCs w:val="22"/>
                <w:lang w:val="zh-CN"/>
              </w:rPr>
            </w:pPr>
          </w:p>
        </w:tc>
        <w:tc>
          <w:tcPr>
            <w:tcW w:w="0" w:type="auto"/>
            <w:vMerge w:val="continue"/>
            <w:tcBorders>
              <w:top w:val="single" w:color="auto" w:sz="12" w:space="0"/>
              <w:left w:val="single" w:color="auto" w:sz="4" w:space="0"/>
              <w:bottom w:val="single" w:color="auto" w:sz="12" w:space="0"/>
              <w:right w:val="single" w:color="auto" w:sz="4" w:space="0"/>
            </w:tcBorders>
            <w:vAlign w:val="center"/>
          </w:tcPr>
          <w:p w14:paraId="2882AA98">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12" w:space="0"/>
              <w:right w:val="single" w:color="auto" w:sz="4" w:space="0"/>
            </w:tcBorders>
            <w:vAlign w:val="center"/>
          </w:tcPr>
          <w:p w14:paraId="41743196">
            <w:pPr>
              <w:adjustRightInd w:val="0"/>
              <w:snapToGrid w:val="0"/>
              <w:jc w:val="center"/>
              <w:rPr>
                <w:snapToGrid w:val="0"/>
                <w:color w:val="auto"/>
                <w:kern w:val="0"/>
                <w:szCs w:val="22"/>
                <w:lang w:val="zh-CN"/>
              </w:rPr>
            </w:pPr>
            <w:r>
              <w:rPr>
                <w:rFonts w:hint="eastAsia"/>
                <w:snapToGrid w:val="0"/>
                <w:color w:val="auto"/>
                <w:kern w:val="0"/>
                <w:szCs w:val="22"/>
                <w:lang w:val="zh-CN"/>
              </w:rPr>
              <w:t>氟化物</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49BB9DDC">
            <w:pPr>
              <w:widowControl/>
              <w:jc w:val="left"/>
              <w:rPr>
                <w:snapToGrid w:val="0"/>
                <w:color w:val="auto"/>
                <w:kern w:val="0"/>
                <w:szCs w:val="22"/>
                <w:lang w:val="zh-CN"/>
              </w:rPr>
            </w:pPr>
          </w:p>
        </w:tc>
        <w:tc>
          <w:tcPr>
            <w:tcW w:w="0" w:type="auto"/>
            <w:tcBorders>
              <w:top w:val="single" w:color="auto" w:sz="4" w:space="0"/>
              <w:left w:val="single" w:color="auto" w:sz="4" w:space="0"/>
              <w:bottom w:val="single" w:color="auto" w:sz="12" w:space="0"/>
              <w:right w:val="nil"/>
            </w:tcBorders>
            <w:vAlign w:val="center"/>
          </w:tcPr>
          <w:p w14:paraId="4A88C587">
            <w:pPr>
              <w:adjustRightInd w:val="0"/>
              <w:snapToGrid w:val="0"/>
              <w:jc w:val="center"/>
              <w:rPr>
                <w:snapToGrid w:val="0"/>
                <w:color w:val="auto"/>
                <w:kern w:val="0"/>
                <w:szCs w:val="22"/>
                <w:lang w:val="zh-CN"/>
              </w:rPr>
            </w:pPr>
            <w:r>
              <w:rPr>
                <w:snapToGrid w:val="0"/>
                <w:color w:val="auto"/>
                <w:kern w:val="0"/>
                <w:szCs w:val="22"/>
                <w:lang w:val="zh-CN"/>
              </w:rPr>
              <w:t>≤1.0</w:t>
            </w:r>
          </w:p>
        </w:tc>
      </w:tr>
    </w:tbl>
    <w:p w14:paraId="71579D2F">
      <w:pPr>
        <w:spacing w:line="500" w:lineRule="exact"/>
        <w:ind w:firstLine="480" w:firstLineChars="200"/>
        <w:rPr>
          <w:snapToGrid w:val="0"/>
          <w:color w:val="auto"/>
          <w:kern w:val="0"/>
          <w:sz w:val="24"/>
          <w:szCs w:val="22"/>
        </w:rPr>
      </w:pPr>
      <w:r>
        <w:rPr>
          <w:rFonts w:hint="eastAsia"/>
          <w:snapToGrid w:val="0"/>
          <w:color w:val="auto"/>
          <w:kern w:val="0"/>
          <w:sz w:val="24"/>
          <w:szCs w:val="22"/>
        </w:rPr>
        <w:t>（</w:t>
      </w:r>
      <w:r>
        <w:rPr>
          <w:snapToGrid w:val="0"/>
          <w:color w:val="auto"/>
          <w:kern w:val="0"/>
          <w:sz w:val="24"/>
          <w:szCs w:val="22"/>
        </w:rPr>
        <w:t>4</w:t>
      </w:r>
      <w:r>
        <w:rPr>
          <w:rFonts w:hint="eastAsia"/>
          <w:snapToGrid w:val="0"/>
          <w:color w:val="auto"/>
          <w:kern w:val="0"/>
          <w:sz w:val="24"/>
          <w:szCs w:val="22"/>
        </w:rPr>
        <w:t>）声环境</w:t>
      </w:r>
    </w:p>
    <w:p w14:paraId="3861215E">
      <w:pPr>
        <w:spacing w:line="500" w:lineRule="exact"/>
        <w:ind w:firstLine="480" w:firstLineChars="200"/>
        <w:rPr>
          <w:snapToGrid w:val="0"/>
          <w:color w:val="auto"/>
          <w:kern w:val="0"/>
          <w:sz w:val="24"/>
          <w:szCs w:val="22"/>
          <w:highlight w:val="none"/>
        </w:rPr>
      </w:pPr>
      <w:r>
        <w:rPr>
          <w:rFonts w:hint="eastAsia"/>
          <w:snapToGrid w:val="0"/>
          <w:color w:val="auto"/>
          <w:kern w:val="0"/>
          <w:sz w:val="24"/>
          <w:szCs w:val="22"/>
          <w:highlight w:val="none"/>
        </w:rPr>
        <w:t>本项目</w:t>
      </w:r>
      <w:r>
        <w:rPr>
          <w:rFonts w:hint="eastAsia"/>
          <w:snapToGrid w:val="0"/>
          <w:color w:val="auto"/>
          <w:kern w:val="0"/>
          <w:sz w:val="24"/>
          <w:szCs w:val="22"/>
          <w:highlight w:val="none"/>
          <w:lang w:val="en-US" w:eastAsia="zh-CN"/>
        </w:rPr>
        <w:t>区域未划定声环境功能区，项目周边200米范围内无居民，执行《声环境质量标准》（</w:t>
      </w:r>
      <w:r>
        <w:rPr>
          <w:rFonts w:hint="default"/>
          <w:snapToGrid w:val="0"/>
          <w:color w:val="auto"/>
          <w:kern w:val="0"/>
          <w:sz w:val="24"/>
          <w:szCs w:val="22"/>
          <w:highlight w:val="none"/>
          <w:lang w:val="en-US" w:eastAsia="zh-CN"/>
        </w:rPr>
        <w:t>GB 3096-2008</w:t>
      </w:r>
      <w:r>
        <w:rPr>
          <w:rFonts w:hint="eastAsia"/>
          <w:snapToGrid w:val="0"/>
          <w:color w:val="auto"/>
          <w:kern w:val="0"/>
          <w:sz w:val="24"/>
          <w:szCs w:val="22"/>
          <w:highlight w:val="none"/>
          <w:lang w:val="en-US" w:eastAsia="zh-CN"/>
        </w:rPr>
        <w:t>）表</w:t>
      </w:r>
      <w:r>
        <w:rPr>
          <w:rFonts w:hint="default"/>
          <w:snapToGrid w:val="0"/>
          <w:color w:val="auto"/>
          <w:kern w:val="0"/>
          <w:sz w:val="24"/>
          <w:szCs w:val="22"/>
          <w:highlight w:val="none"/>
          <w:lang w:val="en-US" w:eastAsia="zh-CN"/>
        </w:rPr>
        <w:t>1</w:t>
      </w:r>
      <w:r>
        <w:rPr>
          <w:rFonts w:hint="eastAsia"/>
          <w:snapToGrid w:val="0"/>
          <w:color w:val="auto"/>
          <w:kern w:val="0"/>
          <w:sz w:val="24"/>
          <w:szCs w:val="22"/>
          <w:highlight w:val="none"/>
          <w:lang w:val="en-US" w:eastAsia="zh-CN"/>
        </w:rPr>
        <w:t>中</w:t>
      </w:r>
      <w:r>
        <w:rPr>
          <w:rFonts w:hint="default"/>
          <w:snapToGrid w:val="0"/>
          <w:color w:val="auto"/>
          <w:kern w:val="0"/>
          <w:sz w:val="24"/>
          <w:szCs w:val="22"/>
          <w:highlight w:val="none"/>
          <w:lang w:val="en-US" w:eastAsia="zh-CN"/>
        </w:rPr>
        <w:t>2</w:t>
      </w:r>
      <w:r>
        <w:rPr>
          <w:rFonts w:hint="eastAsia"/>
          <w:snapToGrid w:val="0"/>
          <w:color w:val="auto"/>
          <w:kern w:val="0"/>
          <w:sz w:val="24"/>
          <w:szCs w:val="22"/>
          <w:highlight w:val="none"/>
          <w:lang w:val="en-US" w:eastAsia="zh-CN"/>
        </w:rPr>
        <w:t>类声环境功能区限值。</w:t>
      </w:r>
    </w:p>
    <w:p w14:paraId="71D234A0">
      <w:pPr>
        <w:adjustRightInd w:val="0"/>
        <w:snapToGrid w:val="0"/>
        <w:spacing w:line="500" w:lineRule="exact"/>
        <w:jc w:val="center"/>
        <w:rPr>
          <w:rFonts w:eastAsia="黑体"/>
          <w:color w:val="auto"/>
          <w:sz w:val="24"/>
          <w:szCs w:val="22"/>
          <w:lang w:val="zh-CN"/>
        </w:rPr>
      </w:pPr>
      <w:r>
        <w:rPr>
          <w:rFonts w:hint="eastAsia" w:eastAsia="黑体"/>
          <w:color w:val="auto"/>
          <w:sz w:val="24"/>
          <w:szCs w:val="22"/>
          <w:lang w:val="zh-CN"/>
        </w:rPr>
        <w:t>表</w:t>
      </w:r>
      <w:r>
        <w:rPr>
          <w:rFonts w:eastAsia="黑体"/>
          <w:color w:val="auto"/>
          <w:sz w:val="24"/>
          <w:szCs w:val="22"/>
          <w:lang w:val="zh-CN"/>
        </w:rPr>
        <w:t>2-5-4</w:t>
      </w:r>
      <w:r>
        <w:rPr>
          <w:rFonts w:hint="eastAsia" w:eastAsia="黑体"/>
          <w:color w:val="auto"/>
          <w:sz w:val="24"/>
          <w:szCs w:val="22"/>
          <w:lang w:val="zh-CN"/>
        </w:rPr>
        <w:t>声环境质量标准</w:t>
      </w:r>
    </w:p>
    <w:tbl>
      <w:tblPr>
        <w:tblStyle w:val="45"/>
        <w:tblW w:w="507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980"/>
        <w:gridCol w:w="2993"/>
        <w:gridCol w:w="4185"/>
      </w:tblGrid>
      <w:tr w14:paraId="50A901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1" w:type="pct"/>
            <w:vMerge w:val="restart"/>
            <w:tcBorders>
              <w:top w:val="single" w:color="auto" w:sz="12" w:space="0"/>
              <w:left w:val="nil"/>
              <w:bottom w:val="single" w:color="auto" w:sz="4" w:space="0"/>
              <w:right w:val="single" w:color="auto" w:sz="4" w:space="0"/>
            </w:tcBorders>
            <w:vAlign w:val="center"/>
          </w:tcPr>
          <w:p w14:paraId="3FA83EA6">
            <w:pPr>
              <w:adjustRightInd w:val="0"/>
              <w:snapToGrid w:val="0"/>
              <w:jc w:val="center"/>
              <w:rPr>
                <w:color w:val="auto"/>
                <w:szCs w:val="21"/>
                <w:lang w:val="zh-CN"/>
              </w:rPr>
            </w:pPr>
            <w:r>
              <w:rPr>
                <w:rFonts w:hint="eastAsia"/>
                <w:color w:val="auto"/>
                <w:szCs w:val="21"/>
                <w:lang w:val="zh-CN"/>
              </w:rPr>
              <w:t>类别</w:t>
            </w:r>
          </w:p>
        </w:tc>
        <w:tc>
          <w:tcPr>
            <w:tcW w:w="3918" w:type="pct"/>
            <w:gridSpan w:val="2"/>
            <w:tcBorders>
              <w:top w:val="single" w:color="auto" w:sz="12" w:space="0"/>
              <w:left w:val="single" w:color="auto" w:sz="4" w:space="0"/>
              <w:bottom w:val="single" w:color="auto" w:sz="4" w:space="0"/>
              <w:right w:val="nil"/>
            </w:tcBorders>
            <w:vAlign w:val="center"/>
          </w:tcPr>
          <w:p w14:paraId="4758F1D1">
            <w:pPr>
              <w:adjustRightInd w:val="0"/>
              <w:snapToGrid w:val="0"/>
              <w:jc w:val="center"/>
              <w:rPr>
                <w:color w:val="auto"/>
                <w:szCs w:val="21"/>
                <w:lang w:val="zh-CN"/>
              </w:rPr>
            </w:pPr>
            <w:r>
              <w:rPr>
                <w:rFonts w:hint="eastAsia"/>
                <w:color w:val="auto"/>
                <w:szCs w:val="21"/>
                <w:lang w:val="zh-CN"/>
              </w:rPr>
              <w:t>标准限值</w:t>
            </w:r>
            <w:r>
              <w:rPr>
                <w:color w:val="auto"/>
                <w:szCs w:val="21"/>
                <w:lang w:val="zh-CN"/>
              </w:rPr>
              <w:t>dB</w:t>
            </w:r>
            <w:r>
              <w:rPr>
                <w:rFonts w:hint="eastAsia"/>
                <w:color w:val="auto"/>
                <w:szCs w:val="21"/>
                <w:lang w:val="zh-CN"/>
              </w:rPr>
              <w:t>（</w:t>
            </w:r>
            <w:r>
              <w:rPr>
                <w:color w:val="auto"/>
                <w:szCs w:val="21"/>
                <w:lang w:val="zh-CN"/>
              </w:rPr>
              <w:t>A</w:t>
            </w:r>
            <w:r>
              <w:rPr>
                <w:rFonts w:hint="eastAsia"/>
                <w:color w:val="auto"/>
                <w:szCs w:val="21"/>
                <w:lang w:val="zh-CN"/>
              </w:rPr>
              <w:t>）</w:t>
            </w:r>
          </w:p>
        </w:tc>
      </w:tr>
      <w:tr w14:paraId="2655BC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0" w:type="auto"/>
            <w:vMerge w:val="continue"/>
            <w:tcBorders>
              <w:top w:val="single" w:color="auto" w:sz="12" w:space="0"/>
              <w:left w:val="nil"/>
              <w:bottom w:val="single" w:color="auto" w:sz="4" w:space="0"/>
              <w:right w:val="single" w:color="auto" w:sz="4" w:space="0"/>
            </w:tcBorders>
            <w:vAlign w:val="center"/>
          </w:tcPr>
          <w:p w14:paraId="4B315EC8">
            <w:pPr>
              <w:widowControl/>
              <w:jc w:val="left"/>
              <w:rPr>
                <w:color w:val="auto"/>
                <w:szCs w:val="21"/>
                <w:lang w:val="zh-CN"/>
              </w:rPr>
            </w:pPr>
          </w:p>
        </w:tc>
        <w:tc>
          <w:tcPr>
            <w:tcW w:w="1634" w:type="pct"/>
            <w:tcBorders>
              <w:top w:val="single" w:color="auto" w:sz="4" w:space="0"/>
              <w:left w:val="single" w:color="auto" w:sz="4" w:space="0"/>
              <w:bottom w:val="single" w:color="auto" w:sz="4" w:space="0"/>
              <w:right w:val="single" w:color="auto" w:sz="4" w:space="0"/>
            </w:tcBorders>
            <w:vAlign w:val="center"/>
          </w:tcPr>
          <w:p w14:paraId="09135B8A">
            <w:pPr>
              <w:adjustRightInd w:val="0"/>
              <w:snapToGrid w:val="0"/>
              <w:jc w:val="center"/>
              <w:rPr>
                <w:color w:val="auto"/>
                <w:szCs w:val="21"/>
                <w:lang w:val="zh-CN"/>
              </w:rPr>
            </w:pPr>
            <w:r>
              <w:rPr>
                <w:rFonts w:hint="eastAsia"/>
                <w:color w:val="auto"/>
                <w:szCs w:val="21"/>
                <w:lang w:val="zh-CN"/>
              </w:rPr>
              <w:t>昼间</w:t>
            </w:r>
          </w:p>
        </w:tc>
        <w:tc>
          <w:tcPr>
            <w:tcW w:w="2284" w:type="pct"/>
            <w:tcBorders>
              <w:top w:val="single" w:color="auto" w:sz="4" w:space="0"/>
              <w:left w:val="single" w:color="auto" w:sz="4" w:space="0"/>
              <w:bottom w:val="single" w:color="auto" w:sz="4" w:space="0"/>
              <w:right w:val="nil"/>
            </w:tcBorders>
            <w:vAlign w:val="center"/>
          </w:tcPr>
          <w:p w14:paraId="1C929D54">
            <w:pPr>
              <w:adjustRightInd w:val="0"/>
              <w:snapToGrid w:val="0"/>
              <w:jc w:val="center"/>
              <w:rPr>
                <w:color w:val="auto"/>
                <w:szCs w:val="21"/>
                <w:lang w:val="zh-CN"/>
              </w:rPr>
            </w:pPr>
            <w:r>
              <w:rPr>
                <w:rFonts w:hint="eastAsia"/>
                <w:color w:val="auto"/>
                <w:szCs w:val="21"/>
                <w:lang w:val="zh-CN"/>
              </w:rPr>
              <w:t>夜间</w:t>
            </w:r>
          </w:p>
        </w:tc>
      </w:tr>
      <w:tr w14:paraId="37E9EF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jc w:val="center"/>
        </w:trPr>
        <w:tc>
          <w:tcPr>
            <w:tcW w:w="1081" w:type="pct"/>
            <w:tcBorders>
              <w:top w:val="single" w:color="auto" w:sz="4" w:space="0"/>
              <w:left w:val="nil"/>
              <w:bottom w:val="single" w:color="auto" w:sz="12" w:space="0"/>
              <w:right w:val="single" w:color="auto" w:sz="4" w:space="0"/>
            </w:tcBorders>
            <w:vAlign w:val="center"/>
          </w:tcPr>
          <w:p w14:paraId="136AFF15">
            <w:pPr>
              <w:adjustRightInd w:val="0"/>
              <w:snapToGrid w:val="0"/>
              <w:jc w:val="center"/>
              <w:rPr>
                <w:color w:val="auto"/>
                <w:szCs w:val="21"/>
                <w:lang w:val="zh-CN"/>
              </w:rPr>
            </w:pPr>
            <w:r>
              <w:rPr>
                <w:rFonts w:hint="eastAsia"/>
                <w:color w:val="auto"/>
                <w:szCs w:val="21"/>
                <w:lang w:val="zh-CN"/>
              </w:rPr>
              <w:t>2类</w:t>
            </w:r>
          </w:p>
        </w:tc>
        <w:tc>
          <w:tcPr>
            <w:tcW w:w="1634" w:type="pct"/>
            <w:tcBorders>
              <w:top w:val="single" w:color="auto" w:sz="4" w:space="0"/>
              <w:left w:val="single" w:color="auto" w:sz="4" w:space="0"/>
              <w:bottom w:val="single" w:color="auto" w:sz="12" w:space="0"/>
              <w:right w:val="single" w:color="auto" w:sz="4" w:space="0"/>
            </w:tcBorders>
            <w:vAlign w:val="center"/>
          </w:tcPr>
          <w:p w14:paraId="6E72A94C">
            <w:pPr>
              <w:adjustRightInd w:val="0"/>
              <w:snapToGrid w:val="0"/>
              <w:jc w:val="center"/>
              <w:rPr>
                <w:color w:val="auto"/>
                <w:szCs w:val="21"/>
                <w:lang w:val="zh-CN"/>
              </w:rPr>
            </w:pPr>
            <w:r>
              <w:rPr>
                <w:rFonts w:hint="eastAsia"/>
                <w:color w:val="auto"/>
                <w:szCs w:val="21"/>
                <w:lang w:val="zh-CN"/>
              </w:rPr>
              <w:t>6</w:t>
            </w:r>
            <w:r>
              <w:rPr>
                <w:color w:val="auto"/>
                <w:szCs w:val="21"/>
                <w:lang w:val="zh-CN"/>
              </w:rPr>
              <w:t>0</w:t>
            </w:r>
          </w:p>
        </w:tc>
        <w:tc>
          <w:tcPr>
            <w:tcW w:w="2284" w:type="pct"/>
            <w:tcBorders>
              <w:top w:val="single" w:color="auto" w:sz="4" w:space="0"/>
              <w:left w:val="single" w:color="auto" w:sz="4" w:space="0"/>
              <w:bottom w:val="single" w:color="auto" w:sz="12" w:space="0"/>
              <w:right w:val="nil"/>
            </w:tcBorders>
            <w:vAlign w:val="center"/>
          </w:tcPr>
          <w:p w14:paraId="67C9C9A2">
            <w:pPr>
              <w:adjustRightInd w:val="0"/>
              <w:snapToGrid w:val="0"/>
              <w:jc w:val="center"/>
              <w:rPr>
                <w:color w:val="auto"/>
                <w:szCs w:val="21"/>
                <w:lang w:val="zh-CN"/>
              </w:rPr>
            </w:pPr>
            <w:r>
              <w:rPr>
                <w:rFonts w:hint="eastAsia"/>
                <w:color w:val="auto"/>
                <w:szCs w:val="21"/>
                <w:lang w:val="zh-CN"/>
              </w:rPr>
              <w:t>5</w:t>
            </w:r>
            <w:r>
              <w:rPr>
                <w:color w:val="auto"/>
                <w:szCs w:val="21"/>
                <w:lang w:val="zh-CN"/>
              </w:rPr>
              <w:t>0</w:t>
            </w:r>
          </w:p>
        </w:tc>
      </w:tr>
    </w:tbl>
    <w:p w14:paraId="01C4A6EB">
      <w:pPr>
        <w:spacing w:line="500" w:lineRule="exact"/>
        <w:ind w:firstLine="480" w:firstLineChars="200"/>
        <w:rPr>
          <w:snapToGrid w:val="0"/>
          <w:color w:val="auto"/>
          <w:kern w:val="0"/>
          <w:sz w:val="24"/>
          <w:szCs w:val="22"/>
        </w:rPr>
      </w:pPr>
      <w:r>
        <w:rPr>
          <w:rFonts w:hint="eastAsia"/>
          <w:snapToGrid w:val="0"/>
          <w:color w:val="auto"/>
          <w:kern w:val="0"/>
          <w:sz w:val="24"/>
          <w:szCs w:val="22"/>
        </w:rPr>
        <w:t>（</w:t>
      </w:r>
      <w:r>
        <w:rPr>
          <w:snapToGrid w:val="0"/>
          <w:color w:val="auto"/>
          <w:kern w:val="0"/>
          <w:sz w:val="24"/>
          <w:szCs w:val="22"/>
        </w:rPr>
        <w:t>5</w:t>
      </w:r>
      <w:r>
        <w:rPr>
          <w:rFonts w:hint="eastAsia"/>
          <w:snapToGrid w:val="0"/>
          <w:color w:val="auto"/>
          <w:kern w:val="0"/>
          <w:sz w:val="24"/>
          <w:szCs w:val="22"/>
        </w:rPr>
        <w:t>）土壤环境</w:t>
      </w:r>
    </w:p>
    <w:p w14:paraId="17E91E4A">
      <w:pPr>
        <w:spacing w:line="500" w:lineRule="exact"/>
        <w:ind w:firstLine="480" w:firstLineChars="200"/>
        <w:rPr>
          <w:snapToGrid w:val="0"/>
          <w:color w:val="auto"/>
          <w:kern w:val="0"/>
          <w:sz w:val="24"/>
          <w:szCs w:val="22"/>
        </w:rPr>
      </w:pPr>
      <w:r>
        <w:rPr>
          <w:rFonts w:hint="eastAsia"/>
          <w:snapToGrid w:val="0"/>
          <w:color w:val="auto"/>
          <w:kern w:val="0"/>
          <w:sz w:val="24"/>
          <w:szCs w:val="22"/>
        </w:rPr>
        <w:t>项目区最终复垦</w:t>
      </w:r>
      <w:r>
        <w:rPr>
          <w:rFonts w:hint="eastAsia"/>
          <w:snapToGrid w:val="0"/>
          <w:color w:val="auto"/>
          <w:kern w:val="0"/>
          <w:sz w:val="24"/>
          <w:szCs w:val="22"/>
          <w:lang w:val="en-US" w:eastAsia="zh-CN"/>
        </w:rPr>
        <w:t>为乔木林地、</w:t>
      </w:r>
      <w:r>
        <w:rPr>
          <w:rFonts w:hint="eastAsia"/>
          <w:snapToGrid w:val="0"/>
          <w:color w:val="auto"/>
          <w:kern w:val="0"/>
          <w:sz w:val="24"/>
          <w:szCs w:val="22"/>
          <w:lang w:eastAsia="zh-CN"/>
        </w:rPr>
        <w:t>旱地</w:t>
      </w:r>
      <w:r>
        <w:rPr>
          <w:rFonts w:hint="eastAsia"/>
          <w:snapToGrid w:val="0"/>
          <w:color w:val="auto"/>
          <w:kern w:val="0"/>
          <w:sz w:val="24"/>
          <w:szCs w:val="22"/>
        </w:rPr>
        <w:t>，土壤环境执行《土壤环境质量</w:t>
      </w:r>
      <w:r>
        <w:rPr>
          <w:snapToGrid w:val="0"/>
          <w:color w:val="auto"/>
          <w:kern w:val="0"/>
          <w:sz w:val="24"/>
          <w:szCs w:val="22"/>
        </w:rPr>
        <w:t xml:space="preserve"> </w:t>
      </w:r>
      <w:r>
        <w:rPr>
          <w:rFonts w:hint="eastAsia"/>
          <w:snapToGrid w:val="0"/>
          <w:color w:val="auto"/>
          <w:kern w:val="0"/>
          <w:sz w:val="24"/>
          <w:szCs w:val="22"/>
        </w:rPr>
        <w:t>农用地土壤污染风险管控标准（试行）》（</w:t>
      </w:r>
      <w:r>
        <w:rPr>
          <w:snapToGrid w:val="0"/>
          <w:color w:val="auto"/>
          <w:kern w:val="0"/>
          <w:sz w:val="24"/>
          <w:szCs w:val="22"/>
        </w:rPr>
        <w:t>GB15618-2018</w:t>
      </w:r>
      <w:r>
        <w:rPr>
          <w:rFonts w:hint="eastAsia"/>
          <w:snapToGrid w:val="0"/>
          <w:color w:val="auto"/>
          <w:kern w:val="0"/>
          <w:sz w:val="24"/>
          <w:szCs w:val="22"/>
        </w:rPr>
        <w:t>）。</w:t>
      </w:r>
    </w:p>
    <w:p w14:paraId="2AAD3907">
      <w:pPr>
        <w:adjustRightInd w:val="0"/>
        <w:snapToGrid w:val="0"/>
        <w:spacing w:line="500" w:lineRule="exact"/>
        <w:jc w:val="center"/>
        <w:rPr>
          <w:rFonts w:eastAsia="黑体"/>
          <w:color w:val="auto"/>
          <w:sz w:val="24"/>
          <w:szCs w:val="22"/>
          <w:lang w:val="zh-CN"/>
        </w:rPr>
      </w:pPr>
      <w:r>
        <w:rPr>
          <w:rFonts w:hint="eastAsia" w:eastAsia="黑体"/>
          <w:color w:val="auto"/>
          <w:sz w:val="24"/>
          <w:szCs w:val="22"/>
          <w:lang w:val="zh-CN"/>
        </w:rPr>
        <w:t>表</w:t>
      </w:r>
      <w:r>
        <w:rPr>
          <w:rFonts w:eastAsia="黑体"/>
          <w:color w:val="auto"/>
          <w:sz w:val="24"/>
          <w:szCs w:val="22"/>
          <w:lang w:val="zh-CN"/>
        </w:rPr>
        <w:t>2-5-5</w:t>
      </w:r>
      <w:r>
        <w:rPr>
          <w:rFonts w:hint="eastAsia" w:eastAsia="黑体"/>
          <w:color w:val="auto"/>
          <w:sz w:val="24"/>
          <w:szCs w:val="22"/>
          <w:lang w:val="zh-CN"/>
        </w:rPr>
        <w:t>农用地土壤污染风险筛选值（基本项目），单位：</w:t>
      </w:r>
      <w:r>
        <w:rPr>
          <w:rFonts w:eastAsia="黑体"/>
          <w:color w:val="auto"/>
          <w:sz w:val="24"/>
          <w:szCs w:val="22"/>
          <w:lang w:val="zh-CN"/>
        </w:rPr>
        <w:t>mg/kg</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24"/>
        <w:gridCol w:w="738"/>
        <w:gridCol w:w="1101"/>
        <w:gridCol w:w="1236"/>
        <w:gridCol w:w="1922"/>
        <w:gridCol w:w="1864"/>
        <w:gridCol w:w="1241"/>
      </w:tblGrid>
      <w:tr w14:paraId="419E47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12" w:space="0"/>
              <w:left w:val="nil"/>
              <w:bottom w:val="single" w:color="auto" w:sz="4" w:space="0"/>
              <w:right w:val="single" w:color="auto" w:sz="4" w:space="0"/>
            </w:tcBorders>
            <w:vAlign w:val="center"/>
          </w:tcPr>
          <w:p w14:paraId="09FDA05A">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序号</w:t>
            </w:r>
          </w:p>
        </w:tc>
        <w:tc>
          <w:tcPr>
            <w:tcW w:w="0" w:type="auto"/>
            <w:gridSpan w:val="2"/>
            <w:vMerge w:val="restart"/>
            <w:tcBorders>
              <w:top w:val="single" w:color="auto" w:sz="12" w:space="0"/>
              <w:left w:val="single" w:color="auto" w:sz="4" w:space="0"/>
              <w:bottom w:val="single" w:color="auto" w:sz="4" w:space="0"/>
              <w:right w:val="single" w:color="auto" w:sz="4" w:space="0"/>
            </w:tcBorders>
            <w:vAlign w:val="center"/>
          </w:tcPr>
          <w:p w14:paraId="65835E0E">
            <w:pPr>
              <w:jc w:val="center"/>
              <w:rPr>
                <w:rFonts w:ascii="Times New Roman" w:hAnsi="宋体" w:cs="宋体"/>
                <w:color w:val="auto"/>
                <w:kern w:val="0"/>
                <w:sz w:val="11"/>
                <w:szCs w:val="11"/>
                <w:lang w:eastAsia="en-US"/>
              </w:rPr>
            </w:pPr>
            <w:r>
              <w:rPr>
                <w:rFonts w:hint="eastAsia" w:ascii="Times New Roman" w:hAnsi="宋体" w:cs="宋体"/>
                <w:color w:val="auto"/>
                <w:kern w:val="0"/>
                <w:szCs w:val="22"/>
                <w:lang w:eastAsia="en-US"/>
              </w:rPr>
              <w:t>污染物项目</w:t>
            </w:r>
          </w:p>
        </w:tc>
        <w:tc>
          <w:tcPr>
            <w:tcW w:w="0" w:type="auto"/>
            <w:gridSpan w:val="4"/>
            <w:tcBorders>
              <w:top w:val="single" w:color="auto" w:sz="12" w:space="0"/>
              <w:left w:val="single" w:color="auto" w:sz="4" w:space="0"/>
              <w:bottom w:val="single" w:color="auto" w:sz="4" w:space="0"/>
              <w:right w:val="nil"/>
            </w:tcBorders>
            <w:vAlign w:val="center"/>
          </w:tcPr>
          <w:p w14:paraId="2919B4A2">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风险筛选值</w:t>
            </w:r>
          </w:p>
        </w:tc>
      </w:tr>
      <w:tr w14:paraId="132F7A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12" w:space="0"/>
              <w:left w:val="nil"/>
              <w:bottom w:val="single" w:color="auto" w:sz="4" w:space="0"/>
              <w:right w:val="single" w:color="auto" w:sz="4" w:space="0"/>
            </w:tcBorders>
            <w:vAlign w:val="center"/>
          </w:tcPr>
          <w:p w14:paraId="16329E24">
            <w:pPr>
              <w:widowControl/>
              <w:jc w:val="center"/>
              <w:rPr>
                <w:rFonts w:ascii="Times New Roman" w:hAnsi="宋体" w:cs="宋体"/>
                <w:color w:val="auto"/>
                <w:kern w:val="0"/>
                <w:szCs w:val="22"/>
                <w:lang w:eastAsia="en-US"/>
              </w:rPr>
            </w:pPr>
          </w:p>
        </w:tc>
        <w:tc>
          <w:tcPr>
            <w:tcW w:w="0" w:type="auto"/>
            <w:gridSpan w:val="2"/>
            <w:vMerge w:val="continue"/>
            <w:tcBorders>
              <w:top w:val="single" w:color="auto" w:sz="12" w:space="0"/>
              <w:left w:val="single" w:color="auto" w:sz="4" w:space="0"/>
              <w:bottom w:val="single" w:color="auto" w:sz="4" w:space="0"/>
              <w:right w:val="single" w:color="auto" w:sz="4" w:space="0"/>
            </w:tcBorders>
            <w:vAlign w:val="center"/>
          </w:tcPr>
          <w:p w14:paraId="5418FD80">
            <w:pPr>
              <w:widowControl/>
              <w:jc w:val="center"/>
              <w:rPr>
                <w:rFonts w:ascii="Times New Roman" w:hAnsi="宋体" w:cs="宋体"/>
                <w:color w:val="auto"/>
                <w:kern w:val="0"/>
                <w:sz w:val="11"/>
                <w:szCs w:val="11"/>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57D7E150">
            <w:pPr>
              <w:jc w:val="center"/>
              <w:rPr>
                <w:rFonts w:ascii="Times New Roman" w:hAnsi="Times New Roman"/>
                <w:color w:val="auto"/>
                <w:kern w:val="0"/>
                <w:szCs w:val="22"/>
                <w:lang w:eastAsia="en-US"/>
              </w:rPr>
            </w:pPr>
            <w:r>
              <w:rPr>
                <w:rFonts w:ascii="Times New Roman" w:hAnsi="Times New Roman"/>
                <w:color w:val="auto"/>
                <w:kern w:val="0"/>
                <w:szCs w:val="22"/>
                <w:lang w:eastAsia="en-US"/>
              </w:rPr>
              <w:t>pH≤5.5</w:t>
            </w:r>
          </w:p>
        </w:tc>
        <w:tc>
          <w:tcPr>
            <w:tcW w:w="0" w:type="auto"/>
            <w:tcBorders>
              <w:top w:val="single" w:color="auto" w:sz="4" w:space="0"/>
              <w:left w:val="single" w:color="auto" w:sz="4" w:space="0"/>
              <w:bottom w:val="single" w:color="auto" w:sz="4" w:space="0"/>
              <w:right w:val="single" w:color="auto" w:sz="4" w:space="0"/>
            </w:tcBorders>
            <w:vAlign w:val="center"/>
          </w:tcPr>
          <w:p w14:paraId="7469C418">
            <w:pPr>
              <w:spacing w:line="290" w:lineRule="exact"/>
              <w:jc w:val="center"/>
              <w:rPr>
                <w:rFonts w:ascii="Times New Roman" w:hAnsi="Times New Roman"/>
                <w:color w:val="auto"/>
                <w:kern w:val="0"/>
                <w:szCs w:val="22"/>
                <w:lang w:eastAsia="en-US"/>
              </w:rPr>
            </w:pPr>
            <w:r>
              <w:rPr>
                <w:rFonts w:ascii="Times New Roman" w:hAnsi="Times New Roman"/>
                <w:color w:val="auto"/>
                <w:kern w:val="0"/>
                <w:szCs w:val="22"/>
                <w:lang w:eastAsia="en-US"/>
              </w:rPr>
              <w:t>5.5</w:t>
            </w:r>
            <w:r>
              <w:rPr>
                <w:rFonts w:hint="eastAsia" w:ascii="Times New Roman" w:hAnsi="宋体" w:cs="宋体"/>
                <w:color w:val="auto"/>
                <w:kern w:val="0"/>
                <w:szCs w:val="22"/>
                <w:lang w:eastAsia="en-US"/>
              </w:rPr>
              <w:t>＜</w:t>
            </w:r>
            <w:r>
              <w:rPr>
                <w:rFonts w:ascii="Times New Roman" w:hAnsi="Times New Roman"/>
                <w:color w:val="auto"/>
                <w:kern w:val="0"/>
                <w:szCs w:val="22"/>
                <w:lang w:eastAsia="en-US"/>
              </w:rPr>
              <w:t>pH≤6.5</w:t>
            </w:r>
          </w:p>
        </w:tc>
        <w:tc>
          <w:tcPr>
            <w:tcW w:w="0" w:type="auto"/>
            <w:tcBorders>
              <w:top w:val="single" w:color="auto" w:sz="4" w:space="0"/>
              <w:left w:val="single" w:color="auto" w:sz="4" w:space="0"/>
              <w:bottom w:val="single" w:color="auto" w:sz="4" w:space="0"/>
              <w:right w:val="single" w:color="auto" w:sz="4" w:space="0"/>
            </w:tcBorders>
            <w:vAlign w:val="center"/>
          </w:tcPr>
          <w:p w14:paraId="6BB0E149">
            <w:pPr>
              <w:jc w:val="center"/>
              <w:rPr>
                <w:rFonts w:ascii="Times New Roman" w:hAnsi="Times New Roman"/>
                <w:color w:val="auto"/>
                <w:kern w:val="0"/>
                <w:szCs w:val="22"/>
                <w:lang w:eastAsia="en-US"/>
              </w:rPr>
            </w:pPr>
            <w:r>
              <w:rPr>
                <w:rFonts w:ascii="Times New Roman" w:hAnsi="Times New Roman"/>
                <w:color w:val="auto"/>
                <w:kern w:val="0"/>
                <w:szCs w:val="22"/>
                <w:lang w:eastAsia="en-US"/>
              </w:rPr>
              <w:t>6.5&lt;</w:t>
            </w:r>
            <w:r>
              <w:rPr>
                <w:rFonts w:ascii="Times New Roman" w:hAnsi="Times New Roman"/>
                <w:color w:val="auto"/>
                <w:spacing w:val="-1"/>
                <w:kern w:val="0"/>
                <w:szCs w:val="22"/>
                <w:lang w:eastAsia="en-US"/>
              </w:rPr>
              <w:t xml:space="preserve"> </w:t>
            </w:r>
            <w:r>
              <w:rPr>
                <w:rFonts w:ascii="Times New Roman" w:hAnsi="Times New Roman"/>
                <w:color w:val="auto"/>
                <w:kern w:val="0"/>
                <w:szCs w:val="22"/>
                <w:lang w:eastAsia="en-US"/>
              </w:rPr>
              <w:t>pH≤7.5</w:t>
            </w:r>
          </w:p>
        </w:tc>
        <w:tc>
          <w:tcPr>
            <w:tcW w:w="0" w:type="auto"/>
            <w:tcBorders>
              <w:top w:val="single" w:color="auto" w:sz="4" w:space="0"/>
              <w:left w:val="single" w:color="auto" w:sz="4" w:space="0"/>
              <w:bottom w:val="single" w:color="auto" w:sz="4" w:space="0"/>
              <w:right w:val="nil"/>
            </w:tcBorders>
            <w:vAlign w:val="center"/>
          </w:tcPr>
          <w:p w14:paraId="5DB85587">
            <w:pPr>
              <w:jc w:val="center"/>
              <w:rPr>
                <w:rFonts w:ascii="Times New Roman" w:hAnsi="Times New Roman"/>
                <w:color w:val="auto"/>
                <w:kern w:val="0"/>
                <w:szCs w:val="22"/>
                <w:lang w:eastAsia="en-US"/>
              </w:rPr>
            </w:pPr>
            <w:r>
              <w:rPr>
                <w:rFonts w:ascii="Times New Roman" w:hAnsi="Calibri"/>
                <w:color w:val="auto"/>
                <w:kern w:val="0"/>
                <w:szCs w:val="22"/>
                <w:lang w:eastAsia="en-US"/>
              </w:rPr>
              <w:t>pH&gt;7.5</w:t>
            </w:r>
          </w:p>
        </w:tc>
      </w:tr>
      <w:tr w14:paraId="1922F8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79D534C9">
            <w:pPr>
              <w:jc w:val="center"/>
              <w:rPr>
                <w:rFonts w:ascii="Times New Roman" w:hAnsi="Times New Roman"/>
                <w:color w:val="auto"/>
                <w:kern w:val="0"/>
                <w:szCs w:val="22"/>
                <w:lang w:eastAsia="en-US"/>
              </w:rPr>
            </w:pPr>
            <w:r>
              <w:rPr>
                <w:rFonts w:ascii="Times New Roman" w:hAnsi="Calibri"/>
                <w:color w:val="auto"/>
                <w:kern w:val="0"/>
                <w:szCs w:val="22"/>
                <w:lang w:eastAsia="en-US"/>
              </w:rPr>
              <w:t>1</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6D96285">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镉</w:t>
            </w:r>
          </w:p>
        </w:tc>
        <w:tc>
          <w:tcPr>
            <w:tcW w:w="0" w:type="auto"/>
            <w:tcBorders>
              <w:top w:val="single" w:color="auto" w:sz="4" w:space="0"/>
              <w:left w:val="single" w:color="auto" w:sz="4" w:space="0"/>
              <w:bottom w:val="single" w:color="auto" w:sz="4" w:space="0"/>
              <w:right w:val="single" w:color="auto" w:sz="4" w:space="0"/>
            </w:tcBorders>
            <w:vAlign w:val="center"/>
          </w:tcPr>
          <w:p w14:paraId="58B0CA1E">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水田</w:t>
            </w:r>
          </w:p>
        </w:tc>
        <w:tc>
          <w:tcPr>
            <w:tcW w:w="0" w:type="auto"/>
            <w:tcBorders>
              <w:top w:val="single" w:color="auto" w:sz="4" w:space="0"/>
              <w:left w:val="single" w:color="auto" w:sz="4" w:space="0"/>
              <w:bottom w:val="single" w:color="auto" w:sz="4" w:space="0"/>
              <w:right w:val="single" w:color="auto" w:sz="4" w:space="0"/>
            </w:tcBorders>
            <w:vAlign w:val="center"/>
          </w:tcPr>
          <w:p w14:paraId="15D0616D">
            <w:pPr>
              <w:jc w:val="center"/>
              <w:rPr>
                <w:rFonts w:ascii="Times New Roman" w:hAnsi="Times New Roman"/>
                <w:color w:val="auto"/>
                <w:kern w:val="0"/>
                <w:szCs w:val="22"/>
                <w:lang w:eastAsia="en-US"/>
              </w:rPr>
            </w:pPr>
            <w:r>
              <w:rPr>
                <w:rFonts w:ascii="Times New Roman" w:hAnsi="Calibri"/>
                <w:color w:val="auto"/>
                <w:kern w:val="0"/>
                <w:szCs w:val="22"/>
                <w:lang w:eastAsia="en-US"/>
              </w:rPr>
              <w:t>0.3</w:t>
            </w:r>
          </w:p>
        </w:tc>
        <w:tc>
          <w:tcPr>
            <w:tcW w:w="0" w:type="auto"/>
            <w:tcBorders>
              <w:top w:val="single" w:color="auto" w:sz="4" w:space="0"/>
              <w:left w:val="single" w:color="auto" w:sz="4" w:space="0"/>
              <w:bottom w:val="single" w:color="auto" w:sz="4" w:space="0"/>
              <w:right w:val="single" w:color="auto" w:sz="4" w:space="0"/>
            </w:tcBorders>
            <w:vAlign w:val="center"/>
          </w:tcPr>
          <w:p w14:paraId="356F290E">
            <w:pPr>
              <w:jc w:val="center"/>
              <w:rPr>
                <w:rFonts w:ascii="Times New Roman" w:hAnsi="Times New Roman"/>
                <w:color w:val="auto"/>
                <w:kern w:val="0"/>
                <w:szCs w:val="22"/>
                <w:lang w:eastAsia="en-US"/>
              </w:rPr>
            </w:pPr>
            <w:r>
              <w:rPr>
                <w:rFonts w:ascii="Times New Roman" w:hAnsi="Calibri"/>
                <w:color w:val="auto"/>
                <w:kern w:val="0"/>
                <w:szCs w:val="22"/>
                <w:lang w:eastAsia="en-US"/>
              </w:rPr>
              <w:t>0.4</w:t>
            </w:r>
          </w:p>
        </w:tc>
        <w:tc>
          <w:tcPr>
            <w:tcW w:w="0" w:type="auto"/>
            <w:tcBorders>
              <w:top w:val="single" w:color="auto" w:sz="4" w:space="0"/>
              <w:left w:val="single" w:color="auto" w:sz="4" w:space="0"/>
              <w:bottom w:val="single" w:color="auto" w:sz="4" w:space="0"/>
              <w:right w:val="single" w:color="auto" w:sz="4" w:space="0"/>
            </w:tcBorders>
            <w:vAlign w:val="center"/>
          </w:tcPr>
          <w:p w14:paraId="5068F1F4">
            <w:pPr>
              <w:jc w:val="center"/>
              <w:rPr>
                <w:rFonts w:ascii="Times New Roman" w:hAnsi="Times New Roman"/>
                <w:color w:val="auto"/>
                <w:kern w:val="0"/>
                <w:szCs w:val="22"/>
                <w:lang w:eastAsia="en-US"/>
              </w:rPr>
            </w:pPr>
            <w:r>
              <w:rPr>
                <w:rFonts w:ascii="Times New Roman" w:hAnsi="Calibri"/>
                <w:color w:val="auto"/>
                <w:kern w:val="0"/>
                <w:szCs w:val="22"/>
                <w:lang w:eastAsia="en-US"/>
              </w:rPr>
              <w:t>0.6</w:t>
            </w:r>
          </w:p>
        </w:tc>
        <w:tc>
          <w:tcPr>
            <w:tcW w:w="0" w:type="auto"/>
            <w:tcBorders>
              <w:top w:val="single" w:color="auto" w:sz="4" w:space="0"/>
              <w:left w:val="single" w:color="auto" w:sz="4" w:space="0"/>
              <w:bottom w:val="single" w:color="auto" w:sz="4" w:space="0"/>
              <w:right w:val="nil"/>
            </w:tcBorders>
            <w:vAlign w:val="center"/>
          </w:tcPr>
          <w:p w14:paraId="567B38D0">
            <w:pPr>
              <w:jc w:val="center"/>
              <w:rPr>
                <w:rFonts w:ascii="Times New Roman" w:hAnsi="Times New Roman"/>
                <w:color w:val="auto"/>
                <w:kern w:val="0"/>
                <w:szCs w:val="22"/>
                <w:lang w:eastAsia="en-US"/>
              </w:rPr>
            </w:pPr>
            <w:r>
              <w:rPr>
                <w:rFonts w:ascii="Times New Roman" w:hAnsi="Calibri"/>
                <w:color w:val="auto"/>
                <w:kern w:val="0"/>
                <w:szCs w:val="22"/>
                <w:lang w:eastAsia="en-US"/>
              </w:rPr>
              <w:t>0.8</w:t>
            </w:r>
          </w:p>
        </w:tc>
      </w:tr>
      <w:tr w14:paraId="7B608A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3DE8A35E">
            <w:pPr>
              <w:widowControl/>
              <w:jc w:val="center"/>
              <w:rPr>
                <w:rFonts w:ascii="Times New Roman" w:hAnsi="Times New Roman"/>
                <w:color w:val="auto"/>
                <w:kern w:val="0"/>
                <w:szCs w:val="22"/>
                <w:lang w:eastAsia="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38DF68">
            <w:pPr>
              <w:widowControl/>
              <w:jc w:val="center"/>
              <w:rPr>
                <w:rFonts w:ascii="Times New Roman" w:hAnsi="宋体" w:cs="宋体"/>
                <w:color w:val="auto"/>
                <w:kern w:val="0"/>
                <w:szCs w:val="22"/>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042639B2">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其他</w:t>
            </w:r>
          </w:p>
        </w:tc>
        <w:tc>
          <w:tcPr>
            <w:tcW w:w="0" w:type="auto"/>
            <w:tcBorders>
              <w:top w:val="single" w:color="auto" w:sz="4" w:space="0"/>
              <w:left w:val="single" w:color="auto" w:sz="4" w:space="0"/>
              <w:bottom w:val="single" w:color="auto" w:sz="4" w:space="0"/>
              <w:right w:val="single" w:color="auto" w:sz="4" w:space="0"/>
            </w:tcBorders>
            <w:vAlign w:val="center"/>
          </w:tcPr>
          <w:p w14:paraId="161EF079">
            <w:pPr>
              <w:jc w:val="center"/>
              <w:rPr>
                <w:rFonts w:ascii="Times New Roman" w:hAnsi="Times New Roman"/>
                <w:color w:val="auto"/>
                <w:kern w:val="0"/>
                <w:szCs w:val="22"/>
                <w:lang w:eastAsia="en-US"/>
              </w:rPr>
            </w:pPr>
            <w:r>
              <w:rPr>
                <w:rFonts w:ascii="Times New Roman" w:hAnsi="Calibri"/>
                <w:color w:val="auto"/>
                <w:kern w:val="0"/>
                <w:szCs w:val="22"/>
                <w:lang w:eastAsia="en-US"/>
              </w:rPr>
              <w:t>0.3</w:t>
            </w:r>
          </w:p>
        </w:tc>
        <w:tc>
          <w:tcPr>
            <w:tcW w:w="0" w:type="auto"/>
            <w:tcBorders>
              <w:top w:val="single" w:color="auto" w:sz="4" w:space="0"/>
              <w:left w:val="single" w:color="auto" w:sz="4" w:space="0"/>
              <w:bottom w:val="single" w:color="auto" w:sz="4" w:space="0"/>
              <w:right w:val="single" w:color="auto" w:sz="4" w:space="0"/>
            </w:tcBorders>
            <w:vAlign w:val="center"/>
          </w:tcPr>
          <w:p w14:paraId="64D61A6C">
            <w:pPr>
              <w:jc w:val="center"/>
              <w:rPr>
                <w:rFonts w:ascii="Times New Roman" w:hAnsi="Times New Roman"/>
                <w:color w:val="auto"/>
                <w:kern w:val="0"/>
                <w:szCs w:val="22"/>
                <w:lang w:eastAsia="en-US"/>
              </w:rPr>
            </w:pPr>
            <w:r>
              <w:rPr>
                <w:rFonts w:ascii="Times New Roman" w:hAnsi="Calibri"/>
                <w:color w:val="auto"/>
                <w:kern w:val="0"/>
                <w:szCs w:val="22"/>
                <w:lang w:eastAsia="en-US"/>
              </w:rPr>
              <w:t>0.3</w:t>
            </w:r>
          </w:p>
        </w:tc>
        <w:tc>
          <w:tcPr>
            <w:tcW w:w="0" w:type="auto"/>
            <w:tcBorders>
              <w:top w:val="single" w:color="auto" w:sz="4" w:space="0"/>
              <w:left w:val="single" w:color="auto" w:sz="4" w:space="0"/>
              <w:bottom w:val="single" w:color="auto" w:sz="4" w:space="0"/>
              <w:right w:val="single" w:color="auto" w:sz="4" w:space="0"/>
            </w:tcBorders>
            <w:vAlign w:val="center"/>
          </w:tcPr>
          <w:p w14:paraId="2D83CF44">
            <w:pPr>
              <w:jc w:val="center"/>
              <w:rPr>
                <w:rFonts w:ascii="Times New Roman" w:hAnsi="Times New Roman"/>
                <w:color w:val="auto"/>
                <w:kern w:val="0"/>
                <w:szCs w:val="22"/>
                <w:lang w:eastAsia="en-US"/>
              </w:rPr>
            </w:pPr>
            <w:r>
              <w:rPr>
                <w:rFonts w:ascii="Times New Roman" w:hAnsi="Calibri"/>
                <w:color w:val="auto"/>
                <w:kern w:val="0"/>
                <w:szCs w:val="22"/>
                <w:lang w:eastAsia="en-US"/>
              </w:rPr>
              <w:t>0.3</w:t>
            </w:r>
          </w:p>
        </w:tc>
        <w:tc>
          <w:tcPr>
            <w:tcW w:w="0" w:type="auto"/>
            <w:tcBorders>
              <w:top w:val="single" w:color="auto" w:sz="4" w:space="0"/>
              <w:left w:val="single" w:color="auto" w:sz="4" w:space="0"/>
              <w:bottom w:val="single" w:color="auto" w:sz="4" w:space="0"/>
              <w:right w:val="nil"/>
            </w:tcBorders>
            <w:vAlign w:val="center"/>
          </w:tcPr>
          <w:p w14:paraId="6B5262E4">
            <w:pPr>
              <w:jc w:val="center"/>
              <w:rPr>
                <w:rFonts w:ascii="Times New Roman" w:hAnsi="Times New Roman"/>
                <w:color w:val="auto"/>
                <w:kern w:val="0"/>
                <w:szCs w:val="22"/>
                <w:lang w:eastAsia="en-US"/>
              </w:rPr>
            </w:pPr>
            <w:r>
              <w:rPr>
                <w:rFonts w:ascii="Times New Roman" w:hAnsi="Calibri"/>
                <w:color w:val="auto"/>
                <w:kern w:val="0"/>
                <w:szCs w:val="22"/>
                <w:lang w:eastAsia="en-US"/>
              </w:rPr>
              <w:t>0.6</w:t>
            </w:r>
          </w:p>
        </w:tc>
      </w:tr>
      <w:tr w14:paraId="277145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24DB27C6">
            <w:pPr>
              <w:jc w:val="center"/>
              <w:rPr>
                <w:rFonts w:ascii="Times New Roman" w:hAnsi="Times New Roman"/>
                <w:color w:val="auto"/>
                <w:kern w:val="0"/>
                <w:szCs w:val="22"/>
                <w:lang w:eastAsia="en-US"/>
              </w:rPr>
            </w:pPr>
            <w:r>
              <w:rPr>
                <w:rFonts w:ascii="Times New Roman" w:hAnsi="Calibri"/>
                <w:color w:val="auto"/>
                <w:kern w:val="0"/>
                <w:szCs w:val="22"/>
                <w:lang w:eastAsia="en-US"/>
              </w:rPr>
              <w:t>2</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12D52320">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汞</w:t>
            </w:r>
          </w:p>
        </w:tc>
        <w:tc>
          <w:tcPr>
            <w:tcW w:w="0" w:type="auto"/>
            <w:tcBorders>
              <w:top w:val="single" w:color="auto" w:sz="4" w:space="0"/>
              <w:left w:val="single" w:color="auto" w:sz="4" w:space="0"/>
              <w:bottom w:val="single" w:color="auto" w:sz="4" w:space="0"/>
              <w:right w:val="single" w:color="auto" w:sz="4" w:space="0"/>
            </w:tcBorders>
            <w:vAlign w:val="center"/>
          </w:tcPr>
          <w:p w14:paraId="4D7CD5B8">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水田</w:t>
            </w:r>
          </w:p>
        </w:tc>
        <w:tc>
          <w:tcPr>
            <w:tcW w:w="0" w:type="auto"/>
            <w:tcBorders>
              <w:top w:val="single" w:color="auto" w:sz="4" w:space="0"/>
              <w:left w:val="single" w:color="auto" w:sz="4" w:space="0"/>
              <w:bottom w:val="single" w:color="auto" w:sz="4" w:space="0"/>
              <w:right w:val="single" w:color="auto" w:sz="4" w:space="0"/>
            </w:tcBorders>
            <w:vAlign w:val="center"/>
          </w:tcPr>
          <w:p w14:paraId="6D671E78">
            <w:pPr>
              <w:jc w:val="center"/>
              <w:rPr>
                <w:rFonts w:ascii="Times New Roman" w:hAnsi="Times New Roman"/>
                <w:color w:val="auto"/>
                <w:kern w:val="0"/>
                <w:szCs w:val="22"/>
                <w:lang w:eastAsia="en-US"/>
              </w:rPr>
            </w:pPr>
            <w:r>
              <w:rPr>
                <w:rFonts w:ascii="Times New Roman" w:hAnsi="Calibri"/>
                <w:color w:val="auto"/>
                <w:kern w:val="0"/>
                <w:szCs w:val="22"/>
                <w:lang w:eastAsia="en-US"/>
              </w:rPr>
              <w:t>0.5</w:t>
            </w:r>
          </w:p>
        </w:tc>
        <w:tc>
          <w:tcPr>
            <w:tcW w:w="0" w:type="auto"/>
            <w:tcBorders>
              <w:top w:val="single" w:color="auto" w:sz="4" w:space="0"/>
              <w:left w:val="single" w:color="auto" w:sz="4" w:space="0"/>
              <w:bottom w:val="single" w:color="auto" w:sz="4" w:space="0"/>
              <w:right w:val="single" w:color="auto" w:sz="4" w:space="0"/>
            </w:tcBorders>
            <w:vAlign w:val="center"/>
          </w:tcPr>
          <w:p w14:paraId="78E29909">
            <w:pPr>
              <w:jc w:val="center"/>
              <w:rPr>
                <w:rFonts w:ascii="Times New Roman" w:hAnsi="Times New Roman"/>
                <w:color w:val="auto"/>
                <w:kern w:val="0"/>
                <w:szCs w:val="22"/>
                <w:lang w:eastAsia="en-US"/>
              </w:rPr>
            </w:pPr>
            <w:r>
              <w:rPr>
                <w:rFonts w:ascii="Times New Roman" w:hAnsi="Calibri"/>
                <w:color w:val="auto"/>
                <w:kern w:val="0"/>
                <w:szCs w:val="22"/>
                <w:lang w:eastAsia="en-US"/>
              </w:rPr>
              <w:t>0.5</w:t>
            </w:r>
          </w:p>
        </w:tc>
        <w:tc>
          <w:tcPr>
            <w:tcW w:w="0" w:type="auto"/>
            <w:tcBorders>
              <w:top w:val="single" w:color="auto" w:sz="4" w:space="0"/>
              <w:left w:val="single" w:color="auto" w:sz="4" w:space="0"/>
              <w:bottom w:val="single" w:color="auto" w:sz="4" w:space="0"/>
              <w:right w:val="single" w:color="auto" w:sz="4" w:space="0"/>
            </w:tcBorders>
            <w:vAlign w:val="center"/>
          </w:tcPr>
          <w:p w14:paraId="00AFBC91">
            <w:pPr>
              <w:jc w:val="center"/>
              <w:rPr>
                <w:rFonts w:ascii="Times New Roman" w:hAnsi="Times New Roman"/>
                <w:color w:val="auto"/>
                <w:kern w:val="0"/>
                <w:szCs w:val="22"/>
                <w:lang w:eastAsia="en-US"/>
              </w:rPr>
            </w:pPr>
            <w:r>
              <w:rPr>
                <w:rFonts w:ascii="Times New Roman" w:hAnsi="Calibri"/>
                <w:color w:val="auto"/>
                <w:kern w:val="0"/>
                <w:szCs w:val="22"/>
                <w:lang w:eastAsia="en-US"/>
              </w:rPr>
              <w:t>0.6</w:t>
            </w:r>
          </w:p>
        </w:tc>
        <w:tc>
          <w:tcPr>
            <w:tcW w:w="0" w:type="auto"/>
            <w:tcBorders>
              <w:top w:val="single" w:color="auto" w:sz="4" w:space="0"/>
              <w:left w:val="single" w:color="auto" w:sz="4" w:space="0"/>
              <w:bottom w:val="single" w:color="auto" w:sz="4" w:space="0"/>
              <w:right w:val="nil"/>
            </w:tcBorders>
            <w:vAlign w:val="center"/>
          </w:tcPr>
          <w:p w14:paraId="1E4D5576">
            <w:pPr>
              <w:jc w:val="center"/>
              <w:rPr>
                <w:rFonts w:ascii="Times New Roman" w:hAnsi="Times New Roman"/>
                <w:color w:val="auto"/>
                <w:kern w:val="0"/>
                <w:szCs w:val="22"/>
                <w:lang w:eastAsia="en-US"/>
              </w:rPr>
            </w:pPr>
            <w:r>
              <w:rPr>
                <w:rFonts w:ascii="Times New Roman" w:hAnsi="Calibri"/>
                <w:color w:val="auto"/>
                <w:kern w:val="0"/>
                <w:szCs w:val="22"/>
                <w:lang w:eastAsia="en-US"/>
              </w:rPr>
              <w:t>1.0</w:t>
            </w:r>
          </w:p>
        </w:tc>
      </w:tr>
      <w:tr w14:paraId="7CF18D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712F938C">
            <w:pPr>
              <w:widowControl/>
              <w:jc w:val="center"/>
              <w:rPr>
                <w:rFonts w:ascii="Times New Roman" w:hAnsi="Times New Roman"/>
                <w:color w:val="auto"/>
                <w:kern w:val="0"/>
                <w:szCs w:val="22"/>
                <w:lang w:eastAsia="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3D193F">
            <w:pPr>
              <w:widowControl/>
              <w:jc w:val="center"/>
              <w:rPr>
                <w:rFonts w:ascii="Times New Roman" w:hAnsi="宋体" w:cs="宋体"/>
                <w:color w:val="auto"/>
                <w:kern w:val="0"/>
                <w:szCs w:val="22"/>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318E8037">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其他</w:t>
            </w:r>
          </w:p>
        </w:tc>
        <w:tc>
          <w:tcPr>
            <w:tcW w:w="0" w:type="auto"/>
            <w:tcBorders>
              <w:top w:val="single" w:color="auto" w:sz="4" w:space="0"/>
              <w:left w:val="single" w:color="auto" w:sz="4" w:space="0"/>
              <w:bottom w:val="single" w:color="auto" w:sz="4" w:space="0"/>
              <w:right w:val="single" w:color="auto" w:sz="4" w:space="0"/>
            </w:tcBorders>
            <w:vAlign w:val="center"/>
          </w:tcPr>
          <w:p w14:paraId="381F0AD6">
            <w:pPr>
              <w:jc w:val="center"/>
              <w:rPr>
                <w:rFonts w:ascii="Times New Roman" w:hAnsi="Times New Roman"/>
                <w:color w:val="auto"/>
                <w:kern w:val="0"/>
                <w:szCs w:val="22"/>
                <w:lang w:eastAsia="en-US"/>
              </w:rPr>
            </w:pPr>
            <w:r>
              <w:rPr>
                <w:rFonts w:ascii="Times New Roman" w:hAnsi="Calibri"/>
                <w:color w:val="auto"/>
                <w:kern w:val="0"/>
                <w:szCs w:val="22"/>
                <w:lang w:eastAsia="en-US"/>
              </w:rPr>
              <w:t>1.3</w:t>
            </w:r>
          </w:p>
        </w:tc>
        <w:tc>
          <w:tcPr>
            <w:tcW w:w="0" w:type="auto"/>
            <w:tcBorders>
              <w:top w:val="single" w:color="auto" w:sz="4" w:space="0"/>
              <w:left w:val="single" w:color="auto" w:sz="4" w:space="0"/>
              <w:bottom w:val="single" w:color="auto" w:sz="4" w:space="0"/>
              <w:right w:val="single" w:color="auto" w:sz="4" w:space="0"/>
            </w:tcBorders>
            <w:vAlign w:val="center"/>
          </w:tcPr>
          <w:p w14:paraId="61792C8F">
            <w:pPr>
              <w:jc w:val="center"/>
              <w:rPr>
                <w:rFonts w:ascii="Times New Roman" w:hAnsi="Times New Roman"/>
                <w:color w:val="auto"/>
                <w:kern w:val="0"/>
                <w:szCs w:val="22"/>
                <w:lang w:eastAsia="en-US"/>
              </w:rPr>
            </w:pPr>
            <w:r>
              <w:rPr>
                <w:rFonts w:ascii="Times New Roman" w:hAnsi="Calibri"/>
                <w:color w:val="auto"/>
                <w:kern w:val="0"/>
                <w:szCs w:val="22"/>
                <w:lang w:eastAsia="en-US"/>
              </w:rPr>
              <w:t>1.8</w:t>
            </w:r>
          </w:p>
        </w:tc>
        <w:tc>
          <w:tcPr>
            <w:tcW w:w="0" w:type="auto"/>
            <w:tcBorders>
              <w:top w:val="single" w:color="auto" w:sz="4" w:space="0"/>
              <w:left w:val="single" w:color="auto" w:sz="4" w:space="0"/>
              <w:bottom w:val="single" w:color="auto" w:sz="4" w:space="0"/>
              <w:right w:val="single" w:color="auto" w:sz="4" w:space="0"/>
            </w:tcBorders>
            <w:vAlign w:val="center"/>
          </w:tcPr>
          <w:p w14:paraId="0CFC601D">
            <w:pPr>
              <w:jc w:val="center"/>
              <w:rPr>
                <w:rFonts w:ascii="Times New Roman" w:hAnsi="Times New Roman"/>
                <w:color w:val="auto"/>
                <w:kern w:val="0"/>
                <w:szCs w:val="22"/>
                <w:lang w:eastAsia="en-US"/>
              </w:rPr>
            </w:pPr>
            <w:r>
              <w:rPr>
                <w:rFonts w:ascii="Times New Roman" w:hAnsi="Calibri"/>
                <w:color w:val="auto"/>
                <w:kern w:val="0"/>
                <w:szCs w:val="22"/>
                <w:lang w:eastAsia="en-US"/>
              </w:rPr>
              <w:t>2.4</w:t>
            </w:r>
          </w:p>
        </w:tc>
        <w:tc>
          <w:tcPr>
            <w:tcW w:w="0" w:type="auto"/>
            <w:tcBorders>
              <w:top w:val="single" w:color="auto" w:sz="4" w:space="0"/>
              <w:left w:val="single" w:color="auto" w:sz="4" w:space="0"/>
              <w:bottom w:val="single" w:color="auto" w:sz="4" w:space="0"/>
              <w:right w:val="nil"/>
            </w:tcBorders>
            <w:vAlign w:val="center"/>
          </w:tcPr>
          <w:p w14:paraId="6AD8281F">
            <w:pPr>
              <w:jc w:val="center"/>
              <w:rPr>
                <w:rFonts w:ascii="Times New Roman" w:hAnsi="Times New Roman"/>
                <w:color w:val="auto"/>
                <w:kern w:val="0"/>
                <w:szCs w:val="22"/>
                <w:lang w:eastAsia="en-US"/>
              </w:rPr>
            </w:pPr>
            <w:r>
              <w:rPr>
                <w:rFonts w:ascii="Times New Roman" w:hAnsi="Calibri"/>
                <w:color w:val="auto"/>
                <w:kern w:val="0"/>
                <w:szCs w:val="22"/>
                <w:lang w:eastAsia="en-US"/>
              </w:rPr>
              <w:t>3.4</w:t>
            </w:r>
          </w:p>
        </w:tc>
      </w:tr>
      <w:tr w14:paraId="143046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5CCEB77E">
            <w:pPr>
              <w:jc w:val="center"/>
              <w:rPr>
                <w:rFonts w:ascii="Times New Roman" w:hAnsi="Times New Roman"/>
                <w:color w:val="auto"/>
                <w:kern w:val="0"/>
                <w:szCs w:val="22"/>
                <w:lang w:eastAsia="en-US"/>
              </w:rPr>
            </w:pPr>
            <w:r>
              <w:rPr>
                <w:rFonts w:ascii="Times New Roman" w:hAnsi="Calibri"/>
                <w:color w:val="auto"/>
                <w:kern w:val="0"/>
                <w:szCs w:val="22"/>
                <w:lang w:eastAsia="en-US"/>
              </w:rPr>
              <w:t>3</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201FCC4">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砷</w:t>
            </w:r>
          </w:p>
        </w:tc>
        <w:tc>
          <w:tcPr>
            <w:tcW w:w="0" w:type="auto"/>
            <w:tcBorders>
              <w:top w:val="single" w:color="auto" w:sz="4" w:space="0"/>
              <w:left w:val="single" w:color="auto" w:sz="4" w:space="0"/>
              <w:bottom w:val="single" w:color="auto" w:sz="4" w:space="0"/>
              <w:right w:val="single" w:color="auto" w:sz="4" w:space="0"/>
            </w:tcBorders>
            <w:vAlign w:val="center"/>
          </w:tcPr>
          <w:p w14:paraId="0C1C651B">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水田</w:t>
            </w:r>
          </w:p>
        </w:tc>
        <w:tc>
          <w:tcPr>
            <w:tcW w:w="0" w:type="auto"/>
            <w:tcBorders>
              <w:top w:val="single" w:color="auto" w:sz="4" w:space="0"/>
              <w:left w:val="single" w:color="auto" w:sz="4" w:space="0"/>
              <w:bottom w:val="single" w:color="auto" w:sz="4" w:space="0"/>
              <w:right w:val="single" w:color="auto" w:sz="4" w:space="0"/>
            </w:tcBorders>
            <w:vAlign w:val="center"/>
          </w:tcPr>
          <w:p w14:paraId="5A07420B">
            <w:pPr>
              <w:jc w:val="center"/>
              <w:rPr>
                <w:rFonts w:ascii="Times New Roman" w:hAnsi="Times New Roman"/>
                <w:color w:val="auto"/>
                <w:kern w:val="0"/>
                <w:szCs w:val="22"/>
                <w:lang w:eastAsia="en-US"/>
              </w:rPr>
            </w:pPr>
            <w:r>
              <w:rPr>
                <w:rFonts w:ascii="Times New Roman" w:hAnsi="Calibri"/>
                <w:color w:val="auto"/>
                <w:kern w:val="0"/>
                <w:szCs w:val="22"/>
                <w:lang w:eastAsia="en-US"/>
              </w:rPr>
              <w:t>30</w:t>
            </w:r>
          </w:p>
        </w:tc>
        <w:tc>
          <w:tcPr>
            <w:tcW w:w="0" w:type="auto"/>
            <w:tcBorders>
              <w:top w:val="single" w:color="auto" w:sz="4" w:space="0"/>
              <w:left w:val="single" w:color="auto" w:sz="4" w:space="0"/>
              <w:bottom w:val="single" w:color="auto" w:sz="4" w:space="0"/>
              <w:right w:val="single" w:color="auto" w:sz="4" w:space="0"/>
            </w:tcBorders>
            <w:vAlign w:val="center"/>
          </w:tcPr>
          <w:p w14:paraId="4AB42D64">
            <w:pPr>
              <w:jc w:val="center"/>
              <w:rPr>
                <w:rFonts w:ascii="Times New Roman" w:hAnsi="Times New Roman"/>
                <w:color w:val="auto"/>
                <w:kern w:val="0"/>
                <w:szCs w:val="22"/>
                <w:lang w:eastAsia="en-US"/>
              </w:rPr>
            </w:pPr>
            <w:r>
              <w:rPr>
                <w:rFonts w:ascii="Times New Roman" w:hAnsi="Calibri"/>
                <w:color w:val="auto"/>
                <w:kern w:val="0"/>
                <w:szCs w:val="22"/>
                <w:lang w:eastAsia="en-US"/>
              </w:rPr>
              <w:t>30</w:t>
            </w:r>
          </w:p>
        </w:tc>
        <w:tc>
          <w:tcPr>
            <w:tcW w:w="0" w:type="auto"/>
            <w:tcBorders>
              <w:top w:val="single" w:color="auto" w:sz="4" w:space="0"/>
              <w:left w:val="single" w:color="auto" w:sz="4" w:space="0"/>
              <w:bottom w:val="single" w:color="auto" w:sz="4" w:space="0"/>
              <w:right w:val="single" w:color="auto" w:sz="4" w:space="0"/>
            </w:tcBorders>
            <w:vAlign w:val="center"/>
          </w:tcPr>
          <w:p w14:paraId="37A6347D">
            <w:pPr>
              <w:jc w:val="center"/>
              <w:rPr>
                <w:rFonts w:ascii="Times New Roman" w:hAnsi="Times New Roman"/>
                <w:color w:val="auto"/>
                <w:kern w:val="0"/>
                <w:szCs w:val="22"/>
                <w:lang w:eastAsia="en-US"/>
              </w:rPr>
            </w:pPr>
            <w:r>
              <w:rPr>
                <w:rFonts w:ascii="Times New Roman" w:hAnsi="Calibri"/>
                <w:color w:val="auto"/>
                <w:kern w:val="0"/>
                <w:szCs w:val="22"/>
                <w:lang w:eastAsia="en-US"/>
              </w:rPr>
              <w:t>25</w:t>
            </w:r>
          </w:p>
        </w:tc>
        <w:tc>
          <w:tcPr>
            <w:tcW w:w="0" w:type="auto"/>
            <w:tcBorders>
              <w:top w:val="single" w:color="auto" w:sz="4" w:space="0"/>
              <w:left w:val="single" w:color="auto" w:sz="4" w:space="0"/>
              <w:bottom w:val="single" w:color="auto" w:sz="4" w:space="0"/>
              <w:right w:val="nil"/>
            </w:tcBorders>
            <w:vAlign w:val="center"/>
          </w:tcPr>
          <w:p w14:paraId="623D04F5">
            <w:pPr>
              <w:jc w:val="center"/>
              <w:rPr>
                <w:rFonts w:ascii="Times New Roman" w:hAnsi="Times New Roman"/>
                <w:color w:val="auto"/>
                <w:kern w:val="0"/>
                <w:szCs w:val="22"/>
                <w:lang w:eastAsia="en-US"/>
              </w:rPr>
            </w:pPr>
            <w:r>
              <w:rPr>
                <w:rFonts w:ascii="Times New Roman" w:hAnsi="Calibri"/>
                <w:color w:val="auto"/>
                <w:kern w:val="0"/>
                <w:szCs w:val="22"/>
                <w:lang w:eastAsia="en-US"/>
              </w:rPr>
              <w:t>20</w:t>
            </w:r>
          </w:p>
        </w:tc>
      </w:tr>
      <w:tr w14:paraId="7B1FCE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244F5B53">
            <w:pPr>
              <w:widowControl/>
              <w:jc w:val="center"/>
              <w:rPr>
                <w:rFonts w:ascii="Times New Roman" w:hAnsi="Times New Roman"/>
                <w:color w:val="auto"/>
                <w:kern w:val="0"/>
                <w:szCs w:val="22"/>
                <w:lang w:eastAsia="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E1EE2D3">
            <w:pPr>
              <w:widowControl/>
              <w:jc w:val="center"/>
              <w:rPr>
                <w:rFonts w:ascii="Times New Roman" w:hAnsi="宋体" w:cs="宋体"/>
                <w:color w:val="auto"/>
                <w:kern w:val="0"/>
                <w:szCs w:val="22"/>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5D75C2F6">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其他</w:t>
            </w:r>
          </w:p>
        </w:tc>
        <w:tc>
          <w:tcPr>
            <w:tcW w:w="0" w:type="auto"/>
            <w:tcBorders>
              <w:top w:val="single" w:color="auto" w:sz="4" w:space="0"/>
              <w:left w:val="single" w:color="auto" w:sz="4" w:space="0"/>
              <w:bottom w:val="single" w:color="auto" w:sz="4" w:space="0"/>
              <w:right w:val="single" w:color="auto" w:sz="4" w:space="0"/>
            </w:tcBorders>
            <w:vAlign w:val="center"/>
          </w:tcPr>
          <w:p w14:paraId="0966F7F7">
            <w:pPr>
              <w:jc w:val="center"/>
              <w:rPr>
                <w:rFonts w:ascii="Times New Roman" w:hAnsi="Times New Roman"/>
                <w:color w:val="auto"/>
                <w:kern w:val="0"/>
                <w:szCs w:val="22"/>
                <w:lang w:eastAsia="en-US"/>
              </w:rPr>
            </w:pPr>
            <w:r>
              <w:rPr>
                <w:rFonts w:ascii="Times New Roman" w:hAnsi="Calibri"/>
                <w:color w:val="auto"/>
                <w:kern w:val="0"/>
                <w:szCs w:val="22"/>
                <w:lang w:eastAsia="en-US"/>
              </w:rPr>
              <w:t>40</w:t>
            </w:r>
          </w:p>
        </w:tc>
        <w:tc>
          <w:tcPr>
            <w:tcW w:w="0" w:type="auto"/>
            <w:tcBorders>
              <w:top w:val="single" w:color="auto" w:sz="4" w:space="0"/>
              <w:left w:val="single" w:color="auto" w:sz="4" w:space="0"/>
              <w:bottom w:val="single" w:color="auto" w:sz="4" w:space="0"/>
              <w:right w:val="single" w:color="auto" w:sz="4" w:space="0"/>
            </w:tcBorders>
            <w:vAlign w:val="center"/>
          </w:tcPr>
          <w:p w14:paraId="2D5B7300">
            <w:pPr>
              <w:jc w:val="center"/>
              <w:rPr>
                <w:rFonts w:ascii="Times New Roman" w:hAnsi="Times New Roman"/>
                <w:color w:val="auto"/>
                <w:kern w:val="0"/>
                <w:szCs w:val="22"/>
                <w:lang w:eastAsia="en-US"/>
              </w:rPr>
            </w:pPr>
            <w:r>
              <w:rPr>
                <w:rFonts w:ascii="Times New Roman" w:hAnsi="Calibri"/>
                <w:color w:val="auto"/>
                <w:kern w:val="0"/>
                <w:szCs w:val="22"/>
                <w:lang w:eastAsia="en-US"/>
              </w:rPr>
              <w:t>40</w:t>
            </w:r>
          </w:p>
        </w:tc>
        <w:tc>
          <w:tcPr>
            <w:tcW w:w="0" w:type="auto"/>
            <w:tcBorders>
              <w:top w:val="single" w:color="auto" w:sz="4" w:space="0"/>
              <w:left w:val="single" w:color="auto" w:sz="4" w:space="0"/>
              <w:bottom w:val="single" w:color="auto" w:sz="4" w:space="0"/>
              <w:right w:val="single" w:color="auto" w:sz="4" w:space="0"/>
            </w:tcBorders>
            <w:vAlign w:val="center"/>
          </w:tcPr>
          <w:p w14:paraId="3EEE4649">
            <w:pPr>
              <w:jc w:val="center"/>
              <w:rPr>
                <w:rFonts w:ascii="Times New Roman" w:hAnsi="Times New Roman"/>
                <w:color w:val="auto"/>
                <w:kern w:val="0"/>
                <w:szCs w:val="22"/>
                <w:lang w:eastAsia="en-US"/>
              </w:rPr>
            </w:pPr>
            <w:r>
              <w:rPr>
                <w:rFonts w:ascii="Times New Roman" w:hAnsi="Calibri"/>
                <w:color w:val="auto"/>
                <w:kern w:val="0"/>
                <w:szCs w:val="22"/>
                <w:lang w:eastAsia="en-US"/>
              </w:rPr>
              <w:t>30</w:t>
            </w:r>
          </w:p>
        </w:tc>
        <w:tc>
          <w:tcPr>
            <w:tcW w:w="0" w:type="auto"/>
            <w:tcBorders>
              <w:top w:val="single" w:color="auto" w:sz="4" w:space="0"/>
              <w:left w:val="single" w:color="auto" w:sz="4" w:space="0"/>
              <w:bottom w:val="single" w:color="auto" w:sz="4" w:space="0"/>
              <w:right w:val="nil"/>
            </w:tcBorders>
            <w:vAlign w:val="center"/>
          </w:tcPr>
          <w:p w14:paraId="2EACF3AB">
            <w:pPr>
              <w:jc w:val="center"/>
              <w:rPr>
                <w:rFonts w:ascii="Times New Roman" w:hAnsi="Times New Roman"/>
                <w:color w:val="auto"/>
                <w:kern w:val="0"/>
                <w:szCs w:val="22"/>
                <w:lang w:eastAsia="en-US"/>
              </w:rPr>
            </w:pPr>
            <w:r>
              <w:rPr>
                <w:rFonts w:ascii="Times New Roman" w:hAnsi="Calibri"/>
                <w:color w:val="auto"/>
                <w:kern w:val="0"/>
                <w:szCs w:val="22"/>
                <w:lang w:eastAsia="en-US"/>
              </w:rPr>
              <w:t>25</w:t>
            </w:r>
          </w:p>
        </w:tc>
      </w:tr>
      <w:tr w14:paraId="264C81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205F0F97">
            <w:pPr>
              <w:jc w:val="center"/>
              <w:rPr>
                <w:rFonts w:ascii="Times New Roman" w:hAnsi="Times New Roman"/>
                <w:color w:val="auto"/>
                <w:kern w:val="0"/>
                <w:szCs w:val="22"/>
                <w:lang w:eastAsia="en-US"/>
              </w:rPr>
            </w:pPr>
            <w:r>
              <w:rPr>
                <w:rFonts w:ascii="Times New Roman" w:hAnsi="Calibri"/>
                <w:color w:val="auto"/>
                <w:kern w:val="0"/>
                <w:szCs w:val="22"/>
                <w:lang w:eastAsia="en-US"/>
              </w:rPr>
              <w:t>4</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18C4F124">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铅</w:t>
            </w:r>
          </w:p>
        </w:tc>
        <w:tc>
          <w:tcPr>
            <w:tcW w:w="0" w:type="auto"/>
            <w:tcBorders>
              <w:top w:val="single" w:color="auto" w:sz="4" w:space="0"/>
              <w:left w:val="single" w:color="auto" w:sz="4" w:space="0"/>
              <w:bottom w:val="single" w:color="auto" w:sz="4" w:space="0"/>
              <w:right w:val="single" w:color="auto" w:sz="4" w:space="0"/>
            </w:tcBorders>
            <w:vAlign w:val="center"/>
          </w:tcPr>
          <w:p w14:paraId="6267EBC1">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水田</w:t>
            </w:r>
          </w:p>
        </w:tc>
        <w:tc>
          <w:tcPr>
            <w:tcW w:w="0" w:type="auto"/>
            <w:tcBorders>
              <w:top w:val="single" w:color="auto" w:sz="4" w:space="0"/>
              <w:left w:val="single" w:color="auto" w:sz="4" w:space="0"/>
              <w:bottom w:val="single" w:color="auto" w:sz="4" w:space="0"/>
              <w:right w:val="single" w:color="auto" w:sz="4" w:space="0"/>
            </w:tcBorders>
            <w:vAlign w:val="center"/>
          </w:tcPr>
          <w:p w14:paraId="4C0040C2">
            <w:pPr>
              <w:jc w:val="center"/>
              <w:rPr>
                <w:rFonts w:ascii="Times New Roman" w:hAnsi="Times New Roman"/>
                <w:color w:val="auto"/>
                <w:kern w:val="0"/>
                <w:szCs w:val="22"/>
                <w:lang w:eastAsia="en-US"/>
              </w:rPr>
            </w:pPr>
            <w:r>
              <w:rPr>
                <w:rFonts w:ascii="Times New Roman" w:hAnsi="Calibri"/>
                <w:color w:val="auto"/>
                <w:kern w:val="0"/>
                <w:szCs w:val="22"/>
                <w:lang w:eastAsia="en-US"/>
              </w:rPr>
              <w:t>80</w:t>
            </w:r>
          </w:p>
        </w:tc>
        <w:tc>
          <w:tcPr>
            <w:tcW w:w="0" w:type="auto"/>
            <w:tcBorders>
              <w:top w:val="single" w:color="auto" w:sz="4" w:space="0"/>
              <w:left w:val="single" w:color="auto" w:sz="4" w:space="0"/>
              <w:bottom w:val="single" w:color="auto" w:sz="4" w:space="0"/>
              <w:right w:val="single" w:color="auto" w:sz="4" w:space="0"/>
            </w:tcBorders>
            <w:vAlign w:val="center"/>
          </w:tcPr>
          <w:p w14:paraId="7FFD7689">
            <w:pPr>
              <w:jc w:val="center"/>
              <w:rPr>
                <w:rFonts w:ascii="Times New Roman" w:hAnsi="Times New Roman"/>
                <w:color w:val="auto"/>
                <w:kern w:val="0"/>
                <w:szCs w:val="22"/>
                <w:lang w:eastAsia="en-US"/>
              </w:rPr>
            </w:pPr>
            <w:r>
              <w:rPr>
                <w:rFonts w:ascii="Times New Roman" w:hAnsi="Calibri"/>
                <w:color w:val="auto"/>
                <w:kern w:val="0"/>
                <w:szCs w:val="22"/>
                <w:lang w:eastAsia="en-US"/>
              </w:rPr>
              <w:t>100</w:t>
            </w:r>
          </w:p>
        </w:tc>
        <w:tc>
          <w:tcPr>
            <w:tcW w:w="0" w:type="auto"/>
            <w:tcBorders>
              <w:top w:val="single" w:color="auto" w:sz="4" w:space="0"/>
              <w:left w:val="single" w:color="auto" w:sz="4" w:space="0"/>
              <w:bottom w:val="single" w:color="auto" w:sz="4" w:space="0"/>
              <w:right w:val="single" w:color="auto" w:sz="4" w:space="0"/>
            </w:tcBorders>
            <w:vAlign w:val="center"/>
          </w:tcPr>
          <w:p w14:paraId="48263BFE">
            <w:pPr>
              <w:jc w:val="center"/>
              <w:rPr>
                <w:rFonts w:ascii="Times New Roman" w:hAnsi="Times New Roman"/>
                <w:color w:val="auto"/>
                <w:kern w:val="0"/>
                <w:szCs w:val="22"/>
                <w:lang w:eastAsia="en-US"/>
              </w:rPr>
            </w:pPr>
            <w:r>
              <w:rPr>
                <w:rFonts w:ascii="Times New Roman" w:hAnsi="Calibri"/>
                <w:color w:val="auto"/>
                <w:kern w:val="0"/>
                <w:szCs w:val="22"/>
                <w:lang w:eastAsia="en-US"/>
              </w:rPr>
              <w:t>140</w:t>
            </w:r>
          </w:p>
        </w:tc>
        <w:tc>
          <w:tcPr>
            <w:tcW w:w="0" w:type="auto"/>
            <w:tcBorders>
              <w:top w:val="single" w:color="auto" w:sz="4" w:space="0"/>
              <w:left w:val="single" w:color="auto" w:sz="4" w:space="0"/>
              <w:bottom w:val="single" w:color="auto" w:sz="4" w:space="0"/>
              <w:right w:val="nil"/>
            </w:tcBorders>
            <w:vAlign w:val="center"/>
          </w:tcPr>
          <w:p w14:paraId="639E1DE7">
            <w:pPr>
              <w:jc w:val="center"/>
              <w:rPr>
                <w:rFonts w:ascii="Times New Roman" w:hAnsi="Times New Roman"/>
                <w:color w:val="auto"/>
                <w:kern w:val="0"/>
                <w:szCs w:val="22"/>
                <w:lang w:eastAsia="en-US"/>
              </w:rPr>
            </w:pPr>
            <w:r>
              <w:rPr>
                <w:rFonts w:ascii="Times New Roman" w:hAnsi="Calibri"/>
                <w:color w:val="auto"/>
                <w:kern w:val="0"/>
                <w:szCs w:val="22"/>
                <w:lang w:eastAsia="en-US"/>
              </w:rPr>
              <w:t>240</w:t>
            </w:r>
          </w:p>
        </w:tc>
      </w:tr>
      <w:tr w14:paraId="6DEF73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20B1547E">
            <w:pPr>
              <w:widowControl/>
              <w:jc w:val="center"/>
              <w:rPr>
                <w:rFonts w:ascii="Times New Roman" w:hAnsi="Times New Roman"/>
                <w:color w:val="auto"/>
                <w:kern w:val="0"/>
                <w:szCs w:val="22"/>
                <w:lang w:eastAsia="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06DC9FE">
            <w:pPr>
              <w:widowControl/>
              <w:jc w:val="center"/>
              <w:rPr>
                <w:rFonts w:ascii="Times New Roman" w:hAnsi="宋体" w:cs="宋体"/>
                <w:color w:val="auto"/>
                <w:kern w:val="0"/>
                <w:szCs w:val="22"/>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0EB14AD4">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其他</w:t>
            </w:r>
          </w:p>
        </w:tc>
        <w:tc>
          <w:tcPr>
            <w:tcW w:w="0" w:type="auto"/>
            <w:tcBorders>
              <w:top w:val="single" w:color="auto" w:sz="4" w:space="0"/>
              <w:left w:val="single" w:color="auto" w:sz="4" w:space="0"/>
              <w:bottom w:val="single" w:color="auto" w:sz="4" w:space="0"/>
              <w:right w:val="single" w:color="auto" w:sz="4" w:space="0"/>
            </w:tcBorders>
            <w:vAlign w:val="center"/>
          </w:tcPr>
          <w:p w14:paraId="188A14A9">
            <w:pPr>
              <w:jc w:val="center"/>
              <w:rPr>
                <w:rFonts w:ascii="Times New Roman" w:hAnsi="Times New Roman"/>
                <w:color w:val="auto"/>
                <w:kern w:val="0"/>
                <w:szCs w:val="22"/>
                <w:lang w:eastAsia="en-US"/>
              </w:rPr>
            </w:pPr>
            <w:r>
              <w:rPr>
                <w:rFonts w:ascii="Times New Roman" w:hAnsi="Calibri"/>
                <w:color w:val="auto"/>
                <w:kern w:val="0"/>
                <w:szCs w:val="22"/>
                <w:lang w:eastAsia="en-US"/>
              </w:rPr>
              <w:t>70</w:t>
            </w:r>
          </w:p>
        </w:tc>
        <w:tc>
          <w:tcPr>
            <w:tcW w:w="0" w:type="auto"/>
            <w:tcBorders>
              <w:top w:val="single" w:color="auto" w:sz="4" w:space="0"/>
              <w:left w:val="single" w:color="auto" w:sz="4" w:space="0"/>
              <w:bottom w:val="single" w:color="auto" w:sz="4" w:space="0"/>
              <w:right w:val="single" w:color="auto" w:sz="4" w:space="0"/>
            </w:tcBorders>
            <w:vAlign w:val="center"/>
          </w:tcPr>
          <w:p w14:paraId="6CE5B7CC">
            <w:pPr>
              <w:jc w:val="center"/>
              <w:rPr>
                <w:rFonts w:ascii="Times New Roman" w:hAnsi="Times New Roman"/>
                <w:color w:val="auto"/>
                <w:kern w:val="0"/>
                <w:szCs w:val="22"/>
                <w:lang w:eastAsia="en-US"/>
              </w:rPr>
            </w:pPr>
            <w:r>
              <w:rPr>
                <w:rFonts w:ascii="Times New Roman" w:hAnsi="Calibri"/>
                <w:color w:val="auto"/>
                <w:kern w:val="0"/>
                <w:szCs w:val="22"/>
                <w:lang w:eastAsia="en-US"/>
              </w:rPr>
              <w:t>90</w:t>
            </w:r>
          </w:p>
        </w:tc>
        <w:tc>
          <w:tcPr>
            <w:tcW w:w="0" w:type="auto"/>
            <w:tcBorders>
              <w:top w:val="single" w:color="auto" w:sz="4" w:space="0"/>
              <w:left w:val="single" w:color="auto" w:sz="4" w:space="0"/>
              <w:bottom w:val="single" w:color="auto" w:sz="4" w:space="0"/>
              <w:right w:val="single" w:color="auto" w:sz="4" w:space="0"/>
            </w:tcBorders>
            <w:vAlign w:val="center"/>
          </w:tcPr>
          <w:p w14:paraId="7624CE30">
            <w:pPr>
              <w:jc w:val="center"/>
              <w:rPr>
                <w:rFonts w:ascii="Times New Roman" w:hAnsi="Times New Roman"/>
                <w:color w:val="auto"/>
                <w:kern w:val="0"/>
                <w:szCs w:val="22"/>
                <w:lang w:eastAsia="en-US"/>
              </w:rPr>
            </w:pPr>
            <w:r>
              <w:rPr>
                <w:rFonts w:ascii="Times New Roman" w:hAnsi="Calibri"/>
                <w:color w:val="auto"/>
                <w:kern w:val="0"/>
                <w:szCs w:val="22"/>
                <w:lang w:eastAsia="en-US"/>
              </w:rPr>
              <w:t>120</w:t>
            </w:r>
          </w:p>
        </w:tc>
        <w:tc>
          <w:tcPr>
            <w:tcW w:w="0" w:type="auto"/>
            <w:tcBorders>
              <w:top w:val="single" w:color="auto" w:sz="4" w:space="0"/>
              <w:left w:val="single" w:color="auto" w:sz="4" w:space="0"/>
              <w:bottom w:val="single" w:color="auto" w:sz="4" w:space="0"/>
              <w:right w:val="nil"/>
            </w:tcBorders>
            <w:vAlign w:val="center"/>
          </w:tcPr>
          <w:p w14:paraId="0A40A5E9">
            <w:pPr>
              <w:jc w:val="center"/>
              <w:rPr>
                <w:rFonts w:ascii="Times New Roman" w:hAnsi="Times New Roman"/>
                <w:color w:val="auto"/>
                <w:kern w:val="0"/>
                <w:szCs w:val="22"/>
                <w:lang w:eastAsia="en-US"/>
              </w:rPr>
            </w:pPr>
            <w:r>
              <w:rPr>
                <w:rFonts w:ascii="Times New Roman" w:hAnsi="Calibri"/>
                <w:color w:val="auto"/>
                <w:kern w:val="0"/>
                <w:szCs w:val="22"/>
                <w:lang w:eastAsia="en-US"/>
              </w:rPr>
              <w:t>170</w:t>
            </w:r>
          </w:p>
        </w:tc>
      </w:tr>
      <w:tr w14:paraId="47BCFA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37873DF9">
            <w:pPr>
              <w:jc w:val="center"/>
              <w:rPr>
                <w:rFonts w:ascii="Times New Roman" w:hAnsi="Times New Roman"/>
                <w:color w:val="auto"/>
                <w:kern w:val="0"/>
                <w:szCs w:val="22"/>
                <w:lang w:eastAsia="en-US"/>
              </w:rPr>
            </w:pPr>
            <w:r>
              <w:rPr>
                <w:rFonts w:ascii="Times New Roman" w:hAnsi="Calibri"/>
                <w:color w:val="auto"/>
                <w:kern w:val="0"/>
                <w:szCs w:val="22"/>
                <w:lang w:eastAsia="en-US"/>
              </w:rPr>
              <w:t>5</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27A0C4AE">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铬</w:t>
            </w:r>
          </w:p>
        </w:tc>
        <w:tc>
          <w:tcPr>
            <w:tcW w:w="0" w:type="auto"/>
            <w:tcBorders>
              <w:top w:val="single" w:color="auto" w:sz="4" w:space="0"/>
              <w:left w:val="single" w:color="auto" w:sz="4" w:space="0"/>
              <w:bottom w:val="single" w:color="auto" w:sz="4" w:space="0"/>
              <w:right w:val="single" w:color="auto" w:sz="4" w:space="0"/>
            </w:tcBorders>
            <w:vAlign w:val="center"/>
          </w:tcPr>
          <w:p w14:paraId="604E3C33">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水田</w:t>
            </w:r>
          </w:p>
        </w:tc>
        <w:tc>
          <w:tcPr>
            <w:tcW w:w="0" w:type="auto"/>
            <w:tcBorders>
              <w:top w:val="single" w:color="auto" w:sz="4" w:space="0"/>
              <w:left w:val="single" w:color="auto" w:sz="4" w:space="0"/>
              <w:bottom w:val="single" w:color="auto" w:sz="4" w:space="0"/>
              <w:right w:val="single" w:color="auto" w:sz="4" w:space="0"/>
            </w:tcBorders>
            <w:vAlign w:val="center"/>
          </w:tcPr>
          <w:p w14:paraId="26B65E93">
            <w:pPr>
              <w:jc w:val="center"/>
              <w:rPr>
                <w:rFonts w:ascii="Times New Roman" w:hAnsi="Times New Roman"/>
                <w:color w:val="auto"/>
                <w:kern w:val="0"/>
                <w:szCs w:val="22"/>
                <w:lang w:eastAsia="en-US"/>
              </w:rPr>
            </w:pPr>
            <w:r>
              <w:rPr>
                <w:rFonts w:ascii="Times New Roman" w:hAnsi="Calibri"/>
                <w:color w:val="auto"/>
                <w:kern w:val="0"/>
                <w:szCs w:val="22"/>
                <w:lang w:eastAsia="en-US"/>
              </w:rPr>
              <w:t>250</w:t>
            </w:r>
          </w:p>
        </w:tc>
        <w:tc>
          <w:tcPr>
            <w:tcW w:w="0" w:type="auto"/>
            <w:tcBorders>
              <w:top w:val="single" w:color="auto" w:sz="4" w:space="0"/>
              <w:left w:val="single" w:color="auto" w:sz="4" w:space="0"/>
              <w:bottom w:val="single" w:color="auto" w:sz="4" w:space="0"/>
              <w:right w:val="single" w:color="auto" w:sz="4" w:space="0"/>
            </w:tcBorders>
            <w:vAlign w:val="center"/>
          </w:tcPr>
          <w:p w14:paraId="7BDC1A1C">
            <w:pPr>
              <w:jc w:val="center"/>
              <w:rPr>
                <w:rFonts w:ascii="Times New Roman" w:hAnsi="Times New Roman"/>
                <w:color w:val="auto"/>
                <w:kern w:val="0"/>
                <w:szCs w:val="22"/>
                <w:lang w:eastAsia="en-US"/>
              </w:rPr>
            </w:pPr>
            <w:r>
              <w:rPr>
                <w:rFonts w:ascii="Times New Roman" w:hAnsi="Calibri"/>
                <w:color w:val="auto"/>
                <w:kern w:val="0"/>
                <w:szCs w:val="22"/>
                <w:lang w:eastAsia="en-US"/>
              </w:rPr>
              <w:t>250</w:t>
            </w:r>
          </w:p>
        </w:tc>
        <w:tc>
          <w:tcPr>
            <w:tcW w:w="0" w:type="auto"/>
            <w:tcBorders>
              <w:top w:val="single" w:color="auto" w:sz="4" w:space="0"/>
              <w:left w:val="single" w:color="auto" w:sz="4" w:space="0"/>
              <w:bottom w:val="single" w:color="auto" w:sz="4" w:space="0"/>
              <w:right w:val="single" w:color="auto" w:sz="4" w:space="0"/>
            </w:tcBorders>
            <w:vAlign w:val="center"/>
          </w:tcPr>
          <w:p w14:paraId="321D6B4F">
            <w:pPr>
              <w:jc w:val="center"/>
              <w:rPr>
                <w:rFonts w:ascii="Times New Roman" w:hAnsi="Times New Roman"/>
                <w:color w:val="auto"/>
                <w:kern w:val="0"/>
                <w:szCs w:val="22"/>
                <w:lang w:eastAsia="en-US"/>
              </w:rPr>
            </w:pPr>
            <w:r>
              <w:rPr>
                <w:rFonts w:ascii="Times New Roman" w:hAnsi="Calibri"/>
                <w:color w:val="auto"/>
                <w:kern w:val="0"/>
                <w:szCs w:val="22"/>
                <w:lang w:eastAsia="en-US"/>
              </w:rPr>
              <w:t>300</w:t>
            </w:r>
          </w:p>
        </w:tc>
        <w:tc>
          <w:tcPr>
            <w:tcW w:w="0" w:type="auto"/>
            <w:tcBorders>
              <w:top w:val="single" w:color="auto" w:sz="4" w:space="0"/>
              <w:left w:val="single" w:color="auto" w:sz="4" w:space="0"/>
              <w:bottom w:val="single" w:color="auto" w:sz="4" w:space="0"/>
              <w:right w:val="nil"/>
            </w:tcBorders>
            <w:vAlign w:val="center"/>
          </w:tcPr>
          <w:p w14:paraId="640F15B8">
            <w:pPr>
              <w:jc w:val="center"/>
              <w:rPr>
                <w:rFonts w:ascii="Times New Roman" w:hAnsi="Times New Roman"/>
                <w:color w:val="auto"/>
                <w:kern w:val="0"/>
                <w:szCs w:val="22"/>
                <w:lang w:eastAsia="en-US"/>
              </w:rPr>
            </w:pPr>
            <w:r>
              <w:rPr>
                <w:rFonts w:ascii="Times New Roman" w:hAnsi="Calibri"/>
                <w:color w:val="auto"/>
                <w:kern w:val="0"/>
                <w:szCs w:val="22"/>
                <w:lang w:eastAsia="en-US"/>
              </w:rPr>
              <w:t>350</w:t>
            </w:r>
          </w:p>
        </w:tc>
      </w:tr>
      <w:tr w14:paraId="6D56A6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6B316379">
            <w:pPr>
              <w:widowControl/>
              <w:jc w:val="center"/>
              <w:rPr>
                <w:rFonts w:ascii="Times New Roman" w:hAnsi="Times New Roman"/>
                <w:color w:val="auto"/>
                <w:kern w:val="0"/>
                <w:szCs w:val="22"/>
                <w:lang w:eastAsia="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EE92A6">
            <w:pPr>
              <w:widowControl/>
              <w:jc w:val="center"/>
              <w:rPr>
                <w:rFonts w:ascii="Times New Roman" w:hAnsi="宋体" w:cs="宋体"/>
                <w:color w:val="auto"/>
                <w:kern w:val="0"/>
                <w:szCs w:val="22"/>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0A44CDAE">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其他</w:t>
            </w:r>
          </w:p>
        </w:tc>
        <w:tc>
          <w:tcPr>
            <w:tcW w:w="0" w:type="auto"/>
            <w:tcBorders>
              <w:top w:val="single" w:color="auto" w:sz="4" w:space="0"/>
              <w:left w:val="single" w:color="auto" w:sz="4" w:space="0"/>
              <w:bottom w:val="single" w:color="auto" w:sz="4" w:space="0"/>
              <w:right w:val="single" w:color="auto" w:sz="4" w:space="0"/>
            </w:tcBorders>
            <w:vAlign w:val="center"/>
          </w:tcPr>
          <w:p w14:paraId="6FA08AEA">
            <w:pPr>
              <w:jc w:val="center"/>
              <w:rPr>
                <w:rFonts w:ascii="Times New Roman" w:hAnsi="Times New Roman"/>
                <w:color w:val="auto"/>
                <w:kern w:val="0"/>
                <w:szCs w:val="22"/>
                <w:lang w:eastAsia="en-US"/>
              </w:rPr>
            </w:pPr>
            <w:r>
              <w:rPr>
                <w:rFonts w:ascii="Times New Roman" w:hAnsi="Calibri"/>
                <w:color w:val="auto"/>
                <w:kern w:val="0"/>
                <w:szCs w:val="22"/>
                <w:lang w:eastAsia="en-US"/>
              </w:rPr>
              <w:t>150</w:t>
            </w:r>
          </w:p>
        </w:tc>
        <w:tc>
          <w:tcPr>
            <w:tcW w:w="0" w:type="auto"/>
            <w:tcBorders>
              <w:top w:val="single" w:color="auto" w:sz="4" w:space="0"/>
              <w:left w:val="single" w:color="auto" w:sz="4" w:space="0"/>
              <w:bottom w:val="single" w:color="auto" w:sz="4" w:space="0"/>
              <w:right w:val="single" w:color="auto" w:sz="4" w:space="0"/>
            </w:tcBorders>
            <w:vAlign w:val="center"/>
          </w:tcPr>
          <w:p w14:paraId="59A63E1F">
            <w:pPr>
              <w:jc w:val="center"/>
              <w:rPr>
                <w:rFonts w:ascii="Times New Roman" w:hAnsi="Times New Roman"/>
                <w:color w:val="auto"/>
                <w:kern w:val="0"/>
                <w:szCs w:val="22"/>
                <w:lang w:eastAsia="en-US"/>
              </w:rPr>
            </w:pPr>
            <w:r>
              <w:rPr>
                <w:rFonts w:ascii="Times New Roman" w:hAnsi="Calibri"/>
                <w:color w:val="auto"/>
                <w:kern w:val="0"/>
                <w:szCs w:val="22"/>
                <w:lang w:eastAsia="en-US"/>
              </w:rPr>
              <w:t>150</w:t>
            </w:r>
          </w:p>
        </w:tc>
        <w:tc>
          <w:tcPr>
            <w:tcW w:w="0" w:type="auto"/>
            <w:tcBorders>
              <w:top w:val="single" w:color="auto" w:sz="4" w:space="0"/>
              <w:left w:val="single" w:color="auto" w:sz="4" w:space="0"/>
              <w:bottom w:val="single" w:color="auto" w:sz="4" w:space="0"/>
              <w:right w:val="single" w:color="auto" w:sz="4" w:space="0"/>
            </w:tcBorders>
            <w:vAlign w:val="center"/>
          </w:tcPr>
          <w:p w14:paraId="734D522D">
            <w:pPr>
              <w:jc w:val="center"/>
              <w:rPr>
                <w:rFonts w:ascii="Times New Roman" w:hAnsi="Times New Roman"/>
                <w:color w:val="auto"/>
                <w:kern w:val="0"/>
                <w:szCs w:val="22"/>
                <w:lang w:eastAsia="en-US"/>
              </w:rPr>
            </w:pPr>
            <w:r>
              <w:rPr>
                <w:rFonts w:ascii="Times New Roman" w:hAnsi="Calibri"/>
                <w:color w:val="auto"/>
                <w:kern w:val="0"/>
                <w:szCs w:val="22"/>
                <w:lang w:eastAsia="en-US"/>
              </w:rPr>
              <w:t>200</w:t>
            </w:r>
          </w:p>
        </w:tc>
        <w:tc>
          <w:tcPr>
            <w:tcW w:w="0" w:type="auto"/>
            <w:tcBorders>
              <w:top w:val="single" w:color="auto" w:sz="4" w:space="0"/>
              <w:left w:val="single" w:color="auto" w:sz="4" w:space="0"/>
              <w:bottom w:val="single" w:color="auto" w:sz="4" w:space="0"/>
              <w:right w:val="nil"/>
            </w:tcBorders>
            <w:vAlign w:val="center"/>
          </w:tcPr>
          <w:p w14:paraId="7EEAC57A">
            <w:pPr>
              <w:jc w:val="center"/>
              <w:rPr>
                <w:rFonts w:ascii="Times New Roman" w:hAnsi="Times New Roman"/>
                <w:color w:val="auto"/>
                <w:kern w:val="0"/>
                <w:szCs w:val="22"/>
                <w:lang w:eastAsia="en-US"/>
              </w:rPr>
            </w:pPr>
            <w:r>
              <w:rPr>
                <w:rFonts w:ascii="Times New Roman" w:hAnsi="Calibri"/>
                <w:color w:val="auto"/>
                <w:kern w:val="0"/>
                <w:szCs w:val="22"/>
                <w:lang w:eastAsia="en-US"/>
              </w:rPr>
              <w:t>250</w:t>
            </w:r>
          </w:p>
        </w:tc>
      </w:tr>
      <w:tr w14:paraId="2376C0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7658CD7D">
            <w:pPr>
              <w:jc w:val="center"/>
              <w:rPr>
                <w:rFonts w:ascii="Times New Roman" w:hAnsi="Times New Roman"/>
                <w:color w:val="auto"/>
                <w:kern w:val="0"/>
                <w:szCs w:val="22"/>
                <w:lang w:eastAsia="en-US"/>
              </w:rPr>
            </w:pPr>
            <w:r>
              <w:rPr>
                <w:rFonts w:ascii="Times New Roman" w:hAnsi="Calibri"/>
                <w:color w:val="auto"/>
                <w:kern w:val="0"/>
                <w:szCs w:val="22"/>
                <w:lang w:eastAsia="en-US"/>
              </w:rPr>
              <w:t>6</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62B9DE08">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铜</w:t>
            </w:r>
          </w:p>
        </w:tc>
        <w:tc>
          <w:tcPr>
            <w:tcW w:w="0" w:type="auto"/>
            <w:tcBorders>
              <w:top w:val="single" w:color="auto" w:sz="4" w:space="0"/>
              <w:left w:val="single" w:color="auto" w:sz="4" w:space="0"/>
              <w:bottom w:val="single" w:color="auto" w:sz="4" w:space="0"/>
              <w:right w:val="single" w:color="auto" w:sz="4" w:space="0"/>
            </w:tcBorders>
            <w:vAlign w:val="center"/>
          </w:tcPr>
          <w:p w14:paraId="5553219F">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果园</w:t>
            </w:r>
          </w:p>
        </w:tc>
        <w:tc>
          <w:tcPr>
            <w:tcW w:w="0" w:type="auto"/>
            <w:tcBorders>
              <w:top w:val="single" w:color="auto" w:sz="4" w:space="0"/>
              <w:left w:val="single" w:color="auto" w:sz="4" w:space="0"/>
              <w:bottom w:val="single" w:color="auto" w:sz="4" w:space="0"/>
              <w:right w:val="single" w:color="auto" w:sz="4" w:space="0"/>
            </w:tcBorders>
            <w:vAlign w:val="center"/>
          </w:tcPr>
          <w:p w14:paraId="0921C114">
            <w:pPr>
              <w:jc w:val="center"/>
              <w:rPr>
                <w:rFonts w:ascii="Times New Roman" w:hAnsi="Times New Roman"/>
                <w:color w:val="auto"/>
                <w:kern w:val="0"/>
                <w:szCs w:val="22"/>
                <w:lang w:eastAsia="en-US"/>
              </w:rPr>
            </w:pPr>
            <w:r>
              <w:rPr>
                <w:rFonts w:ascii="Times New Roman" w:hAnsi="Calibri"/>
                <w:color w:val="auto"/>
                <w:kern w:val="0"/>
                <w:szCs w:val="22"/>
                <w:lang w:eastAsia="en-US"/>
              </w:rPr>
              <w:t>150</w:t>
            </w:r>
          </w:p>
        </w:tc>
        <w:tc>
          <w:tcPr>
            <w:tcW w:w="0" w:type="auto"/>
            <w:tcBorders>
              <w:top w:val="single" w:color="auto" w:sz="4" w:space="0"/>
              <w:left w:val="single" w:color="auto" w:sz="4" w:space="0"/>
              <w:bottom w:val="single" w:color="auto" w:sz="4" w:space="0"/>
              <w:right w:val="single" w:color="auto" w:sz="4" w:space="0"/>
            </w:tcBorders>
            <w:vAlign w:val="center"/>
          </w:tcPr>
          <w:p w14:paraId="41355214">
            <w:pPr>
              <w:jc w:val="center"/>
              <w:rPr>
                <w:rFonts w:ascii="Times New Roman" w:hAnsi="Times New Roman"/>
                <w:color w:val="auto"/>
                <w:kern w:val="0"/>
                <w:szCs w:val="22"/>
                <w:lang w:eastAsia="en-US"/>
              </w:rPr>
            </w:pPr>
            <w:r>
              <w:rPr>
                <w:rFonts w:ascii="Times New Roman" w:hAnsi="Calibri"/>
                <w:color w:val="auto"/>
                <w:kern w:val="0"/>
                <w:szCs w:val="22"/>
                <w:lang w:eastAsia="en-US"/>
              </w:rPr>
              <w:t>150</w:t>
            </w:r>
          </w:p>
        </w:tc>
        <w:tc>
          <w:tcPr>
            <w:tcW w:w="0" w:type="auto"/>
            <w:tcBorders>
              <w:top w:val="single" w:color="auto" w:sz="4" w:space="0"/>
              <w:left w:val="single" w:color="auto" w:sz="4" w:space="0"/>
              <w:bottom w:val="single" w:color="auto" w:sz="4" w:space="0"/>
              <w:right w:val="single" w:color="auto" w:sz="4" w:space="0"/>
            </w:tcBorders>
            <w:vAlign w:val="center"/>
          </w:tcPr>
          <w:p w14:paraId="0C1262BB">
            <w:pPr>
              <w:jc w:val="center"/>
              <w:rPr>
                <w:rFonts w:ascii="Times New Roman" w:hAnsi="Times New Roman"/>
                <w:color w:val="auto"/>
                <w:kern w:val="0"/>
                <w:szCs w:val="22"/>
                <w:lang w:eastAsia="en-US"/>
              </w:rPr>
            </w:pPr>
            <w:r>
              <w:rPr>
                <w:rFonts w:ascii="Times New Roman" w:hAnsi="Calibri"/>
                <w:color w:val="auto"/>
                <w:kern w:val="0"/>
                <w:szCs w:val="22"/>
                <w:lang w:eastAsia="en-US"/>
              </w:rPr>
              <w:t>200</w:t>
            </w:r>
          </w:p>
        </w:tc>
        <w:tc>
          <w:tcPr>
            <w:tcW w:w="0" w:type="auto"/>
            <w:tcBorders>
              <w:top w:val="single" w:color="auto" w:sz="4" w:space="0"/>
              <w:left w:val="single" w:color="auto" w:sz="4" w:space="0"/>
              <w:bottom w:val="single" w:color="auto" w:sz="4" w:space="0"/>
              <w:right w:val="nil"/>
            </w:tcBorders>
            <w:vAlign w:val="center"/>
          </w:tcPr>
          <w:p w14:paraId="7A7C7B47">
            <w:pPr>
              <w:jc w:val="center"/>
              <w:rPr>
                <w:rFonts w:ascii="Times New Roman" w:hAnsi="Times New Roman"/>
                <w:color w:val="auto"/>
                <w:kern w:val="0"/>
                <w:szCs w:val="22"/>
                <w:lang w:eastAsia="en-US"/>
              </w:rPr>
            </w:pPr>
            <w:r>
              <w:rPr>
                <w:rFonts w:ascii="Times New Roman" w:hAnsi="Calibri"/>
                <w:color w:val="auto"/>
                <w:kern w:val="0"/>
                <w:szCs w:val="22"/>
                <w:lang w:eastAsia="en-US"/>
              </w:rPr>
              <w:t>200</w:t>
            </w:r>
          </w:p>
        </w:tc>
      </w:tr>
      <w:tr w14:paraId="1BA60E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36D85332">
            <w:pPr>
              <w:widowControl/>
              <w:jc w:val="center"/>
              <w:rPr>
                <w:rFonts w:ascii="Times New Roman" w:hAnsi="Times New Roman"/>
                <w:color w:val="auto"/>
                <w:kern w:val="0"/>
                <w:szCs w:val="22"/>
                <w:lang w:eastAsia="en-US"/>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48EB176">
            <w:pPr>
              <w:widowControl/>
              <w:jc w:val="center"/>
              <w:rPr>
                <w:rFonts w:ascii="Times New Roman" w:hAnsi="宋体" w:cs="宋体"/>
                <w:color w:val="auto"/>
                <w:kern w:val="0"/>
                <w:szCs w:val="22"/>
                <w:lang w:eastAsia="en-US"/>
              </w:rPr>
            </w:pPr>
          </w:p>
        </w:tc>
        <w:tc>
          <w:tcPr>
            <w:tcW w:w="0" w:type="auto"/>
            <w:tcBorders>
              <w:top w:val="single" w:color="auto" w:sz="4" w:space="0"/>
              <w:left w:val="single" w:color="auto" w:sz="4" w:space="0"/>
              <w:bottom w:val="single" w:color="auto" w:sz="4" w:space="0"/>
              <w:right w:val="single" w:color="auto" w:sz="4" w:space="0"/>
            </w:tcBorders>
            <w:vAlign w:val="center"/>
          </w:tcPr>
          <w:p w14:paraId="103EEA9D">
            <w:pPr>
              <w:spacing w:line="274" w:lineRule="exact"/>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其他</w:t>
            </w:r>
          </w:p>
        </w:tc>
        <w:tc>
          <w:tcPr>
            <w:tcW w:w="0" w:type="auto"/>
            <w:tcBorders>
              <w:top w:val="single" w:color="auto" w:sz="4" w:space="0"/>
              <w:left w:val="single" w:color="auto" w:sz="4" w:space="0"/>
              <w:bottom w:val="single" w:color="auto" w:sz="4" w:space="0"/>
              <w:right w:val="single" w:color="auto" w:sz="4" w:space="0"/>
            </w:tcBorders>
            <w:vAlign w:val="center"/>
          </w:tcPr>
          <w:p w14:paraId="65F77C73">
            <w:pPr>
              <w:jc w:val="center"/>
              <w:rPr>
                <w:rFonts w:ascii="Times New Roman" w:hAnsi="Times New Roman"/>
                <w:color w:val="auto"/>
                <w:kern w:val="0"/>
                <w:szCs w:val="22"/>
                <w:lang w:eastAsia="en-US"/>
              </w:rPr>
            </w:pPr>
            <w:r>
              <w:rPr>
                <w:rFonts w:ascii="Times New Roman" w:hAnsi="Calibri"/>
                <w:color w:val="auto"/>
                <w:kern w:val="0"/>
                <w:szCs w:val="22"/>
                <w:lang w:eastAsia="en-US"/>
              </w:rPr>
              <w:t>50</w:t>
            </w:r>
          </w:p>
        </w:tc>
        <w:tc>
          <w:tcPr>
            <w:tcW w:w="0" w:type="auto"/>
            <w:tcBorders>
              <w:top w:val="single" w:color="auto" w:sz="4" w:space="0"/>
              <w:left w:val="single" w:color="auto" w:sz="4" w:space="0"/>
              <w:bottom w:val="single" w:color="auto" w:sz="4" w:space="0"/>
              <w:right w:val="single" w:color="auto" w:sz="4" w:space="0"/>
            </w:tcBorders>
            <w:vAlign w:val="center"/>
          </w:tcPr>
          <w:p w14:paraId="18C1669F">
            <w:pPr>
              <w:jc w:val="center"/>
              <w:rPr>
                <w:rFonts w:ascii="Times New Roman" w:hAnsi="Times New Roman"/>
                <w:color w:val="auto"/>
                <w:kern w:val="0"/>
                <w:szCs w:val="22"/>
                <w:lang w:eastAsia="en-US"/>
              </w:rPr>
            </w:pPr>
            <w:r>
              <w:rPr>
                <w:rFonts w:ascii="Times New Roman" w:hAnsi="Calibri"/>
                <w:color w:val="auto"/>
                <w:kern w:val="0"/>
                <w:szCs w:val="22"/>
                <w:lang w:eastAsia="en-US"/>
              </w:rPr>
              <w:t>50</w:t>
            </w:r>
          </w:p>
        </w:tc>
        <w:tc>
          <w:tcPr>
            <w:tcW w:w="0" w:type="auto"/>
            <w:tcBorders>
              <w:top w:val="single" w:color="auto" w:sz="4" w:space="0"/>
              <w:left w:val="single" w:color="auto" w:sz="4" w:space="0"/>
              <w:bottom w:val="single" w:color="auto" w:sz="4" w:space="0"/>
              <w:right w:val="single" w:color="auto" w:sz="4" w:space="0"/>
            </w:tcBorders>
            <w:vAlign w:val="center"/>
          </w:tcPr>
          <w:p w14:paraId="70ED6768">
            <w:pPr>
              <w:jc w:val="center"/>
              <w:rPr>
                <w:rFonts w:ascii="Times New Roman" w:hAnsi="Times New Roman"/>
                <w:color w:val="auto"/>
                <w:kern w:val="0"/>
                <w:szCs w:val="22"/>
                <w:lang w:eastAsia="en-US"/>
              </w:rPr>
            </w:pPr>
            <w:r>
              <w:rPr>
                <w:rFonts w:ascii="Times New Roman" w:hAnsi="Calibri"/>
                <w:color w:val="auto"/>
                <w:kern w:val="0"/>
                <w:szCs w:val="22"/>
                <w:lang w:eastAsia="en-US"/>
              </w:rPr>
              <w:t>100</w:t>
            </w:r>
          </w:p>
        </w:tc>
        <w:tc>
          <w:tcPr>
            <w:tcW w:w="0" w:type="auto"/>
            <w:tcBorders>
              <w:top w:val="single" w:color="auto" w:sz="4" w:space="0"/>
              <w:left w:val="single" w:color="auto" w:sz="4" w:space="0"/>
              <w:bottom w:val="single" w:color="auto" w:sz="4" w:space="0"/>
              <w:right w:val="nil"/>
            </w:tcBorders>
            <w:vAlign w:val="center"/>
          </w:tcPr>
          <w:p w14:paraId="0A42BAFC">
            <w:pPr>
              <w:jc w:val="center"/>
              <w:rPr>
                <w:rFonts w:ascii="Times New Roman" w:hAnsi="Times New Roman"/>
                <w:color w:val="auto"/>
                <w:kern w:val="0"/>
                <w:szCs w:val="22"/>
                <w:lang w:eastAsia="en-US"/>
              </w:rPr>
            </w:pPr>
            <w:r>
              <w:rPr>
                <w:rFonts w:ascii="Times New Roman" w:hAnsi="Calibri"/>
                <w:color w:val="auto"/>
                <w:kern w:val="0"/>
                <w:szCs w:val="22"/>
                <w:lang w:eastAsia="en-US"/>
              </w:rPr>
              <w:t>100</w:t>
            </w:r>
          </w:p>
        </w:tc>
      </w:tr>
      <w:tr w14:paraId="27EF50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nil"/>
              <w:bottom w:val="single" w:color="auto" w:sz="4" w:space="0"/>
              <w:right w:val="single" w:color="auto" w:sz="4" w:space="0"/>
            </w:tcBorders>
            <w:vAlign w:val="center"/>
          </w:tcPr>
          <w:p w14:paraId="6C70EE83">
            <w:pPr>
              <w:jc w:val="center"/>
              <w:rPr>
                <w:rFonts w:ascii="Times New Roman" w:hAnsi="Times New Roman"/>
                <w:color w:val="auto"/>
                <w:kern w:val="0"/>
                <w:szCs w:val="22"/>
                <w:lang w:eastAsia="en-US"/>
              </w:rPr>
            </w:pPr>
            <w:r>
              <w:rPr>
                <w:rFonts w:ascii="Times New Roman" w:hAnsi="Calibri"/>
                <w:color w:val="auto"/>
                <w:kern w:val="0"/>
                <w:szCs w:val="22"/>
                <w:lang w:eastAsia="en-US"/>
              </w:rPr>
              <w:t>7</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43E0D8CB">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镍</w:t>
            </w:r>
          </w:p>
        </w:tc>
        <w:tc>
          <w:tcPr>
            <w:tcW w:w="0" w:type="auto"/>
            <w:tcBorders>
              <w:top w:val="single" w:color="auto" w:sz="4" w:space="0"/>
              <w:left w:val="single" w:color="auto" w:sz="4" w:space="0"/>
              <w:bottom w:val="single" w:color="auto" w:sz="4" w:space="0"/>
              <w:right w:val="single" w:color="auto" w:sz="4" w:space="0"/>
            </w:tcBorders>
            <w:vAlign w:val="center"/>
          </w:tcPr>
          <w:p w14:paraId="5BF042D7">
            <w:pPr>
              <w:jc w:val="center"/>
              <w:rPr>
                <w:rFonts w:ascii="Times New Roman" w:hAnsi="Times New Roman"/>
                <w:color w:val="auto"/>
                <w:kern w:val="0"/>
                <w:szCs w:val="22"/>
                <w:lang w:eastAsia="en-US"/>
              </w:rPr>
            </w:pPr>
            <w:r>
              <w:rPr>
                <w:rFonts w:ascii="Times New Roman" w:hAnsi="Calibri"/>
                <w:color w:val="auto"/>
                <w:kern w:val="0"/>
                <w:szCs w:val="22"/>
                <w:lang w:eastAsia="en-US"/>
              </w:rPr>
              <w:t>60</w:t>
            </w:r>
          </w:p>
        </w:tc>
        <w:tc>
          <w:tcPr>
            <w:tcW w:w="0" w:type="auto"/>
            <w:tcBorders>
              <w:top w:val="single" w:color="auto" w:sz="4" w:space="0"/>
              <w:left w:val="single" w:color="auto" w:sz="4" w:space="0"/>
              <w:bottom w:val="single" w:color="auto" w:sz="4" w:space="0"/>
              <w:right w:val="single" w:color="auto" w:sz="4" w:space="0"/>
            </w:tcBorders>
            <w:vAlign w:val="center"/>
          </w:tcPr>
          <w:p w14:paraId="37C48556">
            <w:pPr>
              <w:jc w:val="center"/>
              <w:rPr>
                <w:rFonts w:ascii="Times New Roman" w:hAnsi="Times New Roman"/>
                <w:color w:val="auto"/>
                <w:kern w:val="0"/>
                <w:szCs w:val="22"/>
                <w:lang w:eastAsia="en-US"/>
              </w:rPr>
            </w:pPr>
            <w:r>
              <w:rPr>
                <w:rFonts w:ascii="Times New Roman" w:hAnsi="Calibri"/>
                <w:color w:val="auto"/>
                <w:kern w:val="0"/>
                <w:szCs w:val="22"/>
                <w:lang w:eastAsia="en-US"/>
              </w:rPr>
              <w:t>70</w:t>
            </w:r>
          </w:p>
        </w:tc>
        <w:tc>
          <w:tcPr>
            <w:tcW w:w="0" w:type="auto"/>
            <w:tcBorders>
              <w:top w:val="single" w:color="auto" w:sz="4" w:space="0"/>
              <w:left w:val="single" w:color="auto" w:sz="4" w:space="0"/>
              <w:bottom w:val="single" w:color="auto" w:sz="4" w:space="0"/>
              <w:right w:val="single" w:color="auto" w:sz="4" w:space="0"/>
            </w:tcBorders>
            <w:vAlign w:val="center"/>
          </w:tcPr>
          <w:p w14:paraId="332FE732">
            <w:pPr>
              <w:jc w:val="center"/>
              <w:rPr>
                <w:rFonts w:ascii="Times New Roman" w:hAnsi="Times New Roman"/>
                <w:color w:val="auto"/>
                <w:kern w:val="0"/>
                <w:szCs w:val="22"/>
                <w:lang w:eastAsia="en-US"/>
              </w:rPr>
            </w:pPr>
            <w:r>
              <w:rPr>
                <w:rFonts w:ascii="Times New Roman" w:hAnsi="Calibri"/>
                <w:color w:val="auto"/>
                <w:kern w:val="0"/>
                <w:szCs w:val="22"/>
                <w:lang w:eastAsia="en-US"/>
              </w:rPr>
              <w:t>100</w:t>
            </w:r>
          </w:p>
        </w:tc>
        <w:tc>
          <w:tcPr>
            <w:tcW w:w="0" w:type="auto"/>
            <w:tcBorders>
              <w:top w:val="single" w:color="auto" w:sz="4" w:space="0"/>
              <w:left w:val="single" w:color="auto" w:sz="4" w:space="0"/>
              <w:bottom w:val="single" w:color="auto" w:sz="4" w:space="0"/>
              <w:right w:val="nil"/>
            </w:tcBorders>
            <w:vAlign w:val="center"/>
          </w:tcPr>
          <w:p w14:paraId="5841C593">
            <w:pPr>
              <w:jc w:val="center"/>
              <w:rPr>
                <w:rFonts w:ascii="Times New Roman" w:hAnsi="Times New Roman"/>
                <w:color w:val="auto"/>
                <w:kern w:val="0"/>
                <w:szCs w:val="22"/>
                <w:lang w:eastAsia="en-US"/>
              </w:rPr>
            </w:pPr>
            <w:r>
              <w:rPr>
                <w:rFonts w:ascii="Times New Roman" w:hAnsi="Calibri"/>
                <w:color w:val="auto"/>
                <w:kern w:val="0"/>
                <w:szCs w:val="22"/>
                <w:lang w:eastAsia="en-US"/>
              </w:rPr>
              <w:t>190</w:t>
            </w:r>
          </w:p>
        </w:tc>
      </w:tr>
      <w:tr w14:paraId="3D6C1B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tcBorders>
              <w:top w:val="single" w:color="auto" w:sz="4" w:space="0"/>
              <w:left w:val="nil"/>
              <w:bottom w:val="single" w:color="auto" w:sz="12" w:space="0"/>
              <w:right w:val="single" w:color="auto" w:sz="4" w:space="0"/>
            </w:tcBorders>
            <w:vAlign w:val="center"/>
          </w:tcPr>
          <w:p w14:paraId="23BC94D6">
            <w:pPr>
              <w:jc w:val="center"/>
              <w:rPr>
                <w:rFonts w:ascii="Times New Roman" w:hAnsi="Times New Roman"/>
                <w:color w:val="auto"/>
                <w:kern w:val="0"/>
                <w:szCs w:val="22"/>
                <w:lang w:eastAsia="en-US"/>
              </w:rPr>
            </w:pPr>
            <w:r>
              <w:rPr>
                <w:rFonts w:ascii="Times New Roman" w:hAnsi="Calibri"/>
                <w:color w:val="auto"/>
                <w:kern w:val="0"/>
                <w:szCs w:val="22"/>
                <w:lang w:eastAsia="en-US"/>
              </w:rPr>
              <w:t>8</w:t>
            </w:r>
          </w:p>
        </w:tc>
        <w:tc>
          <w:tcPr>
            <w:tcW w:w="0" w:type="auto"/>
            <w:gridSpan w:val="2"/>
            <w:tcBorders>
              <w:top w:val="single" w:color="auto" w:sz="4" w:space="0"/>
              <w:left w:val="single" w:color="auto" w:sz="4" w:space="0"/>
              <w:bottom w:val="single" w:color="auto" w:sz="12" w:space="0"/>
              <w:right w:val="single" w:color="auto" w:sz="4" w:space="0"/>
            </w:tcBorders>
            <w:vAlign w:val="center"/>
          </w:tcPr>
          <w:p w14:paraId="66613D4A">
            <w:pPr>
              <w:jc w:val="center"/>
              <w:rPr>
                <w:rFonts w:ascii="Times New Roman" w:hAnsi="宋体" w:cs="宋体"/>
                <w:color w:val="auto"/>
                <w:kern w:val="0"/>
                <w:szCs w:val="22"/>
                <w:lang w:eastAsia="en-US"/>
              </w:rPr>
            </w:pPr>
            <w:r>
              <w:rPr>
                <w:rFonts w:hint="eastAsia" w:ascii="Times New Roman" w:hAnsi="宋体" w:cs="宋体"/>
                <w:color w:val="auto"/>
                <w:kern w:val="0"/>
                <w:szCs w:val="22"/>
                <w:lang w:eastAsia="en-US"/>
              </w:rPr>
              <w:t>锌</w:t>
            </w:r>
          </w:p>
        </w:tc>
        <w:tc>
          <w:tcPr>
            <w:tcW w:w="0" w:type="auto"/>
            <w:tcBorders>
              <w:top w:val="single" w:color="auto" w:sz="4" w:space="0"/>
              <w:left w:val="single" w:color="auto" w:sz="4" w:space="0"/>
              <w:bottom w:val="single" w:color="auto" w:sz="12" w:space="0"/>
              <w:right w:val="single" w:color="auto" w:sz="4" w:space="0"/>
            </w:tcBorders>
            <w:vAlign w:val="center"/>
          </w:tcPr>
          <w:p w14:paraId="2DAFDD11">
            <w:pPr>
              <w:jc w:val="center"/>
              <w:rPr>
                <w:rFonts w:ascii="Times New Roman" w:hAnsi="Times New Roman"/>
                <w:color w:val="auto"/>
                <w:kern w:val="0"/>
                <w:szCs w:val="22"/>
                <w:lang w:eastAsia="en-US"/>
              </w:rPr>
            </w:pPr>
            <w:r>
              <w:rPr>
                <w:rFonts w:ascii="Times New Roman" w:hAnsi="Calibri"/>
                <w:color w:val="auto"/>
                <w:kern w:val="0"/>
                <w:szCs w:val="22"/>
                <w:lang w:eastAsia="en-US"/>
              </w:rPr>
              <w:t>200</w:t>
            </w:r>
          </w:p>
        </w:tc>
        <w:tc>
          <w:tcPr>
            <w:tcW w:w="0" w:type="auto"/>
            <w:tcBorders>
              <w:top w:val="single" w:color="auto" w:sz="4" w:space="0"/>
              <w:left w:val="single" w:color="auto" w:sz="4" w:space="0"/>
              <w:bottom w:val="single" w:color="auto" w:sz="12" w:space="0"/>
              <w:right w:val="single" w:color="auto" w:sz="4" w:space="0"/>
            </w:tcBorders>
            <w:vAlign w:val="center"/>
          </w:tcPr>
          <w:p w14:paraId="3052A3DE">
            <w:pPr>
              <w:jc w:val="center"/>
              <w:rPr>
                <w:rFonts w:ascii="Times New Roman" w:hAnsi="Times New Roman"/>
                <w:color w:val="auto"/>
                <w:kern w:val="0"/>
                <w:szCs w:val="22"/>
                <w:lang w:eastAsia="en-US"/>
              </w:rPr>
            </w:pPr>
            <w:r>
              <w:rPr>
                <w:rFonts w:ascii="Times New Roman" w:hAnsi="Calibri"/>
                <w:color w:val="auto"/>
                <w:kern w:val="0"/>
                <w:szCs w:val="22"/>
                <w:lang w:eastAsia="en-US"/>
              </w:rPr>
              <w:t>200</w:t>
            </w:r>
          </w:p>
        </w:tc>
        <w:tc>
          <w:tcPr>
            <w:tcW w:w="0" w:type="auto"/>
            <w:tcBorders>
              <w:top w:val="single" w:color="auto" w:sz="4" w:space="0"/>
              <w:left w:val="single" w:color="auto" w:sz="4" w:space="0"/>
              <w:bottom w:val="single" w:color="auto" w:sz="12" w:space="0"/>
              <w:right w:val="single" w:color="auto" w:sz="4" w:space="0"/>
            </w:tcBorders>
            <w:vAlign w:val="center"/>
          </w:tcPr>
          <w:p w14:paraId="34935AD4">
            <w:pPr>
              <w:jc w:val="center"/>
              <w:rPr>
                <w:rFonts w:ascii="Times New Roman" w:hAnsi="Times New Roman"/>
                <w:color w:val="auto"/>
                <w:kern w:val="0"/>
                <w:szCs w:val="22"/>
                <w:lang w:eastAsia="en-US"/>
              </w:rPr>
            </w:pPr>
            <w:r>
              <w:rPr>
                <w:rFonts w:ascii="Times New Roman" w:hAnsi="Calibri"/>
                <w:color w:val="auto"/>
                <w:kern w:val="0"/>
                <w:szCs w:val="22"/>
                <w:lang w:eastAsia="en-US"/>
              </w:rPr>
              <w:t>250</w:t>
            </w:r>
          </w:p>
        </w:tc>
        <w:tc>
          <w:tcPr>
            <w:tcW w:w="0" w:type="auto"/>
            <w:tcBorders>
              <w:top w:val="single" w:color="auto" w:sz="4" w:space="0"/>
              <w:left w:val="single" w:color="auto" w:sz="4" w:space="0"/>
              <w:bottom w:val="single" w:color="auto" w:sz="12" w:space="0"/>
              <w:right w:val="nil"/>
            </w:tcBorders>
            <w:vAlign w:val="center"/>
          </w:tcPr>
          <w:p w14:paraId="4D3DF0BE">
            <w:pPr>
              <w:jc w:val="center"/>
              <w:rPr>
                <w:rFonts w:ascii="Times New Roman" w:hAnsi="Times New Roman"/>
                <w:color w:val="auto"/>
                <w:kern w:val="0"/>
                <w:szCs w:val="22"/>
                <w:lang w:eastAsia="en-US"/>
              </w:rPr>
            </w:pPr>
            <w:r>
              <w:rPr>
                <w:rFonts w:ascii="Times New Roman" w:hAnsi="Calibri"/>
                <w:color w:val="auto"/>
                <w:kern w:val="0"/>
                <w:szCs w:val="22"/>
                <w:lang w:eastAsia="en-US"/>
              </w:rPr>
              <w:t>300</w:t>
            </w:r>
          </w:p>
        </w:tc>
      </w:tr>
    </w:tbl>
    <w:p w14:paraId="0752E7D1">
      <w:pPr>
        <w:spacing w:before="4"/>
        <w:rPr>
          <w:rFonts w:eastAsia="Times New Roman"/>
          <w:color w:val="auto"/>
          <w:sz w:val="20"/>
          <w:szCs w:val="20"/>
        </w:rPr>
      </w:pPr>
      <w:r>
        <w:rPr>
          <w:rFonts w:hint="eastAsia" w:ascii="宋体" w:hAnsi="宋体" w:cs="宋体"/>
          <w:color w:val="auto"/>
          <w:sz w:val="20"/>
          <w:szCs w:val="20"/>
        </w:rPr>
        <w:t>注：①重金属和类金属砷均按元素总量计。</w:t>
      </w:r>
    </w:p>
    <w:p w14:paraId="4236FC3C">
      <w:pPr>
        <w:spacing w:before="4"/>
        <w:rPr>
          <w:rFonts w:ascii="宋体" w:hAnsi="宋体" w:cs="宋体"/>
          <w:color w:val="auto"/>
          <w:sz w:val="20"/>
          <w:szCs w:val="20"/>
        </w:rPr>
      </w:pPr>
      <w:r>
        <w:rPr>
          <w:rFonts w:hint="eastAsia" w:ascii="宋体" w:hAnsi="宋体" w:cs="宋体"/>
          <w:color w:val="auto"/>
          <w:sz w:val="20"/>
          <w:szCs w:val="20"/>
        </w:rPr>
        <w:t>②对于水旱轮作地，采用其中较严格的风险筛选值。</w:t>
      </w:r>
    </w:p>
    <w:p w14:paraId="01718949">
      <w:pPr>
        <w:pStyle w:val="59"/>
        <w:ind w:firstLine="480"/>
        <w:rPr>
          <w:color w:val="auto"/>
        </w:rPr>
      </w:pPr>
      <w:r>
        <w:rPr>
          <w:rFonts w:hint="eastAsia"/>
          <w:color w:val="auto"/>
        </w:rPr>
        <w:t>（5）土地</w:t>
      </w:r>
      <w:r>
        <w:rPr>
          <w:color w:val="auto"/>
        </w:rPr>
        <w:t>复垦</w:t>
      </w:r>
      <w:r>
        <w:rPr>
          <w:rFonts w:hint="eastAsia"/>
          <w:color w:val="auto"/>
        </w:rPr>
        <w:t>质量控制</w:t>
      </w:r>
      <w:r>
        <w:rPr>
          <w:color w:val="auto"/>
        </w:rPr>
        <w:t>标准</w:t>
      </w:r>
    </w:p>
    <w:p w14:paraId="7F850F43">
      <w:pPr>
        <w:pStyle w:val="59"/>
        <w:ind w:firstLine="480"/>
        <w:rPr>
          <w:color w:val="auto"/>
        </w:rPr>
      </w:pPr>
      <w:r>
        <w:rPr>
          <w:rFonts w:hint="eastAsia"/>
          <w:color w:val="auto"/>
        </w:rPr>
        <w:t>本项目</w:t>
      </w:r>
      <w:r>
        <w:rPr>
          <w:color w:val="auto"/>
        </w:rPr>
        <w:t>回填结束后</w:t>
      </w:r>
      <w:r>
        <w:rPr>
          <w:rFonts w:hint="eastAsia"/>
          <w:color w:val="auto"/>
        </w:rPr>
        <w:t>复垦</w:t>
      </w:r>
      <w:r>
        <w:rPr>
          <w:color w:val="auto"/>
        </w:rPr>
        <w:t>为</w:t>
      </w:r>
      <w:r>
        <w:rPr>
          <w:rFonts w:hint="eastAsia"/>
          <w:color w:val="auto"/>
          <w:lang w:eastAsia="zh-CN"/>
        </w:rPr>
        <w:t>乔木林地、旱地</w:t>
      </w:r>
      <w:r>
        <w:rPr>
          <w:color w:val="auto"/>
        </w:rPr>
        <w:t>，</w:t>
      </w:r>
      <w:r>
        <w:rPr>
          <w:rFonts w:hint="eastAsia"/>
          <w:color w:val="auto"/>
        </w:rPr>
        <w:t>土地</w:t>
      </w:r>
      <w:r>
        <w:rPr>
          <w:color w:val="auto"/>
        </w:rPr>
        <w:t>复垦实施过程需满足</w:t>
      </w:r>
      <w:r>
        <w:rPr>
          <w:rFonts w:hint="eastAsia"/>
          <w:color w:val="auto"/>
        </w:rPr>
        <w:t>《土地复垦质量控制标准》（TD/T1036-2013）。</w:t>
      </w:r>
    </w:p>
    <w:p w14:paraId="1B39D557">
      <w:pPr>
        <w:pStyle w:val="137"/>
        <w:rPr>
          <w:color w:val="auto"/>
        </w:rPr>
      </w:pPr>
      <w:r>
        <w:rPr>
          <w:color w:val="auto"/>
        </w:rPr>
        <w:t>2.5.2.污染物排放标准</w:t>
      </w:r>
    </w:p>
    <w:p w14:paraId="4ED9C898">
      <w:pPr>
        <w:pStyle w:val="59"/>
        <w:ind w:firstLine="480"/>
        <w:rPr>
          <w:color w:val="auto"/>
        </w:rPr>
      </w:pPr>
      <w:r>
        <w:rPr>
          <w:color w:val="auto"/>
        </w:rPr>
        <w:t>1、废气</w:t>
      </w:r>
    </w:p>
    <w:p w14:paraId="1CFA2D9B">
      <w:pPr>
        <w:pStyle w:val="59"/>
        <w:ind w:firstLine="480"/>
        <w:rPr>
          <w:color w:val="auto"/>
        </w:rPr>
      </w:pPr>
      <w:r>
        <w:rPr>
          <w:color w:val="auto"/>
        </w:rPr>
        <w:t>施工期施工场地扬尘及</w:t>
      </w:r>
      <w:r>
        <w:rPr>
          <w:rFonts w:hint="eastAsia"/>
          <w:color w:val="auto"/>
        </w:rPr>
        <w:t>回填复垦期</w:t>
      </w:r>
      <w:r>
        <w:rPr>
          <w:color w:val="auto"/>
        </w:rPr>
        <w:t>项目无组织排放颗粒物排放执行《大气污染物综合排放标准》（GB16297-1996）表2无组织排放监控浓度限值要求。</w:t>
      </w:r>
    </w:p>
    <w:p w14:paraId="2B3CB9CD">
      <w:pPr>
        <w:pStyle w:val="76"/>
        <w:rPr>
          <w:color w:val="auto"/>
        </w:rPr>
      </w:pPr>
      <w:r>
        <w:rPr>
          <w:color w:val="auto"/>
        </w:rPr>
        <w:t>表2-5-6《大气污染物综合排放标准》（GB16297-1996）表2要求</w:t>
      </w:r>
    </w:p>
    <w:tbl>
      <w:tblPr>
        <w:tblStyle w:val="45"/>
        <w:tblW w:w="8390"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088"/>
        <w:gridCol w:w="3978"/>
        <w:gridCol w:w="2324"/>
      </w:tblGrid>
      <w:tr w14:paraId="51F3D2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00" w:hRule="atLeast"/>
          <w:jc w:val="center"/>
        </w:trPr>
        <w:tc>
          <w:tcPr>
            <w:tcW w:w="2088" w:type="dxa"/>
            <w:vMerge w:val="restart"/>
            <w:vAlign w:val="center"/>
          </w:tcPr>
          <w:p w14:paraId="6473BC51">
            <w:pPr>
              <w:spacing w:line="0" w:lineRule="atLeast"/>
              <w:jc w:val="center"/>
              <w:rPr>
                <w:color w:val="auto"/>
                <w:szCs w:val="21"/>
              </w:rPr>
            </w:pPr>
            <w:r>
              <w:rPr>
                <w:color w:val="auto"/>
                <w:szCs w:val="21"/>
              </w:rPr>
              <w:t>污染物</w:t>
            </w:r>
          </w:p>
        </w:tc>
        <w:tc>
          <w:tcPr>
            <w:tcW w:w="6302" w:type="dxa"/>
            <w:gridSpan w:val="2"/>
            <w:vAlign w:val="center"/>
          </w:tcPr>
          <w:p w14:paraId="5C464FDE">
            <w:pPr>
              <w:spacing w:line="0" w:lineRule="atLeast"/>
              <w:jc w:val="center"/>
              <w:rPr>
                <w:color w:val="auto"/>
                <w:szCs w:val="21"/>
              </w:rPr>
            </w:pPr>
            <w:r>
              <w:rPr>
                <w:color w:val="auto"/>
                <w:szCs w:val="21"/>
              </w:rPr>
              <w:t>无组织排放监控浓度限值（mg/m</w:t>
            </w:r>
            <w:r>
              <w:rPr>
                <w:color w:val="auto"/>
                <w:szCs w:val="21"/>
                <w:vertAlign w:val="superscript"/>
              </w:rPr>
              <w:t>3</w:t>
            </w:r>
            <w:r>
              <w:rPr>
                <w:color w:val="auto"/>
                <w:szCs w:val="21"/>
              </w:rPr>
              <w:t>）</w:t>
            </w:r>
          </w:p>
        </w:tc>
      </w:tr>
      <w:tr w14:paraId="1240C5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63" w:hRule="atLeast"/>
          <w:jc w:val="center"/>
        </w:trPr>
        <w:tc>
          <w:tcPr>
            <w:tcW w:w="2088" w:type="dxa"/>
            <w:vMerge w:val="continue"/>
            <w:vAlign w:val="center"/>
          </w:tcPr>
          <w:p w14:paraId="69A882A8">
            <w:pPr>
              <w:spacing w:line="0" w:lineRule="atLeast"/>
              <w:jc w:val="center"/>
              <w:rPr>
                <w:color w:val="auto"/>
                <w:szCs w:val="21"/>
              </w:rPr>
            </w:pPr>
          </w:p>
        </w:tc>
        <w:tc>
          <w:tcPr>
            <w:tcW w:w="3978" w:type="dxa"/>
            <w:vAlign w:val="center"/>
          </w:tcPr>
          <w:p w14:paraId="7AEA8D42">
            <w:pPr>
              <w:spacing w:line="0" w:lineRule="atLeast"/>
              <w:jc w:val="center"/>
              <w:rPr>
                <w:color w:val="auto"/>
                <w:szCs w:val="21"/>
              </w:rPr>
            </w:pPr>
            <w:r>
              <w:rPr>
                <w:color w:val="auto"/>
                <w:szCs w:val="21"/>
              </w:rPr>
              <w:t>监控点</w:t>
            </w:r>
          </w:p>
        </w:tc>
        <w:tc>
          <w:tcPr>
            <w:tcW w:w="2324" w:type="dxa"/>
            <w:vAlign w:val="center"/>
          </w:tcPr>
          <w:p w14:paraId="3C00A12F">
            <w:pPr>
              <w:spacing w:line="0" w:lineRule="atLeast"/>
              <w:jc w:val="center"/>
              <w:rPr>
                <w:color w:val="auto"/>
                <w:szCs w:val="21"/>
              </w:rPr>
            </w:pPr>
            <w:r>
              <w:rPr>
                <w:color w:val="auto"/>
                <w:szCs w:val="21"/>
              </w:rPr>
              <w:t>浓度</w:t>
            </w:r>
          </w:p>
        </w:tc>
      </w:tr>
      <w:tr w14:paraId="5ED324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236" w:hRule="atLeast"/>
          <w:jc w:val="center"/>
        </w:trPr>
        <w:tc>
          <w:tcPr>
            <w:tcW w:w="2088" w:type="dxa"/>
            <w:vAlign w:val="center"/>
          </w:tcPr>
          <w:p w14:paraId="5FE44A25">
            <w:pPr>
              <w:spacing w:line="0" w:lineRule="atLeast"/>
              <w:jc w:val="center"/>
              <w:rPr>
                <w:color w:val="auto"/>
                <w:szCs w:val="21"/>
              </w:rPr>
            </w:pPr>
            <w:r>
              <w:rPr>
                <w:color w:val="auto"/>
                <w:szCs w:val="21"/>
              </w:rPr>
              <w:t>颗粒物</w:t>
            </w:r>
          </w:p>
        </w:tc>
        <w:tc>
          <w:tcPr>
            <w:tcW w:w="3978" w:type="dxa"/>
            <w:vAlign w:val="center"/>
          </w:tcPr>
          <w:p w14:paraId="466BB6B6">
            <w:pPr>
              <w:spacing w:line="0" w:lineRule="atLeast"/>
              <w:jc w:val="center"/>
              <w:rPr>
                <w:color w:val="auto"/>
                <w:szCs w:val="21"/>
              </w:rPr>
            </w:pPr>
            <w:r>
              <w:rPr>
                <w:color w:val="auto"/>
                <w:szCs w:val="21"/>
              </w:rPr>
              <w:t>周围外浓度最高点</w:t>
            </w:r>
          </w:p>
        </w:tc>
        <w:tc>
          <w:tcPr>
            <w:tcW w:w="2324" w:type="dxa"/>
            <w:vAlign w:val="center"/>
          </w:tcPr>
          <w:p w14:paraId="1FE15A9D">
            <w:pPr>
              <w:spacing w:line="0" w:lineRule="atLeast"/>
              <w:jc w:val="center"/>
              <w:rPr>
                <w:color w:val="auto"/>
                <w:szCs w:val="21"/>
              </w:rPr>
            </w:pPr>
            <w:r>
              <w:rPr>
                <w:color w:val="auto"/>
                <w:szCs w:val="21"/>
              </w:rPr>
              <w:t>1.0</w:t>
            </w:r>
          </w:p>
        </w:tc>
      </w:tr>
    </w:tbl>
    <w:p w14:paraId="0541F731">
      <w:pPr>
        <w:pStyle w:val="59"/>
        <w:ind w:firstLine="480"/>
        <w:rPr>
          <w:color w:val="auto"/>
        </w:rPr>
      </w:pPr>
      <w:r>
        <w:rPr>
          <w:color w:val="auto"/>
        </w:rPr>
        <w:t>2、水污染物排放标准</w:t>
      </w:r>
    </w:p>
    <w:p w14:paraId="5AF70D93">
      <w:pPr>
        <w:pStyle w:val="59"/>
        <w:ind w:firstLine="480"/>
        <w:rPr>
          <w:color w:val="auto"/>
        </w:rPr>
      </w:pPr>
      <w:r>
        <w:rPr>
          <w:color w:val="auto"/>
        </w:rPr>
        <w:t>（1）施工期</w:t>
      </w:r>
    </w:p>
    <w:p w14:paraId="143E8125">
      <w:pPr>
        <w:pStyle w:val="59"/>
        <w:ind w:firstLine="480"/>
        <w:rPr>
          <w:color w:val="auto"/>
        </w:rPr>
      </w:pPr>
      <w:r>
        <w:rPr>
          <w:color w:val="auto"/>
        </w:rPr>
        <w:t>项目施工期</w:t>
      </w:r>
      <w:r>
        <w:rPr>
          <w:bCs/>
          <w:color w:val="auto"/>
        </w:rPr>
        <w:t>员工</w:t>
      </w:r>
      <w:r>
        <w:rPr>
          <w:rFonts w:hint="eastAsia"/>
          <w:bCs/>
          <w:color w:val="auto"/>
        </w:rPr>
        <w:t>生活污水</w:t>
      </w:r>
      <w:r>
        <w:rPr>
          <w:bCs/>
          <w:color w:val="auto"/>
        </w:rPr>
        <w:t>排入依托租赁的民房配套的防渗旱厕，定期清掏，外运堆肥</w:t>
      </w:r>
      <w:r>
        <w:rPr>
          <w:color w:val="auto"/>
        </w:rPr>
        <w:t>。本项目不设预制场和拌合场，</w:t>
      </w:r>
      <w:r>
        <w:rPr>
          <w:rFonts w:hint="eastAsia"/>
          <w:color w:val="auto"/>
        </w:rPr>
        <w:t>施工</w:t>
      </w:r>
      <w:r>
        <w:rPr>
          <w:color w:val="auto"/>
        </w:rPr>
        <w:t>废水用于厂区内洒水降尘，不外排。</w:t>
      </w:r>
    </w:p>
    <w:p w14:paraId="18BADD5B">
      <w:pPr>
        <w:pStyle w:val="59"/>
        <w:ind w:firstLine="480"/>
        <w:rPr>
          <w:color w:val="auto"/>
        </w:rPr>
      </w:pPr>
      <w:r>
        <w:rPr>
          <w:color w:val="auto"/>
        </w:rPr>
        <w:t>（2）</w:t>
      </w:r>
      <w:r>
        <w:rPr>
          <w:rFonts w:hint="eastAsia"/>
          <w:color w:val="auto"/>
        </w:rPr>
        <w:t>回填复垦期</w:t>
      </w:r>
    </w:p>
    <w:p w14:paraId="1B1403C7">
      <w:pPr>
        <w:pStyle w:val="59"/>
        <w:ind w:firstLine="480"/>
        <w:rPr>
          <w:color w:val="auto"/>
        </w:rPr>
      </w:pPr>
      <w:r>
        <w:rPr>
          <w:color w:val="auto"/>
        </w:rPr>
        <w:t>产生废水为</w:t>
      </w:r>
      <w:r>
        <w:rPr>
          <w:rFonts w:hint="eastAsia"/>
          <w:bCs/>
          <w:color w:val="auto"/>
        </w:rPr>
        <w:t>生活污水、</w:t>
      </w:r>
      <w:r>
        <w:rPr>
          <w:rFonts w:hint="eastAsia"/>
          <w:color w:val="auto"/>
        </w:rPr>
        <w:t>淋溶水</w:t>
      </w:r>
      <w:r>
        <w:rPr>
          <w:color w:val="auto"/>
        </w:rPr>
        <w:t>、径流</w:t>
      </w:r>
      <w:r>
        <w:rPr>
          <w:rFonts w:hint="eastAsia"/>
          <w:color w:val="auto"/>
        </w:rPr>
        <w:t>雨</w:t>
      </w:r>
      <w:r>
        <w:rPr>
          <w:color w:val="auto"/>
        </w:rPr>
        <w:t>水。</w:t>
      </w:r>
    </w:p>
    <w:p w14:paraId="1D10C182">
      <w:pPr>
        <w:pStyle w:val="59"/>
        <w:ind w:firstLine="480"/>
        <w:rPr>
          <w:color w:val="auto"/>
        </w:rPr>
      </w:pPr>
      <w:r>
        <w:rPr>
          <w:color w:val="auto"/>
        </w:rPr>
        <w:t>本项目</w:t>
      </w:r>
      <w:r>
        <w:rPr>
          <w:bCs/>
          <w:color w:val="auto"/>
        </w:rPr>
        <w:t>员工</w:t>
      </w:r>
      <w:r>
        <w:rPr>
          <w:rFonts w:hint="eastAsia"/>
          <w:bCs/>
          <w:color w:val="auto"/>
        </w:rPr>
        <w:t>生活污水</w:t>
      </w:r>
      <w:r>
        <w:rPr>
          <w:bCs/>
          <w:color w:val="auto"/>
        </w:rPr>
        <w:t>排入依托租赁的民房配套的防渗旱厕，定期清掏，外运堆肥；</w:t>
      </w:r>
      <w:r>
        <w:rPr>
          <w:color w:val="auto"/>
        </w:rPr>
        <w:t>本工程在</w:t>
      </w:r>
      <w:r>
        <w:rPr>
          <w:rFonts w:hint="eastAsia"/>
          <w:color w:val="auto"/>
        </w:rPr>
        <w:t>回填区四周</w:t>
      </w:r>
      <w:r>
        <w:rPr>
          <w:color w:val="auto"/>
        </w:rPr>
        <w:t>设置排水沟，未受污染的雨水沿坡面流进排水沟，最终排入厂区</w:t>
      </w:r>
      <w:r>
        <w:rPr>
          <w:rFonts w:hint="eastAsia"/>
          <w:color w:val="auto"/>
        </w:rPr>
        <w:t>东北</w:t>
      </w:r>
      <w:r>
        <w:rPr>
          <w:color w:val="auto"/>
        </w:rPr>
        <w:t>侧自然冲沟</w:t>
      </w:r>
      <w:r>
        <w:rPr>
          <w:rFonts w:hint="eastAsia"/>
          <w:color w:val="auto"/>
        </w:rPr>
        <w:t>；淋溶水</w:t>
      </w:r>
      <w:r>
        <w:rPr>
          <w:color w:val="auto"/>
        </w:rPr>
        <w:t>经导排系统输送至</w:t>
      </w:r>
      <w:r>
        <w:rPr>
          <w:rFonts w:hint="eastAsia"/>
          <w:color w:val="auto"/>
        </w:rPr>
        <w:t>淋溶水</w:t>
      </w:r>
      <w:r>
        <w:rPr>
          <w:color w:val="auto"/>
        </w:rPr>
        <w:t>暂存池，混凝沉淀后</w:t>
      </w:r>
      <w:r>
        <w:rPr>
          <w:rFonts w:hint="eastAsia"/>
          <w:bCs/>
          <w:iCs/>
          <w:color w:val="auto"/>
        </w:rPr>
        <w:t>回用于项目区洒水抑尘使用，不外排</w:t>
      </w:r>
      <w:r>
        <w:rPr>
          <w:color w:val="auto"/>
        </w:rPr>
        <w:t>。</w:t>
      </w:r>
    </w:p>
    <w:p w14:paraId="3A729005">
      <w:pPr>
        <w:pStyle w:val="59"/>
        <w:ind w:firstLine="480"/>
        <w:rPr>
          <w:color w:val="auto"/>
        </w:rPr>
      </w:pPr>
      <w:r>
        <w:rPr>
          <w:color w:val="auto"/>
        </w:rPr>
        <w:t>3、噪声排放标准</w:t>
      </w:r>
    </w:p>
    <w:p w14:paraId="51850EE6">
      <w:pPr>
        <w:pStyle w:val="59"/>
        <w:ind w:firstLine="480"/>
        <w:rPr>
          <w:color w:val="auto"/>
        </w:rPr>
      </w:pPr>
      <w:r>
        <w:rPr>
          <w:color w:val="auto"/>
        </w:rPr>
        <w:t>（1）施工期</w:t>
      </w:r>
    </w:p>
    <w:p w14:paraId="1BC6F4DA">
      <w:pPr>
        <w:pStyle w:val="59"/>
        <w:ind w:firstLine="480"/>
        <w:rPr>
          <w:color w:val="auto"/>
        </w:rPr>
      </w:pPr>
      <w:r>
        <w:rPr>
          <w:color w:val="auto"/>
        </w:rPr>
        <w:t>本项目施工期噪声执行</w:t>
      </w:r>
      <w:r>
        <w:rPr>
          <w:rFonts w:hint="eastAsia"/>
          <w:color w:val="auto"/>
          <w:lang w:eastAsia="zh-CN"/>
        </w:rPr>
        <w:t>《建筑施工噪声排放标准》（GB12523-2025）</w:t>
      </w:r>
      <w:r>
        <w:rPr>
          <w:color w:val="auto"/>
        </w:rPr>
        <w:t>。</w:t>
      </w:r>
    </w:p>
    <w:p w14:paraId="4F6BD578">
      <w:pPr>
        <w:pStyle w:val="76"/>
        <w:rPr>
          <w:color w:val="auto"/>
        </w:rPr>
      </w:pPr>
      <w:r>
        <w:rPr>
          <w:color w:val="auto"/>
        </w:rPr>
        <w:t>表2-5-7</w:t>
      </w:r>
      <w:r>
        <w:rPr>
          <w:rFonts w:hint="eastAsia"/>
          <w:color w:val="auto"/>
          <w:lang w:eastAsia="zh-CN"/>
        </w:rPr>
        <w:t>《建筑施工噪声排放标准》（GB12523-2025）</w:t>
      </w:r>
      <w:r>
        <w:rPr>
          <w:color w:val="auto"/>
        </w:rPr>
        <w:t>单位：dB(A)</w:t>
      </w:r>
    </w:p>
    <w:tbl>
      <w:tblPr>
        <w:tblStyle w:val="45"/>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00"/>
        <w:gridCol w:w="4500"/>
      </w:tblGrid>
      <w:tr w14:paraId="2E47AB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0" w:hRule="atLeast"/>
        </w:trPr>
        <w:tc>
          <w:tcPr>
            <w:tcW w:w="4500" w:type="dxa"/>
            <w:vAlign w:val="center"/>
          </w:tcPr>
          <w:p w14:paraId="7ECF5A91">
            <w:pPr>
              <w:spacing w:line="0" w:lineRule="atLeast"/>
              <w:jc w:val="center"/>
              <w:rPr>
                <w:color w:val="auto"/>
                <w:szCs w:val="21"/>
              </w:rPr>
            </w:pPr>
            <w:r>
              <w:rPr>
                <w:color w:val="auto"/>
                <w:szCs w:val="21"/>
              </w:rPr>
              <w:t>昼间</w:t>
            </w:r>
          </w:p>
        </w:tc>
        <w:tc>
          <w:tcPr>
            <w:tcW w:w="4500" w:type="dxa"/>
            <w:vAlign w:val="center"/>
          </w:tcPr>
          <w:p w14:paraId="7D8EC0EE">
            <w:pPr>
              <w:spacing w:line="0" w:lineRule="atLeast"/>
              <w:jc w:val="center"/>
              <w:rPr>
                <w:color w:val="auto"/>
                <w:szCs w:val="21"/>
              </w:rPr>
            </w:pPr>
            <w:r>
              <w:rPr>
                <w:color w:val="auto"/>
                <w:szCs w:val="21"/>
              </w:rPr>
              <w:t>夜间</w:t>
            </w:r>
          </w:p>
        </w:tc>
      </w:tr>
      <w:tr w14:paraId="3B788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4500" w:type="dxa"/>
            <w:vAlign w:val="center"/>
          </w:tcPr>
          <w:p w14:paraId="6FBE527D">
            <w:pPr>
              <w:spacing w:line="0" w:lineRule="atLeast"/>
              <w:jc w:val="center"/>
              <w:rPr>
                <w:color w:val="auto"/>
                <w:szCs w:val="21"/>
              </w:rPr>
            </w:pPr>
            <w:r>
              <w:rPr>
                <w:color w:val="auto"/>
                <w:szCs w:val="21"/>
              </w:rPr>
              <w:t>70</w:t>
            </w:r>
          </w:p>
        </w:tc>
        <w:tc>
          <w:tcPr>
            <w:tcW w:w="4500" w:type="dxa"/>
            <w:vAlign w:val="center"/>
          </w:tcPr>
          <w:p w14:paraId="23430E45">
            <w:pPr>
              <w:spacing w:line="0" w:lineRule="atLeast"/>
              <w:jc w:val="center"/>
              <w:rPr>
                <w:color w:val="auto"/>
                <w:szCs w:val="21"/>
              </w:rPr>
            </w:pPr>
            <w:r>
              <w:rPr>
                <w:color w:val="auto"/>
                <w:szCs w:val="21"/>
              </w:rPr>
              <w:t>55</w:t>
            </w:r>
          </w:p>
        </w:tc>
      </w:tr>
    </w:tbl>
    <w:p w14:paraId="1F10C9C2">
      <w:pPr>
        <w:spacing w:line="500" w:lineRule="atLeast"/>
        <w:ind w:firstLine="424" w:firstLineChars="177"/>
        <w:rPr>
          <w:color w:val="auto"/>
          <w:sz w:val="24"/>
        </w:rPr>
      </w:pPr>
      <w:r>
        <w:rPr>
          <w:color w:val="auto"/>
          <w:sz w:val="24"/>
        </w:rPr>
        <w:t>（2）</w:t>
      </w:r>
      <w:r>
        <w:rPr>
          <w:rFonts w:hint="eastAsia"/>
          <w:color w:val="auto"/>
          <w:sz w:val="24"/>
        </w:rPr>
        <w:t>回填复垦期</w:t>
      </w:r>
    </w:p>
    <w:p w14:paraId="77095AD9">
      <w:pPr>
        <w:spacing w:line="500" w:lineRule="atLeast"/>
        <w:ind w:firstLine="424" w:firstLineChars="177"/>
        <w:rPr>
          <w:color w:val="auto"/>
          <w:sz w:val="24"/>
        </w:rPr>
      </w:pPr>
      <w:r>
        <w:rPr>
          <w:color w:val="auto"/>
          <w:sz w:val="24"/>
        </w:rPr>
        <w:t>本项目</w:t>
      </w:r>
      <w:r>
        <w:rPr>
          <w:rFonts w:hint="eastAsia"/>
          <w:bCs/>
          <w:color w:val="auto"/>
          <w:sz w:val="24"/>
        </w:rPr>
        <w:t>回填复垦期</w:t>
      </w:r>
      <w:r>
        <w:rPr>
          <w:bCs/>
          <w:color w:val="auto"/>
          <w:sz w:val="24"/>
        </w:rPr>
        <w:t>厂界执行《工业企业厂界环境噪声排放标准》(GB12348-2008)表1中</w:t>
      </w:r>
      <w:r>
        <w:rPr>
          <w:rFonts w:hint="eastAsia"/>
          <w:bCs/>
          <w:color w:val="auto"/>
          <w:sz w:val="24"/>
        </w:rPr>
        <w:t>1</w:t>
      </w:r>
      <w:r>
        <w:rPr>
          <w:bCs/>
          <w:color w:val="auto"/>
          <w:sz w:val="24"/>
        </w:rPr>
        <w:t>类标准</w:t>
      </w:r>
      <w:r>
        <w:rPr>
          <w:color w:val="auto"/>
          <w:sz w:val="24"/>
        </w:rPr>
        <w:t>。</w:t>
      </w:r>
    </w:p>
    <w:p w14:paraId="1C339D5D">
      <w:pPr>
        <w:pStyle w:val="76"/>
        <w:rPr>
          <w:color w:val="auto"/>
        </w:rPr>
      </w:pPr>
      <w:r>
        <w:rPr>
          <w:color w:val="auto"/>
        </w:rPr>
        <w:t>表2-5-8噪声排放标准  单位：dB(A)</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598"/>
        <w:gridCol w:w="1002"/>
        <w:gridCol w:w="1419"/>
        <w:gridCol w:w="1258"/>
        <w:gridCol w:w="3749"/>
      </w:tblGrid>
      <w:tr w14:paraId="735B69C5">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36" w:hRule="exact"/>
          <w:jc w:val="center"/>
        </w:trPr>
        <w:tc>
          <w:tcPr>
            <w:tcW w:w="885" w:type="pct"/>
            <w:vAlign w:val="center"/>
          </w:tcPr>
          <w:p w14:paraId="6D478F6E">
            <w:pPr>
              <w:adjustRightInd w:val="0"/>
              <w:snapToGrid w:val="0"/>
              <w:spacing w:line="0" w:lineRule="atLeast"/>
              <w:jc w:val="center"/>
              <w:rPr>
                <w:bCs/>
                <w:color w:val="auto"/>
                <w:szCs w:val="21"/>
              </w:rPr>
            </w:pPr>
            <w:r>
              <w:rPr>
                <w:bCs/>
                <w:color w:val="auto"/>
                <w:szCs w:val="21"/>
              </w:rPr>
              <w:t>时段</w:t>
            </w:r>
          </w:p>
        </w:tc>
        <w:tc>
          <w:tcPr>
            <w:tcW w:w="555" w:type="pct"/>
            <w:vAlign w:val="center"/>
          </w:tcPr>
          <w:p w14:paraId="2FCCF30E">
            <w:pPr>
              <w:adjustRightInd w:val="0"/>
              <w:snapToGrid w:val="0"/>
              <w:spacing w:line="0" w:lineRule="atLeast"/>
              <w:jc w:val="center"/>
              <w:rPr>
                <w:bCs/>
                <w:color w:val="auto"/>
                <w:szCs w:val="21"/>
              </w:rPr>
            </w:pPr>
            <w:r>
              <w:rPr>
                <w:bCs/>
                <w:color w:val="auto"/>
                <w:szCs w:val="21"/>
              </w:rPr>
              <w:t>单位</w:t>
            </w:r>
          </w:p>
        </w:tc>
        <w:tc>
          <w:tcPr>
            <w:tcW w:w="786" w:type="pct"/>
            <w:vAlign w:val="center"/>
          </w:tcPr>
          <w:p w14:paraId="57F014CB">
            <w:pPr>
              <w:adjustRightInd w:val="0"/>
              <w:snapToGrid w:val="0"/>
              <w:spacing w:line="0" w:lineRule="atLeast"/>
              <w:jc w:val="center"/>
              <w:rPr>
                <w:bCs/>
                <w:color w:val="auto"/>
                <w:szCs w:val="21"/>
              </w:rPr>
            </w:pPr>
            <w:r>
              <w:rPr>
                <w:bCs/>
                <w:color w:val="auto"/>
                <w:szCs w:val="21"/>
              </w:rPr>
              <w:t>昼间</w:t>
            </w:r>
          </w:p>
        </w:tc>
        <w:tc>
          <w:tcPr>
            <w:tcW w:w="697" w:type="pct"/>
            <w:vAlign w:val="center"/>
          </w:tcPr>
          <w:p w14:paraId="43764DCB">
            <w:pPr>
              <w:adjustRightInd w:val="0"/>
              <w:snapToGrid w:val="0"/>
              <w:spacing w:line="0" w:lineRule="atLeast"/>
              <w:jc w:val="center"/>
              <w:rPr>
                <w:bCs/>
                <w:color w:val="auto"/>
                <w:szCs w:val="21"/>
              </w:rPr>
            </w:pPr>
            <w:r>
              <w:rPr>
                <w:bCs/>
                <w:color w:val="auto"/>
                <w:szCs w:val="21"/>
              </w:rPr>
              <w:t>夜间</w:t>
            </w:r>
          </w:p>
        </w:tc>
        <w:tc>
          <w:tcPr>
            <w:tcW w:w="2077" w:type="pct"/>
          </w:tcPr>
          <w:p w14:paraId="17FDC273">
            <w:pPr>
              <w:adjustRightInd w:val="0"/>
              <w:snapToGrid w:val="0"/>
              <w:spacing w:line="0" w:lineRule="atLeast"/>
              <w:jc w:val="center"/>
              <w:rPr>
                <w:bCs/>
                <w:color w:val="auto"/>
                <w:szCs w:val="21"/>
              </w:rPr>
            </w:pPr>
            <w:r>
              <w:rPr>
                <w:bCs/>
                <w:color w:val="auto"/>
                <w:szCs w:val="21"/>
              </w:rPr>
              <w:t>标准来源</w:t>
            </w:r>
          </w:p>
        </w:tc>
      </w:tr>
      <w:tr w14:paraId="5C1684D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540" w:hRule="exact"/>
          <w:jc w:val="center"/>
        </w:trPr>
        <w:tc>
          <w:tcPr>
            <w:tcW w:w="885" w:type="pct"/>
            <w:vAlign w:val="center"/>
          </w:tcPr>
          <w:p w14:paraId="7540BC1C">
            <w:pPr>
              <w:adjustRightInd w:val="0"/>
              <w:snapToGrid w:val="0"/>
              <w:spacing w:line="0" w:lineRule="atLeast"/>
              <w:jc w:val="center"/>
              <w:rPr>
                <w:bCs/>
                <w:color w:val="auto"/>
                <w:szCs w:val="21"/>
              </w:rPr>
            </w:pPr>
            <w:r>
              <w:rPr>
                <w:rFonts w:hint="eastAsia"/>
                <w:bCs/>
                <w:color w:val="auto"/>
                <w:szCs w:val="21"/>
              </w:rPr>
              <w:t>回填复垦期</w:t>
            </w:r>
          </w:p>
        </w:tc>
        <w:tc>
          <w:tcPr>
            <w:tcW w:w="555" w:type="pct"/>
            <w:vAlign w:val="center"/>
          </w:tcPr>
          <w:p w14:paraId="2477A6BE">
            <w:pPr>
              <w:adjustRightInd w:val="0"/>
              <w:snapToGrid w:val="0"/>
              <w:spacing w:line="0" w:lineRule="atLeast"/>
              <w:jc w:val="center"/>
              <w:rPr>
                <w:bCs/>
                <w:color w:val="auto"/>
                <w:szCs w:val="21"/>
              </w:rPr>
            </w:pPr>
            <w:r>
              <w:rPr>
                <w:bCs/>
                <w:color w:val="auto"/>
                <w:szCs w:val="21"/>
              </w:rPr>
              <w:t>dB(A)</w:t>
            </w:r>
          </w:p>
        </w:tc>
        <w:tc>
          <w:tcPr>
            <w:tcW w:w="786" w:type="pct"/>
            <w:vAlign w:val="center"/>
          </w:tcPr>
          <w:p w14:paraId="7375709D">
            <w:pPr>
              <w:adjustRightInd w:val="0"/>
              <w:snapToGrid w:val="0"/>
              <w:spacing w:line="0" w:lineRule="atLeast"/>
              <w:jc w:val="center"/>
              <w:rPr>
                <w:bCs/>
                <w:color w:val="auto"/>
                <w:szCs w:val="21"/>
              </w:rPr>
            </w:pPr>
            <w:r>
              <w:rPr>
                <w:bCs/>
                <w:color w:val="auto"/>
                <w:szCs w:val="21"/>
              </w:rPr>
              <w:t>55</w:t>
            </w:r>
          </w:p>
        </w:tc>
        <w:tc>
          <w:tcPr>
            <w:tcW w:w="697" w:type="pct"/>
            <w:vAlign w:val="center"/>
          </w:tcPr>
          <w:p w14:paraId="1C5A133D">
            <w:pPr>
              <w:adjustRightInd w:val="0"/>
              <w:snapToGrid w:val="0"/>
              <w:spacing w:line="0" w:lineRule="atLeast"/>
              <w:jc w:val="center"/>
              <w:rPr>
                <w:bCs/>
                <w:color w:val="auto"/>
                <w:szCs w:val="21"/>
              </w:rPr>
            </w:pPr>
            <w:r>
              <w:rPr>
                <w:bCs/>
                <w:color w:val="auto"/>
                <w:szCs w:val="21"/>
              </w:rPr>
              <w:t>45</w:t>
            </w:r>
          </w:p>
        </w:tc>
        <w:tc>
          <w:tcPr>
            <w:tcW w:w="2077" w:type="pct"/>
            <w:vAlign w:val="center"/>
          </w:tcPr>
          <w:p w14:paraId="6C1DB634">
            <w:pPr>
              <w:adjustRightInd w:val="0"/>
              <w:snapToGrid w:val="0"/>
              <w:spacing w:line="0" w:lineRule="atLeast"/>
              <w:jc w:val="center"/>
              <w:rPr>
                <w:bCs/>
                <w:color w:val="auto"/>
                <w:szCs w:val="21"/>
              </w:rPr>
            </w:pPr>
            <w:r>
              <w:rPr>
                <w:bCs/>
                <w:color w:val="auto"/>
                <w:szCs w:val="21"/>
              </w:rPr>
              <w:t>《工业企业厂界环境噪声排放标准》(GB12348-2008)</w:t>
            </w:r>
          </w:p>
        </w:tc>
      </w:tr>
    </w:tbl>
    <w:p w14:paraId="57029B4C">
      <w:pPr>
        <w:spacing w:line="360" w:lineRule="auto"/>
        <w:ind w:firstLine="480" w:firstLineChars="200"/>
        <w:rPr>
          <w:color w:val="auto"/>
          <w:sz w:val="24"/>
        </w:rPr>
      </w:pPr>
      <w:r>
        <w:rPr>
          <w:color w:val="auto"/>
          <w:sz w:val="24"/>
        </w:rPr>
        <w:t>4、固体废物</w:t>
      </w:r>
    </w:p>
    <w:p w14:paraId="7B42AE04">
      <w:pPr>
        <w:spacing w:line="360" w:lineRule="auto"/>
        <w:ind w:firstLine="480" w:firstLineChars="200"/>
        <w:rPr>
          <w:color w:val="auto"/>
          <w:sz w:val="24"/>
          <w:highlight w:val="none"/>
        </w:rPr>
      </w:pPr>
      <w:r>
        <w:rPr>
          <w:bCs/>
          <w:color w:val="auto"/>
          <w:sz w:val="24"/>
          <w:highlight w:val="none"/>
        </w:rPr>
        <w:t>本项目一般固体废物执行《一般工业固体废物贮存和填埋污染控制标准》（GB18599-2020）</w:t>
      </w:r>
      <w:r>
        <w:rPr>
          <w:color w:val="auto"/>
          <w:sz w:val="24"/>
          <w:highlight w:val="none"/>
        </w:rPr>
        <w:t>。</w:t>
      </w:r>
    </w:p>
    <w:p w14:paraId="35644496">
      <w:pPr>
        <w:pStyle w:val="548"/>
        <w:rPr>
          <w:color w:val="auto"/>
          <w:highlight w:val="none"/>
        </w:rPr>
      </w:pPr>
      <w:bookmarkStart w:id="51" w:name="_Toc119316792"/>
      <w:bookmarkStart w:id="52" w:name="_Toc149054196"/>
      <w:r>
        <w:rPr>
          <w:color w:val="auto"/>
          <w:highlight w:val="none"/>
        </w:rPr>
        <w:t>2.6评价工作等级</w:t>
      </w:r>
      <w:bookmarkEnd w:id="51"/>
      <w:bookmarkEnd w:id="52"/>
    </w:p>
    <w:p w14:paraId="4425318D">
      <w:pPr>
        <w:pStyle w:val="137"/>
        <w:rPr>
          <w:color w:val="auto"/>
          <w:highlight w:val="none"/>
        </w:rPr>
      </w:pPr>
      <w:bookmarkStart w:id="53" w:name="_Toc88900493"/>
      <w:bookmarkStart w:id="54" w:name="_Toc88968910"/>
      <w:bookmarkStart w:id="55" w:name="_Toc89231863"/>
      <w:bookmarkStart w:id="56" w:name="_Toc88969053"/>
      <w:r>
        <w:rPr>
          <w:color w:val="auto"/>
          <w:highlight w:val="none"/>
        </w:rPr>
        <w:t>2.6.1环境空气</w:t>
      </w:r>
    </w:p>
    <w:bookmarkEnd w:id="53"/>
    <w:bookmarkEnd w:id="54"/>
    <w:bookmarkEnd w:id="55"/>
    <w:bookmarkEnd w:id="56"/>
    <w:p w14:paraId="2DDEE27D">
      <w:pPr>
        <w:pStyle w:val="59"/>
        <w:ind w:firstLine="480"/>
        <w:rPr>
          <w:color w:val="auto"/>
          <w:highlight w:val="none"/>
        </w:rPr>
      </w:pPr>
      <w:r>
        <w:rPr>
          <w:color w:val="auto"/>
          <w:highlight w:val="none"/>
        </w:rPr>
        <w:t>依据《环境影响评价技术导则-大气环境》(HJ2.2-2018)中5.3节工作等级的确定方法，结合项目工程分析结果，选择正常排放的主要污染物及排放参数，采用附录A推荐模型中的AERSCREEN模式计算项目污染源的最大环境影响，然后按评价工作分级判据进行分级。</w:t>
      </w:r>
    </w:p>
    <w:p w14:paraId="0D0B0E7B">
      <w:pPr>
        <w:pStyle w:val="76"/>
        <w:rPr>
          <w:color w:val="auto"/>
          <w:highlight w:val="none"/>
        </w:rPr>
      </w:pPr>
      <w:r>
        <w:rPr>
          <w:color w:val="auto"/>
          <w:highlight w:val="none"/>
        </w:rPr>
        <w:t>表2-6-1大气评价等级确定表</w:t>
      </w:r>
    </w:p>
    <w:tbl>
      <w:tblPr>
        <w:tblStyle w:val="45"/>
        <w:tblW w:w="9079"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5424"/>
        <w:gridCol w:w="3655"/>
      </w:tblGrid>
      <w:tr w14:paraId="569A99D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7" w:hRule="atLeast"/>
          <w:jc w:val="center"/>
        </w:trPr>
        <w:tc>
          <w:tcPr>
            <w:tcW w:w="5424" w:type="dxa"/>
            <w:vAlign w:val="center"/>
          </w:tcPr>
          <w:p w14:paraId="14BC5735">
            <w:pPr>
              <w:jc w:val="center"/>
              <w:rPr>
                <w:snapToGrid w:val="0"/>
                <w:color w:val="auto"/>
                <w:kern w:val="0"/>
                <w:highlight w:val="none"/>
                <w:lang w:val="zh-CN"/>
              </w:rPr>
            </w:pPr>
            <w:r>
              <w:rPr>
                <w:snapToGrid w:val="0"/>
                <w:color w:val="auto"/>
                <w:kern w:val="0"/>
                <w:highlight w:val="none"/>
                <w:lang w:val="zh-CN"/>
              </w:rPr>
              <w:t>评价工作等级判据</w:t>
            </w:r>
          </w:p>
        </w:tc>
        <w:tc>
          <w:tcPr>
            <w:tcW w:w="3655" w:type="dxa"/>
            <w:vAlign w:val="center"/>
          </w:tcPr>
          <w:p w14:paraId="65DD068B">
            <w:pPr>
              <w:jc w:val="center"/>
              <w:rPr>
                <w:snapToGrid w:val="0"/>
                <w:color w:val="auto"/>
                <w:kern w:val="0"/>
                <w:highlight w:val="none"/>
                <w:lang w:val="zh-CN"/>
              </w:rPr>
            </w:pPr>
            <w:r>
              <w:rPr>
                <w:snapToGrid w:val="0"/>
                <w:color w:val="auto"/>
                <w:kern w:val="0"/>
                <w:highlight w:val="none"/>
                <w:lang w:val="zh-CN"/>
              </w:rPr>
              <w:t>评价工作等级</w:t>
            </w:r>
          </w:p>
        </w:tc>
      </w:tr>
      <w:tr w14:paraId="07AD2C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5424" w:type="dxa"/>
            <w:vAlign w:val="center"/>
          </w:tcPr>
          <w:p w14:paraId="78B04512">
            <w:pPr>
              <w:jc w:val="center"/>
              <w:rPr>
                <w:snapToGrid w:val="0"/>
                <w:color w:val="auto"/>
                <w:kern w:val="0"/>
                <w:highlight w:val="none"/>
                <w:lang w:val="zh-CN"/>
              </w:rPr>
            </w:pPr>
            <w:r>
              <w:rPr>
                <w:snapToGrid w:val="0"/>
                <w:color w:val="auto"/>
                <w:kern w:val="0"/>
                <w:highlight w:val="none"/>
                <w:lang w:val="zh-CN"/>
              </w:rPr>
              <w:t>P</w:t>
            </w:r>
            <w:r>
              <w:rPr>
                <w:snapToGrid w:val="0"/>
                <w:color w:val="auto"/>
                <w:kern w:val="0"/>
                <w:highlight w:val="none"/>
                <w:vertAlign w:val="subscript"/>
                <w:lang w:val="zh-CN"/>
              </w:rPr>
              <w:t>max</w:t>
            </w:r>
            <w:r>
              <w:rPr>
                <w:snapToGrid w:val="0"/>
                <w:color w:val="auto"/>
                <w:kern w:val="0"/>
                <w:highlight w:val="none"/>
                <w:lang w:val="zh-CN"/>
              </w:rPr>
              <w:t>≥10%</w:t>
            </w:r>
          </w:p>
        </w:tc>
        <w:tc>
          <w:tcPr>
            <w:tcW w:w="3655" w:type="dxa"/>
            <w:vAlign w:val="center"/>
          </w:tcPr>
          <w:p w14:paraId="51AFAC37">
            <w:pPr>
              <w:jc w:val="center"/>
              <w:rPr>
                <w:snapToGrid w:val="0"/>
                <w:color w:val="auto"/>
                <w:kern w:val="0"/>
                <w:highlight w:val="none"/>
                <w:lang w:val="zh-CN"/>
              </w:rPr>
            </w:pPr>
            <w:r>
              <w:rPr>
                <w:snapToGrid w:val="0"/>
                <w:color w:val="auto"/>
                <w:kern w:val="0"/>
                <w:highlight w:val="none"/>
                <w:lang w:val="zh-CN"/>
              </w:rPr>
              <w:t>一级</w:t>
            </w:r>
          </w:p>
        </w:tc>
      </w:tr>
      <w:tr w14:paraId="3672790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08" w:hRule="atLeast"/>
          <w:jc w:val="center"/>
        </w:trPr>
        <w:tc>
          <w:tcPr>
            <w:tcW w:w="5424" w:type="dxa"/>
            <w:vAlign w:val="center"/>
          </w:tcPr>
          <w:p w14:paraId="79E09AB3">
            <w:pPr>
              <w:jc w:val="center"/>
              <w:rPr>
                <w:snapToGrid w:val="0"/>
                <w:color w:val="auto"/>
                <w:kern w:val="0"/>
                <w:highlight w:val="none"/>
                <w:lang w:val="zh-CN"/>
              </w:rPr>
            </w:pPr>
            <w:r>
              <w:rPr>
                <w:snapToGrid w:val="0"/>
                <w:color w:val="auto"/>
                <w:kern w:val="0"/>
                <w:highlight w:val="none"/>
                <w:lang w:val="zh-CN"/>
              </w:rPr>
              <w:t>1%≤P</w:t>
            </w:r>
            <w:r>
              <w:rPr>
                <w:snapToGrid w:val="0"/>
                <w:color w:val="auto"/>
                <w:kern w:val="0"/>
                <w:highlight w:val="none"/>
                <w:vertAlign w:val="subscript"/>
                <w:lang w:val="zh-CN"/>
              </w:rPr>
              <w:t>max</w:t>
            </w:r>
            <w:r>
              <w:rPr>
                <w:snapToGrid w:val="0"/>
                <w:color w:val="auto"/>
                <w:kern w:val="0"/>
                <w:highlight w:val="none"/>
                <w:lang w:val="zh-CN"/>
              </w:rPr>
              <w:t>＜10%</w:t>
            </w:r>
          </w:p>
        </w:tc>
        <w:tc>
          <w:tcPr>
            <w:tcW w:w="3655" w:type="dxa"/>
            <w:vAlign w:val="center"/>
          </w:tcPr>
          <w:p w14:paraId="54916EC4">
            <w:pPr>
              <w:jc w:val="center"/>
              <w:rPr>
                <w:snapToGrid w:val="0"/>
                <w:color w:val="auto"/>
                <w:kern w:val="0"/>
                <w:highlight w:val="none"/>
                <w:lang w:val="zh-CN"/>
              </w:rPr>
            </w:pPr>
            <w:r>
              <w:rPr>
                <w:snapToGrid w:val="0"/>
                <w:color w:val="auto"/>
                <w:kern w:val="0"/>
                <w:highlight w:val="none"/>
                <w:lang w:val="zh-CN"/>
              </w:rPr>
              <w:t>二级</w:t>
            </w:r>
          </w:p>
        </w:tc>
      </w:tr>
      <w:tr w14:paraId="3D62BFE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37" w:hRule="atLeast"/>
          <w:jc w:val="center"/>
        </w:trPr>
        <w:tc>
          <w:tcPr>
            <w:tcW w:w="5424" w:type="dxa"/>
            <w:vAlign w:val="center"/>
          </w:tcPr>
          <w:p w14:paraId="7D6D697F">
            <w:pPr>
              <w:jc w:val="center"/>
              <w:rPr>
                <w:snapToGrid w:val="0"/>
                <w:color w:val="auto"/>
                <w:kern w:val="0"/>
                <w:highlight w:val="none"/>
                <w:lang w:val="zh-CN"/>
              </w:rPr>
            </w:pPr>
            <w:r>
              <w:rPr>
                <w:snapToGrid w:val="0"/>
                <w:color w:val="auto"/>
                <w:kern w:val="0"/>
                <w:highlight w:val="none"/>
                <w:lang w:val="zh-CN"/>
              </w:rPr>
              <w:t>P</w:t>
            </w:r>
            <w:r>
              <w:rPr>
                <w:snapToGrid w:val="0"/>
                <w:color w:val="auto"/>
                <w:kern w:val="0"/>
                <w:highlight w:val="none"/>
                <w:vertAlign w:val="subscript"/>
                <w:lang w:val="zh-CN"/>
              </w:rPr>
              <w:t>max</w:t>
            </w:r>
            <w:r>
              <w:rPr>
                <w:snapToGrid w:val="0"/>
                <w:color w:val="auto"/>
                <w:kern w:val="0"/>
                <w:highlight w:val="none"/>
                <w:lang w:val="zh-CN"/>
              </w:rPr>
              <w:t>＜1%</w:t>
            </w:r>
          </w:p>
        </w:tc>
        <w:tc>
          <w:tcPr>
            <w:tcW w:w="3655" w:type="dxa"/>
            <w:vAlign w:val="center"/>
          </w:tcPr>
          <w:p w14:paraId="1172A66F">
            <w:pPr>
              <w:jc w:val="center"/>
              <w:rPr>
                <w:snapToGrid w:val="0"/>
                <w:color w:val="auto"/>
                <w:kern w:val="0"/>
                <w:highlight w:val="none"/>
                <w:lang w:val="zh-CN"/>
              </w:rPr>
            </w:pPr>
            <w:r>
              <w:rPr>
                <w:snapToGrid w:val="0"/>
                <w:color w:val="auto"/>
                <w:kern w:val="0"/>
                <w:highlight w:val="none"/>
                <w:lang w:val="zh-CN"/>
              </w:rPr>
              <w:t>三级</w:t>
            </w:r>
          </w:p>
        </w:tc>
      </w:tr>
    </w:tbl>
    <w:p w14:paraId="7D25918C">
      <w:pPr>
        <w:pStyle w:val="59"/>
        <w:ind w:firstLine="480"/>
        <w:rPr>
          <w:color w:val="auto"/>
          <w:highlight w:val="none"/>
        </w:rPr>
      </w:pPr>
      <w:r>
        <w:rPr>
          <w:color w:val="auto"/>
          <w:highlight w:val="none"/>
        </w:rPr>
        <w:t>依据《环境影响评价技术导则 大气环境》(HJ2.2-2018)中最大地面浓度占标率P</w:t>
      </w:r>
      <w:r>
        <w:rPr>
          <w:i/>
          <w:color w:val="auto"/>
          <w:highlight w:val="none"/>
        </w:rPr>
        <w:t>i</w:t>
      </w:r>
      <w:r>
        <w:rPr>
          <w:color w:val="auto"/>
          <w:highlight w:val="none"/>
        </w:rPr>
        <w:t>定义如下：</w:t>
      </w:r>
    </w:p>
    <w:p w14:paraId="26C99ACB">
      <w:pPr>
        <w:spacing w:line="500" w:lineRule="exact"/>
        <w:ind w:firstLine="480" w:firstLineChars="200"/>
        <w:jc w:val="center"/>
        <w:rPr>
          <w:snapToGrid w:val="0"/>
          <w:color w:val="auto"/>
          <w:kern w:val="0"/>
          <w:sz w:val="24"/>
          <w:szCs w:val="22"/>
          <w:highlight w:val="none"/>
        </w:rPr>
      </w:pPr>
      <w:r>
        <w:rPr>
          <w:snapToGrid w:val="0"/>
          <w:color w:val="auto"/>
          <w:kern w:val="0"/>
          <w:sz w:val="24"/>
          <w:highlight w:val="none"/>
        </w:rPr>
        <w:t>P</w:t>
      </w:r>
      <w:r>
        <w:rPr>
          <w:snapToGrid w:val="0"/>
          <w:color w:val="auto"/>
          <w:kern w:val="0"/>
          <w:sz w:val="24"/>
          <w:highlight w:val="none"/>
          <w:vertAlign w:val="subscript"/>
        </w:rPr>
        <w:t>i</w:t>
      </w:r>
      <w:r>
        <w:rPr>
          <w:snapToGrid w:val="0"/>
          <w:color w:val="auto"/>
          <w:kern w:val="0"/>
          <w:sz w:val="24"/>
          <w:highlight w:val="none"/>
        </w:rPr>
        <w:t xml:space="preserve"> =C</w:t>
      </w:r>
      <w:r>
        <w:rPr>
          <w:snapToGrid w:val="0"/>
          <w:color w:val="auto"/>
          <w:kern w:val="0"/>
          <w:sz w:val="24"/>
          <w:highlight w:val="none"/>
          <w:vertAlign w:val="subscript"/>
        </w:rPr>
        <w:t>i</w:t>
      </w:r>
      <w:r>
        <w:rPr>
          <w:snapToGrid w:val="0"/>
          <w:color w:val="auto"/>
          <w:kern w:val="0"/>
          <w:sz w:val="24"/>
          <w:highlight w:val="none"/>
        </w:rPr>
        <w:t>/C</w:t>
      </w:r>
      <w:r>
        <w:rPr>
          <w:snapToGrid w:val="0"/>
          <w:color w:val="auto"/>
          <w:kern w:val="0"/>
          <w:sz w:val="24"/>
          <w:highlight w:val="none"/>
          <w:vertAlign w:val="subscript"/>
        </w:rPr>
        <w:t>0i</w:t>
      </w:r>
      <w:r>
        <w:rPr>
          <w:snapToGrid w:val="0"/>
          <w:color w:val="auto"/>
          <w:kern w:val="0"/>
          <w:sz w:val="24"/>
          <w:highlight w:val="none"/>
        </w:rPr>
        <w:t>×100%</w:t>
      </w:r>
    </w:p>
    <w:p w14:paraId="072A654A">
      <w:pPr>
        <w:pStyle w:val="59"/>
        <w:ind w:firstLine="480"/>
        <w:rPr>
          <w:color w:val="auto"/>
          <w:highlight w:val="none"/>
        </w:rPr>
      </w:pPr>
      <m:oMath>
        <m:sSub>
          <m:sSubPr>
            <m:ctrlPr>
              <w:rPr>
                <w:rFonts w:ascii="Cambria Math" w:hAnsi="Cambria Math"/>
                <w:color w:val="auto"/>
                <w:highlight w:val="none"/>
              </w:rPr>
            </m:ctrlPr>
          </m:sSubPr>
          <m:e>
            <m:r>
              <m:rPr/>
              <w:rPr>
                <w:rFonts w:ascii="Cambria Math"/>
                <w:color w:val="auto"/>
                <w:highlight w:val="none"/>
              </w:rPr>
              <m:t>P</m:t>
            </m:r>
            <m:ctrlPr>
              <w:rPr>
                <w:rFonts w:ascii="Cambria Math" w:hAnsi="Cambria Math"/>
                <w:color w:val="auto"/>
                <w:highlight w:val="none"/>
              </w:rPr>
            </m:ctrlPr>
          </m:e>
          <m:sub>
            <m:r>
              <m:rPr/>
              <w:rPr>
                <w:rFonts w:ascii="Cambria Math"/>
                <w:color w:val="auto"/>
                <w:highlight w:val="none"/>
              </w:rPr>
              <m:t>i</m:t>
            </m:r>
            <m:ctrlPr>
              <w:rPr>
                <w:rFonts w:ascii="Cambria Math" w:hAnsi="Cambria Math"/>
                <w:color w:val="auto"/>
                <w:highlight w:val="none"/>
              </w:rPr>
            </m:ctrlPr>
          </m:sub>
        </m:sSub>
      </m:oMath>
      <w:r>
        <w:rPr>
          <w:color w:val="auto"/>
          <w:highlight w:val="none"/>
        </w:rPr>
        <w:t xml:space="preserve"> ——第i个污染物的最大地面空气质量浓度 占标率，%；</w:t>
      </w:r>
    </w:p>
    <w:p w14:paraId="0544AED7">
      <w:pPr>
        <w:pStyle w:val="59"/>
        <w:ind w:firstLine="480"/>
        <w:rPr>
          <w:color w:val="auto"/>
          <w:highlight w:val="none"/>
        </w:rPr>
      </w:pPr>
      <m:oMath>
        <m:sSub>
          <m:sSubPr>
            <m:ctrlPr>
              <w:rPr>
                <w:rFonts w:ascii="Cambria Math" w:hAnsi="Cambria Math"/>
                <w:i/>
                <w:color w:val="auto"/>
                <w:highlight w:val="none"/>
              </w:rPr>
            </m:ctrlPr>
          </m:sSubPr>
          <m:e>
            <m:r>
              <m:rPr/>
              <w:rPr>
                <w:rFonts w:ascii="Cambria Math"/>
                <w:color w:val="auto"/>
                <w:highlight w:val="none"/>
              </w:rPr>
              <m:t>C</m:t>
            </m:r>
            <m:ctrlPr>
              <w:rPr>
                <w:rFonts w:ascii="Cambria Math" w:hAnsi="Cambria Math"/>
                <w:i/>
                <w:color w:val="auto"/>
                <w:highlight w:val="none"/>
              </w:rPr>
            </m:ctrlPr>
          </m:e>
          <m:sub>
            <m:r>
              <m:rPr/>
              <w:rPr>
                <w:rFonts w:ascii="Cambria Math"/>
                <w:color w:val="auto"/>
                <w:highlight w:val="none"/>
              </w:rPr>
              <m:t>i</m:t>
            </m:r>
            <m:ctrlPr>
              <w:rPr>
                <w:rFonts w:ascii="Cambria Math" w:hAnsi="Cambria Math"/>
                <w:i/>
                <w:color w:val="auto"/>
                <w:highlight w:val="none"/>
              </w:rPr>
            </m:ctrlPr>
          </m:sub>
        </m:sSub>
      </m:oMath>
      <w:r>
        <w:rPr>
          <w:color w:val="auto"/>
          <w:highlight w:val="none"/>
        </w:rPr>
        <w:t>——采用估算模型计算出的第i个污染物的最大1h地面空气质量浓度，μg/m</w:t>
      </w:r>
      <w:r>
        <w:rPr>
          <w:color w:val="auto"/>
          <w:highlight w:val="none"/>
          <w:vertAlign w:val="superscript"/>
        </w:rPr>
        <w:t>3</w:t>
      </w:r>
      <w:r>
        <w:rPr>
          <w:color w:val="auto"/>
          <w:highlight w:val="none"/>
        </w:rPr>
        <w:t>；</w:t>
      </w:r>
    </w:p>
    <w:p w14:paraId="7A1557B9">
      <w:pPr>
        <w:pStyle w:val="59"/>
        <w:ind w:firstLine="480"/>
        <w:rPr>
          <w:color w:val="auto"/>
          <w:highlight w:val="none"/>
        </w:rPr>
      </w:pPr>
      <m:oMath>
        <m:sSub>
          <m:sSubPr>
            <m:ctrlPr>
              <w:rPr>
                <w:rFonts w:ascii="Cambria Math" w:hAnsi="Cambria Math"/>
                <w:i/>
                <w:color w:val="auto"/>
                <w:highlight w:val="none"/>
              </w:rPr>
            </m:ctrlPr>
          </m:sSubPr>
          <m:e>
            <m:r>
              <m:rPr/>
              <w:rPr>
                <w:rFonts w:ascii="Cambria Math"/>
                <w:color w:val="auto"/>
                <w:highlight w:val="none"/>
              </w:rPr>
              <m:t>C</m:t>
            </m:r>
            <m:ctrlPr>
              <w:rPr>
                <w:rFonts w:ascii="Cambria Math" w:hAnsi="Cambria Math"/>
                <w:i/>
                <w:color w:val="auto"/>
                <w:highlight w:val="none"/>
              </w:rPr>
            </m:ctrlPr>
          </m:e>
          <m:sub>
            <m:r>
              <m:rPr/>
              <w:rPr>
                <w:rFonts w:ascii="Cambria Math"/>
                <w:color w:val="auto"/>
                <w:highlight w:val="none"/>
              </w:rPr>
              <m:t>0i</m:t>
            </m:r>
            <m:ctrlPr>
              <w:rPr>
                <w:rFonts w:ascii="Cambria Math" w:hAnsi="Cambria Math"/>
                <w:i/>
                <w:color w:val="auto"/>
                <w:highlight w:val="none"/>
              </w:rPr>
            </m:ctrlPr>
          </m:sub>
        </m:sSub>
      </m:oMath>
      <w:r>
        <w:rPr>
          <w:color w:val="auto"/>
          <w:highlight w:val="none"/>
        </w:rPr>
        <w:t>——第i个污染物的环境空气质量浓度标准，μg/m</w:t>
      </w:r>
      <w:r>
        <w:rPr>
          <w:color w:val="auto"/>
          <w:highlight w:val="none"/>
          <w:vertAlign w:val="superscript"/>
        </w:rPr>
        <w:t>3</w:t>
      </w:r>
      <w:r>
        <w:rPr>
          <w:color w:val="auto"/>
          <w:highlight w:val="none"/>
        </w:rPr>
        <w:t>。</w:t>
      </w:r>
      <w:r>
        <w:rPr>
          <w:rFonts w:hint="eastAsia"/>
          <w:color w:val="auto"/>
          <w:highlight w:val="none"/>
        </w:rPr>
        <w:t>一般选用GB3095中1h平均质量浓度的二级浓度限值，如项目位于一类环境空气功能区，应选择相应的一级浓度限值；对该标准中未包含的污染物，使用5.2确定的各评价因子1h平均质量浓度限值。对仅有8h平均质量浓度限值、日平均质量浓度限值或年平均质量浓度限值的，可分别按2倍、3倍、6倍折算为1h平均质量浓度限值。</w:t>
      </w:r>
    </w:p>
    <w:p w14:paraId="7F610738">
      <w:pPr>
        <w:pStyle w:val="59"/>
        <w:ind w:firstLine="480"/>
        <w:rPr>
          <w:color w:val="auto"/>
          <w:highlight w:val="none"/>
        </w:rPr>
      </w:pPr>
      <w:r>
        <w:rPr>
          <w:rFonts w:hint="eastAsia"/>
          <w:color w:val="auto"/>
          <w:highlight w:val="none"/>
        </w:rPr>
        <w:t>根据工程分析，本项目产生的废气为作业机械尾气和作业扬尘。机械尾气中主要污染物为CO、HC、NOx等，可通过自然通风稀释扩散，且污染物排放量较小，故本评价不进行机械尾气污染物的最大地面浓度占标率计算。因此，本次选取回填复垦期</w:t>
      </w:r>
      <w:r>
        <w:rPr>
          <w:rFonts w:hint="eastAsia"/>
          <w:color w:val="auto"/>
          <w:highlight w:val="none"/>
          <w:lang w:eastAsia="zh-CN"/>
        </w:rPr>
        <w:t>灰渣</w:t>
      </w:r>
      <w:r>
        <w:rPr>
          <w:rFonts w:hint="eastAsia"/>
          <w:color w:val="auto"/>
          <w:highlight w:val="none"/>
        </w:rPr>
        <w:t>的回填作业时产生的TSP作为主要污染物进行评价工作等级的确定。</w:t>
      </w:r>
    </w:p>
    <w:p w14:paraId="1D42ED76">
      <w:pPr>
        <w:pStyle w:val="76"/>
        <w:rPr>
          <w:color w:val="auto"/>
          <w:highlight w:val="none"/>
        </w:rPr>
      </w:pPr>
      <w:r>
        <w:rPr>
          <w:color w:val="auto"/>
          <w:highlight w:val="none"/>
        </w:rPr>
        <w:t>表2-6-2</w:t>
      </w:r>
      <w:r>
        <w:rPr>
          <w:rFonts w:hint="eastAsia"/>
          <w:color w:val="auto"/>
          <w:highlight w:val="none"/>
        </w:rPr>
        <w:t>估</w:t>
      </w:r>
      <w:r>
        <w:rPr>
          <w:color w:val="auto"/>
          <w:highlight w:val="none"/>
        </w:rPr>
        <w:t>算模式参数表</w:t>
      </w:r>
    </w:p>
    <w:tbl>
      <w:tblPr>
        <w:tblStyle w:val="45"/>
        <w:tblW w:w="5383"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2621"/>
        <w:gridCol w:w="3026"/>
        <w:gridCol w:w="4070"/>
      </w:tblGrid>
      <w:tr w14:paraId="0A4B89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2906" w:type="pct"/>
            <w:gridSpan w:val="2"/>
            <w:vAlign w:val="center"/>
          </w:tcPr>
          <w:p w14:paraId="29633A1C">
            <w:pPr>
              <w:spacing w:line="0" w:lineRule="atLeast"/>
              <w:jc w:val="center"/>
              <w:rPr>
                <w:color w:val="auto"/>
                <w:szCs w:val="21"/>
                <w:highlight w:val="none"/>
              </w:rPr>
            </w:pPr>
            <w:r>
              <w:rPr>
                <w:color w:val="auto"/>
                <w:szCs w:val="21"/>
                <w:highlight w:val="none"/>
              </w:rPr>
              <w:t>参数</w:t>
            </w:r>
          </w:p>
        </w:tc>
        <w:tc>
          <w:tcPr>
            <w:tcW w:w="2094" w:type="pct"/>
            <w:vAlign w:val="center"/>
          </w:tcPr>
          <w:p w14:paraId="66CE70F9">
            <w:pPr>
              <w:spacing w:line="0" w:lineRule="atLeast"/>
              <w:jc w:val="center"/>
              <w:rPr>
                <w:color w:val="auto"/>
                <w:szCs w:val="21"/>
                <w:highlight w:val="none"/>
              </w:rPr>
            </w:pPr>
            <w:r>
              <w:rPr>
                <w:color w:val="auto"/>
                <w:szCs w:val="21"/>
                <w:highlight w:val="none"/>
              </w:rPr>
              <w:t>取值</w:t>
            </w:r>
          </w:p>
        </w:tc>
      </w:tr>
      <w:tr w14:paraId="67714A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1349" w:type="pct"/>
            <w:vMerge w:val="restart"/>
            <w:vAlign w:val="center"/>
          </w:tcPr>
          <w:p w14:paraId="56746B8D">
            <w:pPr>
              <w:spacing w:line="0" w:lineRule="atLeast"/>
              <w:jc w:val="center"/>
              <w:rPr>
                <w:color w:val="auto"/>
                <w:szCs w:val="21"/>
                <w:highlight w:val="none"/>
              </w:rPr>
            </w:pPr>
            <w:r>
              <w:rPr>
                <w:color w:val="auto"/>
                <w:szCs w:val="21"/>
                <w:highlight w:val="none"/>
              </w:rPr>
              <w:t>城市农村/选项</w:t>
            </w:r>
          </w:p>
        </w:tc>
        <w:tc>
          <w:tcPr>
            <w:tcW w:w="1557" w:type="pct"/>
            <w:vAlign w:val="center"/>
          </w:tcPr>
          <w:p w14:paraId="13088F0B">
            <w:pPr>
              <w:spacing w:line="0" w:lineRule="atLeast"/>
              <w:jc w:val="center"/>
              <w:rPr>
                <w:color w:val="auto"/>
                <w:szCs w:val="21"/>
                <w:highlight w:val="none"/>
              </w:rPr>
            </w:pPr>
            <w:r>
              <w:rPr>
                <w:color w:val="auto"/>
                <w:szCs w:val="21"/>
                <w:highlight w:val="none"/>
              </w:rPr>
              <w:t>城市/农村</w:t>
            </w:r>
          </w:p>
        </w:tc>
        <w:tc>
          <w:tcPr>
            <w:tcW w:w="2094" w:type="pct"/>
            <w:vAlign w:val="center"/>
          </w:tcPr>
          <w:p w14:paraId="16F83128">
            <w:pPr>
              <w:spacing w:line="0" w:lineRule="atLeast"/>
              <w:jc w:val="center"/>
              <w:rPr>
                <w:color w:val="auto"/>
                <w:szCs w:val="21"/>
                <w:highlight w:val="none"/>
              </w:rPr>
            </w:pPr>
            <w:r>
              <w:rPr>
                <w:color w:val="auto"/>
                <w:szCs w:val="21"/>
                <w:highlight w:val="none"/>
              </w:rPr>
              <w:t>农村</w:t>
            </w:r>
          </w:p>
        </w:tc>
      </w:tr>
      <w:tr w14:paraId="3CAA76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67" w:hRule="atLeast"/>
          <w:jc w:val="center"/>
        </w:trPr>
        <w:tc>
          <w:tcPr>
            <w:tcW w:w="1349" w:type="pct"/>
            <w:vMerge w:val="continue"/>
            <w:vAlign w:val="center"/>
          </w:tcPr>
          <w:p w14:paraId="7E4B5952">
            <w:pPr>
              <w:spacing w:line="0" w:lineRule="atLeast"/>
              <w:jc w:val="center"/>
              <w:rPr>
                <w:color w:val="auto"/>
                <w:szCs w:val="21"/>
                <w:highlight w:val="none"/>
              </w:rPr>
            </w:pPr>
          </w:p>
        </w:tc>
        <w:tc>
          <w:tcPr>
            <w:tcW w:w="1557" w:type="pct"/>
            <w:vAlign w:val="center"/>
          </w:tcPr>
          <w:p w14:paraId="75B81398">
            <w:pPr>
              <w:spacing w:line="0" w:lineRule="atLeast"/>
              <w:jc w:val="center"/>
              <w:rPr>
                <w:color w:val="auto"/>
                <w:szCs w:val="21"/>
                <w:highlight w:val="none"/>
              </w:rPr>
            </w:pPr>
            <w:r>
              <w:rPr>
                <w:color w:val="auto"/>
                <w:szCs w:val="21"/>
                <w:highlight w:val="none"/>
              </w:rPr>
              <w:t>人口数(城市人口数)</w:t>
            </w:r>
          </w:p>
        </w:tc>
        <w:tc>
          <w:tcPr>
            <w:tcW w:w="2094" w:type="pct"/>
            <w:vAlign w:val="center"/>
          </w:tcPr>
          <w:p w14:paraId="17A82E3E">
            <w:pPr>
              <w:spacing w:line="0" w:lineRule="atLeast"/>
              <w:jc w:val="center"/>
              <w:rPr>
                <w:color w:val="auto"/>
                <w:szCs w:val="21"/>
                <w:highlight w:val="none"/>
              </w:rPr>
            </w:pPr>
            <w:r>
              <w:rPr>
                <w:color w:val="auto"/>
                <w:szCs w:val="21"/>
                <w:highlight w:val="none"/>
              </w:rPr>
              <w:t>/</w:t>
            </w:r>
          </w:p>
        </w:tc>
      </w:tr>
      <w:tr w14:paraId="0876F30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2906" w:type="pct"/>
            <w:gridSpan w:val="2"/>
            <w:vAlign w:val="center"/>
          </w:tcPr>
          <w:p w14:paraId="6BE34869">
            <w:pPr>
              <w:spacing w:line="0" w:lineRule="atLeast"/>
              <w:jc w:val="center"/>
              <w:rPr>
                <w:color w:val="auto"/>
                <w:szCs w:val="21"/>
                <w:highlight w:val="none"/>
              </w:rPr>
            </w:pPr>
            <w:r>
              <w:rPr>
                <w:color w:val="auto"/>
                <w:szCs w:val="21"/>
                <w:highlight w:val="none"/>
              </w:rPr>
              <w:t>最高环境温度</w:t>
            </w:r>
          </w:p>
        </w:tc>
        <w:tc>
          <w:tcPr>
            <w:tcW w:w="2094" w:type="pct"/>
            <w:vAlign w:val="center"/>
          </w:tcPr>
          <w:p w14:paraId="2300F8B3">
            <w:pPr>
              <w:jc w:val="center"/>
              <w:rPr>
                <w:rFonts w:ascii="宋体" w:hAnsi="宋体" w:eastAsia="MS Mincho" w:cs="宋体"/>
                <w:color w:val="auto"/>
                <w:szCs w:val="21"/>
                <w:highlight w:val="none"/>
                <w:lang w:eastAsia="ja-JP"/>
              </w:rPr>
            </w:pPr>
            <w:r>
              <w:rPr>
                <w:rFonts w:hint="eastAsia"/>
                <w:color w:val="auto"/>
                <w:szCs w:val="21"/>
                <w:highlight w:val="none"/>
              </w:rPr>
              <w:t>37.6</w:t>
            </w:r>
            <w:r>
              <w:rPr>
                <w:rFonts w:hint="eastAsia" w:ascii="宋体" w:hAnsi="宋体" w:cs="宋体"/>
                <w:color w:val="auto"/>
                <w:szCs w:val="21"/>
                <w:highlight w:val="none"/>
                <w:lang w:eastAsia="ja-JP"/>
              </w:rPr>
              <w:t>℃</w:t>
            </w:r>
          </w:p>
        </w:tc>
      </w:tr>
      <w:tr w14:paraId="2117288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2906" w:type="pct"/>
            <w:gridSpan w:val="2"/>
            <w:vAlign w:val="center"/>
          </w:tcPr>
          <w:p w14:paraId="4E46309D">
            <w:pPr>
              <w:spacing w:line="0" w:lineRule="atLeast"/>
              <w:jc w:val="center"/>
              <w:rPr>
                <w:color w:val="auto"/>
                <w:szCs w:val="21"/>
                <w:highlight w:val="none"/>
              </w:rPr>
            </w:pPr>
            <w:r>
              <w:rPr>
                <w:color w:val="auto"/>
                <w:szCs w:val="21"/>
                <w:highlight w:val="none"/>
              </w:rPr>
              <w:t>最低环境温度</w:t>
            </w:r>
          </w:p>
        </w:tc>
        <w:tc>
          <w:tcPr>
            <w:tcW w:w="2094" w:type="pct"/>
            <w:vAlign w:val="center"/>
          </w:tcPr>
          <w:p w14:paraId="147F2C0E">
            <w:pPr>
              <w:jc w:val="center"/>
              <w:rPr>
                <w:color w:val="auto"/>
                <w:szCs w:val="21"/>
                <w:highlight w:val="none"/>
              </w:rPr>
            </w:pPr>
            <w:r>
              <w:rPr>
                <w:color w:val="auto"/>
                <w:szCs w:val="21"/>
                <w:highlight w:val="none"/>
              </w:rPr>
              <w:t>-</w:t>
            </w:r>
            <w:r>
              <w:rPr>
                <w:rFonts w:hint="eastAsia"/>
                <w:color w:val="auto"/>
                <w:szCs w:val="21"/>
                <w:highlight w:val="none"/>
              </w:rPr>
              <w:t>3</w:t>
            </w:r>
            <w:r>
              <w:rPr>
                <w:color w:val="auto"/>
                <w:szCs w:val="21"/>
                <w:highlight w:val="none"/>
              </w:rPr>
              <w:t>6.4</w:t>
            </w:r>
            <w:r>
              <w:rPr>
                <w:rFonts w:hint="eastAsia" w:ascii="宋体" w:hAnsi="宋体" w:cs="宋体"/>
                <w:color w:val="auto"/>
                <w:szCs w:val="21"/>
                <w:highlight w:val="none"/>
                <w:lang w:eastAsia="ja-JP"/>
              </w:rPr>
              <w:t>℃</w:t>
            </w:r>
          </w:p>
        </w:tc>
      </w:tr>
      <w:tr w14:paraId="571AD2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2906" w:type="pct"/>
            <w:gridSpan w:val="2"/>
            <w:vAlign w:val="center"/>
          </w:tcPr>
          <w:p w14:paraId="17A29C69">
            <w:pPr>
              <w:spacing w:line="0" w:lineRule="atLeast"/>
              <w:jc w:val="center"/>
              <w:rPr>
                <w:color w:val="auto"/>
                <w:szCs w:val="21"/>
                <w:highlight w:val="none"/>
              </w:rPr>
            </w:pPr>
            <w:r>
              <w:rPr>
                <w:color w:val="auto"/>
                <w:szCs w:val="21"/>
                <w:highlight w:val="none"/>
              </w:rPr>
              <w:t>土地利用类型</w:t>
            </w:r>
          </w:p>
        </w:tc>
        <w:tc>
          <w:tcPr>
            <w:tcW w:w="2094" w:type="pct"/>
            <w:vAlign w:val="center"/>
          </w:tcPr>
          <w:p w14:paraId="0B52F803">
            <w:pPr>
              <w:spacing w:line="0" w:lineRule="atLeast"/>
              <w:jc w:val="center"/>
              <w:rPr>
                <w:color w:val="auto"/>
                <w:szCs w:val="21"/>
                <w:highlight w:val="none"/>
              </w:rPr>
            </w:pPr>
            <w:r>
              <w:rPr>
                <w:color w:val="auto"/>
                <w:szCs w:val="21"/>
                <w:highlight w:val="none"/>
              </w:rPr>
              <w:t>农田</w:t>
            </w:r>
          </w:p>
        </w:tc>
      </w:tr>
      <w:tr w14:paraId="3D29D39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2906" w:type="pct"/>
            <w:gridSpan w:val="2"/>
            <w:vAlign w:val="center"/>
          </w:tcPr>
          <w:p w14:paraId="4C248CB7">
            <w:pPr>
              <w:spacing w:line="0" w:lineRule="atLeast"/>
              <w:jc w:val="center"/>
              <w:rPr>
                <w:color w:val="auto"/>
                <w:szCs w:val="21"/>
                <w:highlight w:val="none"/>
              </w:rPr>
            </w:pPr>
            <w:r>
              <w:rPr>
                <w:color w:val="auto"/>
                <w:szCs w:val="21"/>
                <w:highlight w:val="none"/>
              </w:rPr>
              <w:t>区域湿度条件</w:t>
            </w:r>
          </w:p>
        </w:tc>
        <w:tc>
          <w:tcPr>
            <w:tcW w:w="2094" w:type="pct"/>
            <w:vAlign w:val="center"/>
          </w:tcPr>
          <w:p w14:paraId="6F2DB081">
            <w:pPr>
              <w:spacing w:line="0" w:lineRule="atLeast"/>
              <w:jc w:val="center"/>
              <w:rPr>
                <w:color w:val="auto"/>
                <w:szCs w:val="21"/>
                <w:highlight w:val="none"/>
              </w:rPr>
            </w:pPr>
            <w:r>
              <w:rPr>
                <w:rFonts w:hint="eastAsia"/>
                <w:color w:val="auto"/>
                <w:szCs w:val="21"/>
                <w:highlight w:val="none"/>
              </w:rPr>
              <w:t>潮湿</w:t>
            </w:r>
          </w:p>
        </w:tc>
      </w:tr>
      <w:tr w14:paraId="34D3AD4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1349" w:type="pct"/>
            <w:vMerge w:val="restart"/>
            <w:vAlign w:val="center"/>
          </w:tcPr>
          <w:p w14:paraId="5E904854">
            <w:pPr>
              <w:spacing w:line="0" w:lineRule="atLeast"/>
              <w:jc w:val="center"/>
              <w:rPr>
                <w:color w:val="auto"/>
                <w:szCs w:val="21"/>
                <w:highlight w:val="none"/>
              </w:rPr>
            </w:pPr>
            <w:r>
              <w:rPr>
                <w:color w:val="auto"/>
                <w:szCs w:val="21"/>
                <w:highlight w:val="none"/>
              </w:rPr>
              <w:t>是否考虑地形</w:t>
            </w:r>
          </w:p>
        </w:tc>
        <w:tc>
          <w:tcPr>
            <w:tcW w:w="1557" w:type="pct"/>
            <w:vAlign w:val="center"/>
          </w:tcPr>
          <w:p w14:paraId="7CB90D36">
            <w:pPr>
              <w:spacing w:line="0" w:lineRule="atLeast"/>
              <w:jc w:val="center"/>
              <w:rPr>
                <w:color w:val="auto"/>
                <w:szCs w:val="21"/>
                <w:highlight w:val="none"/>
              </w:rPr>
            </w:pPr>
            <w:r>
              <w:rPr>
                <w:color w:val="auto"/>
                <w:szCs w:val="21"/>
                <w:highlight w:val="none"/>
              </w:rPr>
              <w:t>考虑地形</w:t>
            </w:r>
          </w:p>
        </w:tc>
        <w:tc>
          <w:tcPr>
            <w:tcW w:w="2094" w:type="pct"/>
            <w:vAlign w:val="center"/>
          </w:tcPr>
          <w:p w14:paraId="50125B50">
            <w:pPr>
              <w:spacing w:line="0" w:lineRule="atLeast"/>
              <w:jc w:val="center"/>
              <w:rPr>
                <w:color w:val="auto"/>
                <w:szCs w:val="21"/>
                <w:highlight w:val="none"/>
              </w:rPr>
            </w:pPr>
            <w:r>
              <w:rPr>
                <w:color w:val="auto"/>
                <w:szCs w:val="21"/>
                <w:highlight w:val="none"/>
              </w:rPr>
              <w:t>是</w:t>
            </w:r>
          </w:p>
        </w:tc>
      </w:tr>
      <w:tr w14:paraId="09ECED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1349" w:type="pct"/>
            <w:vMerge w:val="continue"/>
            <w:vAlign w:val="center"/>
          </w:tcPr>
          <w:p w14:paraId="74646420">
            <w:pPr>
              <w:spacing w:line="0" w:lineRule="atLeast"/>
              <w:jc w:val="center"/>
              <w:rPr>
                <w:color w:val="auto"/>
                <w:szCs w:val="21"/>
                <w:highlight w:val="none"/>
              </w:rPr>
            </w:pPr>
          </w:p>
        </w:tc>
        <w:tc>
          <w:tcPr>
            <w:tcW w:w="1557" w:type="pct"/>
            <w:vAlign w:val="center"/>
          </w:tcPr>
          <w:p w14:paraId="42D34272">
            <w:pPr>
              <w:spacing w:line="0" w:lineRule="atLeast"/>
              <w:jc w:val="center"/>
              <w:rPr>
                <w:color w:val="auto"/>
                <w:szCs w:val="21"/>
                <w:highlight w:val="none"/>
              </w:rPr>
            </w:pPr>
            <w:r>
              <w:rPr>
                <w:color w:val="auto"/>
                <w:szCs w:val="21"/>
                <w:highlight w:val="none"/>
              </w:rPr>
              <w:t>地形数据分辨率(m)</w:t>
            </w:r>
          </w:p>
        </w:tc>
        <w:tc>
          <w:tcPr>
            <w:tcW w:w="2094" w:type="pct"/>
            <w:vAlign w:val="center"/>
          </w:tcPr>
          <w:p w14:paraId="2DD9785A">
            <w:pPr>
              <w:spacing w:line="0" w:lineRule="atLeast"/>
              <w:jc w:val="center"/>
              <w:rPr>
                <w:color w:val="auto"/>
                <w:szCs w:val="21"/>
                <w:highlight w:val="none"/>
              </w:rPr>
            </w:pPr>
            <w:r>
              <w:rPr>
                <w:color w:val="auto"/>
                <w:szCs w:val="21"/>
                <w:highlight w:val="none"/>
              </w:rPr>
              <w:t>90</w:t>
            </w:r>
          </w:p>
        </w:tc>
      </w:tr>
      <w:tr w14:paraId="30DC489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1349" w:type="pct"/>
            <w:vMerge w:val="restart"/>
            <w:vAlign w:val="center"/>
          </w:tcPr>
          <w:p w14:paraId="45884143">
            <w:pPr>
              <w:spacing w:line="0" w:lineRule="atLeast"/>
              <w:jc w:val="center"/>
              <w:rPr>
                <w:color w:val="auto"/>
                <w:szCs w:val="21"/>
                <w:highlight w:val="none"/>
              </w:rPr>
            </w:pPr>
            <w:r>
              <w:rPr>
                <w:color w:val="auto"/>
                <w:szCs w:val="21"/>
                <w:highlight w:val="none"/>
              </w:rPr>
              <w:t>是否考虑海岸线熏烟</w:t>
            </w:r>
          </w:p>
        </w:tc>
        <w:tc>
          <w:tcPr>
            <w:tcW w:w="1557" w:type="pct"/>
            <w:vAlign w:val="center"/>
          </w:tcPr>
          <w:p w14:paraId="462DDCDD">
            <w:pPr>
              <w:spacing w:line="0" w:lineRule="atLeast"/>
              <w:jc w:val="center"/>
              <w:rPr>
                <w:color w:val="auto"/>
                <w:szCs w:val="21"/>
                <w:highlight w:val="none"/>
              </w:rPr>
            </w:pPr>
            <w:r>
              <w:rPr>
                <w:color w:val="auto"/>
                <w:szCs w:val="21"/>
                <w:highlight w:val="none"/>
              </w:rPr>
              <w:t>考虑海岸线熏烟</w:t>
            </w:r>
          </w:p>
        </w:tc>
        <w:tc>
          <w:tcPr>
            <w:tcW w:w="2094" w:type="pct"/>
            <w:vAlign w:val="center"/>
          </w:tcPr>
          <w:p w14:paraId="12692D05">
            <w:pPr>
              <w:spacing w:line="0" w:lineRule="atLeast"/>
              <w:jc w:val="center"/>
              <w:rPr>
                <w:color w:val="auto"/>
                <w:szCs w:val="21"/>
                <w:highlight w:val="none"/>
              </w:rPr>
            </w:pPr>
            <w:r>
              <w:rPr>
                <w:color w:val="auto"/>
                <w:szCs w:val="21"/>
                <w:highlight w:val="none"/>
              </w:rPr>
              <w:t>否</w:t>
            </w:r>
          </w:p>
        </w:tc>
      </w:tr>
      <w:tr w14:paraId="445568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1349" w:type="pct"/>
            <w:vMerge w:val="continue"/>
            <w:vAlign w:val="center"/>
          </w:tcPr>
          <w:p w14:paraId="1A96AF7C">
            <w:pPr>
              <w:spacing w:line="0" w:lineRule="atLeast"/>
              <w:jc w:val="center"/>
              <w:rPr>
                <w:color w:val="auto"/>
                <w:szCs w:val="21"/>
                <w:highlight w:val="none"/>
              </w:rPr>
            </w:pPr>
          </w:p>
        </w:tc>
        <w:tc>
          <w:tcPr>
            <w:tcW w:w="1557" w:type="pct"/>
            <w:vAlign w:val="center"/>
          </w:tcPr>
          <w:p w14:paraId="637582D6">
            <w:pPr>
              <w:spacing w:line="0" w:lineRule="atLeast"/>
              <w:jc w:val="center"/>
              <w:rPr>
                <w:color w:val="auto"/>
                <w:szCs w:val="21"/>
                <w:highlight w:val="none"/>
              </w:rPr>
            </w:pPr>
            <w:r>
              <w:rPr>
                <w:color w:val="auto"/>
                <w:szCs w:val="21"/>
                <w:highlight w:val="none"/>
              </w:rPr>
              <w:t>海岸线距离/km</w:t>
            </w:r>
          </w:p>
        </w:tc>
        <w:tc>
          <w:tcPr>
            <w:tcW w:w="2094" w:type="pct"/>
            <w:vAlign w:val="center"/>
          </w:tcPr>
          <w:p w14:paraId="78806157">
            <w:pPr>
              <w:spacing w:line="0" w:lineRule="atLeast"/>
              <w:jc w:val="center"/>
              <w:rPr>
                <w:color w:val="auto"/>
                <w:szCs w:val="21"/>
                <w:highlight w:val="none"/>
              </w:rPr>
            </w:pPr>
            <w:r>
              <w:rPr>
                <w:color w:val="auto"/>
                <w:szCs w:val="21"/>
                <w:highlight w:val="none"/>
              </w:rPr>
              <w:t>/</w:t>
            </w:r>
          </w:p>
        </w:tc>
      </w:tr>
      <w:tr w14:paraId="5912852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7" w:hRule="atLeast"/>
          <w:jc w:val="center"/>
        </w:trPr>
        <w:tc>
          <w:tcPr>
            <w:tcW w:w="1349" w:type="pct"/>
            <w:vMerge w:val="continue"/>
            <w:vAlign w:val="center"/>
          </w:tcPr>
          <w:p w14:paraId="5051BE1E">
            <w:pPr>
              <w:spacing w:line="0" w:lineRule="atLeast"/>
              <w:jc w:val="center"/>
              <w:rPr>
                <w:color w:val="auto"/>
                <w:szCs w:val="21"/>
                <w:highlight w:val="none"/>
              </w:rPr>
            </w:pPr>
          </w:p>
        </w:tc>
        <w:tc>
          <w:tcPr>
            <w:tcW w:w="1557" w:type="pct"/>
            <w:vAlign w:val="center"/>
          </w:tcPr>
          <w:p w14:paraId="435E3ECC">
            <w:pPr>
              <w:spacing w:line="0" w:lineRule="atLeast"/>
              <w:jc w:val="center"/>
              <w:rPr>
                <w:color w:val="auto"/>
                <w:szCs w:val="21"/>
                <w:highlight w:val="none"/>
              </w:rPr>
            </w:pPr>
            <w:r>
              <w:rPr>
                <w:color w:val="auto"/>
                <w:szCs w:val="21"/>
                <w:highlight w:val="none"/>
              </w:rPr>
              <w:t>海岸线方向/</w:t>
            </w:r>
            <w:r>
              <w:rPr>
                <w:color w:val="auto"/>
                <w:szCs w:val="21"/>
                <w:highlight w:val="none"/>
                <w:vertAlign w:val="superscript"/>
              </w:rPr>
              <w:t>o</w:t>
            </w:r>
          </w:p>
        </w:tc>
        <w:tc>
          <w:tcPr>
            <w:tcW w:w="2094" w:type="pct"/>
            <w:vAlign w:val="center"/>
          </w:tcPr>
          <w:p w14:paraId="0E71F106">
            <w:pPr>
              <w:spacing w:line="0" w:lineRule="atLeast"/>
              <w:jc w:val="center"/>
              <w:rPr>
                <w:color w:val="auto"/>
                <w:szCs w:val="21"/>
                <w:highlight w:val="none"/>
              </w:rPr>
            </w:pPr>
            <w:r>
              <w:rPr>
                <w:color w:val="auto"/>
                <w:szCs w:val="21"/>
                <w:highlight w:val="none"/>
              </w:rPr>
              <w:t>/</w:t>
            </w:r>
          </w:p>
        </w:tc>
      </w:tr>
    </w:tbl>
    <w:p w14:paraId="25877FB8">
      <w:pPr>
        <w:spacing w:line="500" w:lineRule="exact"/>
        <w:ind w:firstLine="480" w:firstLineChars="200"/>
        <w:rPr>
          <w:color w:val="auto"/>
          <w:sz w:val="24"/>
          <w:szCs w:val="22"/>
          <w:highlight w:val="none"/>
        </w:rPr>
      </w:pPr>
      <w:r>
        <w:rPr>
          <w:rFonts w:hint="eastAsia"/>
          <w:color w:val="auto"/>
          <w:sz w:val="24"/>
          <w:szCs w:val="22"/>
          <w:highlight w:val="none"/>
        </w:rPr>
        <w:t>估算模型参数选取如下：</w:t>
      </w:r>
    </w:p>
    <w:p w14:paraId="31BE6D51">
      <w:pPr>
        <w:spacing w:line="500" w:lineRule="exact"/>
        <w:ind w:firstLine="480" w:firstLineChars="200"/>
        <w:rPr>
          <w:color w:val="auto"/>
          <w:kern w:val="0"/>
          <w:sz w:val="24"/>
          <w:szCs w:val="22"/>
        </w:rPr>
      </w:pPr>
      <w:r>
        <w:rPr>
          <w:rFonts w:hint="eastAsia"/>
          <w:color w:val="auto"/>
          <w:sz w:val="24"/>
          <w:szCs w:val="22"/>
        </w:rPr>
        <w:t>①根据</w:t>
      </w:r>
      <w:r>
        <w:rPr>
          <w:rFonts w:hint="eastAsia"/>
          <w:color w:val="auto"/>
          <w:kern w:val="0"/>
          <w:sz w:val="24"/>
          <w:szCs w:val="22"/>
        </w:rPr>
        <w:t>《环境影响评价技术导则</w:t>
      </w:r>
      <w:r>
        <w:rPr>
          <w:color w:val="auto"/>
          <w:sz w:val="24"/>
          <w:szCs w:val="20"/>
        </w:rPr>
        <w:t xml:space="preserve"> </w:t>
      </w:r>
      <w:r>
        <w:rPr>
          <w:rFonts w:hint="eastAsia"/>
          <w:color w:val="auto"/>
          <w:kern w:val="0"/>
          <w:sz w:val="24"/>
          <w:szCs w:val="22"/>
        </w:rPr>
        <w:t>大气环境》</w:t>
      </w:r>
      <w:r>
        <w:rPr>
          <w:color w:val="auto"/>
          <w:kern w:val="0"/>
          <w:sz w:val="24"/>
          <w:szCs w:val="22"/>
        </w:rPr>
        <w:t>(HJ2.2-2018)</w:t>
      </w:r>
      <w:r>
        <w:rPr>
          <w:rFonts w:hint="eastAsia"/>
          <w:color w:val="auto"/>
          <w:kern w:val="0"/>
          <w:sz w:val="24"/>
          <w:szCs w:val="22"/>
        </w:rPr>
        <w:t>附录</w:t>
      </w:r>
      <w:r>
        <w:rPr>
          <w:color w:val="auto"/>
          <w:kern w:val="0"/>
          <w:sz w:val="24"/>
          <w:szCs w:val="22"/>
        </w:rPr>
        <w:t>B</w:t>
      </w:r>
      <w:r>
        <w:rPr>
          <w:rFonts w:hint="eastAsia"/>
          <w:color w:val="auto"/>
          <w:kern w:val="0"/>
          <w:sz w:val="24"/>
          <w:szCs w:val="22"/>
        </w:rPr>
        <w:t>的</w:t>
      </w:r>
      <w:r>
        <w:rPr>
          <w:color w:val="auto"/>
          <w:kern w:val="0"/>
          <w:sz w:val="24"/>
          <w:szCs w:val="22"/>
        </w:rPr>
        <w:t>B.6.1</w:t>
      </w:r>
      <w:r>
        <w:rPr>
          <w:rFonts w:hint="eastAsia"/>
          <w:color w:val="auto"/>
          <w:kern w:val="0"/>
          <w:sz w:val="24"/>
          <w:szCs w:val="22"/>
        </w:rPr>
        <w:t>城市</w:t>
      </w:r>
      <w:r>
        <w:rPr>
          <w:color w:val="auto"/>
          <w:kern w:val="0"/>
          <w:sz w:val="24"/>
          <w:szCs w:val="22"/>
        </w:rPr>
        <w:t>/</w:t>
      </w:r>
      <w:r>
        <w:rPr>
          <w:rFonts w:hint="eastAsia"/>
          <w:color w:val="auto"/>
          <w:kern w:val="0"/>
          <w:sz w:val="24"/>
          <w:szCs w:val="22"/>
        </w:rPr>
        <w:t>农村选项</w:t>
      </w:r>
      <w:r>
        <w:rPr>
          <w:rFonts w:hint="eastAsia" w:ascii="宋体" w:hAnsi="宋体" w:eastAsia="宋体" w:cs="宋体"/>
          <w:color w:val="auto"/>
          <w:kern w:val="0"/>
          <w:sz w:val="24"/>
          <w:szCs w:val="22"/>
        </w:rPr>
        <w:t>，“</w:t>
      </w:r>
      <w:r>
        <w:rPr>
          <w:rFonts w:hint="eastAsia"/>
          <w:color w:val="auto"/>
          <w:kern w:val="0"/>
          <w:sz w:val="24"/>
          <w:szCs w:val="22"/>
        </w:rPr>
        <w:t>当项目周边</w:t>
      </w:r>
      <w:r>
        <w:rPr>
          <w:color w:val="auto"/>
          <w:kern w:val="0"/>
          <w:sz w:val="24"/>
          <w:szCs w:val="22"/>
        </w:rPr>
        <w:t>3km</w:t>
      </w:r>
      <w:r>
        <w:rPr>
          <w:rFonts w:hint="eastAsia"/>
          <w:color w:val="auto"/>
          <w:kern w:val="0"/>
          <w:sz w:val="24"/>
          <w:szCs w:val="22"/>
        </w:rPr>
        <w:t>半径范围内一半以上属于城市建成区或者规划区时选择城市，否则选择农村</w:t>
      </w:r>
      <w:r>
        <w:rPr>
          <w:rFonts w:hint="eastAsia" w:ascii="宋体" w:hAnsi="宋体" w:eastAsia="宋体" w:cs="宋体"/>
          <w:color w:val="auto"/>
          <w:kern w:val="0"/>
          <w:sz w:val="24"/>
          <w:szCs w:val="22"/>
        </w:rPr>
        <w:t>”</w:t>
      </w:r>
      <w:r>
        <w:rPr>
          <w:rFonts w:hint="eastAsia"/>
          <w:color w:val="auto"/>
          <w:kern w:val="0"/>
          <w:sz w:val="24"/>
          <w:szCs w:val="22"/>
        </w:rPr>
        <w:t>。根据本次评价对厂址周边</w:t>
      </w:r>
      <w:r>
        <w:rPr>
          <w:color w:val="auto"/>
          <w:kern w:val="0"/>
          <w:sz w:val="24"/>
          <w:szCs w:val="22"/>
        </w:rPr>
        <w:t>3km</w:t>
      </w:r>
      <w:r>
        <w:rPr>
          <w:rFonts w:hint="eastAsia"/>
          <w:color w:val="auto"/>
          <w:kern w:val="0"/>
          <w:sz w:val="24"/>
          <w:szCs w:val="22"/>
        </w:rPr>
        <w:t>半径范围内的用地性质调查结果可知，本次评价选取农村选项。</w:t>
      </w:r>
    </w:p>
    <w:p w14:paraId="2F555CAD">
      <w:pPr>
        <w:spacing w:line="500" w:lineRule="exact"/>
        <w:ind w:firstLine="480" w:firstLineChars="200"/>
        <w:rPr>
          <w:color w:val="auto"/>
          <w:kern w:val="0"/>
          <w:sz w:val="24"/>
          <w:szCs w:val="22"/>
        </w:rPr>
      </w:pPr>
      <w:r>
        <w:rPr>
          <w:rFonts w:hint="eastAsia"/>
          <w:color w:val="auto"/>
          <w:kern w:val="0"/>
          <w:sz w:val="24"/>
          <w:szCs w:val="22"/>
        </w:rPr>
        <w:t>②环境温度取值来源于鸡东县气象站近二十年气象数据统计。</w:t>
      </w:r>
    </w:p>
    <w:p w14:paraId="39FB31AF">
      <w:pPr>
        <w:spacing w:line="500" w:lineRule="exact"/>
        <w:ind w:firstLine="480" w:firstLineChars="200"/>
        <w:rPr>
          <w:color w:val="auto"/>
          <w:kern w:val="0"/>
          <w:sz w:val="24"/>
          <w:szCs w:val="22"/>
        </w:rPr>
      </w:pPr>
      <w:r>
        <w:rPr>
          <w:rFonts w:hint="eastAsia"/>
          <w:color w:val="auto"/>
          <w:kern w:val="0"/>
          <w:sz w:val="24"/>
          <w:szCs w:val="22"/>
        </w:rPr>
        <w:t>③根据《环境影响评价技术导则</w:t>
      </w:r>
      <w:r>
        <w:rPr>
          <w:color w:val="auto"/>
          <w:sz w:val="24"/>
          <w:szCs w:val="20"/>
        </w:rPr>
        <w:t xml:space="preserve"> </w:t>
      </w:r>
      <w:r>
        <w:rPr>
          <w:rFonts w:hint="eastAsia"/>
          <w:color w:val="auto"/>
          <w:kern w:val="0"/>
          <w:sz w:val="24"/>
          <w:szCs w:val="22"/>
        </w:rPr>
        <w:t>大气环境》</w:t>
      </w:r>
      <w:r>
        <w:rPr>
          <w:color w:val="auto"/>
          <w:kern w:val="0"/>
          <w:sz w:val="24"/>
          <w:szCs w:val="22"/>
        </w:rPr>
        <w:t>(HJ2.2-2018)</w:t>
      </w:r>
      <w:r>
        <w:rPr>
          <w:rFonts w:hint="eastAsia"/>
          <w:color w:val="auto"/>
          <w:kern w:val="0"/>
          <w:sz w:val="24"/>
          <w:szCs w:val="22"/>
        </w:rPr>
        <w:t>附录</w:t>
      </w:r>
      <w:r>
        <w:rPr>
          <w:color w:val="auto"/>
          <w:kern w:val="0"/>
          <w:sz w:val="24"/>
          <w:szCs w:val="22"/>
        </w:rPr>
        <w:t>B</w:t>
      </w:r>
      <w:r>
        <w:rPr>
          <w:rFonts w:hint="eastAsia"/>
          <w:color w:val="auto"/>
          <w:kern w:val="0"/>
          <w:sz w:val="24"/>
          <w:szCs w:val="22"/>
        </w:rPr>
        <w:t>的</w:t>
      </w:r>
      <w:r>
        <w:rPr>
          <w:color w:val="auto"/>
          <w:kern w:val="0"/>
          <w:sz w:val="24"/>
          <w:szCs w:val="22"/>
        </w:rPr>
        <w:t>B.5</w:t>
      </w:r>
      <w:r>
        <w:rPr>
          <w:rFonts w:hint="eastAsia"/>
          <w:color w:val="auto"/>
          <w:kern w:val="0"/>
          <w:sz w:val="24"/>
          <w:szCs w:val="22"/>
        </w:rPr>
        <w:t>地表参数，</w:t>
      </w:r>
      <w:r>
        <w:rPr>
          <w:color w:val="auto"/>
          <w:kern w:val="0"/>
          <w:sz w:val="24"/>
          <w:szCs w:val="22"/>
        </w:rPr>
        <w:t>AERMOD</w:t>
      </w:r>
      <w:r>
        <w:rPr>
          <w:rFonts w:hint="eastAsia"/>
          <w:color w:val="auto"/>
          <w:kern w:val="0"/>
          <w:sz w:val="24"/>
          <w:szCs w:val="22"/>
        </w:rPr>
        <w:t>地表参数一般根据项目周边</w:t>
      </w:r>
      <w:r>
        <w:rPr>
          <w:color w:val="auto"/>
          <w:kern w:val="0"/>
          <w:sz w:val="24"/>
          <w:szCs w:val="22"/>
        </w:rPr>
        <w:t>3km</w:t>
      </w:r>
      <w:r>
        <w:rPr>
          <w:rFonts w:hint="eastAsia"/>
          <w:color w:val="auto"/>
          <w:kern w:val="0"/>
          <w:sz w:val="24"/>
          <w:szCs w:val="22"/>
        </w:rPr>
        <w:t>范围内的土地利用类型进行合理划分，本项目周边</w:t>
      </w:r>
      <w:r>
        <w:rPr>
          <w:color w:val="auto"/>
          <w:kern w:val="0"/>
          <w:sz w:val="24"/>
          <w:szCs w:val="22"/>
        </w:rPr>
        <w:t>3km</w:t>
      </w:r>
      <w:r>
        <w:rPr>
          <w:rFonts w:hint="eastAsia"/>
          <w:color w:val="auto"/>
          <w:kern w:val="0"/>
          <w:sz w:val="24"/>
          <w:szCs w:val="22"/>
        </w:rPr>
        <w:t>范围内的土地利用类型为农用地，本次评价的土地利用类型选取农作地。</w:t>
      </w:r>
    </w:p>
    <w:p w14:paraId="48555411">
      <w:pPr>
        <w:spacing w:line="500" w:lineRule="exact"/>
        <w:ind w:firstLine="480" w:firstLineChars="200"/>
        <w:rPr>
          <w:color w:val="auto"/>
          <w:sz w:val="24"/>
          <w:szCs w:val="22"/>
        </w:rPr>
      </w:pPr>
      <w:r>
        <w:rPr>
          <w:rFonts w:hint="eastAsia"/>
          <w:color w:val="auto"/>
          <w:kern w:val="0"/>
          <w:sz w:val="24"/>
          <w:szCs w:val="22"/>
        </w:rPr>
        <w:t>④区域湿度条件根据中国干湿度分布图判断，鸡东县属于潮湿气候。</w:t>
      </w:r>
    </w:p>
    <w:p w14:paraId="0CFDD5DF">
      <w:pPr>
        <w:spacing w:line="500" w:lineRule="exact"/>
        <w:ind w:firstLine="480" w:firstLineChars="200"/>
        <w:rPr>
          <w:color w:val="auto"/>
          <w:kern w:val="0"/>
          <w:sz w:val="24"/>
          <w:szCs w:val="22"/>
        </w:rPr>
      </w:pPr>
      <w:r>
        <w:rPr>
          <w:rFonts w:hint="eastAsia"/>
          <w:color w:val="auto"/>
          <w:kern w:val="0"/>
          <w:sz w:val="24"/>
          <w:szCs w:val="22"/>
        </w:rPr>
        <w:t>⑤根据《环境影响评价技术导则</w:t>
      </w:r>
      <w:r>
        <w:rPr>
          <w:color w:val="auto"/>
          <w:sz w:val="24"/>
          <w:szCs w:val="22"/>
        </w:rPr>
        <w:t xml:space="preserve"> </w:t>
      </w:r>
      <w:r>
        <w:rPr>
          <w:rFonts w:hint="eastAsia"/>
          <w:color w:val="auto"/>
          <w:kern w:val="0"/>
          <w:sz w:val="24"/>
          <w:szCs w:val="22"/>
        </w:rPr>
        <w:t>大气环境》</w:t>
      </w:r>
      <w:r>
        <w:rPr>
          <w:color w:val="auto"/>
          <w:kern w:val="0"/>
          <w:sz w:val="24"/>
          <w:szCs w:val="22"/>
        </w:rPr>
        <w:t>(HJ2.2-2018)</w:t>
      </w:r>
      <w:r>
        <w:rPr>
          <w:rFonts w:hint="eastAsia"/>
          <w:color w:val="auto"/>
          <w:kern w:val="0"/>
          <w:sz w:val="24"/>
          <w:szCs w:val="22"/>
        </w:rPr>
        <w:t>附录</w:t>
      </w:r>
      <w:r>
        <w:rPr>
          <w:color w:val="auto"/>
          <w:kern w:val="0"/>
          <w:sz w:val="24"/>
          <w:szCs w:val="22"/>
        </w:rPr>
        <w:t>B</w:t>
      </w:r>
      <w:r>
        <w:rPr>
          <w:rFonts w:hint="eastAsia"/>
          <w:color w:val="auto"/>
          <w:kern w:val="0"/>
          <w:sz w:val="24"/>
          <w:szCs w:val="22"/>
        </w:rPr>
        <w:t>的</w:t>
      </w:r>
      <w:r>
        <w:rPr>
          <w:color w:val="auto"/>
          <w:kern w:val="0"/>
          <w:sz w:val="24"/>
          <w:szCs w:val="22"/>
        </w:rPr>
        <w:t>B.4</w:t>
      </w:r>
      <w:r>
        <w:rPr>
          <w:rFonts w:hint="eastAsia"/>
          <w:color w:val="auto"/>
          <w:kern w:val="0"/>
          <w:sz w:val="24"/>
          <w:szCs w:val="22"/>
        </w:rPr>
        <w:t>地形数据可知，原始地形数据分辨率不得小于</w:t>
      </w:r>
      <w:r>
        <w:rPr>
          <w:color w:val="auto"/>
          <w:kern w:val="0"/>
          <w:sz w:val="24"/>
          <w:szCs w:val="22"/>
        </w:rPr>
        <w:t>90m</w:t>
      </w:r>
      <w:r>
        <w:rPr>
          <w:rFonts w:hint="eastAsia"/>
          <w:color w:val="auto"/>
          <w:kern w:val="0"/>
          <w:sz w:val="24"/>
          <w:szCs w:val="22"/>
        </w:rPr>
        <w:t>，根据</w:t>
      </w:r>
      <w:r>
        <w:rPr>
          <w:color w:val="auto"/>
          <w:kern w:val="0"/>
          <w:sz w:val="24"/>
          <w:szCs w:val="22"/>
        </w:rPr>
        <w:t>EIA2018</w:t>
      </w:r>
      <w:r>
        <w:rPr>
          <w:rFonts w:hint="eastAsia"/>
          <w:color w:val="auto"/>
          <w:kern w:val="0"/>
          <w:sz w:val="24"/>
          <w:szCs w:val="22"/>
        </w:rPr>
        <w:t>大气预测软件的</w:t>
      </w:r>
      <w:r>
        <w:rPr>
          <w:color w:val="auto"/>
          <w:kern w:val="0"/>
          <w:sz w:val="24"/>
          <w:szCs w:val="22"/>
        </w:rPr>
        <w:t>DEM</w:t>
      </w:r>
      <w:r>
        <w:rPr>
          <w:rFonts w:hint="eastAsia"/>
          <w:color w:val="auto"/>
          <w:kern w:val="0"/>
          <w:sz w:val="24"/>
          <w:szCs w:val="22"/>
        </w:rPr>
        <w:t>地形文件，本项目地形数据分辨率为</w:t>
      </w:r>
      <w:r>
        <w:rPr>
          <w:color w:val="auto"/>
          <w:kern w:val="0"/>
          <w:sz w:val="24"/>
          <w:szCs w:val="22"/>
        </w:rPr>
        <w:t>90m</w:t>
      </w:r>
      <w:r>
        <w:rPr>
          <w:rFonts w:hint="eastAsia"/>
          <w:color w:val="auto"/>
          <w:kern w:val="0"/>
          <w:sz w:val="24"/>
          <w:szCs w:val="22"/>
        </w:rPr>
        <w:t>。</w:t>
      </w:r>
    </w:p>
    <w:p w14:paraId="308B1950">
      <w:pPr>
        <w:pStyle w:val="76"/>
        <w:rPr>
          <w:color w:val="auto"/>
        </w:rPr>
      </w:pPr>
      <w:r>
        <w:rPr>
          <w:color w:val="auto"/>
        </w:rPr>
        <w:t>表2-6-3面源参数一览表</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463"/>
        <w:gridCol w:w="661"/>
        <w:gridCol w:w="732"/>
        <w:gridCol w:w="732"/>
        <w:gridCol w:w="871"/>
        <w:gridCol w:w="761"/>
        <w:gridCol w:w="764"/>
        <w:gridCol w:w="764"/>
        <w:gridCol w:w="871"/>
        <w:gridCol w:w="806"/>
        <w:gridCol w:w="504"/>
        <w:gridCol w:w="1097"/>
      </w:tblGrid>
      <w:tr w14:paraId="4B3383D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97" w:hRule="atLeast"/>
          <w:jc w:val="center"/>
        </w:trPr>
        <w:tc>
          <w:tcPr>
            <w:tcW w:w="256" w:type="pct"/>
            <w:vMerge w:val="restart"/>
            <w:vAlign w:val="center"/>
          </w:tcPr>
          <w:p w14:paraId="369C0FCC">
            <w:pPr>
              <w:rPr>
                <w:color w:val="auto"/>
                <w:szCs w:val="21"/>
              </w:rPr>
            </w:pPr>
            <w:r>
              <w:rPr>
                <w:color w:val="auto"/>
                <w:szCs w:val="21"/>
              </w:rPr>
              <w:t>编号</w:t>
            </w:r>
          </w:p>
        </w:tc>
        <w:tc>
          <w:tcPr>
            <w:tcW w:w="366" w:type="pct"/>
            <w:vMerge w:val="restart"/>
            <w:vAlign w:val="center"/>
          </w:tcPr>
          <w:p w14:paraId="6B2ED4D1">
            <w:pPr>
              <w:jc w:val="center"/>
              <w:rPr>
                <w:color w:val="auto"/>
                <w:szCs w:val="21"/>
              </w:rPr>
            </w:pPr>
            <w:r>
              <w:rPr>
                <w:color w:val="auto"/>
                <w:szCs w:val="21"/>
              </w:rPr>
              <w:t>名称</w:t>
            </w:r>
          </w:p>
        </w:tc>
        <w:tc>
          <w:tcPr>
            <w:tcW w:w="810" w:type="pct"/>
            <w:gridSpan w:val="2"/>
            <w:vAlign w:val="center"/>
          </w:tcPr>
          <w:p w14:paraId="39D4A7CA">
            <w:pPr>
              <w:jc w:val="center"/>
              <w:rPr>
                <w:color w:val="auto"/>
                <w:szCs w:val="21"/>
              </w:rPr>
            </w:pPr>
            <w:r>
              <w:rPr>
                <w:color w:val="auto"/>
                <w:szCs w:val="21"/>
              </w:rPr>
              <w:t>面源</w:t>
            </w:r>
            <w:r>
              <w:rPr>
                <w:rFonts w:hint="eastAsia"/>
                <w:color w:val="auto"/>
                <w:szCs w:val="21"/>
              </w:rPr>
              <w:t>起点</w:t>
            </w:r>
            <w:r>
              <w:rPr>
                <w:color w:val="auto"/>
                <w:szCs w:val="21"/>
              </w:rPr>
              <w:t>坐标</w:t>
            </w:r>
            <w:r>
              <w:rPr>
                <w:rFonts w:hint="eastAsia"/>
                <w:color w:val="auto"/>
                <w:szCs w:val="21"/>
              </w:rPr>
              <w:t>/m</w:t>
            </w:r>
          </w:p>
        </w:tc>
        <w:tc>
          <w:tcPr>
            <w:tcW w:w="482" w:type="pct"/>
            <w:vMerge w:val="restart"/>
            <w:vAlign w:val="center"/>
          </w:tcPr>
          <w:p w14:paraId="2B3B1B14">
            <w:pPr>
              <w:jc w:val="center"/>
              <w:rPr>
                <w:color w:val="auto"/>
                <w:szCs w:val="21"/>
              </w:rPr>
            </w:pPr>
            <w:r>
              <w:rPr>
                <w:color w:val="auto"/>
                <w:szCs w:val="21"/>
              </w:rPr>
              <w:t>面源海拔高度（m）</w:t>
            </w:r>
          </w:p>
        </w:tc>
        <w:tc>
          <w:tcPr>
            <w:tcW w:w="421" w:type="pct"/>
            <w:vMerge w:val="restart"/>
            <w:vAlign w:val="center"/>
          </w:tcPr>
          <w:p w14:paraId="4B3E73B9">
            <w:pPr>
              <w:jc w:val="center"/>
              <w:rPr>
                <w:color w:val="auto"/>
                <w:szCs w:val="21"/>
              </w:rPr>
            </w:pPr>
            <w:r>
              <w:rPr>
                <w:rFonts w:hint="eastAsia"/>
                <w:snapToGrid w:val="0"/>
                <w:color w:val="auto"/>
                <w:lang w:val="zh-CN"/>
              </w:rPr>
              <w:t>面源长</w:t>
            </w:r>
            <w:r>
              <w:rPr>
                <w:snapToGrid w:val="0"/>
                <w:color w:val="auto"/>
                <w:lang w:val="zh-CN"/>
              </w:rPr>
              <w:t>度</w:t>
            </w:r>
            <w:r>
              <w:rPr>
                <w:rFonts w:hint="eastAsia"/>
                <w:snapToGrid w:val="0"/>
                <w:color w:val="auto"/>
                <w:lang w:val="zh-CN"/>
              </w:rPr>
              <w:t>/</w:t>
            </w:r>
            <w:r>
              <w:rPr>
                <w:snapToGrid w:val="0"/>
                <w:color w:val="auto"/>
                <w:lang w:val="zh-CN"/>
              </w:rPr>
              <w:t>m</w:t>
            </w:r>
          </w:p>
        </w:tc>
        <w:tc>
          <w:tcPr>
            <w:tcW w:w="423" w:type="pct"/>
            <w:vMerge w:val="restart"/>
            <w:vAlign w:val="center"/>
          </w:tcPr>
          <w:p w14:paraId="7029C281">
            <w:pPr>
              <w:jc w:val="center"/>
              <w:rPr>
                <w:color w:val="auto"/>
                <w:szCs w:val="21"/>
              </w:rPr>
            </w:pPr>
            <w:r>
              <w:rPr>
                <w:rFonts w:hint="eastAsia"/>
                <w:snapToGrid w:val="0"/>
                <w:color w:val="auto"/>
                <w:lang w:val="zh-CN"/>
              </w:rPr>
              <w:t>面源宽度/</w:t>
            </w:r>
            <w:r>
              <w:rPr>
                <w:snapToGrid w:val="0"/>
                <w:color w:val="auto"/>
                <w:lang w:val="zh-CN"/>
              </w:rPr>
              <w:t>m</w:t>
            </w:r>
          </w:p>
        </w:tc>
        <w:tc>
          <w:tcPr>
            <w:tcW w:w="423" w:type="pct"/>
            <w:vMerge w:val="restart"/>
            <w:vAlign w:val="center"/>
          </w:tcPr>
          <w:p w14:paraId="4BFAEBCF">
            <w:pPr>
              <w:jc w:val="center"/>
              <w:rPr>
                <w:color w:val="auto"/>
                <w:szCs w:val="21"/>
              </w:rPr>
            </w:pPr>
            <w:r>
              <w:rPr>
                <w:rFonts w:hint="eastAsia"/>
                <w:snapToGrid w:val="0"/>
                <w:color w:val="auto"/>
                <w:lang w:val="zh-CN"/>
              </w:rPr>
              <w:t>与正北</w:t>
            </w:r>
            <w:r>
              <w:rPr>
                <w:snapToGrid w:val="0"/>
                <w:color w:val="auto"/>
                <w:lang w:val="zh-CN"/>
              </w:rPr>
              <w:t>向夹角</w:t>
            </w:r>
            <w:r>
              <w:rPr>
                <w:rFonts w:hint="eastAsia"/>
                <w:snapToGrid w:val="0"/>
                <w:color w:val="auto"/>
                <w:lang w:val="zh-CN"/>
              </w:rPr>
              <w:t>/°</w:t>
            </w:r>
          </w:p>
        </w:tc>
        <w:tc>
          <w:tcPr>
            <w:tcW w:w="482" w:type="pct"/>
            <w:vMerge w:val="restart"/>
            <w:vAlign w:val="center"/>
          </w:tcPr>
          <w:p w14:paraId="24FFC3AA">
            <w:pPr>
              <w:jc w:val="center"/>
              <w:rPr>
                <w:color w:val="auto"/>
                <w:szCs w:val="21"/>
              </w:rPr>
            </w:pPr>
            <w:r>
              <w:rPr>
                <w:color w:val="auto"/>
                <w:szCs w:val="21"/>
              </w:rPr>
              <w:t>面源有效排放高度（m）</w:t>
            </w:r>
          </w:p>
        </w:tc>
        <w:tc>
          <w:tcPr>
            <w:tcW w:w="446" w:type="pct"/>
            <w:vMerge w:val="restart"/>
            <w:vAlign w:val="center"/>
          </w:tcPr>
          <w:p w14:paraId="4ED0691C">
            <w:pPr>
              <w:jc w:val="center"/>
              <w:rPr>
                <w:color w:val="auto"/>
                <w:szCs w:val="21"/>
              </w:rPr>
            </w:pPr>
            <w:r>
              <w:rPr>
                <w:color w:val="auto"/>
                <w:szCs w:val="21"/>
              </w:rPr>
              <w:t>年排放小时数（h）</w:t>
            </w:r>
          </w:p>
        </w:tc>
        <w:tc>
          <w:tcPr>
            <w:tcW w:w="279" w:type="pct"/>
            <w:vMerge w:val="restart"/>
            <w:vAlign w:val="center"/>
          </w:tcPr>
          <w:p w14:paraId="48AC2B19">
            <w:pPr>
              <w:jc w:val="center"/>
              <w:rPr>
                <w:color w:val="auto"/>
                <w:szCs w:val="21"/>
              </w:rPr>
            </w:pPr>
            <w:r>
              <w:rPr>
                <w:color w:val="auto"/>
                <w:szCs w:val="21"/>
              </w:rPr>
              <w:t>排放工况</w:t>
            </w:r>
          </w:p>
        </w:tc>
        <w:tc>
          <w:tcPr>
            <w:tcW w:w="607" w:type="pct"/>
            <w:vAlign w:val="center"/>
          </w:tcPr>
          <w:p w14:paraId="581B222A">
            <w:pPr>
              <w:jc w:val="center"/>
              <w:rPr>
                <w:color w:val="auto"/>
                <w:szCs w:val="21"/>
              </w:rPr>
            </w:pPr>
            <w:r>
              <w:rPr>
                <w:color w:val="auto"/>
                <w:szCs w:val="21"/>
              </w:rPr>
              <w:t>污染物排放速率（kg/h）</w:t>
            </w:r>
          </w:p>
        </w:tc>
      </w:tr>
      <w:tr w14:paraId="08BBAC5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3" w:hRule="atLeast"/>
          <w:jc w:val="center"/>
        </w:trPr>
        <w:tc>
          <w:tcPr>
            <w:tcW w:w="256" w:type="pct"/>
            <w:vMerge w:val="continue"/>
            <w:vAlign w:val="center"/>
          </w:tcPr>
          <w:p w14:paraId="7F39D671">
            <w:pPr>
              <w:jc w:val="center"/>
              <w:rPr>
                <w:color w:val="auto"/>
                <w:szCs w:val="21"/>
              </w:rPr>
            </w:pPr>
          </w:p>
        </w:tc>
        <w:tc>
          <w:tcPr>
            <w:tcW w:w="366" w:type="pct"/>
            <w:vMerge w:val="continue"/>
            <w:vAlign w:val="center"/>
          </w:tcPr>
          <w:p w14:paraId="7FB096AC">
            <w:pPr>
              <w:jc w:val="center"/>
              <w:rPr>
                <w:color w:val="auto"/>
                <w:szCs w:val="21"/>
              </w:rPr>
            </w:pPr>
          </w:p>
        </w:tc>
        <w:tc>
          <w:tcPr>
            <w:tcW w:w="405" w:type="pct"/>
            <w:vAlign w:val="center"/>
          </w:tcPr>
          <w:p w14:paraId="78726226">
            <w:pPr>
              <w:jc w:val="center"/>
              <w:rPr>
                <w:color w:val="auto"/>
                <w:szCs w:val="21"/>
              </w:rPr>
            </w:pPr>
            <w:r>
              <w:rPr>
                <w:rFonts w:hint="eastAsia"/>
                <w:color w:val="auto"/>
                <w:szCs w:val="21"/>
              </w:rPr>
              <w:t>X</w:t>
            </w:r>
          </w:p>
        </w:tc>
        <w:tc>
          <w:tcPr>
            <w:tcW w:w="405" w:type="pct"/>
            <w:vAlign w:val="center"/>
          </w:tcPr>
          <w:p w14:paraId="77648A83">
            <w:pPr>
              <w:jc w:val="center"/>
              <w:rPr>
                <w:color w:val="auto"/>
                <w:szCs w:val="21"/>
              </w:rPr>
            </w:pPr>
            <w:r>
              <w:rPr>
                <w:rFonts w:hint="eastAsia"/>
                <w:color w:val="auto"/>
                <w:szCs w:val="21"/>
              </w:rPr>
              <w:t>Y</w:t>
            </w:r>
          </w:p>
        </w:tc>
        <w:tc>
          <w:tcPr>
            <w:tcW w:w="482" w:type="pct"/>
            <w:vMerge w:val="continue"/>
            <w:vAlign w:val="center"/>
          </w:tcPr>
          <w:p w14:paraId="0A9C265B">
            <w:pPr>
              <w:jc w:val="center"/>
              <w:rPr>
                <w:color w:val="auto"/>
                <w:szCs w:val="21"/>
              </w:rPr>
            </w:pPr>
          </w:p>
        </w:tc>
        <w:tc>
          <w:tcPr>
            <w:tcW w:w="421" w:type="pct"/>
            <w:vMerge w:val="continue"/>
          </w:tcPr>
          <w:p w14:paraId="47D9B964">
            <w:pPr>
              <w:jc w:val="center"/>
              <w:rPr>
                <w:color w:val="auto"/>
                <w:szCs w:val="21"/>
              </w:rPr>
            </w:pPr>
          </w:p>
        </w:tc>
        <w:tc>
          <w:tcPr>
            <w:tcW w:w="423" w:type="pct"/>
            <w:vMerge w:val="continue"/>
          </w:tcPr>
          <w:p w14:paraId="4A09463E">
            <w:pPr>
              <w:jc w:val="center"/>
              <w:rPr>
                <w:color w:val="auto"/>
                <w:szCs w:val="21"/>
              </w:rPr>
            </w:pPr>
          </w:p>
        </w:tc>
        <w:tc>
          <w:tcPr>
            <w:tcW w:w="423" w:type="pct"/>
            <w:vMerge w:val="continue"/>
          </w:tcPr>
          <w:p w14:paraId="7C7E32F4">
            <w:pPr>
              <w:jc w:val="center"/>
              <w:rPr>
                <w:color w:val="auto"/>
                <w:szCs w:val="21"/>
              </w:rPr>
            </w:pPr>
          </w:p>
        </w:tc>
        <w:tc>
          <w:tcPr>
            <w:tcW w:w="482" w:type="pct"/>
            <w:vMerge w:val="continue"/>
            <w:vAlign w:val="center"/>
          </w:tcPr>
          <w:p w14:paraId="2D00CF66">
            <w:pPr>
              <w:jc w:val="center"/>
              <w:rPr>
                <w:color w:val="auto"/>
                <w:szCs w:val="21"/>
              </w:rPr>
            </w:pPr>
          </w:p>
        </w:tc>
        <w:tc>
          <w:tcPr>
            <w:tcW w:w="446" w:type="pct"/>
            <w:vMerge w:val="continue"/>
            <w:vAlign w:val="center"/>
          </w:tcPr>
          <w:p w14:paraId="626FF144">
            <w:pPr>
              <w:jc w:val="center"/>
              <w:rPr>
                <w:color w:val="auto"/>
                <w:szCs w:val="21"/>
              </w:rPr>
            </w:pPr>
          </w:p>
        </w:tc>
        <w:tc>
          <w:tcPr>
            <w:tcW w:w="279" w:type="pct"/>
            <w:vMerge w:val="continue"/>
            <w:vAlign w:val="center"/>
          </w:tcPr>
          <w:p w14:paraId="2EE181F7">
            <w:pPr>
              <w:jc w:val="center"/>
              <w:rPr>
                <w:color w:val="auto"/>
                <w:szCs w:val="21"/>
              </w:rPr>
            </w:pPr>
          </w:p>
        </w:tc>
        <w:tc>
          <w:tcPr>
            <w:tcW w:w="607" w:type="pct"/>
            <w:vAlign w:val="center"/>
          </w:tcPr>
          <w:p w14:paraId="7D0B1C5B">
            <w:pPr>
              <w:jc w:val="center"/>
              <w:rPr>
                <w:color w:val="auto"/>
                <w:szCs w:val="21"/>
              </w:rPr>
            </w:pPr>
            <w:r>
              <w:rPr>
                <w:color w:val="auto"/>
                <w:szCs w:val="21"/>
              </w:rPr>
              <w:t>TSP</w:t>
            </w:r>
          </w:p>
        </w:tc>
      </w:tr>
      <w:tr w14:paraId="0657DEE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8" w:hRule="atLeast"/>
          <w:jc w:val="center"/>
        </w:trPr>
        <w:tc>
          <w:tcPr>
            <w:tcW w:w="256" w:type="pct"/>
            <w:vAlign w:val="center"/>
          </w:tcPr>
          <w:p w14:paraId="70759EE8">
            <w:pPr>
              <w:jc w:val="center"/>
              <w:rPr>
                <w:color w:val="auto"/>
                <w:szCs w:val="21"/>
              </w:rPr>
            </w:pPr>
            <w:r>
              <w:rPr>
                <w:color w:val="auto"/>
                <w:szCs w:val="21"/>
              </w:rPr>
              <w:t>1</w:t>
            </w:r>
          </w:p>
        </w:tc>
        <w:tc>
          <w:tcPr>
            <w:tcW w:w="366" w:type="pct"/>
            <w:vAlign w:val="center"/>
          </w:tcPr>
          <w:p w14:paraId="686AD9E1">
            <w:pPr>
              <w:keepNext w:val="0"/>
              <w:keepLines w:val="0"/>
              <w:pageBreakBefore w:val="0"/>
              <w:widowControl w:val="0"/>
              <w:kinsoku/>
              <w:wordWrap/>
              <w:overflowPunct/>
              <w:topLinePunct w:val="0"/>
              <w:autoSpaceDE/>
              <w:autoSpaceDN/>
              <w:bidi w:val="0"/>
              <w:adjustRightInd w:val="0"/>
              <w:snapToGrid w:val="0"/>
              <w:jc w:val="center"/>
              <w:textAlignment w:val="auto"/>
              <w:rPr>
                <w:color w:val="auto"/>
                <w:szCs w:val="21"/>
              </w:rPr>
            </w:pPr>
            <w:r>
              <w:rPr>
                <w:rFonts w:hint="eastAsia"/>
                <w:color w:val="auto"/>
                <w:szCs w:val="21"/>
              </w:rPr>
              <w:t>回填区</w:t>
            </w:r>
          </w:p>
        </w:tc>
        <w:tc>
          <w:tcPr>
            <w:tcW w:w="405" w:type="pct"/>
            <w:vAlign w:val="center"/>
          </w:tcPr>
          <w:p w14:paraId="2B25A0DD">
            <w:pPr>
              <w:jc w:val="center"/>
              <w:rPr>
                <w:rFonts w:hint="default" w:eastAsia="宋体"/>
                <w:color w:val="auto"/>
                <w:szCs w:val="21"/>
                <w:lang w:val="en-US" w:eastAsia="zh-CN"/>
              </w:rPr>
            </w:pPr>
            <w:r>
              <w:rPr>
                <w:rFonts w:hint="eastAsia"/>
                <w:color w:val="auto"/>
                <w:lang w:val="en-US" w:eastAsia="zh-CN"/>
              </w:rPr>
              <w:t>159</w:t>
            </w:r>
          </w:p>
        </w:tc>
        <w:tc>
          <w:tcPr>
            <w:tcW w:w="405" w:type="pct"/>
            <w:vAlign w:val="center"/>
          </w:tcPr>
          <w:p w14:paraId="255DE10F">
            <w:pPr>
              <w:jc w:val="center"/>
              <w:rPr>
                <w:rFonts w:hint="eastAsia" w:eastAsia="宋体"/>
                <w:color w:val="auto"/>
                <w:szCs w:val="21"/>
                <w:lang w:eastAsia="zh-CN"/>
              </w:rPr>
            </w:pPr>
            <w:r>
              <w:rPr>
                <w:rFonts w:hint="eastAsia"/>
                <w:color w:val="auto"/>
                <w:lang w:val="en-US" w:eastAsia="zh-CN"/>
              </w:rPr>
              <w:t>2</w:t>
            </w:r>
          </w:p>
        </w:tc>
        <w:tc>
          <w:tcPr>
            <w:tcW w:w="482" w:type="pct"/>
            <w:vAlign w:val="center"/>
          </w:tcPr>
          <w:p w14:paraId="29ADAAB3">
            <w:pPr>
              <w:jc w:val="center"/>
              <w:rPr>
                <w:rFonts w:hint="default" w:eastAsia="宋体"/>
                <w:color w:val="auto"/>
                <w:szCs w:val="21"/>
                <w:lang w:val="en-US" w:eastAsia="zh-CN"/>
              </w:rPr>
            </w:pPr>
            <w:r>
              <w:rPr>
                <w:rFonts w:hint="eastAsia"/>
                <w:color w:val="auto"/>
                <w:sz w:val="23"/>
                <w:szCs w:val="23"/>
                <w:lang w:val="en-US" w:eastAsia="zh-CN"/>
              </w:rPr>
              <w:t>266</w:t>
            </w:r>
          </w:p>
        </w:tc>
        <w:tc>
          <w:tcPr>
            <w:tcW w:w="421" w:type="pct"/>
            <w:vAlign w:val="center"/>
          </w:tcPr>
          <w:p w14:paraId="18307186">
            <w:pPr>
              <w:jc w:val="center"/>
              <w:rPr>
                <w:rFonts w:hint="default" w:eastAsia="宋体"/>
                <w:color w:val="auto"/>
                <w:szCs w:val="21"/>
                <w:lang w:val="en-US" w:eastAsia="zh-CN"/>
              </w:rPr>
            </w:pPr>
            <w:r>
              <w:rPr>
                <w:rFonts w:hint="eastAsia"/>
                <w:color w:val="auto"/>
                <w:szCs w:val="21"/>
                <w:lang w:val="en-US" w:eastAsia="zh-CN"/>
              </w:rPr>
              <w:t>20</w:t>
            </w:r>
          </w:p>
        </w:tc>
        <w:tc>
          <w:tcPr>
            <w:tcW w:w="423" w:type="pct"/>
            <w:vAlign w:val="center"/>
          </w:tcPr>
          <w:p w14:paraId="7DF6B901">
            <w:pPr>
              <w:jc w:val="center"/>
              <w:rPr>
                <w:rFonts w:hint="default" w:eastAsia="宋体"/>
                <w:color w:val="auto"/>
                <w:szCs w:val="21"/>
                <w:lang w:val="en-US" w:eastAsia="zh-CN"/>
              </w:rPr>
            </w:pPr>
            <w:r>
              <w:rPr>
                <w:rFonts w:hint="eastAsia"/>
                <w:color w:val="auto"/>
                <w:szCs w:val="21"/>
                <w:lang w:val="en-US" w:eastAsia="zh-CN"/>
              </w:rPr>
              <w:t>20</w:t>
            </w:r>
          </w:p>
        </w:tc>
        <w:tc>
          <w:tcPr>
            <w:tcW w:w="423" w:type="pct"/>
            <w:vAlign w:val="center"/>
          </w:tcPr>
          <w:p w14:paraId="463D533E">
            <w:pPr>
              <w:jc w:val="center"/>
              <w:rPr>
                <w:color w:val="auto"/>
                <w:szCs w:val="21"/>
              </w:rPr>
            </w:pPr>
            <w:r>
              <w:rPr>
                <w:rFonts w:hint="eastAsia"/>
                <w:color w:val="auto"/>
                <w:szCs w:val="21"/>
              </w:rPr>
              <w:t>3</w:t>
            </w:r>
            <w:r>
              <w:rPr>
                <w:color w:val="auto"/>
                <w:szCs w:val="21"/>
              </w:rPr>
              <w:t>0</w:t>
            </w:r>
          </w:p>
        </w:tc>
        <w:tc>
          <w:tcPr>
            <w:tcW w:w="482" w:type="pct"/>
            <w:vAlign w:val="center"/>
          </w:tcPr>
          <w:p w14:paraId="2535D040">
            <w:pPr>
              <w:jc w:val="center"/>
              <w:rPr>
                <w:rFonts w:hint="default" w:eastAsia="宋体"/>
                <w:color w:val="auto"/>
                <w:szCs w:val="21"/>
                <w:lang w:val="en-US" w:eastAsia="zh-CN"/>
              </w:rPr>
            </w:pPr>
            <w:r>
              <w:rPr>
                <w:rFonts w:hint="eastAsia"/>
                <w:color w:val="auto"/>
                <w:szCs w:val="21"/>
                <w:lang w:val="en-US" w:eastAsia="zh-CN"/>
              </w:rPr>
              <w:t>1.8</w:t>
            </w:r>
          </w:p>
        </w:tc>
        <w:tc>
          <w:tcPr>
            <w:tcW w:w="446" w:type="pct"/>
            <w:vAlign w:val="center"/>
          </w:tcPr>
          <w:p w14:paraId="7317AB2B">
            <w:pPr>
              <w:jc w:val="center"/>
              <w:rPr>
                <w:rFonts w:hint="default" w:eastAsia="宋体"/>
                <w:color w:val="auto"/>
                <w:szCs w:val="21"/>
                <w:lang w:val="en-US" w:eastAsia="zh-CN"/>
              </w:rPr>
            </w:pPr>
            <w:r>
              <w:rPr>
                <w:rFonts w:hint="eastAsia"/>
                <w:color w:val="auto"/>
                <w:szCs w:val="21"/>
                <w:lang w:val="en-US" w:eastAsia="zh-CN"/>
              </w:rPr>
              <w:t>4356</w:t>
            </w:r>
          </w:p>
        </w:tc>
        <w:tc>
          <w:tcPr>
            <w:tcW w:w="279" w:type="pct"/>
            <w:vAlign w:val="center"/>
          </w:tcPr>
          <w:p w14:paraId="40D39DD6">
            <w:pPr>
              <w:keepNext w:val="0"/>
              <w:keepLines w:val="0"/>
              <w:pageBreakBefore w:val="0"/>
              <w:widowControl w:val="0"/>
              <w:kinsoku/>
              <w:wordWrap/>
              <w:overflowPunct/>
              <w:topLinePunct w:val="0"/>
              <w:autoSpaceDE/>
              <w:autoSpaceDN/>
              <w:bidi w:val="0"/>
              <w:adjustRightInd w:val="0"/>
              <w:snapToGrid w:val="0"/>
              <w:jc w:val="center"/>
              <w:textAlignment w:val="auto"/>
              <w:rPr>
                <w:color w:val="auto"/>
                <w:szCs w:val="21"/>
              </w:rPr>
            </w:pPr>
            <w:r>
              <w:rPr>
                <w:color w:val="auto"/>
                <w:szCs w:val="21"/>
              </w:rPr>
              <w:t>正常</w:t>
            </w:r>
          </w:p>
        </w:tc>
        <w:tc>
          <w:tcPr>
            <w:tcW w:w="607" w:type="pct"/>
            <w:vAlign w:val="center"/>
          </w:tcPr>
          <w:p w14:paraId="6AA89844">
            <w:pPr>
              <w:jc w:val="center"/>
              <w:rPr>
                <w:rFonts w:hint="default" w:eastAsia="宋体"/>
                <w:color w:val="auto"/>
                <w:szCs w:val="21"/>
                <w:lang w:val="en-US" w:eastAsia="zh-CN"/>
              </w:rPr>
            </w:pPr>
            <w:r>
              <w:rPr>
                <w:rFonts w:hint="eastAsia"/>
                <w:color w:val="auto"/>
                <w:szCs w:val="21"/>
                <w:lang w:val="en-US" w:eastAsia="zh-CN"/>
              </w:rPr>
              <w:t>0.0009</w:t>
            </w:r>
          </w:p>
        </w:tc>
      </w:tr>
    </w:tbl>
    <w:p w14:paraId="2A032F84">
      <w:pPr>
        <w:pStyle w:val="84"/>
        <w:jc w:val="both"/>
        <w:rPr>
          <w:color w:val="auto"/>
        </w:rPr>
      </w:pPr>
      <w:r>
        <w:rPr>
          <w:rFonts w:hint="eastAsia"/>
          <w:color w:val="auto"/>
        </w:rPr>
        <w:t>注：以项目区</w:t>
      </w:r>
      <w:r>
        <w:rPr>
          <w:rFonts w:hint="eastAsia"/>
          <w:color w:val="auto"/>
          <w:lang w:val="en-US" w:eastAsia="zh-CN"/>
        </w:rPr>
        <w:t>中心</w:t>
      </w:r>
      <w:r>
        <w:rPr>
          <w:rFonts w:hint="eastAsia"/>
          <w:color w:val="auto"/>
        </w:rPr>
        <w:t>为0</w:t>
      </w:r>
      <w:r>
        <w:rPr>
          <w:rFonts w:hint="eastAsia"/>
          <w:color w:val="auto"/>
          <w:lang w:val="en-US" w:eastAsia="zh-CN"/>
        </w:rPr>
        <w:t>,</w:t>
      </w:r>
      <w:r>
        <w:rPr>
          <w:rFonts w:hint="eastAsia"/>
          <w:color w:val="auto"/>
        </w:rPr>
        <w:t>0点，由于非作业面及时苫盖，不会产生扬尘，因此面源按每天作业单元面积</w:t>
      </w:r>
      <w:r>
        <w:rPr>
          <w:rFonts w:hint="eastAsia"/>
          <w:color w:val="auto"/>
          <w:lang w:val="en-US" w:eastAsia="zh-CN"/>
        </w:rPr>
        <w:t>400</w:t>
      </w:r>
      <w:r>
        <w:rPr>
          <w:rFonts w:hint="eastAsia"/>
          <w:color w:val="auto"/>
        </w:rPr>
        <w:t>m</w:t>
      </w:r>
      <w:r>
        <w:rPr>
          <w:rFonts w:hint="eastAsia"/>
          <w:color w:val="auto"/>
          <w:vertAlign w:val="superscript"/>
        </w:rPr>
        <w:t>2</w:t>
      </w:r>
      <w:r>
        <w:rPr>
          <w:rFonts w:hint="eastAsia"/>
          <w:color w:val="auto"/>
        </w:rPr>
        <w:t>核算；排放小时数按每天</w:t>
      </w:r>
      <w:r>
        <w:rPr>
          <w:rFonts w:hint="eastAsia"/>
          <w:color w:val="auto"/>
          <w:lang w:val="en-US" w:eastAsia="zh-CN"/>
        </w:rPr>
        <w:t>12</w:t>
      </w:r>
      <w:r>
        <w:rPr>
          <w:rFonts w:hint="eastAsia"/>
          <w:color w:val="auto"/>
        </w:rPr>
        <w:t>小时，年工作</w:t>
      </w:r>
      <w:r>
        <w:rPr>
          <w:rFonts w:hint="eastAsia"/>
          <w:color w:val="auto"/>
          <w:lang w:val="en-US" w:eastAsia="zh-CN"/>
        </w:rPr>
        <w:t>363</w:t>
      </w:r>
      <w:r>
        <w:rPr>
          <w:rFonts w:hint="eastAsia"/>
          <w:color w:val="auto"/>
        </w:rPr>
        <w:t>d计算。</w:t>
      </w:r>
    </w:p>
    <w:p w14:paraId="228E67FB">
      <w:pPr>
        <w:adjustRightInd w:val="0"/>
        <w:snapToGrid w:val="0"/>
        <w:spacing w:line="500" w:lineRule="exact"/>
        <w:jc w:val="center"/>
        <w:rPr>
          <w:rFonts w:eastAsia="黑体"/>
          <w:snapToGrid w:val="0"/>
          <w:color w:val="auto"/>
          <w:sz w:val="24"/>
          <w:lang w:val="zh-CN"/>
        </w:rPr>
      </w:pPr>
      <w:r>
        <w:rPr>
          <w:rFonts w:hint="eastAsia" w:eastAsia="黑体"/>
          <w:snapToGrid w:val="0"/>
          <w:color w:val="auto"/>
          <w:sz w:val="24"/>
          <w:lang w:val="zh-CN"/>
        </w:rPr>
        <w:t>表2-</w:t>
      </w:r>
      <w:r>
        <w:rPr>
          <w:rFonts w:eastAsia="黑体"/>
          <w:snapToGrid w:val="0"/>
          <w:color w:val="auto"/>
          <w:sz w:val="24"/>
          <w:lang w:val="zh-CN"/>
        </w:rPr>
        <w:t>6</w:t>
      </w:r>
      <w:r>
        <w:rPr>
          <w:rFonts w:hint="eastAsia" w:eastAsia="黑体"/>
          <w:snapToGrid w:val="0"/>
          <w:color w:val="auto"/>
          <w:sz w:val="24"/>
          <w:lang w:val="zh-CN"/>
        </w:rPr>
        <w:t>-</w:t>
      </w:r>
      <w:r>
        <w:rPr>
          <w:rFonts w:eastAsia="黑体"/>
          <w:snapToGrid w:val="0"/>
          <w:color w:val="auto"/>
          <w:sz w:val="24"/>
          <w:lang w:val="zh-CN"/>
        </w:rPr>
        <w:t>4</w:t>
      </w:r>
      <w:r>
        <w:rPr>
          <w:rFonts w:hint="eastAsia" w:eastAsia="黑体"/>
          <w:snapToGrid w:val="0"/>
          <w:color w:val="auto"/>
          <w:sz w:val="24"/>
          <w:lang w:val="zh-CN"/>
        </w:rPr>
        <w:t>估算结果表</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451"/>
        <w:gridCol w:w="1042"/>
        <w:gridCol w:w="1267"/>
        <w:gridCol w:w="1585"/>
        <w:gridCol w:w="1247"/>
        <w:gridCol w:w="1040"/>
        <w:gridCol w:w="1394"/>
      </w:tblGrid>
      <w:tr w14:paraId="78DDF5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1381" w:type="pct"/>
            <w:gridSpan w:val="2"/>
            <w:vAlign w:val="center"/>
          </w:tcPr>
          <w:p w14:paraId="7D129638">
            <w:pPr>
              <w:pStyle w:val="84"/>
              <w:rPr>
                <w:color w:val="auto"/>
              </w:rPr>
            </w:pPr>
            <w:r>
              <w:rPr>
                <w:color w:val="auto"/>
              </w:rPr>
              <w:t>污染物</w:t>
            </w:r>
          </w:p>
        </w:tc>
        <w:tc>
          <w:tcPr>
            <w:tcW w:w="702" w:type="pct"/>
            <w:vAlign w:val="center"/>
          </w:tcPr>
          <w:p w14:paraId="5B516BD2">
            <w:pPr>
              <w:pStyle w:val="84"/>
              <w:rPr>
                <w:color w:val="auto"/>
              </w:rPr>
            </w:pPr>
            <w:r>
              <w:rPr>
                <w:color w:val="auto"/>
              </w:rPr>
              <w:t>环境质量标准</w:t>
            </w:r>
            <w:r>
              <w:rPr>
                <w:color w:val="auto"/>
                <w:lang w:val="en-GB"/>
              </w:rPr>
              <w:t>（</w:t>
            </w:r>
            <w:r>
              <w:rPr>
                <w:rFonts w:hint="eastAsia"/>
                <w:snapToGrid w:val="0"/>
                <w:color w:val="auto"/>
                <w:kern w:val="0"/>
              </w:rPr>
              <w:t>μ</w:t>
            </w:r>
            <w:r>
              <w:rPr>
                <w:color w:val="auto"/>
              </w:rPr>
              <w:t>g/m</w:t>
            </w:r>
            <w:r>
              <w:rPr>
                <w:color w:val="auto"/>
                <w:vertAlign w:val="superscript"/>
              </w:rPr>
              <w:t>3</w:t>
            </w:r>
            <w:r>
              <w:rPr>
                <w:color w:val="auto"/>
                <w:lang w:val="en-GB"/>
              </w:rPr>
              <w:t>）</w:t>
            </w:r>
          </w:p>
        </w:tc>
        <w:tc>
          <w:tcPr>
            <w:tcW w:w="878" w:type="pct"/>
            <w:vAlign w:val="center"/>
          </w:tcPr>
          <w:p w14:paraId="307A8150">
            <w:pPr>
              <w:pStyle w:val="84"/>
              <w:rPr>
                <w:color w:val="auto"/>
              </w:rPr>
            </w:pPr>
            <w:r>
              <w:rPr>
                <w:rFonts w:hint="eastAsia"/>
                <w:color w:val="auto"/>
              </w:rPr>
              <w:t>预测下风向最大质量</w:t>
            </w:r>
            <w:r>
              <w:rPr>
                <w:color w:val="auto"/>
              </w:rPr>
              <w:t>浓度</w:t>
            </w:r>
            <w:r>
              <w:rPr>
                <w:color w:val="auto"/>
                <w:lang w:val="en-GB"/>
              </w:rPr>
              <w:t>（</w:t>
            </w:r>
            <w:r>
              <w:rPr>
                <w:rFonts w:hint="eastAsia"/>
                <w:snapToGrid w:val="0"/>
                <w:color w:val="auto"/>
                <w:kern w:val="0"/>
              </w:rPr>
              <w:t>m</w:t>
            </w:r>
            <w:r>
              <w:rPr>
                <w:color w:val="auto"/>
              </w:rPr>
              <w:t>g/m</w:t>
            </w:r>
            <w:r>
              <w:rPr>
                <w:color w:val="auto"/>
                <w:vertAlign w:val="superscript"/>
              </w:rPr>
              <w:t>3</w:t>
            </w:r>
            <w:r>
              <w:rPr>
                <w:color w:val="auto"/>
                <w:lang w:val="en-GB"/>
              </w:rPr>
              <w:t>）</w:t>
            </w:r>
          </w:p>
        </w:tc>
        <w:tc>
          <w:tcPr>
            <w:tcW w:w="691" w:type="pct"/>
            <w:vAlign w:val="center"/>
          </w:tcPr>
          <w:p w14:paraId="1C160E08">
            <w:pPr>
              <w:pStyle w:val="84"/>
              <w:rPr>
                <w:color w:val="auto"/>
              </w:rPr>
            </w:pPr>
            <w:r>
              <w:rPr>
                <w:rFonts w:hint="eastAsia"/>
                <w:snapToGrid w:val="0"/>
                <w:color w:val="auto"/>
                <w:kern w:val="0"/>
              </w:rPr>
              <w:t>D10%最远距离</w:t>
            </w:r>
            <w:r>
              <w:rPr>
                <w:snapToGrid w:val="0"/>
                <w:color w:val="auto"/>
                <w:kern w:val="0"/>
              </w:rPr>
              <w:t>(</w:t>
            </w:r>
            <w:r>
              <w:rPr>
                <w:rFonts w:hint="eastAsia"/>
                <w:snapToGrid w:val="0"/>
                <w:color w:val="auto"/>
                <w:kern w:val="0"/>
              </w:rPr>
              <w:t>m</w:t>
            </w:r>
            <w:r>
              <w:rPr>
                <w:snapToGrid w:val="0"/>
                <w:color w:val="auto"/>
                <w:kern w:val="0"/>
              </w:rPr>
              <w:t>)</w:t>
            </w:r>
          </w:p>
        </w:tc>
        <w:tc>
          <w:tcPr>
            <w:tcW w:w="576" w:type="pct"/>
            <w:vAlign w:val="center"/>
          </w:tcPr>
          <w:p w14:paraId="11083A8B">
            <w:pPr>
              <w:pStyle w:val="84"/>
              <w:rPr>
                <w:color w:val="auto"/>
              </w:rPr>
            </w:pPr>
            <w:r>
              <w:rPr>
                <w:color w:val="auto"/>
              </w:rPr>
              <w:t>占标率（%）</w:t>
            </w:r>
          </w:p>
        </w:tc>
        <w:tc>
          <w:tcPr>
            <w:tcW w:w="772" w:type="pct"/>
            <w:vAlign w:val="center"/>
          </w:tcPr>
          <w:p w14:paraId="3D634E04">
            <w:pPr>
              <w:pStyle w:val="84"/>
              <w:rPr>
                <w:color w:val="auto"/>
              </w:rPr>
            </w:pPr>
            <w:r>
              <w:rPr>
                <w:color w:val="auto"/>
                <w:kern w:val="0"/>
              </w:rPr>
              <w:t>最大浓度出现距离（m）</w:t>
            </w:r>
          </w:p>
        </w:tc>
      </w:tr>
      <w:tr w14:paraId="6F7B0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4" w:hRule="atLeast"/>
        </w:trPr>
        <w:tc>
          <w:tcPr>
            <w:tcW w:w="804" w:type="pct"/>
            <w:vAlign w:val="center"/>
          </w:tcPr>
          <w:p w14:paraId="4964AE1F">
            <w:pPr>
              <w:pStyle w:val="84"/>
              <w:rPr>
                <w:snapToGrid w:val="0"/>
                <w:color w:val="auto"/>
                <w:kern w:val="0"/>
              </w:rPr>
            </w:pPr>
            <w:r>
              <w:rPr>
                <w:rFonts w:hint="eastAsia"/>
                <w:snapToGrid w:val="0"/>
                <w:color w:val="auto"/>
                <w:kern w:val="0"/>
              </w:rPr>
              <w:t>回填场地</w:t>
            </w:r>
          </w:p>
        </w:tc>
        <w:tc>
          <w:tcPr>
            <w:tcW w:w="577" w:type="pct"/>
            <w:vAlign w:val="center"/>
          </w:tcPr>
          <w:p w14:paraId="2B89F7F5">
            <w:pPr>
              <w:pStyle w:val="84"/>
              <w:rPr>
                <w:color w:val="auto"/>
              </w:rPr>
            </w:pPr>
            <w:r>
              <w:rPr>
                <w:rFonts w:hint="eastAsia"/>
                <w:color w:val="auto"/>
              </w:rPr>
              <w:t>TSP</w:t>
            </w:r>
          </w:p>
        </w:tc>
        <w:tc>
          <w:tcPr>
            <w:tcW w:w="702" w:type="pct"/>
            <w:vAlign w:val="center"/>
          </w:tcPr>
          <w:p w14:paraId="3D01E236">
            <w:pPr>
              <w:pStyle w:val="84"/>
              <w:rPr>
                <w:color w:val="auto"/>
              </w:rPr>
            </w:pPr>
            <w:r>
              <w:rPr>
                <w:color w:val="auto"/>
              </w:rPr>
              <w:t>300</w:t>
            </w:r>
          </w:p>
        </w:tc>
        <w:tc>
          <w:tcPr>
            <w:tcW w:w="878" w:type="pct"/>
            <w:vAlign w:val="center"/>
          </w:tcPr>
          <w:p w14:paraId="04A6B753">
            <w:pPr>
              <w:pStyle w:val="84"/>
              <w:rPr>
                <w:rFonts w:hint="default" w:eastAsia="宋体"/>
                <w:color w:val="auto"/>
                <w:lang w:val="en-US" w:eastAsia="zh-CN"/>
              </w:rPr>
            </w:pPr>
            <w:r>
              <w:rPr>
                <w:rFonts w:hint="eastAsia"/>
                <w:color w:val="auto"/>
                <w:lang w:val="en-US" w:eastAsia="zh-CN"/>
              </w:rPr>
              <w:t>10.9</w:t>
            </w:r>
          </w:p>
        </w:tc>
        <w:tc>
          <w:tcPr>
            <w:tcW w:w="691" w:type="pct"/>
            <w:vAlign w:val="center"/>
          </w:tcPr>
          <w:p w14:paraId="32960DC4">
            <w:pPr>
              <w:pStyle w:val="84"/>
              <w:rPr>
                <w:color w:val="auto"/>
              </w:rPr>
            </w:pPr>
            <w:r>
              <w:rPr>
                <w:rFonts w:hint="eastAsia"/>
                <w:color w:val="auto"/>
              </w:rPr>
              <w:t>0</w:t>
            </w:r>
          </w:p>
        </w:tc>
        <w:tc>
          <w:tcPr>
            <w:tcW w:w="576" w:type="pct"/>
            <w:vAlign w:val="center"/>
          </w:tcPr>
          <w:p w14:paraId="2183D9AD">
            <w:pPr>
              <w:pStyle w:val="84"/>
              <w:rPr>
                <w:rFonts w:hint="default" w:eastAsia="宋体"/>
                <w:color w:val="auto"/>
                <w:lang w:val="en-US" w:eastAsia="zh-CN"/>
              </w:rPr>
            </w:pPr>
            <w:r>
              <w:rPr>
                <w:rFonts w:hint="eastAsia"/>
                <w:color w:val="auto"/>
                <w:lang w:val="en-US" w:eastAsia="zh-CN"/>
              </w:rPr>
              <w:t>1.22</w:t>
            </w:r>
          </w:p>
        </w:tc>
        <w:tc>
          <w:tcPr>
            <w:tcW w:w="772" w:type="pct"/>
            <w:vAlign w:val="center"/>
          </w:tcPr>
          <w:p w14:paraId="1B5941C8">
            <w:pPr>
              <w:pStyle w:val="84"/>
              <w:rPr>
                <w:rFonts w:hint="default" w:eastAsia="宋体"/>
                <w:color w:val="auto"/>
                <w:lang w:val="en-US" w:eastAsia="zh-CN"/>
              </w:rPr>
            </w:pPr>
            <w:r>
              <w:rPr>
                <w:rFonts w:hint="eastAsia"/>
                <w:color w:val="auto"/>
                <w:lang w:val="en-US" w:eastAsia="zh-CN"/>
              </w:rPr>
              <w:t>22</w:t>
            </w:r>
          </w:p>
        </w:tc>
      </w:tr>
    </w:tbl>
    <w:p w14:paraId="56058D1A">
      <w:pPr>
        <w:pStyle w:val="59"/>
        <w:ind w:firstLine="480"/>
        <w:rPr>
          <w:color w:val="auto"/>
        </w:rPr>
      </w:pPr>
      <w:r>
        <w:rPr>
          <w:color w:val="auto"/>
        </w:rPr>
        <w:t>由上表可知，本项目产生的大气污染物TSP预测最大地面质量浓度占标率最大值为</w:t>
      </w:r>
      <w:r>
        <w:rPr>
          <w:rFonts w:hint="eastAsia"/>
          <w:color w:val="auto"/>
          <w:lang w:val="en-US" w:eastAsia="zh-CN"/>
        </w:rPr>
        <w:t>1.22</w:t>
      </w:r>
      <w:r>
        <w:rPr>
          <w:color w:val="auto"/>
        </w:rPr>
        <w:t>%，</w:t>
      </w:r>
      <w:r>
        <w:rPr>
          <w:color w:val="auto"/>
          <w:lang w:val="zh-CN"/>
        </w:rPr>
        <w:t>1%≤P</w:t>
      </w:r>
      <w:r>
        <w:rPr>
          <w:color w:val="auto"/>
          <w:vertAlign w:val="subscript"/>
          <w:lang w:val="zh-CN"/>
        </w:rPr>
        <w:t>max</w:t>
      </w:r>
      <w:r>
        <w:rPr>
          <w:color w:val="auto"/>
          <w:lang w:val="zh-CN"/>
        </w:rPr>
        <w:t>＜10%</w:t>
      </w:r>
      <w:r>
        <w:rPr>
          <w:color w:val="auto"/>
        </w:rPr>
        <w:t>，因此，确定本项目大气环境影响评价等级为</w:t>
      </w:r>
      <w:r>
        <w:rPr>
          <w:rFonts w:hint="eastAsia"/>
          <w:color w:val="auto"/>
        </w:rPr>
        <w:t>二</w:t>
      </w:r>
      <w:r>
        <w:rPr>
          <w:color w:val="auto"/>
        </w:rPr>
        <w:t>级。</w:t>
      </w:r>
    </w:p>
    <w:p w14:paraId="22EB5ACF">
      <w:pPr>
        <w:pStyle w:val="137"/>
        <w:rPr>
          <w:color w:val="auto"/>
        </w:rPr>
      </w:pPr>
      <w:r>
        <w:rPr>
          <w:color w:val="auto"/>
        </w:rPr>
        <w:t>2.6.2地表水环境</w:t>
      </w:r>
    </w:p>
    <w:p w14:paraId="6EA3AEB3">
      <w:pPr>
        <w:pStyle w:val="59"/>
        <w:ind w:firstLine="480"/>
        <w:rPr>
          <w:snapToGrid w:val="0"/>
          <w:color w:val="auto"/>
        </w:rPr>
      </w:pPr>
      <w:r>
        <w:rPr>
          <w:snapToGrid w:val="0"/>
          <w:color w:val="auto"/>
        </w:rPr>
        <w:t>根据《环境影响评价技术导则 地表水环境》（HJ2.3-2018）中的有关规定，将地表水环境影响评价工作等级分为一级、二级、三级A、三级B，划分依据见</w:t>
      </w:r>
      <w:r>
        <w:rPr>
          <w:rFonts w:hint="eastAsia"/>
          <w:snapToGrid w:val="0"/>
          <w:color w:val="auto"/>
        </w:rPr>
        <w:t>下表</w:t>
      </w:r>
      <w:r>
        <w:rPr>
          <w:snapToGrid w:val="0"/>
          <w:color w:val="auto"/>
        </w:rPr>
        <w:t>。</w:t>
      </w:r>
    </w:p>
    <w:p w14:paraId="2815F589">
      <w:pPr>
        <w:pStyle w:val="76"/>
        <w:rPr>
          <w:color w:val="auto"/>
        </w:rPr>
      </w:pPr>
      <w:bookmarkStart w:id="57" w:name="_Hlk10134411"/>
      <w:r>
        <w:rPr>
          <w:color w:val="auto"/>
        </w:rPr>
        <w:t>表2-6-5地表水评价等级确定表</w:t>
      </w:r>
    </w:p>
    <w:bookmarkEnd w:id="57"/>
    <w:tbl>
      <w:tblPr>
        <w:tblStyle w:val="45"/>
        <w:tblW w:w="8999" w:type="dxa"/>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995"/>
        <w:gridCol w:w="2456"/>
        <w:gridCol w:w="4548"/>
      </w:tblGrid>
      <w:tr w14:paraId="26F04E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359" w:hRule="atLeast"/>
          <w:jc w:val="center"/>
        </w:trPr>
        <w:tc>
          <w:tcPr>
            <w:tcW w:w="1995" w:type="dxa"/>
            <w:vMerge w:val="restart"/>
            <w:vAlign w:val="center"/>
          </w:tcPr>
          <w:p w14:paraId="37F73544">
            <w:pPr>
              <w:jc w:val="center"/>
              <w:rPr>
                <w:snapToGrid w:val="0"/>
                <w:color w:val="auto"/>
                <w:kern w:val="0"/>
                <w:lang w:val="zh-CN"/>
              </w:rPr>
            </w:pPr>
            <w:r>
              <w:rPr>
                <w:snapToGrid w:val="0"/>
                <w:color w:val="auto"/>
                <w:kern w:val="0"/>
                <w:lang w:val="zh-CN"/>
              </w:rPr>
              <w:t>评价等级</w:t>
            </w:r>
          </w:p>
        </w:tc>
        <w:tc>
          <w:tcPr>
            <w:tcW w:w="7004" w:type="dxa"/>
            <w:gridSpan w:val="2"/>
          </w:tcPr>
          <w:p w14:paraId="366E45DA">
            <w:pPr>
              <w:jc w:val="center"/>
              <w:rPr>
                <w:snapToGrid w:val="0"/>
                <w:color w:val="auto"/>
                <w:kern w:val="0"/>
                <w:lang w:val="zh-CN"/>
              </w:rPr>
            </w:pPr>
            <w:r>
              <w:rPr>
                <w:snapToGrid w:val="0"/>
                <w:color w:val="auto"/>
                <w:kern w:val="0"/>
                <w:lang w:val="zh-CN"/>
              </w:rPr>
              <w:t>判定依据</w:t>
            </w:r>
          </w:p>
        </w:tc>
      </w:tr>
      <w:tr w14:paraId="20D457D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620" w:hRule="atLeast"/>
          <w:jc w:val="center"/>
        </w:trPr>
        <w:tc>
          <w:tcPr>
            <w:tcW w:w="1995" w:type="dxa"/>
            <w:vMerge w:val="continue"/>
            <w:vAlign w:val="center"/>
          </w:tcPr>
          <w:p w14:paraId="4F065592">
            <w:pPr>
              <w:jc w:val="center"/>
              <w:rPr>
                <w:snapToGrid w:val="0"/>
                <w:color w:val="auto"/>
                <w:kern w:val="0"/>
                <w:lang w:val="zh-CN"/>
              </w:rPr>
            </w:pPr>
          </w:p>
        </w:tc>
        <w:tc>
          <w:tcPr>
            <w:tcW w:w="2456" w:type="dxa"/>
            <w:vAlign w:val="center"/>
          </w:tcPr>
          <w:p w14:paraId="68B01828">
            <w:pPr>
              <w:jc w:val="center"/>
              <w:rPr>
                <w:snapToGrid w:val="0"/>
                <w:color w:val="auto"/>
                <w:kern w:val="0"/>
                <w:lang w:val="zh-CN"/>
              </w:rPr>
            </w:pPr>
            <w:r>
              <w:rPr>
                <w:snapToGrid w:val="0"/>
                <w:color w:val="auto"/>
                <w:kern w:val="0"/>
                <w:lang w:val="zh-CN"/>
              </w:rPr>
              <w:t>排放方式</w:t>
            </w:r>
          </w:p>
        </w:tc>
        <w:tc>
          <w:tcPr>
            <w:tcW w:w="4548" w:type="dxa"/>
            <w:vAlign w:val="center"/>
          </w:tcPr>
          <w:p w14:paraId="22C8BE12">
            <w:pPr>
              <w:jc w:val="center"/>
              <w:rPr>
                <w:snapToGrid w:val="0"/>
                <w:color w:val="auto"/>
                <w:kern w:val="0"/>
                <w:lang w:val="zh-CN"/>
              </w:rPr>
            </w:pPr>
            <w:r>
              <w:rPr>
                <w:snapToGrid w:val="0"/>
                <w:color w:val="auto"/>
                <w:kern w:val="0"/>
                <w:lang w:val="zh-CN"/>
              </w:rPr>
              <w:t>废水排放量Q/（m</w:t>
            </w:r>
            <w:r>
              <w:rPr>
                <w:snapToGrid w:val="0"/>
                <w:color w:val="auto"/>
                <w:kern w:val="0"/>
                <w:vertAlign w:val="superscript"/>
                <w:lang w:val="zh-CN"/>
              </w:rPr>
              <w:t>3</w:t>
            </w:r>
            <w:r>
              <w:rPr>
                <w:snapToGrid w:val="0"/>
                <w:color w:val="auto"/>
                <w:kern w:val="0"/>
                <w:lang w:val="zh-CN"/>
              </w:rPr>
              <w:t>/d）；</w:t>
            </w:r>
          </w:p>
          <w:p w14:paraId="3BFAF1D5">
            <w:pPr>
              <w:jc w:val="center"/>
              <w:rPr>
                <w:snapToGrid w:val="0"/>
                <w:color w:val="auto"/>
                <w:kern w:val="0"/>
                <w:lang w:val="zh-CN"/>
              </w:rPr>
            </w:pPr>
            <w:r>
              <w:rPr>
                <w:snapToGrid w:val="0"/>
                <w:color w:val="auto"/>
                <w:kern w:val="0"/>
                <w:lang w:val="zh-CN"/>
              </w:rPr>
              <w:t>水污染物当量数W/（无量纲）</w:t>
            </w:r>
          </w:p>
        </w:tc>
      </w:tr>
      <w:tr w14:paraId="3BB8588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1" w:hRule="atLeast"/>
          <w:jc w:val="center"/>
        </w:trPr>
        <w:tc>
          <w:tcPr>
            <w:tcW w:w="1995" w:type="dxa"/>
            <w:vAlign w:val="center"/>
          </w:tcPr>
          <w:p w14:paraId="375DCB41">
            <w:pPr>
              <w:jc w:val="center"/>
              <w:rPr>
                <w:snapToGrid w:val="0"/>
                <w:color w:val="auto"/>
                <w:kern w:val="0"/>
                <w:lang w:val="zh-CN"/>
              </w:rPr>
            </w:pPr>
            <w:r>
              <w:rPr>
                <w:snapToGrid w:val="0"/>
                <w:color w:val="auto"/>
                <w:kern w:val="0"/>
                <w:lang w:val="zh-CN"/>
              </w:rPr>
              <w:t>一级</w:t>
            </w:r>
          </w:p>
        </w:tc>
        <w:tc>
          <w:tcPr>
            <w:tcW w:w="2456" w:type="dxa"/>
            <w:vAlign w:val="center"/>
          </w:tcPr>
          <w:p w14:paraId="7C6A450D">
            <w:pPr>
              <w:jc w:val="center"/>
              <w:rPr>
                <w:snapToGrid w:val="0"/>
                <w:color w:val="auto"/>
                <w:kern w:val="0"/>
                <w:lang w:val="zh-CN"/>
              </w:rPr>
            </w:pPr>
            <w:r>
              <w:rPr>
                <w:snapToGrid w:val="0"/>
                <w:color w:val="auto"/>
                <w:kern w:val="0"/>
                <w:lang w:val="zh-CN"/>
              </w:rPr>
              <w:t>直接排放</w:t>
            </w:r>
          </w:p>
        </w:tc>
        <w:tc>
          <w:tcPr>
            <w:tcW w:w="4548" w:type="dxa"/>
            <w:vAlign w:val="center"/>
          </w:tcPr>
          <w:p w14:paraId="1204F5AD">
            <w:pPr>
              <w:jc w:val="center"/>
              <w:rPr>
                <w:snapToGrid w:val="0"/>
                <w:color w:val="auto"/>
                <w:kern w:val="0"/>
                <w:lang w:val="zh-CN"/>
              </w:rPr>
            </w:pPr>
            <w:r>
              <w:rPr>
                <w:snapToGrid w:val="0"/>
                <w:color w:val="auto"/>
                <w:kern w:val="0"/>
                <w:lang w:val="zh-CN"/>
              </w:rPr>
              <w:t>Q≥20000或W≥600000</w:t>
            </w:r>
          </w:p>
        </w:tc>
      </w:tr>
      <w:tr w14:paraId="70F4FD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1" w:hRule="atLeast"/>
          <w:jc w:val="center"/>
        </w:trPr>
        <w:tc>
          <w:tcPr>
            <w:tcW w:w="1995" w:type="dxa"/>
            <w:vAlign w:val="center"/>
          </w:tcPr>
          <w:p w14:paraId="2378E352">
            <w:pPr>
              <w:jc w:val="center"/>
              <w:rPr>
                <w:snapToGrid w:val="0"/>
                <w:color w:val="auto"/>
                <w:kern w:val="0"/>
                <w:lang w:val="zh-CN"/>
              </w:rPr>
            </w:pPr>
            <w:r>
              <w:rPr>
                <w:snapToGrid w:val="0"/>
                <w:color w:val="auto"/>
                <w:kern w:val="0"/>
                <w:lang w:val="zh-CN"/>
              </w:rPr>
              <w:t>二级</w:t>
            </w:r>
          </w:p>
        </w:tc>
        <w:tc>
          <w:tcPr>
            <w:tcW w:w="2456" w:type="dxa"/>
            <w:vAlign w:val="center"/>
          </w:tcPr>
          <w:p w14:paraId="3BA1F103">
            <w:pPr>
              <w:jc w:val="center"/>
              <w:rPr>
                <w:snapToGrid w:val="0"/>
                <w:color w:val="auto"/>
                <w:kern w:val="0"/>
                <w:lang w:val="zh-CN"/>
              </w:rPr>
            </w:pPr>
            <w:r>
              <w:rPr>
                <w:snapToGrid w:val="0"/>
                <w:color w:val="auto"/>
                <w:kern w:val="0"/>
                <w:lang w:val="zh-CN"/>
              </w:rPr>
              <w:t>直接排放</w:t>
            </w:r>
          </w:p>
        </w:tc>
        <w:tc>
          <w:tcPr>
            <w:tcW w:w="4548" w:type="dxa"/>
            <w:vAlign w:val="center"/>
          </w:tcPr>
          <w:p w14:paraId="35CD0730">
            <w:pPr>
              <w:jc w:val="center"/>
              <w:rPr>
                <w:snapToGrid w:val="0"/>
                <w:color w:val="auto"/>
                <w:kern w:val="0"/>
                <w:lang w:val="zh-CN"/>
              </w:rPr>
            </w:pPr>
            <w:r>
              <w:rPr>
                <w:snapToGrid w:val="0"/>
                <w:color w:val="auto"/>
                <w:kern w:val="0"/>
                <w:lang w:val="zh-CN"/>
              </w:rPr>
              <w:t>其他</w:t>
            </w:r>
          </w:p>
        </w:tc>
      </w:tr>
      <w:tr w14:paraId="678B511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1" w:hRule="atLeast"/>
          <w:jc w:val="center"/>
        </w:trPr>
        <w:tc>
          <w:tcPr>
            <w:tcW w:w="1995" w:type="dxa"/>
            <w:vAlign w:val="center"/>
          </w:tcPr>
          <w:p w14:paraId="2C130A2A">
            <w:pPr>
              <w:jc w:val="center"/>
              <w:rPr>
                <w:snapToGrid w:val="0"/>
                <w:color w:val="auto"/>
                <w:kern w:val="0"/>
                <w:lang w:val="zh-CN"/>
              </w:rPr>
            </w:pPr>
            <w:r>
              <w:rPr>
                <w:snapToGrid w:val="0"/>
                <w:color w:val="auto"/>
                <w:kern w:val="0"/>
              </w:rPr>
              <w:t>三级A</w:t>
            </w:r>
          </w:p>
        </w:tc>
        <w:tc>
          <w:tcPr>
            <w:tcW w:w="2456" w:type="dxa"/>
            <w:vAlign w:val="center"/>
          </w:tcPr>
          <w:p w14:paraId="2B4654B6">
            <w:pPr>
              <w:jc w:val="center"/>
              <w:rPr>
                <w:snapToGrid w:val="0"/>
                <w:color w:val="auto"/>
                <w:kern w:val="0"/>
                <w:lang w:val="zh-CN"/>
              </w:rPr>
            </w:pPr>
            <w:r>
              <w:rPr>
                <w:snapToGrid w:val="0"/>
                <w:color w:val="auto"/>
                <w:kern w:val="0"/>
                <w:lang w:val="zh-CN"/>
              </w:rPr>
              <w:t>直接排放</w:t>
            </w:r>
          </w:p>
        </w:tc>
        <w:tc>
          <w:tcPr>
            <w:tcW w:w="4548" w:type="dxa"/>
            <w:vAlign w:val="center"/>
          </w:tcPr>
          <w:p w14:paraId="05721C2C">
            <w:pPr>
              <w:jc w:val="center"/>
              <w:rPr>
                <w:snapToGrid w:val="0"/>
                <w:color w:val="auto"/>
                <w:kern w:val="0"/>
                <w:lang w:val="zh-CN"/>
              </w:rPr>
            </w:pPr>
            <w:r>
              <w:rPr>
                <w:snapToGrid w:val="0"/>
                <w:color w:val="auto"/>
                <w:kern w:val="0"/>
                <w:lang w:val="zh-CN"/>
              </w:rPr>
              <w:t>Q＜200或W＜6000</w:t>
            </w:r>
          </w:p>
        </w:tc>
      </w:tr>
      <w:tr w14:paraId="6A39E9A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21" w:hRule="atLeast"/>
          <w:jc w:val="center"/>
        </w:trPr>
        <w:tc>
          <w:tcPr>
            <w:tcW w:w="1995" w:type="dxa"/>
            <w:vAlign w:val="center"/>
          </w:tcPr>
          <w:p w14:paraId="0CD66980">
            <w:pPr>
              <w:jc w:val="center"/>
              <w:rPr>
                <w:b/>
                <w:snapToGrid w:val="0"/>
                <w:color w:val="auto"/>
                <w:kern w:val="0"/>
              </w:rPr>
            </w:pPr>
            <w:r>
              <w:rPr>
                <w:b/>
                <w:snapToGrid w:val="0"/>
                <w:color w:val="auto"/>
                <w:kern w:val="0"/>
              </w:rPr>
              <w:t>三级B</w:t>
            </w:r>
          </w:p>
        </w:tc>
        <w:tc>
          <w:tcPr>
            <w:tcW w:w="2456" w:type="dxa"/>
            <w:vAlign w:val="center"/>
          </w:tcPr>
          <w:p w14:paraId="4C30136A">
            <w:pPr>
              <w:jc w:val="center"/>
              <w:rPr>
                <w:b/>
                <w:snapToGrid w:val="0"/>
                <w:color w:val="auto"/>
                <w:kern w:val="0"/>
                <w:lang w:val="zh-CN"/>
              </w:rPr>
            </w:pPr>
            <w:r>
              <w:rPr>
                <w:b/>
                <w:snapToGrid w:val="0"/>
                <w:color w:val="auto"/>
                <w:kern w:val="0"/>
                <w:lang w:val="zh-CN"/>
              </w:rPr>
              <w:t>间接排放</w:t>
            </w:r>
          </w:p>
        </w:tc>
        <w:tc>
          <w:tcPr>
            <w:tcW w:w="4548" w:type="dxa"/>
            <w:vAlign w:val="center"/>
          </w:tcPr>
          <w:p w14:paraId="5E272343">
            <w:pPr>
              <w:jc w:val="center"/>
              <w:rPr>
                <w:b/>
                <w:snapToGrid w:val="0"/>
                <w:color w:val="auto"/>
                <w:kern w:val="0"/>
                <w:lang w:val="zh-CN"/>
              </w:rPr>
            </w:pPr>
            <w:r>
              <w:rPr>
                <w:b/>
                <w:snapToGrid w:val="0"/>
                <w:color w:val="auto"/>
                <w:kern w:val="0"/>
                <w:lang w:val="zh-CN"/>
              </w:rPr>
              <w:t>/</w:t>
            </w:r>
          </w:p>
        </w:tc>
      </w:tr>
      <w:tr w14:paraId="6D95541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4807" w:hRule="atLeast"/>
          <w:jc w:val="center"/>
        </w:trPr>
        <w:tc>
          <w:tcPr>
            <w:tcW w:w="8999" w:type="dxa"/>
            <w:gridSpan w:val="3"/>
            <w:vAlign w:val="center"/>
          </w:tcPr>
          <w:p w14:paraId="0AFB79BD">
            <w:pPr>
              <w:pStyle w:val="84"/>
              <w:ind w:firstLine="319"/>
              <w:jc w:val="both"/>
              <w:rPr>
                <w:color w:val="auto"/>
                <w:sz w:val="18"/>
                <w:szCs w:val="22"/>
              </w:rPr>
            </w:pPr>
            <w:r>
              <w:rPr>
                <w:color w:val="auto"/>
                <w:sz w:val="18"/>
                <w:szCs w:val="22"/>
              </w:rPr>
              <w:t>注1：水污染物当量数等于该污染物的年排放量除以该污染物的污染当量值（见附录A），计算排放污染物的污染物当量数，应区分第一类水污染物和其他类水污染物，统计第一类污染物当量数总和，然后与其他类污染物按照污染物当量数从大到小排序，取最大当量数作为建设项目评价等级确定的依据。</w:t>
            </w:r>
          </w:p>
          <w:p w14:paraId="5CDA805D">
            <w:pPr>
              <w:pStyle w:val="84"/>
              <w:ind w:firstLine="319"/>
              <w:jc w:val="both"/>
              <w:rPr>
                <w:color w:val="auto"/>
                <w:sz w:val="18"/>
                <w:szCs w:val="22"/>
              </w:rPr>
            </w:pPr>
            <w:r>
              <w:rPr>
                <w:color w:val="auto"/>
                <w:sz w:val="18"/>
                <w:szCs w:val="22"/>
              </w:rPr>
              <w:t>注</w:t>
            </w:r>
            <w:r>
              <w:rPr>
                <w:color w:val="auto"/>
                <w:spacing w:val="-47"/>
                <w:sz w:val="18"/>
                <w:szCs w:val="22"/>
              </w:rPr>
              <w:t xml:space="preserve"> </w:t>
            </w:r>
            <w:r>
              <w:rPr>
                <w:color w:val="auto"/>
                <w:sz w:val="18"/>
                <w:szCs w:val="22"/>
              </w:rPr>
              <w:t>2：废水排放量按行业排放标准中规定的废水种类统计，没有相关行业排放标准要求的通过工程分析合理确定，应统计含热量大的冷却水的排放量，可不统计间接冷却水、循环水以及其他含污染物极少的清净下水的排放量。</w:t>
            </w:r>
          </w:p>
          <w:p w14:paraId="3FA803C5">
            <w:pPr>
              <w:pStyle w:val="84"/>
              <w:ind w:firstLine="319"/>
              <w:jc w:val="both"/>
              <w:rPr>
                <w:color w:val="auto"/>
                <w:sz w:val="18"/>
                <w:szCs w:val="22"/>
              </w:rPr>
            </w:pPr>
            <w:r>
              <w:rPr>
                <w:color w:val="auto"/>
                <w:sz w:val="18"/>
                <w:szCs w:val="22"/>
              </w:rPr>
              <w:t>注3：厂区存在堆积物（露天堆放的原料、燃料、废渣等以及垃圾堆放场）、降尘污染的，应将初期雨污水纳入废水排放量，相应的主要污染物纳入水污染当量计算。</w:t>
            </w:r>
          </w:p>
          <w:p w14:paraId="5254BAEF">
            <w:pPr>
              <w:pStyle w:val="84"/>
              <w:ind w:firstLine="319"/>
              <w:jc w:val="both"/>
              <w:rPr>
                <w:color w:val="auto"/>
                <w:sz w:val="18"/>
                <w:szCs w:val="22"/>
              </w:rPr>
            </w:pPr>
            <w:r>
              <w:rPr>
                <w:color w:val="auto"/>
                <w:sz w:val="18"/>
                <w:szCs w:val="22"/>
              </w:rPr>
              <w:t>注4：建设项目直接排放第一类污染物的，其评价等级为一级；建设项目直接排放的污染物为受纳水体超标因子的，评价等级不低于二级。</w:t>
            </w:r>
          </w:p>
          <w:p w14:paraId="539344DE">
            <w:pPr>
              <w:pStyle w:val="84"/>
              <w:ind w:firstLine="319"/>
              <w:jc w:val="both"/>
              <w:rPr>
                <w:color w:val="auto"/>
                <w:sz w:val="18"/>
                <w:szCs w:val="22"/>
              </w:rPr>
            </w:pPr>
            <w:r>
              <w:rPr>
                <w:color w:val="auto"/>
                <w:sz w:val="18"/>
                <w:szCs w:val="22"/>
              </w:rPr>
              <w:t>注5：直接排放受纳水体影响范围涉及饮用水水源保护区、饮用水取水口、重点保护与珍稀水生生物的栖息地、重要水生生物的自然产卵场等保护目标时，评价等级不低于二级。</w:t>
            </w:r>
          </w:p>
          <w:p w14:paraId="21565E7E">
            <w:pPr>
              <w:pStyle w:val="84"/>
              <w:ind w:firstLine="319"/>
              <w:jc w:val="both"/>
              <w:rPr>
                <w:b/>
                <w:snapToGrid w:val="0"/>
                <w:color w:val="auto"/>
                <w:kern w:val="0"/>
                <w:lang w:val="zh-CN"/>
              </w:rPr>
            </w:pPr>
            <w:r>
              <w:rPr>
                <w:color w:val="auto"/>
                <w:sz w:val="18"/>
                <w:szCs w:val="22"/>
              </w:rPr>
              <w:t>注6：建设项目向河流、湖库排放温排水引起受纳水体水温变化超过水环境质量标准要求，且评价</w:t>
            </w:r>
          </w:p>
          <w:p w14:paraId="326B0701">
            <w:pPr>
              <w:pStyle w:val="84"/>
              <w:ind w:firstLine="319"/>
              <w:jc w:val="both"/>
              <w:rPr>
                <w:color w:val="auto"/>
                <w:sz w:val="18"/>
                <w:szCs w:val="22"/>
              </w:rPr>
            </w:pPr>
            <w:r>
              <w:rPr>
                <w:color w:val="auto"/>
                <w:sz w:val="18"/>
                <w:szCs w:val="22"/>
              </w:rPr>
              <w:t>范围有水温敏感目标 时，评价等级为一级。</w:t>
            </w:r>
          </w:p>
          <w:p w14:paraId="7BC87A45">
            <w:pPr>
              <w:pStyle w:val="84"/>
              <w:ind w:firstLine="319"/>
              <w:jc w:val="both"/>
              <w:rPr>
                <w:color w:val="auto"/>
                <w:sz w:val="18"/>
                <w:szCs w:val="22"/>
              </w:rPr>
            </w:pPr>
            <w:r>
              <w:rPr>
                <w:color w:val="auto"/>
                <w:sz w:val="18"/>
                <w:szCs w:val="22"/>
              </w:rPr>
              <w:t>注7：建设项目利用海水作为调节温度介质，排水量≥500万m</w:t>
            </w:r>
            <w:r>
              <w:rPr>
                <w:color w:val="auto"/>
                <w:sz w:val="18"/>
                <w:szCs w:val="22"/>
                <w:vertAlign w:val="superscript"/>
              </w:rPr>
              <w:t>3</w:t>
            </w:r>
            <w:r>
              <w:rPr>
                <w:color w:val="auto"/>
                <w:sz w:val="18"/>
                <w:szCs w:val="22"/>
              </w:rPr>
              <w:t>/d，评价等级为一级；排水量＜500万m</w:t>
            </w:r>
            <w:r>
              <w:rPr>
                <w:color w:val="auto"/>
                <w:sz w:val="18"/>
                <w:szCs w:val="22"/>
                <w:vertAlign w:val="superscript"/>
              </w:rPr>
              <w:t>3</w:t>
            </w:r>
            <w:r>
              <w:rPr>
                <w:color w:val="auto"/>
                <w:sz w:val="18"/>
                <w:szCs w:val="22"/>
              </w:rPr>
              <w:t>/d，评价等级为二级。</w:t>
            </w:r>
          </w:p>
          <w:p w14:paraId="3835871F">
            <w:pPr>
              <w:pStyle w:val="84"/>
              <w:ind w:firstLine="319"/>
              <w:jc w:val="both"/>
              <w:rPr>
                <w:color w:val="auto"/>
                <w:sz w:val="18"/>
                <w:szCs w:val="22"/>
              </w:rPr>
            </w:pPr>
            <w:r>
              <w:rPr>
                <w:color w:val="auto"/>
                <w:sz w:val="18"/>
                <w:szCs w:val="22"/>
              </w:rPr>
              <w:t>注8：仅涉及清净下水排放的，如其排放水质满足受纳水体水环境质量标准要求的，评价等级为三级 A。</w:t>
            </w:r>
          </w:p>
          <w:p w14:paraId="6B64891A">
            <w:pPr>
              <w:pStyle w:val="84"/>
              <w:ind w:firstLine="319"/>
              <w:jc w:val="both"/>
              <w:rPr>
                <w:b/>
                <w:color w:val="auto"/>
                <w:sz w:val="18"/>
                <w:szCs w:val="22"/>
              </w:rPr>
            </w:pPr>
            <w:r>
              <w:rPr>
                <w:b/>
                <w:color w:val="auto"/>
                <w:sz w:val="18"/>
                <w:szCs w:val="22"/>
              </w:rPr>
              <w:t>注9：依托现有排放口，且对外环境未新增排放污染物的直接排放建设项目，评价等级参照间接排放，定为三级B。</w:t>
            </w:r>
          </w:p>
          <w:p w14:paraId="069E2B7C">
            <w:pPr>
              <w:pStyle w:val="84"/>
              <w:ind w:firstLine="319"/>
              <w:jc w:val="both"/>
              <w:rPr>
                <w:color w:val="auto"/>
                <w:sz w:val="18"/>
                <w:szCs w:val="22"/>
              </w:rPr>
            </w:pPr>
            <w:r>
              <w:rPr>
                <w:color w:val="auto"/>
                <w:sz w:val="18"/>
                <w:szCs w:val="22"/>
              </w:rPr>
              <w:t>注10：建设项目生产工艺中有废水产生，但作为回水利用，不排放到外环境的，按三级B评价。</w:t>
            </w:r>
          </w:p>
        </w:tc>
      </w:tr>
    </w:tbl>
    <w:p w14:paraId="12D197DA">
      <w:pPr>
        <w:pStyle w:val="59"/>
        <w:ind w:firstLine="480"/>
        <w:rPr>
          <w:rFonts w:cs="Times New Roman"/>
          <w:snapToGrid w:val="0"/>
          <w:color w:val="auto"/>
          <w:kern w:val="0"/>
          <w:szCs w:val="22"/>
        </w:rPr>
      </w:pPr>
      <w:r>
        <w:rPr>
          <w:color w:val="auto"/>
        </w:rPr>
        <w:t>本项目</w:t>
      </w:r>
      <w:r>
        <w:rPr>
          <w:rFonts w:hint="eastAsia"/>
          <w:color w:val="auto"/>
        </w:rPr>
        <w:t>回填复垦期</w:t>
      </w:r>
      <w:r>
        <w:rPr>
          <w:color w:val="auto"/>
        </w:rPr>
        <w:t>生产</w:t>
      </w:r>
      <w:r>
        <w:rPr>
          <w:rFonts w:hint="eastAsia"/>
          <w:color w:val="auto"/>
        </w:rPr>
        <w:t>废水</w:t>
      </w:r>
      <w:r>
        <w:rPr>
          <w:color w:val="auto"/>
        </w:rPr>
        <w:t>及生活</w:t>
      </w:r>
      <w:r>
        <w:rPr>
          <w:rFonts w:hint="eastAsia"/>
          <w:color w:val="auto"/>
        </w:rPr>
        <w:t>污水</w:t>
      </w:r>
      <w:r>
        <w:rPr>
          <w:color w:val="auto"/>
        </w:rPr>
        <w:t>不外排；根据《环境影响评价技术导则 地</w:t>
      </w:r>
      <w:r>
        <w:rPr>
          <w:rFonts w:hint="eastAsia"/>
          <w:color w:val="auto"/>
        </w:rPr>
        <w:t>表</w:t>
      </w:r>
      <w:r>
        <w:rPr>
          <w:color w:val="auto"/>
        </w:rPr>
        <w:t>水环境》（HJ2.3-2018）中规定，</w:t>
      </w:r>
      <w:r>
        <w:rPr>
          <w:rFonts w:hint="eastAsia"/>
          <w:color w:val="auto"/>
        </w:rPr>
        <w:t>本项目地表水评价等级</w:t>
      </w:r>
      <w:r>
        <w:rPr>
          <w:color w:val="auto"/>
        </w:rPr>
        <w:t>定为三级B</w:t>
      </w:r>
      <w:r>
        <w:rPr>
          <w:rFonts w:hint="eastAsia" w:cs="Times New Roman"/>
          <w:snapToGrid w:val="0"/>
          <w:color w:val="auto"/>
          <w:kern w:val="0"/>
        </w:rPr>
        <w:t>，可不进行水环境影响预测。主要评价内容包括：</w:t>
      </w:r>
      <w:r>
        <w:rPr>
          <w:rFonts w:cs="Times New Roman"/>
          <w:snapToGrid w:val="0"/>
          <w:color w:val="auto"/>
          <w:kern w:val="0"/>
        </w:rPr>
        <w:t>a)</w:t>
      </w:r>
      <w:r>
        <w:rPr>
          <w:rFonts w:hint="eastAsia" w:cs="Times New Roman"/>
          <w:snapToGrid w:val="0"/>
          <w:color w:val="auto"/>
          <w:kern w:val="0"/>
        </w:rPr>
        <w:t>水污染控制和水环境影响减缓措施有效性评价；</w:t>
      </w:r>
      <w:r>
        <w:rPr>
          <w:rFonts w:cs="Times New Roman"/>
          <w:snapToGrid w:val="0"/>
          <w:color w:val="auto"/>
          <w:kern w:val="0"/>
        </w:rPr>
        <w:t>b)</w:t>
      </w:r>
      <w:r>
        <w:rPr>
          <w:rFonts w:hint="eastAsia" w:cs="Times New Roman"/>
          <w:snapToGrid w:val="0"/>
          <w:color w:val="auto"/>
          <w:kern w:val="0"/>
        </w:rPr>
        <w:t>依托污水处理措施的环境可行性评价。</w:t>
      </w:r>
    </w:p>
    <w:p w14:paraId="2BAFA754">
      <w:pPr>
        <w:pStyle w:val="137"/>
        <w:rPr>
          <w:color w:val="auto"/>
        </w:rPr>
      </w:pPr>
      <w:r>
        <w:rPr>
          <w:color w:val="auto"/>
        </w:rPr>
        <w:t>2.6.3地下水环境</w:t>
      </w:r>
    </w:p>
    <w:p w14:paraId="1E77E012">
      <w:pPr>
        <w:spacing w:line="500" w:lineRule="exact"/>
        <w:ind w:firstLine="480" w:firstLineChars="200"/>
        <w:rPr>
          <w:snapToGrid w:val="0"/>
          <w:color w:val="auto"/>
          <w:sz w:val="24"/>
          <w:szCs w:val="22"/>
        </w:rPr>
      </w:pPr>
      <w:r>
        <w:rPr>
          <w:rFonts w:hint="eastAsia"/>
          <w:snapToGrid w:val="0"/>
          <w:color w:val="auto"/>
          <w:sz w:val="24"/>
        </w:rPr>
        <w:t>根据《环境影响评价技术导则</w:t>
      </w:r>
      <w:r>
        <w:rPr>
          <w:snapToGrid w:val="0"/>
          <w:color w:val="auto"/>
          <w:sz w:val="24"/>
        </w:rPr>
        <w:t xml:space="preserve"> </w:t>
      </w:r>
      <w:r>
        <w:rPr>
          <w:rFonts w:hint="eastAsia"/>
          <w:snapToGrid w:val="0"/>
          <w:color w:val="auto"/>
          <w:sz w:val="24"/>
        </w:rPr>
        <w:t>地下水环境》（</w:t>
      </w:r>
      <w:r>
        <w:rPr>
          <w:snapToGrid w:val="0"/>
          <w:color w:val="auto"/>
          <w:sz w:val="24"/>
        </w:rPr>
        <w:t>HJ610-2016</w:t>
      </w:r>
      <w:r>
        <w:rPr>
          <w:rFonts w:hint="eastAsia"/>
          <w:snapToGrid w:val="0"/>
          <w:color w:val="auto"/>
          <w:sz w:val="24"/>
        </w:rPr>
        <w:t>），评价工作等级的划分应依据建设项目行业分类和地下水环境敏感程度分级进行判定。</w:t>
      </w:r>
    </w:p>
    <w:p w14:paraId="43834FFC">
      <w:pPr>
        <w:spacing w:line="500" w:lineRule="exact"/>
        <w:ind w:firstLine="480" w:firstLineChars="200"/>
        <w:rPr>
          <w:snapToGrid w:val="0"/>
          <w:color w:val="auto"/>
          <w:sz w:val="24"/>
        </w:rPr>
      </w:pPr>
      <w:r>
        <w:rPr>
          <w:rFonts w:hint="eastAsia"/>
          <w:snapToGrid w:val="0"/>
          <w:color w:val="auto"/>
          <w:sz w:val="24"/>
        </w:rPr>
        <w:t>（</w:t>
      </w:r>
      <w:r>
        <w:rPr>
          <w:snapToGrid w:val="0"/>
          <w:color w:val="auto"/>
          <w:sz w:val="24"/>
        </w:rPr>
        <w:t>1</w:t>
      </w:r>
      <w:r>
        <w:rPr>
          <w:rFonts w:hint="eastAsia"/>
          <w:snapToGrid w:val="0"/>
          <w:color w:val="auto"/>
          <w:sz w:val="24"/>
        </w:rPr>
        <w:t>）根据《环境影响评价技术导则</w:t>
      </w:r>
      <w:r>
        <w:rPr>
          <w:snapToGrid w:val="0"/>
          <w:color w:val="auto"/>
          <w:sz w:val="24"/>
        </w:rPr>
        <w:t xml:space="preserve"> </w:t>
      </w:r>
      <w:r>
        <w:rPr>
          <w:rFonts w:hint="eastAsia"/>
          <w:snapToGrid w:val="0"/>
          <w:color w:val="auto"/>
          <w:sz w:val="24"/>
        </w:rPr>
        <w:t>地下水环境》附录</w:t>
      </w:r>
      <w:r>
        <w:rPr>
          <w:snapToGrid w:val="0"/>
          <w:color w:val="auto"/>
          <w:sz w:val="24"/>
        </w:rPr>
        <w:t>A</w:t>
      </w:r>
      <w:r>
        <w:rPr>
          <w:rFonts w:hint="eastAsia"/>
          <w:snapToGrid w:val="0"/>
          <w:color w:val="auto"/>
          <w:sz w:val="24"/>
        </w:rPr>
        <w:t>，本项目属于</w:t>
      </w:r>
      <w:r>
        <w:rPr>
          <w:snapToGrid w:val="0"/>
          <w:color w:val="auto"/>
          <w:sz w:val="24"/>
        </w:rPr>
        <w:t>U</w:t>
      </w:r>
      <w:r>
        <w:rPr>
          <w:rFonts w:hint="eastAsia"/>
          <w:snapToGrid w:val="0"/>
          <w:color w:val="auto"/>
          <w:sz w:val="24"/>
        </w:rPr>
        <w:t>城镇基础设施及房地产</w:t>
      </w:r>
      <w:r>
        <w:rPr>
          <w:snapToGrid w:val="0"/>
          <w:color w:val="auto"/>
          <w:sz w:val="24"/>
        </w:rPr>
        <w:t xml:space="preserve"> 152</w:t>
      </w:r>
      <w:r>
        <w:rPr>
          <w:rFonts w:hint="eastAsia"/>
          <w:snapToGrid w:val="0"/>
          <w:color w:val="auto"/>
          <w:sz w:val="24"/>
        </w:rPr>
        <w:t>、工业固体废物（含污泥）集中处置，本项目所回填</w:t>
      </w:r>
      <w:r>
        <w:rPr>
          <w:rFonts w:hint="eastAsia"/>
          <w:snapToGrid w:val="0"/>
          <w:color w:val="auto"/>
          <w:sz w:val="24"/>
          <w:lang w:eastAsia="zh-CN"/>
        </w:rPr>
        <w:t>灰渣</w:t>
      </w:r>
      <w:r>
        <w:rPr>
          <w:rFonts w:hint="eastAsia"/>
          <w:snapToGrid w:val="0"/>
          <w:color w:val="auto"/>
          <w:sz w:val="24"/>
          <w:lang w:val="en-US" w:eastAsia="zh-CN"/>
        </w:rPr>
        <w:t>根据浸出液检测结果，</w:t>
      </w:r>
      <w:r>
        <w:rPr>
          <w:rFonts w:hint="eastAsia"/>
          <w:snapToGrid w:val="0"/>
          <w:color w:val="auto"/>
          <w:sz w:val="24"/>
        </w:rPr>
        <w:t>为</w:t>
      </w:r>
      <w:r>
        <w:rPr>
          <w:snapToGrid w:val="0"/>
          <w:color w:val="auto"/>
          <w:sz w:val="24"/>
        </w:rPr>
        <w:fldChar w:fldCharType="begin"/>
      </w:r>
      <w:r>
        <w:rPr>
          <w:snapToGrid w:val="0"/>
          <w:color w:val="auto"/>
          <w:sz w:val="24"/>
        </w:rPr>
        <w:instrText xml:space="preserve"> = 1 \* ROMAN </w:instrText>
      </w:r>
      <w:r>
        <w:rPr>
          <w:snapToGrid w:val="0"/>
          <w:color w:val="auto"/>
          <w:sz w:val="24"/>
        </w:rPr>
        <w:fldChar w:fldCharType="separate"/>
      </w:r>
      <w:r>
        <w:rPr>
          <w:snapToGrid w:val="0"/>
          <w:color w:val="auto"/>
          <w:sz w:val="24"/>
        </w:rPr>
        <w:t>I</w:t>
      </w:r>
      <w:r>
        <w:rPr>
          <w:snapToGrid w:val="0"/>
          <w:color w:val="auto"/>
          <w:sz w:val="24"/>
        </w:rPr>
        <w:fldChar w:fldCharType="end"/>
      </w:r>
      <w:r>
        <w:rPr>
          <w:rFonts w:hint="eastAsia"/>
          <w:snapToGrid w:val="0"/>
          <w:color w:val="auto"/>
          <w:sz w:val="24"/>
        </w:rPr>
        <w:t>类固废，因此，本项目所属的地下水环境影响评价项目类别为</w:t>
      </w:r>
      <w:r>
        <w:rPr>
          <w:snapToGrid w:val="0"/>
          <w:color w:val="auto"/>
          <w:lang w:val="zh-CN"/>
        </w:rPr>
        <w:fldChar w:fldCharType="begin"/>
      </w:r>
      <w:r>
        <w:rPr>
          <w:snapToGrid w:val="0"/>
          <w:color w:val="auto"/>
          <w:lang w:val="zh-CN"/>
        </w:rPr>
        <w:instrText xml:space="preserve"> = 3 \* ROMAN </w:instrText>
      </w:r>
      <w:r>
        <w:rPr>
          <w:snapToGrid w:val="0"/>
          <w:color w:val="auto"/>
          <w:lang w:val="zh-CN"/>
        </w:rPr>
        <w:fldChar w:fldCharType="separate"/>
      </w:r>
      <w:r>
        <w:rPr>
          <w:snapToGrid w:val="0"/>
          <w:color w:val="auto"/>
          <w:lang w:val="zh-CN"/>
        </w:rPr>
        <w:t>III</w:t>
      </w:r>
      <w:r>
        <w:rPr>
          <w:snapToGrid w:val="0"/>
          <w:color w:val="auto"/>
          <w:lang w:val="zh-CN"/>
        </w:rPr>
        <w:fldChar w:fldCharType="end"/>
      </w:r>
      <w:r>
        <w:rPr>
          <w:rFonts w:hint="eastAsia"/>
          <w:snapToGrid w:val="0"/>
          <w:color w:val="auto"/>
          <w:kern w:val="0"/>
          <w:sz w:val="24"/>
        </w:rPr>
        <w:t>类</w:t>
      </w:r>
      <w:r>
        <w:rPr>
          <w:rFonts w:hint="eastAsia"/>
          <w:snapToGrid w:val="0"/>
          <w:color w:val="auto"/>
          <w:sz w:val="24"/>
        </w:rPr>
        <w:t>。</w:t>
      </w:r>
    </w:p>
    <w:p w14:paraId="07D6BC42">
      <w:pPr>
        <w:spacing w:line="500" w:lineRule="exact"/>
        <w:ind w:firstLine="480" w:firstLineChars="200"/>
        <w:rPr>
          <w:snapToGrid w:val="0"/>
          <w:color w:val="auto"/>
          <w:sz w:val="24"/>
        </w:rPr>
      </w:pPr>
      <w:r>
        <w:rPr>
          <w:rFonts w:hint="eastAsia"/>
          <w:snapToGrid w:val="0"/>
          <w:color w:val="auto"/>
          <w:sz w:val="24"/>
        </w:rPr>
        <w:t>（</w:t>
      </w:r>
      <w:r>
        <w:rPr>
          <w:snapToGrid w:val="0"/>
          <w:color w:val="auto"/>
          <w:sz w:val="24"/>
        </w:rPr>
        <w:t>2</w:t>
      </w:r>
      <w:r>
        <w:rPr>
          <w:rFonts w:hint="eastAsia"/>
          <w:snapToGrid w:val="0"/>
          <w:color w:val="auto"/>
          <w:sz w:val="24"/>
        </w:rPr>
        <w:t>）建设项目场地的地下水环境敏感程度可分为敏感、较敏感、不敏感三级，分级原则见表</w:t>
      </w:r>
      <w:r>
        <w:rPr>
          <w:snapToGrid w:val="0"/>
          <w:color w:val="auto"/>
          <w:sz w:val="24"/>
        </w:rPr>
        <w:t>2-6-6</w:t>
      </w:r>
      <w:r>
        <w:rPr>
          <w:rFonts w:hint="eastAsia"/>
          <w:snapToGrid w:val="0"/>
          <w:color w:val="auto"/>
          <w:sz w:val="24"/>
        </w:rPr>
        <w:t>、图</w:t>
      </w:r>
      <w:r>
        <w:rPr>
          <w:snapToGrid w:val="0"/>
          <w:color w:val="auto"/>
          <w:sz w:val="24"/>
        </w:rPr>
        <w:t>2-6-2</w:t>
      </w:r>
      <w:r>
        <w:rPr>
          <w:rFonts w:hint="eastAsia"/>
          <w:snapToGrid w:val="0"/>
          <w:color w:val="auto"/>
          <w:sz w:val="24"/>
        </w:rPr>
        <w:t>。</w:t>
      </w:r>
    </w:p>
    <w:p w14:paraId="0C279875">
      <w:pPr>
        <w:pStyle w:val="76"/>
        <w:rPr>
          <w:color w:val="auto"/>
        </w:rPr>
      </w:pPr>
      <w:r>
        <w:rPr>
          <w:color w:val="auto"/>
        </w:rPr>
        <w:t>表2-6-6地下水环境敏感程度分级</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8107"/>
      </w:tblGrid>
      <w:tr w14:paraId="41F758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09" w:type="pct"/>
            <w:tcBorders>
              <w:top w:val="single" w:color="auto" w:sz="12" w:space="0"/>
              <w:left w:val="nil"/>
              <w:bottom w:val="single" w:color="auto" w:sz="4" w:space="0"/>
              <w:right w:val="single" w:color="auto" w:sz="4" w:space="0"/>
            </w:tcBorders>
            <w:vAlign w:val="center"/>
          </w:tcPr>
          <w:p w14:paraId="7DAD219B">
            <w:pPr>
              <w:jc w:val="center"/>
              <w:rPr>
                <w:color w:val="auto"/>
                <w:kern w:val="0"/>
                <w:szCs w:val="21"/>
              </w:rPr>
            </w:pPr>
            <w:r>
              <w:rPr>
                <w:color w:val="auto"/>
                <w:kern w:val="0"/>
                <w:szCs w:val="21"/>
              </w:rPr>
              <w:t>分级</w:t>
            </w:r>
          </w:p>
        </w:tc>
        <w:tc>
          <w:tcPr>
            <w:tcW w:w="4491" w:type="pct"/>
            <w:tcBorders>
              <w:top w:val="single" w:color="auto" w:sz="12" w:space="0"/>
              <w:left w:val="single" w:color="auto" w:sz="4" w:space="0"/>
              <w:bottom w:val="single" w:color="auto" w:sz="4" w:space="0"/>
              <w:right w:val="nil"/>
            </w:tcBorders>
            <w:vAlign w:val="center"/>
          </w:tcPr>
          <w:p w14:paraId="4F374373">
            <w:pPr>
              <w:jc w:val="center"/>
              <w:rPr>
                <w:color w:val="auto"/>
                <w:kern w:val="0"/>
                <w:szCs w:val="21"/>
              </w:rPr>
            </w:pPr>
            <w:r>
              <w:rPr>
                <w:color w:val="auto"/>
                <w:kern w:val="0"/>
                <w:szCs w:val="21"/>
              </w:rPr>
              <w:t>地下水环境敏感特征</w:t>
            </w:r>
          </w:p>
        </w:tc>
      </w:tr>
      <w:tr w14:paraId="10F231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028" w:hRule="exact"/>
          <w:jc w:val="center"/>
        </w:trPr>
        <w:tc>
          <w:tcPr>
            <w:tcW w:w="509" w:type="pct"/>
            <w:tcBorders>
              <w:top w:val="single" w:color="auto" w:sz="4" w:space="0"/>
              <w:left w:val="nil"/>
              <w:bottom w:val="single" w:color="auto" w:sz="4" w:space="0"/>
              <w:right w:val="single" w:color="auto" w:sz="4" w:space="0"/>
            </w:tcBorders>
            <w:vAlign w:val="center"/>
          </w:tcPr>
          <w:p w14:paraId="3D369FA3">
            <w:pPr>
              <w:jc w:val="center"/>
              <w:rPr>
                <w:color w:val="auto"/>
                <w:kern w:val="0"/>
                <w:szCs w:val="21"/>
              </w:rPr>
            </w:pPr>
            <w:r>
              <w:rPr>
                <w:color w:val="auto"/>
                <w:kern w:val="0"/>
                <w:szCs w:val="21"/>
              </w:rPr>
              <w:t>敏感</w:t>
            </w:r>
          </w:p>
        </w:tc>
        <w:tc>
          <w:tcPr>
            <w:tcW w:w="4491" w:type="pct"/>
            <w:tcBorders>
              <w:top w:val="single" w:color="auto" w:sz="4" w:space="0"/>
              <w:left w:val="single" w:color="auto" w:sz="4" w:space="0"/>
              <w:bottom w:val="single" w:color="auto" w:sz="4" w:space="0"/>
              <w:right w:val="nil"/>
            </w:tcBorders>
            <w:vAlign w:val="center"/>
          </w:tcPr>
          <w:p w14:paraId="166A4FB6">
            <w:pPr>
              <w:rPr>
                <w:color w:val="auto"/>
                <w:kern w:val="0"/>
                <w:szCs w:val="21"/>
              </w:rPr>
            </w:pPr>
            <w:r>
              <w:rPr>
                <w:color w:val="auto"/>
                <w:kern w:val="0"/>
                <w:szCs w:val="21"/>
              </w:rPr>
              <w:t>集中式饮用水水源（包括已建成的在用、备用、应急水源，在建和规划的饮用水水源）准保护区；除集中式饮用水水源以外的国家或地方政府设定的与地下水环境相关的其它保护区，如热水、矿泉水、温泉等特殊地下水资源保护区。</w:t>
            </w:r>
          </w:p>
        </w:tc>
      </w:tr>
      <w:tr w14:paraId="0887C2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353" w:hRule="exact"/>
          <w:jc w:val="center"/>
        </w:trPr>
        <w:tc>
          <w:tcPr>
            <w:tcW w:w="509" w:type="pct"/>
            <w:tcBorders>
              <w:top w:val="single" w:color="auto" w:sz="4" w:space="0"/>
              <w:left w:val="nil"/>
              <w:bottom w:val="single" w:color="auto" w:sz="4" w:space="0"/>
              <w:right w:val="single" w:color="auto" w:sz="4" w:space="0"/>
            </w:tcBorders>
            <w:vAlign w:val="center"/>
          </w:tcPr>
          <w:p w14:paraId="060688CF">
            <w:pPr>
              <w:jc w:val="center"/>
              <w:rPr>
                <w:color w:val="auto"/>
                <w:kern w:val="0"/>
                <w:szCs w:val="21"/>
              </w:rPr>
            </w:pPr>
            <w:r>
              <w:rPr>
                <w:color w:val="auto"/>
                <w:kern w:val="0"/>
                <w:szCs w:val="21"/>
              </w:rPr>
              <w:t>较敏感</w:t>
            </w:r>
          </w:p>
        </w:tc>
        <w:tc>
          <w:tcPr>
            <w:tcW w:w="4491" w:type="pct"/>
            <w:tcBorders>
              <w:top w:val="single" w:color="auto" w:sz="4" w:space="0"/>
              <w:left w:val="single" w:color="auto" w:sz="4" w:space="0"/>
              <w:bottom w:val="single" w:color="auto" w:sz="4" w:space="0"/>
              <w:right w:val="nil"/>
            </w:tcBorders>
            <w:vAlign w:val="center"/>
          </w:tcPr>
          <w:p w14:paraId="44DD535F">
            <w:pPr>
              <w:rPr>
                <w:color w:val="auto"/>
                <w:szCs w:val="21"/>
              </w:rPr>
            </w:pPr>
            <w:r>
              <w:rPr>
                <w:color w:val="auto"/>
                <w:kern w:val="0"/>
                <w:szCs w:val="21"/>
              </w:rPr>
              <w:t>集中式饮用水水源（包括已建成的在用、备用、应急水源，在建和规划的饮用水水源）准保护区以外的补给径流区；未划定准保护区的集中水式饮用水水源，其保护区以外的补给径流区；分散式饮用水水源地；特殊地下水资源（如矿泉水、温泉等）保护区以外的分布区等其他未列入上述敏感分级的环境敏感区。</w:t>
            </w:r>
          </w:p>
        </w:tc>
      </w:tr>
      <w:tr w14:paraId="772815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509" w:type="pct"/>
            <w:tcBorders>
              <w:top w:val="single" w:color="auto" w:sz="4" w:space="0"/>
              <w:left w:val="nil"/>
              <w:bottom w:val="single" w:color="auto" w:sz="4" w:space="0"/>
              <w:right w:val="single" w:color="auto" w:sz="4" w:space="0"/>
            </w:tcBorders>
            <w:vAlign w:val="center"/>
          </w:tcPr>
          <w:p w14:paraId="1A29DDDA">
            <w:pPr>
              <w:jc w:val="center"/>
              <w:rPr>
                <w:color w:val="auto"/>
                <w:kern w:val="0"/>
                <w:szCs w:val="21"/>
              </w:rPr>
            </w:pPr>
            <w:r>
              <w:rPr>
                <w:color w:val="auto"/>
                <w:kern w:val="0"/>
                <w:szCs w:val="21"/>
              </w:rPr>
              <w:t>不敏感</w:t>
            </w:r>
          </w:p>
        </w:tc>
        <w:tc>
          <w:tcPr>
            <w:tcW w:w="4491" w:type="pct"/>
            <w:tcBorders>
              <w:top w:val="single" w:color="auto" w:sz="4" w:space="0"/>
              <w:left w:val="single" w:color="auto" w:sz="4" w:space="0"/>
              <w:bottom w:val="single" w:color="auto" w:sz="4" w:space="0"/>
              <w:right w:val="nil"/>
            </w:tcBorders>
            <w:vAlign w:val="center"/>
          </w:tcPr>
          <w:p w14:paraId="5E3C5F0F">
            <w:pPr>
              <w:jc w:val="center"/>
              <w:rPr>
                <w:color w:val="auto"/>
                <w:kern w:val="0"/>
                <w:szCs w:val="21"/>
              </w:rPr>
            </w:pPr>
            <w:r>
              <w:rPr>
                <w:color w:val="auto"/>
                <w:kern w:val="0"/>
                <w:szCs w:val="21"/>
              </w:rPr>
              <w:t>上述地区之外的其他地区。</w:t>
            </w:r>
          </w:p>
        </w:tc>
      </w:tr>
      <w:tr w14:paraId="4B3935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5000" w:type="pct"/>
            <w:gridSpan w:val="2"/>
            <w:tcBorders>
              <w:top w:val="single" w:color="auto" w:sz="4" w:space="0"/>
              <w:left w:val="nil"/>
              <w:bottom w:val="single" w:color="auto" w:sz="12" w:space="0"/>
              <w:right w:val="nil"/>
            </w:tcBorders>
            <w:vAlign w:val="center"/>
          </w:tcPr>
          <w:p w14:paraId="46EC4CD4">
            <w:pPr>
              <w:rPr>
                <w:color w:val="auto"/>
                <w:kern w:val="0"/>
                <w:szCs w:val="21"/>
              </w:rPr>
            </w:pPr>
            <w:r>
              <w:rPr>
                <w:color w:val="auto"/>
                <w:kern w:val="0"/>
                <w:szCs w:val="21"/>
              </w:rPr>
              <w:t xml:space="preserve">注：a“环境敏感区”是指《建设项目环境影响评价分类管理名录》中所界定的涉及地下水的环境敏感区。 </w:t>
            </w:r>
          </w:p>
        </w:tc>
      </w:tr>
    </w:tbl>
    <w:p w14:paraId="04F8F5B8">
      <w:pPr>
        <w:keepNext w:val="0"/>
        <w:keepLines w:val="0"/>
        <w:widowControl/>
        <w:suppressLineNumbers w:val="0"/>
        <w:jc w:val="center"/>
        <w:rPr>
          <w:color w:val="auto"/>
        </w:rPr>
      </w:pPr>
      <w:r>
        <w:rPr>
          <w:rFonts w:ascii="黑体" w:hAnsi="宋体" w:eastAsia="黑体" w:cs="黑体"/>
          <w:color w:val="auto"/>
          <w:kern w:val="0"/>
          <w:sz w:val="24"/>
          <w:szCs w:val="24"/>
          <w:lang w:val="en-US" w:eastAsia="zh-CN" w:bidi="ar"/>
        </w:rPr>
        <w:t xml:space="preserve">表 </w:t>
      </w:r>
      <w:r>
        <w:rPr>
          <w:rFonts w:hint="default" w:ascii="Times New Roman" w:hAnsi="Times New Roman" w:eastAsia="宋体" w:cs="Times New Roman"/>
          <w:color w:val="auto"/>
          <w:kern w:val="0"/>
          <w:sz w:val="24"/>
          <w:szCs w:val="24"/>
          <w:lang w:val="en-US" w:eastAsia="zh-CN" w:bidi="ar"/>
        </w:rPr>
        <w:t>2-</w:t>
      </w:r>
      <w:r>
        <w:rPr>
          <w:rFonts w:hint="eastAsia" w:cs="Times New Roman"/>
          <w:color w:val="auto"/>
          <w:kern w:val="0"/>
          <w:sz w:val="24"/>
          <w:szCs w:val="24"/>
          <w:lang w:val="en-US" w:eastAsia="zh-CN" w:bidi="ar"/>
        </w:rPr>
        <w:t>6</w:t>
      </w:r>
      <w:r>
        <w:rPr>
          <w:rFonts w:hint="default" w:ascii="Times New Roman" w:hAnsi="Times New Roman" w:eastAsia="宋体" w:cs="Times New Roman"/>
          <w:color w:val="auto"/>
          <w:kern w:val="0"/>
          <w:sz w:val="24"/>
          <w:szCs w:val="24"/>
          <w:lang w:val="en-US" w:eastAsia="zh-CN" w:bidi="ar"/>
        </w:rPr>
        <w:t>-</w:t>
      </w:r>
      <w:r>
        <w:rPr>
          <w:rFonts w:hint="eastAsia" w:cs="Times New Roman"/>
          <w:color w:val="auto"/>
          <w:kern w:val="0"/>
          <w:sz w:val="24"/>
          <w:szCs w:val="24"/>
          <w:lang w:val="en-US" w:eastAsia="zh-CN" w:bidi="ar"/>
        </w:rPr>
        <w:t>7</w:t>
      </w:r>
      <w:r>
        <w:rPr>
          <w:rFonts w:hint="default" w:ascii="Times New Roman" w:hAnsi="Times New Roman" w:eastAsia="宋体" w:cs="Times New Roman"/>
          <w:color w:val="auto"/>
          <w:kern w:val="0"/>
          <w:sz w:val="24"/>
          <w:szCs w:val="24"/>
          <w:lang w:val="en-US" w:eastAsia="zh-CN" w:bidi="ar"/>
        </w:rPr>
        <w:t xml:space="preserve"> </w:t>
      </w:r>
      <w:r>
        <w:rPr>
          <w:rFonts w:hint="eastAsia" w:ascii="黑体" w:hAnsi="宋体" w:eastAsia="黑体" w:cs="黑体"/>
          <w:color w:val="auto"/>
          <w:kern w:val="0"/>
          <w:sz w:val="24"/>
          <w:szCs w:val="24"/>
          <w:lang w:val="en-US" w:eastAsia="zh-CN" w:bidi="ar"/>
        </w:rPr>
        <w:t>地下水环境敏感程度分级表</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6"/>
        <w:gridCol w:w="846"/>
        <w:gridCol w:w="618"/>
        <w:gridCol w:w="1105"/>
        <w:gridCol w:w="1170"/>
        <w:gridCol w:w="3420"/>
        <w:gridCol w:w="975"/>
      </w:tblGrid>
      <w:tr w14:paraId="00301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tcBorders>
              <w:top w:val="single" w:color="auto" w:sz="12" w:space="0"/>
              <w:left w:val="nil"/>
            </w:tcBorders>
            <w:vAlign w:val="center"/>
          </w:tcPr>
          <w:p w14:paraId="44E24210">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序号</w:t>
            </w:r>
          </w:p>
        </w:tc>
        <w:tc>
          <w:tcPr>
            <w:tcW w:w="0" w:type="auto"/>
            <w:tcBorders>
              <w:top w:val="single" w:color="auto" w:sz="12" w:space="0"/>
            </w:tcBorders>
            <w:vAlign w:val="center"/>
          </w:tcPr>
          <w:p w14:paraId="7B33EDC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类型</w:t>
            </w:r>
          </w:p>
        </w:tc>
        <w:tc>
          <w:tcPr>
            <w:tcW w:w="1723" w:type="dxa"/>
            <w:gridSpan w:val="2"/>
            <w:tcBorders>
              <w:top w:val="single" w:color="auto" w:sz="12" w:space="0"/>
            </w:tcBorders>
            <w:vAlign w:val="center"/>
          </w:tcPr>
          <w:p w14:paraId="69D37E9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vertAlign w:val="baseline"/>
                <w:lang w:val="en-US" w:eastAsia="zh-CN" w:bidi="ar-SA"/>
              </w:rPr>
            </w:pPr>
            <w:r>
              <w:rPr>
                <w:rFonts w:hint="eastAsia" w:ascii="宋体" w:hAnsi="宋体" w:eastAsia="宋体" w:cs="宋体"/>
                <w:color w:val="auto"/>
                <w:kern w:val="0"/>
                <w:sz w:val="21"/>
                <w:szCs w:val="21"/>
                <w:lang w:val="en-US" w:eastAsia="zh-CN" w:bidi="ar"/>
              </w:rPr>
              <w:t>特征</w:t>
            </w:r>
          </w:p>
        </w:tc>
        <w:tc>
          <w:tcPr>
            <w:tcW w:w="1170" w:type="dxa"/>
            <w:tcBorders>
              <w:top w:val="single" w:color="auto" w:sz="12" w:space="0"/>
            </w:tcBorders>
            <w:shd w:val="clear" w:color="auto" w:fill="auto"/>
            <w:vAlign w:val="center"/>
          </w:tcPr>
          <w:p w14:paraId="754BD585">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imes New Roman"/>
                <w:color w:val="auto"/>
                <w:kern w:val="2"/>
                <w:sz w:val="21"/>
                <w:szCs w:val="21"/>
                <w:vertAlign w:val="baseline"/>
                <w:lang w:val="en-US" w:eastAsia="zh-CN" w:bidi="ar-SA"/>
              </w:rPr>
            </w:pPr>
            <w:r>
              <w:rPr>
                <w:rFonts w:hint="eastAsia" w:ascii="宋体" w:hAnsi="宋体" w:eastAsia="宋体" w:cs="宋体"/>
                <w:color w:val="auto"/>
                <w:kern w:val="0"/>
                <w:sz w:val="21"/>
                <w:szCs w:val="21"/>
                <w:lang w:val="en-US" w:eastAsia="zh-CN" w:bidi="ar"/>
              </w:rPr>
              <w:t>敏感</w:t>
            </w:r>
          </w:p>
        </w:tc>
        <w:tc>
          <w:tcPr>
            <w:tcW w:w="3420" w:type="dxa"/>
            <w:tcBorders>
              <w:top w:val="single" w:color="auto" w:sz="12" w:space="0"/>
            </w:tcBorders>
            <w:shd w:val="clear" w:color="auto" w:fill="auto"/>
            <w:vAlign w:val="center"/>
          </w:tcPr>
          <w:p w14:paraId="280C8D3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heme="minorBidi"/>
                <w:color w:val="auto"/>
                <w:kern w:val="2"/>
                <w:sz w:val="21"/>
                <w:szCs w:val="21"/>
                <w:vertAlign w:val="baseline"/>
                <w:lang w:val="en-US" w:eastAsia="zh-CN" w:bidi="ar-SA"/>
              </w:rPr>
            </w:pPr>
            <w:r>
              <w:rPr>
                <w:rFonts w:hint="eastAsia" w:ascii="宋体" w:hAnsi="宋体" w:eastAsia="宋体" w:cs="宋体"/>
                <w:color w:val="auto"/>
                <w:kern w:val="0"/>
                <w:sz w:val="21"/>
                <w:szCs w:val="21"/>
                <w:lang w:val="en-US" w:eastAsia="zh-CN" w:bidi="ar"/>
              </w:rPr>
              <w:t>较敏感</w:t>
            </w:r>
          </w:p>
        </w:tc>
        <w:tc>
          <w:tcPr>
            <w:tcW w:w="975" w:type="dxa"/>
            <w:tcBorders>
              <w:top w:val="single" w:color="auto" w:sz="12" w:space="0"/>
              <w:right w:val="nil"/>
            </w:tcBorders>
            <w:shd w:val="clear" w:color="auto" w:fill="auto"/>
            <w:vAlign w:val="center"/>
          </w:tcPr>
          <w:p w14:paraId="3C8651C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rFonts w:ascii="Times New Roman" w:hAnsi="Times New Roman" w:eastAsia="宋体" w:cstheme="minorBidi"/>
                <w:color w:val="auto"/>
                <w:kern w:val="2"/>
                <w:sz w:val="21"/>
                <w:szCs w:val="21"/>
                <w:vertAlign w:val="baseline"/>
                <w:lang w:val="en-US" w:eastAsia="zh-CN" w:bidi="ar-SA"/>
              </w:rPr>
            </w:pPr>
            <w:r>
              <w:rPr>
                <w:rFonts w:hint="eastAsia" w:ascii="宋体" w:hAnsi="宋体" w:eastAsia="宋体" w:cs="宋体"/>
                <w:color w:val="auto"/>
                <w:kern w:val="0"/>
                <w:sz w:val="21"/>
                <w:szCs w:val="21"/>
                <w:lang w:val="en-US" w:eastAsia="zh-CN" w:bidi="ar"/>
              </w:rPr>
              <w:t>备注</w:t>
            </w:r>
          </w:p>
        </w:tc>
      </w:tr>
      <w:tr w14:paraId="65E0A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left w:val="nil"/>
            </w:tcBorders>
            <w:vAlign w:val="center"/>
          </w:tcPr>
          <w:p w14:paraId="4A18A32E">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1</w:t>
            </w:r>
          </w:p>
        </w:tc>
        <w:tc>
          <w:tcPr>
            <w:tcW w:w="0" w:type="auto"/>
            <w:vMerge w:val="restart"/>
            <w:vAlign w:val="center"/>
          </w:tcPr>
          <w:p w14:paraId="31AF59D7">
            <w:pPr>
              <w:pStyle w:val="59"/>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集中式</w:t>
            </w:r>
          </w:p>
        </w:tc>
        <w:tc>
          <w:tcPr>
            <w:tcW w:w="618" w:type="dxa"/>
            <w:vMerge w:val="restart"/>
            <w:vAlign w:val="center"/>
          </w:tcPr>
          <w:p w14:paraId="417A5956">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已划定保护区</w:t>
            </w:r>
          </w:p>
        </w:tc>
        <w:tc>
          <w:tcPr>
            <w:tcW w:w="1105" w:type="dxa"/>
            <w:vAlign w:val="center"/>
          </w:tcPr>
          <w:p w14:paraId="2815A392">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已划定准保护区</w:t>
            </w:r>
          </w:p>
        </w:tc>
        <w:tc>
          <w:tcPr>
            <w:tcW w:w="1170" w:type="dxa"/>
            <w:vAlign w:val="center"/>
          </w:tcPr>
          <w:p w14:paraId="51EDC156">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位于准保护区</w:t>
            </w:r>
          </w:p>
        </w:tc>
        <w:tc>
          <w:tcPr>
            <w:tcW w:w="3420" w:type="dxa"/>
            <w:vAlign w:val="center"/>
          </w:tcPr>
          <w:p w14:paraId="0966FFF9">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准保护边界外扩</w:t>
            </w:r>
            <w:r>
              <w:rPr>
                <w:rFonts w:hint="default" w:ascii="Times New Roman" w:hAnsi="Times New Roman" w:eastAsia="宋体" w:cs="Times New Roman"/>
                <w:color w:val="auto"/>
                <w:kern w:val="0"/>
                <w:sz w:val="21"/>
                <w:szCs w:val="21"/>
                <w:lang w:val="en-US" w:eastAsia="zh-CN" w:bidi="ar"/>
              </w:rPr>
              <w:t>3000</w:t>
            </w:r>
            <w:r>
              <w:rPr>
                <w:rFonts w:hint="eastAsia" w:ascii="宋体" w:hAnsi="宋体" w:eastAsia="宋体" w:cs="宋体"/>
                <w:color w:val="auto"/>
                <w:kern w:val="0"/>
                <w:sz w:val="21"/>
                <w:szCs w:val="21"/>
                <w:lang w:val="en-US" w:eastAsia="zh-CN" w:bidi="ar"/>
              </w:rPr>
              <w:t>天的质点迁移距离范围内</w:t>
            </w:r>
          </w:p>
        </w:tc>
        <w:tc>
          <w:tcPr>
            <w:tcW w:w="975" w:type="dxa"/>
            <w:vMerge w:val="restart"/>
            <w:tcBorders>
              <w:right w:val="nil"/>
            </w:tcBorders>
            <w:vAlign w:val="center"/>
          </w:tcPr>
          <w:p w14:paraId="74005464">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r>
              <w:rPr>
                <w:rFonts w:hint="eastAsia" w:ascii="宋体" w:hAnsi="宋体" w:eastAsia="宋体" w:cs="宋体"/>
                <w:color w:val="auto"/>
                <w:kern w:val="0"/>
                <w:sz w:val="21"/>
                <w:szCs w:val="21"/>
                <w:lang w:val="en-US" w:eastAsia="zh-CN" w:bidi="ar"/>
              </w:rPr>
              <w:t>外扩边界不得超过水源地所在区水文地质单元的边界范围</w:t>
            </w:r>
          </w:p>
          <w:p w14:paraId="034D386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rPr>
            </w:pPr>
          </w:p>
          <w:p w14:paraId="185D7356">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r>
      <w:tr w14:paraId="5C797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left w:val="nil"/>
            </w:tcBorders>
            <w:vAlign w:val="center"/>
          </w:tcPr>
          <w:p w14:paraId="1AFB78BE">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c>
          <w:tcPr>
            <w:tcW w:w="0" w:type="auto"/>
            <w:vMerge w:val="continue"/>
            <w:vAlign w:val="center"/>
          </w:tcPr>
          <w:p w14:paraId="619E444A">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c>
          <w:tcPr>
            <w:tcW w:w="618" w:type="dxa"/>
            <w:vMerge w:val="continue"/>
            <w:vAlign w:val="center"/>
          </w:tcPr>
          <w:p w14:paraId="26FBE26E">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c>
          <w:tcPr>
            <w:tcW w:w="1105" w:type="dxa"/>
            <w:vAlign w:val="center"/>
          </w:tcPr>
          <w:p w14:paraId="42A4EFB8">
            <w:pPr>
              <w:pStyle w:val="59"/>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未划定保护区</w:t>
            </w:r>
          </w:p>
        </w:tc>
        <w:tc>
          <w:tcPr>
            <w:tcW w:w="1170" w:type="dxa"/>
            <w:vAlign w:val="center"/>
          </w:tcPr>
          <w:p w14:paraId="43E82454">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无</w:t>
            </w:r>
          </w:p>
        </w:tc>
        <w:tc>
          <w:tcPr>
            <w:tcW w:w="3420" w:type="dxa"/>
            <w:vAlign w:val="center"/>
          </w:tcPr>
          <w:p w14:paraId="6FB8D8C7">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以二级保护区边界为起点，中小型水源地外扩</w:t>
            </w:r>
            <w:r>
              <w:rPr>
                <w:rFonts w:hint="default" w:ascii="Times New Roman" w:hAnsi="Times New Roman" w:eastAsia="宋体" w:cs="Times New Roman"/>
                <w:color w:val="auto"/>
                <w:kern w:val="0"/>
                <w:sz w:val="21"/>
                <w:szCs w:val="21"/>
                <w:lang w:val="en-US" w:eastAsia="zh-CN" w:bidi="ar"/>
              </w:rPr>
              <w:t>3000</w:t>
            </w:r>
            <w:r>
              <w:rPr>
                <w:rFonts w:hint="eastAsia" w:ascii="宋体" w:hAnsi="宋体" w:eastAsia="宋体" w:cs="宋体"/>
                <w:color w:val="auto"/>
                <w:kern w:val="0"/>
                <w:sz w:val="21"/>
                <w:szCs w:val="21"/>
                <w:lang w:val="en-US" w:eastAsia="zh-CN" w:bidi="ar"/>
              </w:rPr>
              <w:t>天，大型水源地外扩</w:t>
            </w:r>
            <w:r>
              <w:rPr>
                <w:rFonts w:hint="default" w:ascii="Times New Roman" w:hAnsi="Times New Roman" w:eastAsia="宋体" w:cs="Times New Roman"/>
                <w:color w:val="auto"/>
                <w:kern w:val="0"/>
                <w:sz w:val="21"/>
                <w:szCs w:val="21"/>
                <w:lang w:val="en-US" w:eastAsia="zh-CN" w:bidi="ar"/>
              </w:rPr>
              <w:t>4000</w:t>
            </w:r>
            <w:r>
              <w:rPr>
                <w:rFonts w:hint="eastAsia" w:ascii="宋体" w:hAnsi="宋体" w:eastAsia="宋体" w:cs="宋体"/>
                <w:color w:val="auto"/>
                <w:kern w:val="0"/>
                <w:sz w:val="21"/>
                <w:szCs w:val="21"/>
                <w:lang w:val="en-US" w:eastAsia="zh-CN" w:bidi="ar"/>
              </w:rPr>
              <w:t>天的质点迁移距离范围作为敏感区</w:t>
            </w:r>
          </w:p>
        </w:tc>
        <w:tc>
          <w:tcPr>
            <w:tcW w:w="975" w:type="dxa"/>
            <w:vMerge w:val="continue"/>
            <w:tcBorders>
              <w:right w:val="nil"/>
            </w:tcBorders>
            <w:vAlign w:val="center"/>
          </w:tcPr>
          <w:p w14:paraId="71F21364">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r>
      <w:tr w14:paraId="729FC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left w:val="nil"/>
            </w:tcBorders>
            <w:vAlign w:val="center"/>
          </w:tcPr>
          <w:p w14:paraId="2D322481">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c>
          <w:tcPr>
            <w:tcW w:w="0" w:type="auto"/>
            <w:vMerge w:val="continue"/>
            <w:vAlign w:val="center"/>
          </w:tcPr>
          <w:p w14:paraId="3BB9FB7E">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c>
          <w:tcPr>
            <w:tcW w:w="1723" w:type="dxa"/>
            <w:gridSpan w:val="2"/>
            <w:vAlign w:val="center"/>
          </w:tcPr>
          <w:p w14:paraId="03CB55C6">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vertAlign w:val="baseline"/>
                <w:lang w:val="en-US" w:eastAsia="zh-CN"/>
              </w:rPr>
            </w:pPr>
            <w:r>
              <w:rPr>
                <w:rFonts w:hint="eastAsia"/>
                <w:color w:val="auto"/>
                <w:sz w:val="21"/>
                <w:szCs w:val="21"/>
                <w:vertAlign w:val="baseline"/>
                <w:lang w:val="en-US" w:eastAsia="zh-CN"/>
              </w:rPr>
              <w:t>未划定保护区</w:t>
            </w:r>
          </w:p>
        </w:tc>
        <w:tc>
          <w:tcPr>
            <w:tcW w:w="1170" w:type="dxa"/>
            <w:vAlign w:val="center"/>
          </w:tcPr>
          <w:p w14:paraId="2C111AF6">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无</w:t>
            </w:r>
          </w:p>
        </w:tc>
        <w:tc>
          <w:tcPr>
            <w:tcW w:w="3420" w:type="dxa"/>
            <w:vAlign w:val="center"/>
          </w:tcPr>
          <w:p w14:paraId="4DCC0AF8">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auto"/>
              <w:rPr>
                <w:color w:val="auto"/>
                <w:sz w:val="21"/>
                <w:szCs w:val="21"/>
                <w:vertAlign w:val="baseline"/>
              </w:rPr>
            </w:pPr>
            <w:r>
              <w:rPr>
                <w:rFonts w:hint="eastAsia" w:ascii="宋体" w:hAnsi="宋体" w:eastAsia="宋体" w:cs="宋体"/>
                <w:color w:val="auto"/>
                <w:kern w:val="0"/>
                <w:sz w:val="21"/>
                <w:szCs w:val="21"/>
                <w:lang w:val="en-US" w:eastAsia="zh-CN" w:bidi="ar"/>
              </w:rPr>
              <w:t>首先应根据</w:t>
            </w:r>
            <w:r>
              <w:rPr>
                <w:rFonts w:hint="default" w:ascii="Times New Roman" w:hAnsi="Times New Roman" w:eastAsia="宋体" w:cs="Times New Roman"/>
                <w:color w:val="auto"/>
                <w:kern w:val="0"/>
                <w:sz w:val="21"/>
                <w:szCs w:val="21"/>
                <w:lang w:val="en-US" w:eastAsia="zh-CN" w:bidi="ar"/>
              </w:rPr>
              <w:t>HJ/T338</w:t>
            </w:r>
            <w:r>
              <w:rPr>
                <w:rFonts w:hint="eastAsia" w:ascii="宋体" w:hAnsi="宋体" w:eastAsia="宋体" w:cs="宋体"/>
                <w:color w:val="auto"/>
                <w:kern w:val="0"/>
                <w:sz w:val="21"/>
                <w:szCs w:val="21"/>
                <w:lang w:val="en-US" w:eastAsia="zh-CN" w:bidi="ar"/>
              </w:rPr>
              <w:t>，预先判定二级保护区的边界位置。以预判的二级保护区边界为起点，中小型水源地外扩</w:t>
            </w:r>
            <w:r>
              <w:rPr>
                <w:rFonts w:hint="default" w:ascii="Times New Roman" w:hAnsi="Times New Roman" w:eastAsia="宋体" w:cs="Times New Roman"/>
                <w:color w:val="auto"/>
                <w:kern w:val="0"/>
                <w:sz w:val="21"/>
                <w:szCs w:val="21"/>
                <w:lang w:val="en-US" w:eastAsia="zh-CN" w:bidi="ar"/>
              </w:rPr>
              <w:t>3000</w:t>
            </w:r>
            <w:r>
              <w:rPr>
                <w:rFonts w:hint="eastAsia" w:ascii="宋体" w:hAnsi="宋体" w:eastAsia="宋体" w:cs="宋体"/>
                <w:color w:val="auto"/>
                <w:kern w:val="0"/>
                <w:sz w:val="21"/>
                <w:szCs w:val="21"/>
                <w:lang w:val="en-US" w:eastAsia="zh-CN" w:bidi="ar"/>
              </w:rPr>
              <w:t>天，大型水源地外扩</w:t>
            </w:r>
            <w:r>
              <w:rPr>
                <w:rFonts w:hint="default" w:ascii="Times New Roman" w:hAnsi="Times New Roman" w:eastAsia="宋体" w:cs="Times New Roman"/>
                <w:color w:val="auto"/>
                <w:kern w:val="0"/>
                <w:sz w:val="21"/>
                <w:szCs w:val="21"/>
                <w:lang w:val="en-US" w:eastAsia="zh-CN" w:bidi="ar"/>
              </w:rPr>
              <w:t>4000</w:t>
            </w:r>
            <w:r>
              <w:rPr>
                <w:rFonts w:hint="eastAsia" w:ascii="宋体" w:hAnsi="宋体" w:eastAsia="宋体" w:cs="宋体"/>
                <w:color w:val="auto"/>
                <w:kern w:val="0"/>
                <w:sz w:val="21"/>
                <w:szCs w:val="21"/>
                <w:lang w:val="en-US" w:eastAsia="zh-CN" w:bidi="ar"/>
              </w:rPr>
              <w:t>天的质点迁移距离范围作为较敏感区</w:t>
            </w:r>
          </w:p>
        </w:tc>
        <w:tc>
          <w:tcPr>
            <w:tcW w:w="975" w:type="dxa"/>
            <w:vMerge w:val="continue"/>
            <w:tcBorders>
              <w:right w:val="nil"/>
            </w:tcBorders>
            <w:vAlign w:val="center"/>
          </w:tcPr>
          <w:p w14:paraId="049075F7">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r>
      <w:tr w14:paraId="6FEF5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restart"/>
            <w:tcBorders>
              <w:left w:val="nil"/>
            </w:tcBorders>
            <w:vAlign w:val="center"/>
          </w:tcPr>
          <w:p w14:paraId="4F1E4360">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2</w:t>
            </w:r>
          </w:p>
        </w:tc>
        <w:tc>
          <w:tcPr>
            <w:tcW w:w="0" w:type="auto"/>
            <w:vMerge w:val="restart"/>
            <w:vAlign w:val="center"/>
          </w:tcPr>
          <w:p w14:paraId="546CBC5B">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eastAsia="宋体"/>
                <w:color w:val="auto"/>
                <w:sz w:val="21"/>
                <w:szCs w:val="21"/>
                <w:vertAlign w:val="baseline"/>
                <w:lang w:val="en-US" w:eastAsia="zh-CN"/>
              </w:rPr>
            </w:pPr>
            <w:r>
              <w:rPr>
                <w:rFonts w:hint="eastAsia"/>
                <w:color w:val="auto"/>
                <w:sz w:val="21"/>
                <w:szCs w:val="21"/>
                <w:vertAlign w:val="baseline"/>
                <w:lang w:val="en-US" w:eastAsia="zh-CN"/>
              </w:rPr>
              <w:t>分散式</w:t>
            </w:r>
          </w:p>
        </w:tc>
        <w:tc>
          <w:tcPr>
            <w:tcW w:w="1723" w:type="dxa"/>
            <w:gridSpan w:val="2"/>
            <w:vAlign w:val="center"/>
          </w:tcPr>
          <w:p w14:paraId="6A2EE04C">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color w:val="auto"/>
                <w:sz w:val="21"/>
                <w:szCs w:val="21"/>
                <w:vertAlign w:val="baseline"/>
                <w:lang w:val="en-US" w:eastAsia="zh-CN"/>
              </w:rPr>
            </w:pPr>
            <w:r>
              <w:rPr>
                <w:rFonts w:hint="eastAsia"/>
                <w:color w:val="auto"/>
                <w:sz w:val="21"/>
                <w:szCs w:val="21"/>
                <w:vertAlign w:val="baseline"/>
                <w:lang w:val="en-US" w:eastAsia="zh-CN"/>
              </w:rPr>
              <w:t>单井</w:t>
            </w:r>
          </w:p>
        </w:tc>
        <w:tc>
          <w:tcPr>
            <w:tcW w:w="1170" w:type="dxa"/>
            <w:vMerge w:val="restart"/>
            <w:vAlign w:val="center"/>
          </w:tcPr>
          <w:p w14:paraId="0D129EBA">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无</w:t>
            </w:r>
          </w:p>
        </w:tc>
        <w:tc>
          <w:tcPr>
            <w:tcW w:w="3420" w:type="dxa"/>
            <w:vAlign w:val="center"/>
          </w:tcPr>
          <w:p w14:paraId="0C31541D">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以井（泉）口为中心，半径</w:t>
            </w:r>
            <w:r>
              <w:rPr>
                <w:rFonts w:hint="default" w:ascii="Times New Roman" w:hAnsi="Times New Roman" w:eastAsia="宋体" w:cs="Times New Roman"/>
                <w:color w:val="auto"/>
                <w:kern w:val="0"/>
                <w:sz w:val="21"/>
                <w:szCs w:val="21"/>
                <w:lang w:val="en-US" w:eastAsia="zh-CN" w:bidi="ar"/>
              </w:rPr>
              <w:t>50m</w:t>
            </w:r>
            <w:r>
              <w:rPr>
                <w:rFonts w:hint="eastAsia" w:ascii="宋体" w:hAnsi="宋体" w:eastAsia="宋体" w:cs="宋体"/>
                <w:color w:val="auto"/>
                <w:kern w:val="0"/>
                <w:sz w:val="21"/>
                <w:szCs w:val="21"/>
                <w:lang w:val="en-US" w:eastAsia="zh-CN" w:bidi="ar"/>
              </w:rPr>
              <w:t>为界，外扩</w:t>
            </w:r>
            <w:r>
              <w:rPr>
                <w:rFonts w:hint="default" w:ascii="Times New Roman" w:hAnsi="Times New Roman" w:eastAsia="宋体" w:cs="Times New Roman"/>
                <w:color w:val="auto"/>
                <w:kern w:val="0"/>
                <w:sz w:val="21"/>
                <w:szCs w:val="21"/>
                <w:lang w:val="en-US" w:eastAsia="zh-CN" w:bidi="ar"/>
              </w:rPr>
              <w:t>2000</w:t>
            </w:r>
            <w:r>
              <w:rPr>
                <w:rFonts w:hint="eastAsia" w:ascii="宋体" w:hAnsi="宋体" w:eastAsia="宋体" w:cs="宋体"/>
                <w:color w:val="auto"/>
                <w:kern w:val="0"/>
                <w:sz w:val="21"/>
                <w:szCs w:val="21"/>
                <w:lang w:val="en-US" w:eastAsia="zh-CN" w:bidi="ar"/>
              </w:rPr>
              <w:t>天的质点迁移距离范围作为较敏感区</w:t>
            </w:r>
          </w:p>
        </w:tc>
        <w:tc>
          <w:tcPr>
            <w:tcW w:w="975" w:type="dxa"/>
            <w:vMerge w:val="continue"/>
            <w:tcBorders>
              <w:right w:val="nil"/>
            </w:tcBorders>
            <w:vAlign w:val="center"/>
          </w:tcPr>
          <w:p w14:paraId="6B3F70D1">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r>
      <w:tr w14:paraId="1C2F4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0" w:type="auto"/>
            <w:vMerge w:val="continue"/>
            <w:tcBorders>
              <w:left w:val="nil"/>
              <w:bottom w:val="single" w:color="auto" w:sz="12" w:space="0"/>
            </w:tcBorders>
            <w:vAlign w:val="center"/>
          </w:tcPr>
          <w:p w14:paraId="34AE6DA0">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vertAlign w:val="baseline"/>
                <w:lang w:val="en-US" w:eastAsia="zh-CN"/>
              </w:rPr>
            </w:pPr>
          </w:p>
        </w:tc>
        <w:tc>
          <w:tcPr>
            <w:tcW w:w="0" w:type="auto"/>
            <w:vMerge w:val="continue"/>
            <w:tcBorders>
              <w:bottom w:val="single" w:color="auto" w:sz="12" w:space="0"/>
            </w:tcBorders>
            <w:vAlign w:val="center"/>
          </w:tcPr>
          <w:p w14:paraId="25DCD9AC">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eastAsia="宋体"/>
                <w:color w:val="auto"/>
                <w:sz w:val="21"/>
                <w:szCs w:val="21"/>
                <w:vertAlign w:val="baseline"/>
                <w:lang w:val="en-US" w:eastAsia="zh-CN"/>
              </w:rPr>
            </w:pPr>
          </w:p>
        </w:tc>
        <w:tc>
          <w:tcPr>
            <w:tcW w:w="1723" w:type="dxa"/>
            <w:gridSpan w:val="2"/>
            <w:tcBorders>
              <w:bottom w:val="single" w:color="auto" w:sz="12" w:space="0"/>
            </w:tcBorders>
            <w:vAlign w:val="center"/>
          </w:tcPr>
          <w:p w14:paraId="7ABBF594">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vertAlign w:val="baseline"/>
                <w:lang w:val="en-US" w:eastAsia="zh-CN"/>
              </w:rPr>
            </w:pPr>
            <w:r>
              <w:rPr>
                <w:rFonts w:hint="eastAsia"/>
                <w:color w:val="auto"/>
                <w:sz w:val="21"/>
                <w:szCs w:val="21"/>
                <w:vertAlign w:val="baseline"/>
                <w:lang w:val="en-US" w:eastAsia="zh-CN"/>
              </w:rPr>
              <w:t>联村、联片</w:t>
            </w:r>
          </w:p>
        </w:tc>
        <w:tc>
          <w:tcPr>
            <w:tcW w:w="1170" w:type="dxa"/>
            <w:vMerge w:val="continue"/>
            <w:tcBorders>
              <w:bottom w:val="single" w:color="auto" w:sz="12" w:space="0"/>
            </w:tcBorders>
            <w:vAlign w:val="center"/>
          </w:tcPr>
          <w:p w14:paraId="1E55A037">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color w:val="auto"/>
                <w:sz w:val="21"/>
                <w:szCs w:val="21"/>
                <w:vertAlign w:val="baseline"/>
                <w:lang w:val="en-US" w:eastAsia="zh-CN"/>
              </w:rPr>
            </w:pPr>
          </w:p>
        </w:tc>
        <w:tc>
          <w:tcPr>
            <w:tcW w:w="3420" w:type="dxa"/>
            <w:tcBorders>
              <w:bottom w:val="single" w:color="auto" w:sz="12" w:space="0"/>
            </w:tcBorders>
            <w:vAlign w:val="center"/>
          </w:tcPr>
          <w:p w14:paraId="467A0923">
            <w:pPr>
              <w:keepNext w:val="0"/>
              <w:keepLines w:val="0"/>
              <w:pageBreakBefore w:val="0"/>
              <w:widowControl/>
              <w:suppressLineNumbers w:val="0"/>
              <w:kinsoku/>
              <w:wordWrap/>
              <w:overflowPunct/>
              <w:topLinePunct w:val="0"/>
              <w:autoSpaceDE/>
              <w:autoSpaceDN/>
              <w:bidi w:val="0"/>
              <w:adjustRightInd w:val="0"/>
              <w:snapToGrid w:val="0"/>
              <w:spacing w:line="240" w:lineRule="auto"/>
              <w:ind w:firstLine="0" w:firstLineChars="0"/>
              <w:jc w:val="left"/>
              <w:textAlignment w:val="auto"/>
              <w:rPr>
                <w:rFonts w:hint="eastAsia" w:ascii="宋体" w:hAnsi="宋体" w:eastAsia="宋体" w:cs="宋体"/>
                <w:color w:val="auto"/>
                <w:kern w:val="0"/>
                <w:sz w:val="21"/>
                <w:szCs w:val="21"/>
                <w:lang w:val="en-US" w:eastAsia="zh-CN" w:bidi="ar"/>
              </w:rPr>
            </w:pPr>
            <w:r>
              <w:rPr>
                <w:rFonts w:hint="eastAsia" w:ascii="宋体" w:hAnsi="宋体" w:eastAsia="宋体" w:cs="宋体"/>
                <w:color w:val="auto"/>
                <w:kern w:val="0"/>
                <w:sz w:val="21"/>
                <w:szCs w:val="21"/>
                <w:lang w:val="en-US" w:eastAsia="zh-CN" w:bidi="ar"/>
              </w:rPr>
              <w:t>以村屯边界为起点，外扩</w:t>
            </w:r>
            <w:r>
              <w:rPr>
                <w:rFonts w:hint="default" w:ascii="Times New Roman" w:hAnsi="Times New Roman" w:eastAsia="宋体" w:cs="Times New Roman"/>
                <w:color w:val="auto"/>
                <w:kern w:val="0"/>
                <w:sz w:val="21"/>
                <w:szCs w:val="21"/>
                <w:lang w:val="en-US" w:eastAsia="zh-CN" w:bidi="ar"/>
              </w:rPr>
              <w:t>3000</w:t>
            </w:r>
            <w:r>
              <w:rPr>
                <w:rFonts w:hint="eastAsia" w:ascii="宋体" w:hAnsi="宋体" w:eastAsia="宋体" w:cs="宋体"/>
                <w:color w:val="auto"/>
                <w:kern w:val="0"/>
                <w:sz w:val="21"/>
                <w:szCs w:val="21"/>
                <w:lang w:val="en-US" w:eastAsia="zh-CN" w:bidi="ar"/>
              </w:rPr>
              <w:t>天的质点迁移距离范围作为较敏感区</w:t>
            </w:r>
          </w:p>
        </w:tc>
        <w:tc>
          <w:tcPr>
            <w:tcW w:w="975" w:type="dxa"/>
            <w:vMerge w:val="continue"/>
            <w:tcBorders>
              <w:bottom w:val="single" w:color="auto" w:sz="12" w:space="0"/>
              <w:right w:val="nil"/>
            </w:tcBorders>
            <w:vAlign w:val="center"/>
          </w:tcPr>
          <w:p w14:paraId="14808A5F">
            <w:pPr>
              <w:pStyle w:val="59"/>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color w:val="auto"/>
                <w:sz w:val="21"/>
                <w:szCs w:val="21"/>
                <w:vertAlign w:val="baseline"/>
              </w:rPr>
            </w:pPr>
          </w:p>
        </w:tc>
      </w:tr>
    </w:tbl>
    <w:p w14:paraId="2BCE1EBB">
      <w:pPr>
        <w:pStyle w:val="59"/>
        <w:ind w:firstLine="480"/>
        <w:rPr>
          <w:color w:val="auto"/>
        </w:rPr>
      </w:pPr>
      <w:r>
        <w:rPr>
          <w:color w:val="auto"/>
        </w:rPr>
        <w:t>根据调查，本项目不在地下水集中式水源地（包括已建成的在用、备用、应急水源，在建和规划的饮用水水源）保护区范围内；不在除集中式饮用水水源以外的国家或地方政府设定的与地下水环境相关的其它保护区，如热水、矿泉水、温泉等特殊地下水资源保护区。不在集中式饮用水水源（包括已建成的在用、备用、应急水源，在建和规划的饮用水水源）准保护区以外的补给径流区；不在未划定准保护区的集中式饮用水水源，其保护区以外的补给径流区；不在特殊地下水资源（如矿泉水、温泉等）保护区以外的分布区等其他未列入上述敏感分级的环境敏感区内。</w:t>
      </w:r>
    </w:p>
    <w:p w14:paraId="02563D4E">
      <w:pPr>
        <w:pStyle w:val="59"/>
        <w:ind w:firstLine="480"/>
        <w:rPr>
          <w:rFonts w:hint="eastAsia"/>
          <w:snapToGrid w:val="0"/>
          <w:color w:val="auto"/>
          <w:kern w:val="0"/>
          <w:sz w:val="24"/>
          <w:szCs w:val="22"/>
        </w:rPr>
      </w:pPr>
      <w:r>
        <w:rPr>
          <w:rFonts w:hint="eastAsia"/>
          <w:color w:val="auto"/>
          <w:lang w:val="en-US" w:eastAsia="zh-CN"/>
        </w:rPr>
        <w:t>项目周边村屯分布有新泉村五队、兴复村、泉眼村。均为集中式饮用水源，为有管网输送的单井，主要服务该地点村民，供水人数小于</w:t>
      </w:r>
      <w:r>
        <w:rPr>
          <w:rFonts w:hint="default"/>
          <w:color w:val="auto"/>
          <w:lang w:val="en-US" w:eastAsia="zh-CN"/>
        </w:rPr>
        <w:t xml:space="preserve">1000 </w:t>
      </w:r>
      <w:r>
        <w:rPr>
          <w:rFonts w:hint="eastAsia"/>
          <w:color w:val="auto"/>
          <w:lang w:val="en-US" w:eastAsia="zh-CN"/>
        </w:rPr>
        <w:t>人，属于分散式饮用水水源地。取水层位为</w:t>
      </w:r>
      <w:r>
        <w:rPr>
          <w:color w:val="auto"/>
        </w:rPr>
        <w:t>第四系孔隙潜水</w:t>
      </w:r>
      <w:r>
        <w:rPr>
          <w:rFonts w:hint="eastAsia"/>
          <w:color w:val="auto"/>
          <w:lang w:val="en-US" w:eastAsia="zh-CN"/>
        </w:rPr>
        <w:t>，分别位于本项目地下水流向侧游900m、侧游530m、下游1300m。</w:t>
      </w:r>
    </w:p>
    <w:p w14:paraId="4034FAA5">
      <w:pPr>
        <w:spacing w:line="500" w:lineRule="exact"/>
        <w:ind w:firstLine="480" w:firstLineChars="200"/>
        <w:rPr>
          <w:snapToGrid w:val="0"/>
          <w:color w:val="auto"/>
          <w:kern w:val="0"/>
          <w:sz w:val="24"/>
          <w:szCs w:val="22"/>
        </w:rPr>
      </w:pPr>
      <w:r>
        <w:rPr>
          <w:rFonts w:hint="eastAsia"/>
          <w:snapToGrid w:val="0"/>
          <w:color w:val="auto"/>
          <w:kern w:val="0"/>
          <w:sz w:val="24"/>
          <w:szCs w:val="22"/>
        </w:rPr>
        <w:t>根据《优化评价内容</w:t>
      </w:r>
      <w:r>
        <w:rPr>
          <w:snapToGrid w:val="0"/>
          <w:color w:val="auto"/>
          <w:kern w:val="0"/>
          <w:sz w:val="24"/>
          <w:szCs w:val="22"/>
        </w:rPr>
        <w:t xml:space="preserve"> </w:t>
      </w:r>
      <w:r>
        <w:rPr>
          <w:rFonts w:hint="eastAsia"/>
          <w:snapToGrid w:val="0"/>
          <w:color w:val="auto"/>
          <w:kern w:val="0"/>
          <w:sz w:val="24"/>
          <w:szCs w:val="22"/>
        </w:rPr>
        <w:t>严控新增污染</w:t>
      </w:r>
      <w:r>
        <w:rPr>
          <w:snapToGrid w:val="0"/>
          <w:color w:val="auto"/>
          <w:kern w:val="0"/>
          <w:sz w:val="24"/>
          <w:szCs w:val="22"/>
        </w:rPr>
        <w:t>—&lt;</w:t>
      </w:r>
      <w:r>
        <w:rPr>
          <w:rFonts w:hint="eastAsia"/>
          <w:snapToGrid w:val="0"/>
          <w:color w:val="auto"/>
          <w:kern w:val="0"/>
          <w:sz w:val="24"/>
          <w:szCs w:val="22"/>
        </w:rPr>
        <w:t>环境影响评价技术导则</w:t>
      </w:r>
      <w:r>
        <w:rPr>
          <w:snapToGrid w:val="0"/>
          <w:color w:val="auto"/>
          <w:kern w:val="0"/>
          <w:sz w:val="24"/>
          <w:szCs w:val="22"/>
        </w:rPr>
        <w:t xml:space="preserve"> </w:t>
      </w:r>
      <w:r>
        <w:rPr>
          <w:rFonts w:hint="eastAsia"/>
          <w:snapToGrid w:val="0"/>
          <w:color w:val="auto"/>
          <w:kern w:val="0"/>
          <w:sz w:val="24"/>
          <w:szCs w:val="22"/>
        </w:rPr>
        <w:t>地下水环境</w:t>
      </w:r>
      <w:r>
        <w:rPr>
          <w:snapToGrid w:val="0"/>
          <w:color w:val="auto"/>
          <w:kern w:val="0"/>
          <w:sz w:val="24"/>
          <w:szCs w:val="22"/>
        </w:rPr>
        <w:t>&gt;</w:t>
      </w:r>
      <w:r>
        <w:rPr>
          <w:rFonts w:hint="eastAsia"/>
          <w:snapToGrid w:val="0"/>
          <w:color w:val="auto"/>
          <w:kern w:val="0"/>
          <w:sz w:val="24"/>
          <w:szCs w:val="22"/>
        </w:rPr>
        <w:t>解读》（梁鹏，环境保护部环境工程评估中心，</w:t>
      </w:r>
      <w:r>
        <w:rPr>
          <w:snapToGrid w:val="0"/>
          <w:color w:val="auto"/>
          <w:kern w:val="0"/>
          <w:sz w:val="24"/>
          <w:szCs w:val="22"/>
        </w:rPr>
        <w:t>2016.7</w:t>
      </w:r>
      <w:r>
        <w:rPr>
          <w:rFonts w:hint="eastAsia"/>
          <w:snapToGrid w:val="0"/>
          <w:color w:val="auto"/>
          <w:kern w:val="0"/>
          <w:sz w:val="24"/>
          <w:szCs w:val="22"/>
        </w:rPr>
        <w:t>）关于地下水敏感性判定图，参照《饮用水水源保护区划分技术规范》（</w:t>
      </w:r>
      <w:r>
        <w:rPr>
          <w:snapToGrid w:val="0"/>
          <w:color w:val="auto"/>
          <w:kern w:val="0"/>
          <w:sz w:val="24"/>
          <w:szCs w:val="22"/>
        </w:rPr>
        <w:t>HJ/T338</w:t>
      </w:r>
      <w:r>
        <w:rPr>
          <w:rFonts w:hint="eastAsia"/>
          <w:snapToGrid w:val="0"/>
          <w:color w:val="auto"/>
          <w:kern w:val="0"/>
          <w:sz w:val="24"/>
          <w:szCs w:val="22"/>
        </w:rPr>
        <w:t>）计算公式法确定饮用水井地下水环境敏感程度，中小型集中式饮用水保护区一级保护区外扩</w:t>
      </w:r>
      <w:r>
        <w:rPr>
          <w:snapToGrid w:val="0"/>
          <w:color w:val="auto"/>
          <w:kern w:val="0"/>
          <w:sz w:val="24"/>
          <w:szCs w:val="22"/>
        </w:rPr>
        <w:t>2000</w:t>
      </w:r>
      <w:r>
        <w:rPr>
          <w:rFonts w:hint="eastAsia"/>
          <w:snapToGrid w:val="0"/>
          <w:color w:val="auto"/>
          <w:kern w:val="0"/>
          <w:sz w:val="24"/>
          <w:szCs w:val="22"/>
        </w:rPr>
        <w:t>天质点迁移距离范围作为敏感区，敏感区再外扩</w:t>
      </w:r>
      <w:r>
        <w:rPr>
          <w:snapToGrid w:val="0"/>
          <w:color w:val="auto"/>
          <w:kern w:val="0"/>
          <w:sz w:val="24"/>
          <w:szCs w:val="22"/>
        </w:rPr>
        <w:t>3000</w:t>
      </w:r>
      <w:r>
        <w:rPr>
          <w:rFonts w:hint="eastAsia"/>
          <w:snapToGrid w:val="0"/>
          <w:color w:val="auto"/>
          <w:kern w:val="0"/>
          <w:sz w:val="24"/>
          <w:szCs w:val="22"/>
        </w:rPr>
        <w:t>天质点迁移距离范围作为较敏感区。</w:t>
      </w:r>
    </w:p>
    <w:p w14:paraId="39DDF90F">
      <w:pPr>
        <w:pStyle w:val="59"/>
        <w:spacing w:line="240" w:lineRule="auto"/>
        <w:ind w:firstLine="0" w:firstLineChars="0"/>
        <w:jc w:val="center"/>
        <w:rPr>
          <w:color w:val="auto"/>
          <w:highlight w:val="yellow"/>
        </w:rPr>
      </w:pPr>
      <w:r>
        <w:rPr>
          <w:color w:val="auto"/>
        </w:rPr>
        <w:drawing>
          <wp:inline distT="0" distB="0" distL="0" distR="0">
            <wp:extent cx="4410075" cy="2724150"/>
            <wp:effectExtent l="0" t="0" r="9525" b="0"/>
            <wp:docPr id="1851465111" name="图片 1851465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465111" name="图片 1851465111"/>
                    <pic:cNvPicPr>
                      <a:picLocks noChangeAspect="1"/>
                    </pic:cNvPicPr>
                  </pic:nvPicPr>
                  <pic:blipFill>
                    <a:blip r:embed="rId19">
                      <a:extLst>
                        <a:ext uri="{28A0092B-C50C-407E-A947-70E740481C1C}">
                          <a14:useLocalDpi xmlns:a14="http://schemas.microsoft.com/office/drawing/2010/main" val="0"/>
                        </a:ext>
                      </a:extLst>
                    </a:blip>
                    <a:srcRect/>
                    <a:stretch>
                      <a:fillRect/>
                    </a:stretch>
                  </pic:blipFill>
                  <pic:spPr>
                    <a:xfrm>
                      <a:off x="0" y="0"/>
                      <a:ext cx="4410075" cy="2724150"/>
                    </a:xfrm>
                    <a:prstGeom prst="rect">
                      <a:avLst/>
                    </a:prstGeom>
                    <a:noFill/>
                    <a:ln>
                      <a:noFill/>
                    </a:ln>
                  </pic:spPr>
                </pic:pic>
              </a:graphicData>
            </a:graphic>
          </wp:inline>
        </w:drawing>
      </w:r>
    </w:p>
    <w:p w14:paraId="6AB38A3F">
      <w:pPr>
        <w:adjustRightInd w:val="0"/>
        <w:snapToGrid w:val="0"/>
        <w:spacing w:line="500" w:lineRule="exact"/>
        <w:jc w:val="center"/>
        <w:rPr>
          <w:rFonts w:eastAsia="黑体"/>
          <w:snapToGrid w:val="0"/>
          <w:color w:val="auto"/>
          <w:sz w:val="24"/>
          <w:szCs w:val="22"/>
          <w:lang w:val="zh-CN"/>
        </w:rPr>
      </w:pPr>
      <w:r>
        <w:rPr>
          <w:rFonts w:hint="eastAsia" w:eastAsia="黑体"/>
          <w:snapToGrid w:val="0"/>
          <w:color w:val="auto"/>
          <w:sz w:val="24"/>
          <w:szCs w:val="22"/>
          <w:lang w:val="zh-CN"/>
        </w:rPr>
        <w:t>图</w:t>
      </w:r>
      <w:r>
        <w:rPr>
          <w:rFonts w:eastAsia="黑体"/>
          <w:snapToGrid w:val="0"/>
          <w:color w:val="auto"/>
          <w:sz w:val="24"/>
          <w:szCs w:val="22"/>
          <w:lang w:val="zh-CN"/>
        </w:rPr>
        <w:t>2-6-2</w:t>
      </w:r>
      <w:r>
        <w:rPr>
          <w:rFonts w:hint="eastAsia" w:eastAsia="黑体"/>
          <w:snapToGrid w:val="0"/>
          <w:color w:val="auto"/>
          <w:sz w:val="24"/>
          <w:szCs w:val="22"/>
          <w:lang w:val="zh-CN"/>
        </w:rPr>
        <w:t>地下水敏感程度判定图</w:t>
      </w:r>
    </w:p>
    <w:p w14:paraId="245B1EF5">
      <w:pPr>
        <w:pStyle w:val="59"/>
        <w:ind w:firstLine="480"/>
        <w:jc w:val="center"/>
        <w:rPr>
          <w:color w:val="auto"/>
        </w:rPr>
      </w:pPr>
      <w:r>
        <w:rPr>
          <w:color w:val="auto"/>
        </w:rPr>
        <w:t>L=a×K×I×T/ne</w:t>
      </w:r>
    </w:p>
    <w:p w14:paraId="3FA467B4">
      <w:pPr>
        <w:pStyle w:val="59"/>
        <w:keepNext w:val="0"/>
        <w:keepLines w:val="0"/>
        <w:pageBreakBefore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 xml:space="preserve"> 式中：L—下游迁移距离，m</w:t>
      </w:r>
    </w:p>
    <w:p w14:paraId="2CE22AF3">
      <w:pPr>
        <w:pStyle w:val="59"/>
        <w:keepNext w:val="0"/>
        <w:keepLines w:val="0"/>
        <w:pageBreakBefore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 xml:space="preserve">       a—变化系数，a≥1；一般取1.5</w:t>
      </w:r>
    </w:p>
    <w:p w14:paraId="524DD6CA">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0" w:firstLineChars="0"/>
        <w:jc w:val="left"/>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 xml:space="preserve">       K—渗透系数，m/d，</w:t>
      </w:r>
      <w:r>
        <w:rPr>
          <w:rFonts w:hint="default" w:ascii="Times New Roman" w:hAnsi="Times New Roman" w:eastAsia="宋体" w:cs="Times New Roman"/>
          <w:snapToGrid w:val="0"/>
          <w:color w:val="auto"/>
          <w:kern w:val="0"/>
          <w:sz w:val="24"/>
          <w:szCs w:val="22"/>
          <w:lang w:val="en-US" w:eastAsia="zh-CN" w:bidi="ar-SA"/>
        </w:rPr>
        <w:t>15 m/d</w:t>
      </w:r>
      <w:r>
        <w:rPr>
          <w:rFonts w:hint="eastAsia" w:ascii="Times New Roman" w:hAnsi="Times New Roman" w:eastAsia="宋体" w:cs="Times New Roman"/>
          <w:snapToGrid w:val="0"/>
          <w:color w:val="auto"/>
          <w:kern w:val="0"/>
          <w:sz w:val="24"/>
          <w:szCs w:val="22"/>
          <w:lang w:val="en-US" w:eastAsia="zh-CN" w:bidi="ar-SA"/>
        </w:rPr>
        <w:t xml:space="preserve">（根据地下水概况分析及《环境影响评价 </w:t>
      </w:r>
    </w:p>
    <w:p w14:paraId="7ED6179D">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0" w:firstLineChars="0"/>
        <w:jc w:val="left"/>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技术导则 地下水环境》（</w:t>
      </w:r>
      <w:r>
        <w:rPr>
          <w:rFonts w:hint="default" w:ascii="Times New Roman" w:hAnsi="Times New Roman" w:eastAsia="宋体" w:cs="Times New Roman"/>
          <w:snapToGrid w:val="0"/>
          <w:color w:val="auto"/>
          <w:kern w:val="0"/>
          <w:sz w:val="24"/>
          <w:szCs w:val="22"/>
          <w:lang w:val="en-US" w:eastAsia="zh-CN" w:bidi="ar-SA"/>
        </w:rPr>
        <w:t>HJ 610-2016</w:t>
      </w:r>
      <w:r>
        <w:rPr>
          <w:rFonts w:hint="eastAsia" w:ascii="Times New Roman" w:hAnsi="Times New Roman" w:eastAsia="宋体" w:cs="Times New Roman"/>
          <w:snapToGrid w:val="0"/>
          <w:color w:val="auto"/>
          <w:kern w:val="0"/>
          <w:sz w:val="24"/>
          <w:szCs w:val="22"/>
          <w:lang w:val="en-US" w:eastAsia="zh-CN" w:bidi="ar-SA"/>
        </w:rPr>
        <w:t xml:space="preserve">）表 </w:t>
      </w:r>
      <w:r>
        <w:rPr>
          <w:rFonts w:hint="default" w:ascii="Times New Roman" w:hAnsi="Times New Roman" w:eastAsia="宋体" w:cs="Times New Roman"/>
          <w:snapToGrid w:val="0"/>
          <w:color w:val="auto"/>
          <w:kern w:val="0"/>
          <w:sz w:val="24"/>
          <w:szCs w:val="22"/>
          <w:lang w:val="en-US" w:eastAsia="zh-CN" w:bidi="ar-SA"/>
        </w:rPr>
        <w:t xml:space="preserve">B.1 </w:t>
      </w:r>
      <w:r>
        <w:rPr>
          <w:rFonts w:hint="eastAsia" w:ascii="Times New Roman" w:hAnsi="Times New Roman" w:eastAsia="宋体" w:cs="Times New Roman"/>
          <w:snapToGrid w:val="0"/>
          <w:color w:val="auto"/>
          <w:kern w:val="0"/>
          <w:sz w:val="24"/>
          <w:szCs w:val="22"/>
          <w:lang w:val="en-US" w:eastAsia="zh-CN" w:bidi="ar-SA"/>
        </w:rPr>
        <w:t>渗透系数经验值表，项目区域潜水按照中砂取值）；</w:t>
      </w:r>
    </w:p>
    <w:p w14:paraId="06D2006E">
      <w:pPr>
        <w:pStyle w:val="59"/>
        <w:keepNext w:val="0"/>
        <w:keepLines w:val="0"/>
        <w:pageBreakBefore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 xml:space="preserve">   </w:t>
      </w:r>
      <w:r>
        <w:rPr>
          <w:rFonts w:hint="eastAsia" w:cs="Times New Roman"/>
          <w:snapToGrid w:val="0"/>
          <w:color w:val="auto"/>
          <w:kern w:val="0"/>
          <w:sz w:val="24"/>
          <w:szCs w:val="22"/>
          <w:lang w:val="en-US" w:eastAsia="zh-CN" w:bidi="ar-SA"/>
        </w:rPr>
        <w:t xml:space="preserve">    </w:t>
      </w:r>
      <w:r>
        <w:rPr>
          <w:rFonts w:hint="eastAsia" w:ascii="Times New Roman" w:hAnsi="Times New Roman" w:eastAsia="宋体" w:cs="Times New Roman"/>
          <w:snapToGrid w:val="0"/>
          <w:color w:val="auto"/>
          <w:kern w:val="0"/>
          <w:sz w:val="24"/>
          <w:szCs w:val="22"/>
          <w:lang w:val="en-US" w:eastAsia="zh-CN" w:bidi="ar-SA"/>
        </w:rPr>
        <w:t>I—水力坡度，无量纲，由1:5万等水位线图上量取，取0.</w:t>
      </w:r>
      <w:r>
        <w:rPr>
          <w:rFonts w:hint="eastAsia" w:cs="Times New Roman"/>
          <w:snapToGrid w:val="0"/>
          <w:color w:val="auto"/>
          <w:kern w:val="0"/>
          <w:sz w:val="24"/>
          <w:szCs w:val="22"/>
          <w:lang w:val="en-US" w:eastAsia="zh-CN" w:bidi="ar-SA"/>
        </w:rPr>
        <w:t>002</w:t>
      </w:r>
      <w:r>
        <w:rPr>
          <w:rFonts w:hint="eastAsia" w:ascii="Times New Roman" w:hAnsi="Times New Roman" w:eastAsia="宋体" w:cs="Times New Roman"/>
          <w:snapToGrid w:val="0"/>
          <w:color w:val="auto"/>
          <w:kern w:val="0"/>
          <w:sz w:val="24"/>
          <w:szCs w:val="22"/>
          <w:lang w:val="en-US" w:eastAsia="zh-CN" w:bidi="ar-SA"/>
        </w:rPr>
        <w:t>；</w:t>
      </w:r>
    </w:p>
    <w:p w14:paraId="77413452">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0" w:firstLineChars="0"/>
        <w:jc w:val="left"/>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 xml:space="preserve">       T—分散式饮用水源不设敏感区，以单井外扩</w:t>
      </w:r>
      <w:r>
        <w:rPr>
          <w:rFonts w:hint="default" w:ascii="Times New Roman" w:hAnsi="Times New Roman" w:eastAsia="宋体" w:cs="Times New Roman"/>
          <w:snapToGrid w:val="0"/>
          <w:color w:val="auto"/>
          <w:kern w:val="0"/>
          <w:sz w:val="24"/>
          <w:szCs w:val="22"/>
          <w:lang w:val="en-US" w:eastAsia="zh-CN" w:bidi="ar-SA"/>
        </w:rPr>
        <w:t>3000</w:t>
      </w:r>
      <w:r>
        <w:rPr>
          <w:rFonts w:hint="eastAsia" w:ascii="Times New Roman" w:hAnsi="Times New Roman" w:eastAsia="宋体" w:cs="Times New Roman"/>
          <w:snapToGrid w:val="0"/>
          <w:color w:val="auto"/>
          <w:kern w:val="0"/>
          <w:sz w:val="24"/>
          <w:szCs w:val="22"/>
          <w:lang w:val="en-US" w:eastAsia="zh-CN" w:bidi="ar-SA"/>
        </w:rPr>
        <w:t>天质点迁移距离范围作为较敏感区；</w:t>
      </w:r>
    </w:p>
    <w:p w14:paraId="1D92AA0D">
      <w:pPr>
        <w:pStyle w:val="59"/>
        <w:keepNext w:val="0"/>
        <w:keepLines w:val="0"/>
        <w:pageBreakBefore w:val="0"/>
        <w:kinsoku/>
        <w:wordWrap/>
        <w:overflowPunct/>
        <w:topLinePunct w:val="0"/>
        <w:autoSpaceDE/>
        <w:autoSpaceDN/>
        <w:bidi w:val="0"/>
        <w:adjustRightInd w:val="0"/>
        <w:snapToGrid w:val="0"/>
        <w:spacing w:line="360" w:lineRule="auto"/>
        <w:ind w:firstLine="0" w:firstLineChars="0"/>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 xml:space="preserve">   </w:t>
      </w:r>
      <w:r>
        <w:rPr>
          <w:rFonts w:hint="eastAsia" w:cs="Times New Roman"/>
          <w:snapToGrid w:val="0"/>
          <w:color w:val="auto"/>
          <w:kern w:val="0"/>
          <w:sz w:val="24"/>
          <w:szCs w:val="22"/>
          <w:lang w:val="en-US" w:eastAsia="zh-CN" w:bidi="ar-SA"/>
        </w:rPr>
        <w:t xml:space="preserve">    </w:t>
      </w:r>
      <w:r>
        <w:rPr>
          <w:rFonts w:hint="eastAsia" w:ascii="Times New Roman" w:hAnsi="Times New Roman" w:eastAsia="宋体" w:cs="Times New Roman"/>
          <w:snapToGrid w:val="0"/>
          <w:color w:val="auto"/>
          <w:kern w:val="0"/>
          <w:sz w:val="24"/>
          <w:szCs w:val="22"/>
          <w:lang w:val="en-US" w:eastAsia="zh-CN" w:bidi="ar-SA"/>
        </w:rPr>
        <w:t>ne—有效孔隙度，无量纲，取0.3。</w:t>
      </w:r>
    </w:p>
    <w:p w14:paraId="7AEE0F73">
      <w:pPr>
        <w:pStyle w:val="59"/>
        <w:keepNext w:val="0"/>
        <w:keepLines w:val="0"/>
        <w:pageBreakBefore w:val="0"/>
        <w:kinsoku/>
        <w:wordWrap/>
        <w:overflowPunct/>
        <w:topLinePunct w:val="0"/>
        <w:autoSpaceDE/>
        <w:autoSpaceDN/>
        <w:bidi w:val="0"/>
        <w:adjustRightInd w:val="0"/>
        <w:snapToGrid w:val="0"/>
        <w:spacing w:line="360" w:lineRule="auto"/>
        <w:ind w:firstLine="720" w:firstLineChars="300"/>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经计算，较敏感区范围：</w:t>
      </w:r>
    </w:p>
    <w:p w14:paraId="11049F8C">
      <w:pPr>
        <w:keepNext w:val="0"/>
        <w:keepLines w:val="0"/>
        <w:pageBreakBefore w:val="0"/>
        <w:kinsoku/>
        <w:wordWrap/>
        <w:overflowPunct/>
        <w:topLinePunct w:val="0"/>
        <w:autoSpaceDE/>
        <w:autoSpaceDN/>
        <w:bidi w:val="0"/>
        <w:adjustRightInd w:val="0"/>
        <w:snapToGrid w:val="0"/>
        <w:spacing w:line="360" w:lineRule="auto"/>
        <w:ind w:firstLine="720" w:firstLineChars="300"/>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L=a×K×I×T/ne=1.5×50×0.0002×3000/0.3=450m。</w:t>
      </w:r>
    </w:p>
    <w:p w14:paraId="31E7F977">
      <w:pPr>
        <w:keepNext w:val="0"/>
        <w:keepLines w:val="0"/>
        <w:pageBreakBefore w:val="0"/>
        <w:widowControl/>
        <w:suppressLineNumbers w:val="0"/>
        <w:kinsoku/>
        <w:wordWrap/>
        <w:overflowPunct/>
        <w:topLinePunct w:val="0"/>
        <w:autoSpaceDE/>
        <w:autoSpaceDN/>
        <w:bidi w:val="0"/>
        <w:adjustRightInd w:val="0"/>
        <w:snapToGrid w:val="0"/>
        <w:spacing w:line="360" w:lineRule="auto"/>
        <w:ind w:firstLine="720" w:firstLineChars="300"/>
        <w:jc w:val="left"/>
        <w:textAlignment w:val="auto"/>
        <w:rPr>
          <w:rFonts w:hint="eastAsia" w:ascii="Times New Roman" w:hAnsi="Times New Roman" w:eastAsia="宋体" w:cs="Times New Roman"/>
          <w:snapToGrid w:val="0"/>
          <w:color w:val="auto"/>
          <w:kern w:val="0"/>
          <w:sz w:val="24"/>
          <w:szCs w:val="22"/>
          <w:lang w:val="en-US" w:eastAsia="zh-CN" w:bidi="ar-SA"/>
        </w:rPr>
      </w:pPr>
      <w:r>
        <w:rPr>
          <w:rFonts w:hint="eastAsia" w:ascii="Times New Roman" w:hAnsi="Times New Roman" w:eastAsia="宋体" w:cs="Times New Roman"/>
          <w:snapToGrid w:val="0"/>
          <w:color w:val="auto"/>
          <w:kern w:val="0"/>
          <w:sz w:val="24"/>
          <w:szCs w:val="22"/>
          <w:lang w:val="en-US" w:eastAsia="zh-CN" w:bidi="ar-SA"/>
        </w:rPr>
        <w:t>经计算其较敏感区范围为450</w:t>
      </w:r>
      <w:r>
        <w:rPr>
          <w:rFonts w:hint="default" w:ascii="Times New Roman" w:hAnsi="Times New Roman" w:eastAsia="宋体" w:cs="Times New Roman"/>
          <w:snapToGrid w:val="0"/>
          <w:color w:val="auto"/>
          <w:kern w:val="0"/>
          <w:sz w:val="24"/>
          <w:szCs w:val="22"/>
          <w:lang w:val="en-US" w:eastAsia="zh-CN" w:bidi="ar-SA"/>
        </w:rPr>
        <w:t>m</w:t>
      </w:r>
      <w:r>
        <w:rPr>
          <w:rFonts w:hint="eastAsia" w:ascii="Times New Roman" w:hAnsi="Times New Roman" w:eastAsia="宋体" w:cs="Times New Roman"/>
          <w:snapToGrid w:val="0"/>
          <w:color w:val="auto"/>
          <w:kern w:val="0"/>
          <w:sz w:val="24"/>
          <w:szCs w:val="22"/>
          <w:lang w:val="en-US" w:eastAsia="zh-CN" w:bidi="ar-SA"/>
        </w:rPr>
        <w:t>，之外为不敏感区。根据现场调查，本项目厂界距离最近居民</w:t>
      </w:r>
      <w:r>
        <w:rPr>
          <w:rFonts w:hint="eastAsia" w:cs="Times New Roman"/>
          <w:snapToGrid w:val="0"/>
          <w:color w:val="auto"/>
          <w:kern w:val="0"/>
          <w:sz w:val="24"/>
          <w:szCs w:val="22"/>
          <w:lang w:val="en-US" w:eastAsia="zh-CN" w:bidi="ar-SA"/>
        </w:rPr>
        <w:t>饮用水</w:t>
      </w:r>
      <w:r>
        <w:rPr>
          <w:rFonts w:hint="eastAsia" w:ascii="Times New Roman" w:hAnsi="Times New Roman" w:eastAsia="宋体" w:cs="Times New Roman"/>
          <w:snapToGrid w:val="0"/>
          <w:color w:val="auto"/>
          <w:kern w:val="0"/>
          <w:sz w:val="24"/>
          <w:szCs w:val="22"/>
          <w:lang w:val="en-US" w:eastAsia="zh-CN" w:bidi="ar-SA"/>
        </w:rPr>
        <w:t>井为530m，因此本项目所在地为不</w:t>
      </w:r>
      <w:r>
        <w:rPr>
          <w:rFonts w:hint="eastAsia" w:cs="Times New Roman"/>
          <w:snapToGrid w:val="0"/>
          <w:color w:val="auto"/>
          <w:kern w:val="0"/>
          <w:sz w:val="24"/>
          <w:szCs w:val="22"/>
          <w:lang w:val="en-US" w:eastAsia="zh-CN" w:bidi="ar-SA"/>
        </w:rPr>
        <w:t>敏感</w:t>
      </w:r>
      <w:r>
        <w:rPr>
          <w:rFonts w:hint="eastAsia" w:ascii="Times New Roman" w:hAnsi="Times New Roman" w:eastAsia="宋体" w:cs="Times New Roman"/>
          <w:snapToGrid w:val="0"/>
          <w:color w:val="auto"/>
          <w:kern w:val="0"/>
          <w:sz w:val="24"/>
          <w:szCs w:val="22"/>
          <w:lang w:val="en-US" w:eastAsia="zh-CN" w:bidi="ar-SA"/>
        </w:rPr>
        <w:t>。</w:t>
      </w:r>
    </w:p>
    <w:p w14:paraId="1C4D0126">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snapToGrid w:val="0"/>
          <w:color w:val="auto"/>
          <w:kern w:val="0"/>
          <w:sz w:val="24"/>
          <w:szCs w:val="22"/>
        </w:rPr>
      </w:pPr>
      <w:r>
        <w:rPr>
          <w:rFonts w:hint="eastAsia"/>
          <w:snapToGrid w:val="0"/>
          <w:color w:val="auto"/>
          <w:kern w:val="0"/>
          <w:sz w:val="24"/>
          <w:szCs w:val="22"/>
        </w:rPr>
        <w:t>（</w:t>
      </w:r>
      <w:r>
        <w:rPr>
          <w:snapToGrid w:val="0"/>
          <w:color w:val="auto"/>
          <w:kern w:val="0"/>
          <w:sz w:val="24"/>
          <w:szCs w:val="22"/>
        </w:rPr>
        <w:t>3</w:t>
      </w:r>
      <w:r>
        <w:rPr>
          <w:rFonts w:hint="eastAsia"/>
          <w:snapToGrid w:val="0"/>
          <w:color w:val="auto"/>
          <w:kern w:val="0"/>
          <w:sz w:val="24"/>
          <w:szCs w:val="22"/>
        </w:rPr>
        <w:t>）建设项目评价工作等级</w:t>
      </w:r>
    </w:p>
    <w:p w14:paraId="3B055AB0">
      <w:pPr>
        <w:keepNext w:val="0"/>
        <w:keepLines w:val="0"/>
        <w:pageBreakBefore w:val="0"/>
        <w:kinsoku/>
        <w:wordWrap/>
        <w:overflowPunct/>
        <w:topLinePunct w:val="0"/>
        <w:autoSpaceDE/>
        <w:autoSpaceDN/>
        <w:bidi w:val="0"/>
        <w:adjustRightInd w:val="0"/>
        <w:snapToGrid w:val="0"/>
        <w:spacing w:line="360" w:lineRule="auto"/>
        <w:ind w:firstLine="480" w:firstLineChars="200"/>
        <w:textAlignment w:val="auto"/>
        <w:rPr>
          <w:color w:val="auto"/>
          <w:sz w:val="24"/>
          <w:szCs w:val="22"/>
        </w:rPr>
      </w:pPr>
      <w:r>
        <w:rPr>
          <w:rFonts w:hint="eastAsia"/>
          <w:color w:val="auto"/>
          <w:sz w:val="24"/>
          <w:szCs w:val="22"/>
        </w:rPr>
        <w:t>建设项目地下水环境影响评价工作等级的划分见下表。</w:t>
      </w:r>
    </w:p>
    <w:p w14:paraId="40DA0395">
      <w:pPr>
        <w:spacing w:line="500" w:lineRule="exact"/>
        <w:ind w:firstLine="480" w:firstLineChars="200"/>
        <w:jc w:val="center"/>
        <w:rPr>
          <w:snapToGrid w:val="0"/>
          <w:color w:val="auto"/>
          <w:kern w:val="0"/>
          <w:sz w:val="24"/>
          <w:szCs w:val="22"/>
        </w:rPr>
      </w:pPr>
      <w:r>
        <w:rPr>
          <w:rFonts w:hint="eastAsia" w:eastAsia="黑体"/>
          <w:color w:val="auto"/>
          <w:sz w:val="24"/>
          <w:szCs w:val="22"/>
          <w:lang w:val="zh-CN"/>
        </w:rPr>
        <w:t>表</w:t>
      </w:r>
      <w:r>
        <w:rPr>
          <w:rFonts w:eastAsia="黑体"/>
          <w:color w:val="auto"/>
          <w:sz w:val="24"/>
          <w:szCs w:val="22"/>
          <w:lang w:val="zh-CN"/>
        </w:rPr>
        <w:t>2-6-7</w:t>
      </w:r>
      <w:r>
        <w:rPr>
          <w:rFonts w:hint="eastAsia" w:eastAsia="黑体"/>
          <w:color w:val="auto"/>
          <w:sz w:val="24"/>
          <w:szCs w:val="22"/>
          <w:lang w:val="zh-CN"/>
        </w:rPr>
        <w:t>地下水评价工作等级分级表</w:t>
      </w:r>
    </w:p>
    <w:tbl>
      <w:tblPr>
        <w:tblStyle w:val="762"/>
        <w:tblW w:w="5062"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657"/>
        <w:gridCol w:w="1945"/>
        <w:gridCol w:w="2269"/>
        <w:gridCol w:w="2267"/>
      </w:tblGrid>
      <w:tr w14:paraId="4AEAD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30" w:hRule="atLeast"/>
        </w:trPr>
        <w:tc>
          <w:tcPr>
            <w:tcW w:w="1453" w:type="pct"/>
            <w:tcBorders>
              <w:top w:val="single" w:color="auto" w:sz="12" w:space="0"/>
              <w:left w:val="nil"/>
              <w:bottom w:val="single" w:color="auto" w:sz="4" w:space="0"/>
              <w:right w:val="single" w:color="auto" w:sz="4" w:space="0"/>
            </w:tcBorders>
            <w:vAlign w:val="center"/>
          </w:tcPr>
          <w:p w14:paraId="1F802AF1">
            <w:pPr>
              <w:adjustRightInd w:val="0"/>
              <w:snapToGrid w:val="0"/>
              <w:jc w:val="right"/>
              <w:rPr>
                <w:snapToGrid w:val="0"/>
                <w:color w:val="auto"/>
                <w:szCs w:val="22"/>
                <w:lang w:val="zh-CN"/>
              </w:rPr>
            </w:pPr>
            <w:r>
              <w:rPr>
                <w:rFonts w:ascii="等线" w:hAnsi="等线" w:eastAsia="等线"/>
                <w:color w:val="auto"/>
                <w:szCs w:val="22"/>
              </w:rPr>
              <mc:AlternateContent>
                <mc:Choice Requires="wps">
                  <w:drawing>
                    <wp:anchor distT="0" distB="0" distL="114300" distR="114300" simplePos="0" relativeHeight="251663360" behindDoc="0" locked="0" layoutInCell="1" allowOverlap="1">
                      <wp:simplePos x="0" y="0"/>
                      <wp:positionH relativeFrom="column">
                        <wp:posOffset>-49530</wp:posOffset>
                      </wp:positionH>
                      <wp:positionV relativeFrom="paragraph">
                        <wp:posOffset>-10160</wp:posOffset>
                      </wp:positionV>
                      <wp:extent cx="1495425" cy="381000"/>
                      <wp:effectExtent l="0" t="0" r="28575" b="19050"/>
                      <wp:wrapNone/>
                      <wp:docPr id="1252353780"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1495425" cy="381000"/>
                              </a:xfrm>
                              <a:prstGeom prst="straightConnector1">
                                <a:avLst/>
                              </a:prstGeom>
                              <a:noFill/>
                              <a:ln w="3175">
                                <a:solidFill>
                                  <a:srgbClr val="000000"/>
                                </a:solidFill>
                                <a:round/>
                              </a:ln>
                            </wps:spPr>
                            <wps:bodyPr/>
                          </wps:wsp>
                        </a:graphicData>
                      </a:graphic>
                    </wp:anchor>
                  </w:drawing>
                </mc:Choice>
                <mc:Fallback>
                  <w:pict>
                    <v:shape id="直接箭头连接符 2" o:spid="_x0000_s1026" o:spt="32" type="#_x0000_t32" style="position:absolute;left:0pt;margin-left:-3.9pt;margin-top:-0.8pt;height:30pt;width:117.75pt;z-index:251663360;mso-width-relative:page;mso-height-relative:page;" filled="f" stroked="t" coordsize="21600,21600" o:gfxdata="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oXoP42AAAAAgBAAAPAAAAAAAAAAEAIAAAACIAAABkcnMv&#10;ZG93bnJldi54bWxQSwECFAAUAAAACACHTuJA4ecrLwMCAADMAwAADgAAAAAAAAABACAAAAAnAQAA&#10;ZHJzL2Uyb0RvYy54bWxQSwUGAAAAAAYABgBZAQAAnAUAAAAA&#10;">
                      <v:fill on="f" focussize="0,0"/>
                      <v:stroke weight="0.25pt" color="#000000" joinstyle="round"/>
                      <v:imagedata o:title=""/>
                      <o:lock v:ext="edit" aspectratio="f"/>
                    </v:shape>
                  </w:pict>
                </mc:Fallback>
              </mc:AlternateContent>
            </w:r>
            <w:r>
              <w:rPr>
                <w:rFonts w:hint="eastAsia"/>
                <w:snapToGrid w:val="0"/>
                <w:color w:val="auto"/>
                <w:szCs w:val="22"/>
                <w:lang w:val="zh-CN"/>
              </w:rPr>
              <w:t>项目类别</w:t>
            </w:r>
          </w:p>
          <w:p w14:paraId="3B615305">
            <w:pPr>
              <w:adjustRightInd w:val="0"/>
              <w:snapToGrid w:val="0"/>
              <w:jc w:val="left"/>
              <w:rPr>
                <w:snapToGrid w:val="0"/>
                <w:color w:val="auto"/>
                <w:szCs w:val="22"/>
                <w:lang w:val="zh-CN"/>
              </w:rPr>
            </w:pPr>
            <w:r>
              <w:rPr>
                <w:rFonts w:hint="eastAsia"/>
                <w:snapToGrid w:val="0"/>
                <w:color w:val="auto"/>
                <w:szCs w:val="22"/>
                <w:lang w:val="zh-CN"/>
              </w:rPr>
              <w:t>环境敏感程度</w:t>
            </w:r>
          </w:p>
        </w:tc>
        <w:tc>
          <w:tcPr>
            <w:tcW w:w="1064" w:type="pct"/>
            <w:tcBorders>
              <w:top w:val="single" w:color="auto" w:sz="12" w:space="0"/>
              <w:left w:val="single" w:color="auto" w:sz="4" w:space="0"/>
              <w:bottom w:val="single" w:color="auto" w:sz="4" w:space="0"/>
              <w:right w:val="single" w:color="auto" w:sz="4" w:space="0"/>
            </w:tcBorders>
            <w:vAlign w:val="center"/>
          </w:tcPr>
          <w:p w14:paraId="57193C25">
            <w:pPr>
              <w:adjustRightInd w:val="0"/>
              <w:snapToGrid w:val="0"/>
              <w:jc w:val="center"/>
              <w:rPr>
                <w:snapToGrid w:val="0"/>
                <w:color w:val="auto"/>
                <w:szCs w:val="22"/>
                <w:lang w:val="zh-CN"/>
              </w:rPr>
            </w:pPr>
            <w:r>
              <w:rPr>
                <w:snapToGrid w:val="0"/>
                <w:color w:val="auto"/>
                <w:szCs w:val="22"/>
                <w:lang w:val="zh-CN"/>
              </w:rPr>
              <w:fldChar w:fldCharType="begin"/>
            </w:r>
            <w:r>
              <w:rPr>
                <w:snapToGrid w:val="0"/>
                <w:color w:val="auto"/>
                <w:szCs w:val="22"/>
                <w:lang w:val="zh-CN"/>
              </w:rPr>
              <w:instrText xml:space="preserve"> = 1 \* ROMAN </w:instrText>
            </w:r>
            <w:r>
              <w:rPr>
                <w:snapToGrid w:val="0"/>
                <w:color w:val="auto"/>
                <w:szCs w:val="22"/>
                <w:lang w:val="zh-CN"/>
              </w:rPr>
              <w:fldChar w:fldCharType="separate"/>
            </w:r>
            <w:r>
              <w:rPr>
                <w:snapToGrid w:val="0"/>
                <w:color w:val="auto"/>
                <w:szCs w:val="22"/>
                <w:lang w:val="zh-CN"/>
              </w:rPr>
              <w:t>I</w:t>
            </w:r>
            <w:r>
              <w:rPr>
                <w:snapToGrid w:val="0"/>
                <w:color w:val="auto"/>
                <w:szCs w:val="22"/>
                <w:lang w:val="zh-CN"/>
              </w:rPr>
              <w:fldChar w:fldCharType="end"/>
            </w:r>
            <w:r>
              <w:rPr>
                <w:rFonts w:hint="eastAsia"/>
                <w:snapToGrid w:val="0"/>
                <w:color w:val="auto"/>
                <w:szCs w:val="22"/>
                <w:lang w:val="zh-CN"/>
              </w:rPr>
              <w:t>类项目</w:t>
            </w:r>
          </w:p>
        </w:tc>
        <w:tc>
          <w:tcPr>
            <w:tcW w:w="1241" w:type="pct"/>
            <w:tcBorders>
              <w:top w:val="single" w:color="auto" w:sz="12" w:space="0"/>
              <w:left w:val="single" w:color="auto" w:sz="4" w:space="0"/>
              <w:bottom w:val="single" w:color="auto" w:sz="4" w:space="0"/>
              <w:right w:val="single" w:color="auto" w:sz="4" w:space="0"/>
            </w:tcBorders>
            <w:vAlign w:val="center"/>
          </w:tcPr>
          <w:p w14:paraId="51A9DE69">
            <w:pPr>
              <w:adjustRightInd w:val="0"/>
              <w:snapToGrid w:val="0"/>
              <w:jc w:val="center"/>
              <w:rPr>
                <w:snapToGrid w:val="0"/>
                <w:color w:val="auto"/>
                <w:szCs w:val="22"/>
                <w:lang w:val="zh-CN"/>
              </w:rPr>
            </w:pPr>
            <w:r>
              <w:rPr>
                <w:snapToGrid w:val="0"/>
                <w:color w:val="auto"/>
                <w:szCs w:val="22"/>
                <w:lang w:val="zh-CN"/>
              </w:rPr>
              <w:fldChar w:fldCharType="begin"/>
            </w:r>
            <w:r>
              <w:rPr>
                <w:snapToGrid w:val="0"/>
                <w:color w:val="auto"/>
                <w:szCs w:val="22"/>
                <w:lang w:val="zh-CN"/>
              </w:rPr>
              <w:instrText xml:space="preserve"> = 2 \* ROMAN </w:instrText>
            </w:r>
            <w:r>
              <w:rPr>
                <w:snapToGrid w:val="0"/>
                <w:color w:val="auto"/>
                <w:szCs w:val="22"/>
                <w:lang w:val="zh-CN"/>
              </w:rPr>
              <w:fldChar w:fldCharType="separate"/>
            </w:r>
            <w:r>
              <w:rPr>
                <w:snapToGrid w:val="0"/>
                <w:color w:val="auto"/>
                <w:szCs w:val="22"/>
                <w:lang w:val="zh-CN"/>
              </w:rPr>
              <w:t>II</w:t>
            </w:r>
            <w:r>
              <w:rPr>
                <w:snapToGrid w:val="0"/>
                <w:color w:val="auto"/>
                <w:szCs w:val="22"/>
                <w:lang w:val="zh-CN"/>
              </w:rPr>
              <w:fldChar w:fldCharType="end"/>
            </w:r>
            <w:r>
              <w:rPr>
                <w:rFonts w:hint="eastAsia"/>
                <w:snapToGrid w:val="0"/>
                <w:color w:val="auto"/>
                <w:szCs w:val="22"/>
                <w:lang w:val="zh-CN"/>
              </w:rPr>
              <w:t>类项目</w:t>
            </w:r>
          </w:p>
        </w:tc>
        <w:tc>
          <w:tcPr>
            <w:tcW w:w="1240" w:type="pct"/>
            <w:tcBorders>
              <w:top w:val="single" w:color="auto" w:sz="12" w:space="0"/>
              <w:left w:val="single" w:color="auto" w:sz="4" w:space="0"/>
              <w:bottom w:val="single" w:color="auto" w:sz="4" w:space="0"/>
              <w:right w:val="nil"/>
            </w:tcBorders>
            <w:vAlign w:val="center"/>
          </w:tcPr>
          <w:p w14:paraId="006A506C">
            <w:pPr>
              <w:adjustRightInd w:val="0"/>
              <w:snapToGrid w:val="0"/>
              <w:jc w:val="center"/>
              <w:rPr>
                <w:snapToGrid w:val="0"/>
                <w:color w:val="auto"/>
                <w:szCs w:val="22"/>
                <w:lang w:val="zh-CN"/>
              </w:rPr>
            </w:pPr>
            <w:r>
              <w:rPr>
                <w:snapToGrid w:val="0"/>
                <w:color w:val="auto"/>
                <w:szCs w:val="22"/>
                <w:lang w:val="zh-CN"/>
              </w:rPr>
              <w:fldChar w:fldCharType="begin"/>
            </w:r>
            <w:r>
              <w:rPr>
                <w:snapToGrid w:val="0"/>
                <w:color w:val="auto"/>
                <w:szCs w:val="22"/>
                <w:lang w:val="zh-CN"/>
              </w:rPr>
              <w:instrText xml:space="preserve"> = 3 \* ROMAN </w:instrText>
            </w:r>
            <w:r>
              <w:rPr>
                <w:snapToGrid w:val="0"/>
                <w:color w:val="auto"/>
                <w:szCs w:val="22"/>
                <w:lang w:val="zh-CN"/>
              </w:rPr>
              <w:fldChar w:fldCharType="separate"/>
            </w:r>
            <w:r>
              <w:rPr>
                <w:snapToGrid w:val="0"/>
                <w:color w:val="auto"/>
                <w:szCs w:val="22"/>
                <w:lang w:val="zh-CN"/>
              </w:rPr>
              <w:t>III</w:t>
            </w:r>
            <w:r>
              <w:rPr>
                <w:snapToGrid w:val="0"/>
                <w:color w:val="auto"/>
                <w:szCs w:val="22"/>
                <w:lang w:val="zh-CN"/>
              </w:rPr>
              <w:fldChar w:fldCharType="end"/>
            </w:r>
            <w:r>
              <w:rPr>
                <w:rFonts w:hint="eastAsia"/>
                <w:snapToGrid w:val="0"/>
                <w:color w:val="auto"/>
                <w:szCs w:val="22"/>
                <w:lang w:val="zh-CN"/>
              </w:rPr>
              <w:t>类项目</w:t>
            </w:r>
          </w:p>
        </w:tc>
      </w:tr>
      <w:tr w14:paraId="235238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453" w:type="pct"/>
            <w:tcBorders>
              <w:top w:val="single" w:color="auto" w:sz="4" w:space="0"/>
              <w:left w:val="nil"/>
              <w:bottom w:val="single" w:color="auto" w:sz="4" w:space="0"/>
              <w:right w:val="single" w:color="auto" w:sz="4" w:space="0"/>
            </w:tcBorders>
            <w:vAlign w:val="center"/>
          </w:tcPr>
          <w:p w14:paraId="7BDDFB34">
            <w:pPr>
              <w:adjustRightInd w:val="0"/>
              <w:snapToGrid w:val="0"/>
              <w:jc w:val="center"/>
              <w:rPr>
                <w:snapToGrid w:val="0"/>
                <w:color w:val="auto"/>
                <w:szCs w:val="22"/>
                <w:lang w:val="zh-CN"/>
              </w:rPr>
            </w:pPr>
            <w:r>
              <w:rPr>
                <w:rFonts w:hint="eastAsia"/>
                <w:snapToGrid w:val="0"/>
                <w:color w:val="auto"/>
                <w:szCs w:val="22"/>
                <w:lang w:val="zh-CN"/>
              </w:rPr>
              <w:t>敏感</w:t>
            </w:r>
          </w:p>
        </w:tc>
        <w:tc>
          <w:tcPr>
            <w:tcW w:w="1064" w:type="pct"/>
            <w:tcBorders>
              <w:top w:val="single" w:color="auto" w:sz="4" w:space="0"/>
              <w:left w:val="single" w:color="auto" w:sz="4" w:space="0"/>
              <w:bottom w:val="single" w:color="auto" w:sz="4" w:space="0"/>
              <w:right w:val="single" w:color="auto" w:sz="4" w:space="0"/>
            </w:tcBorders>
            <w:vAlign w:val="center"/>
          </w:tcPr>
          <w:p w14:paraId="71102B23">
            <w:pPr>
              <w:adjustRightInd w:val="0"/>
              <w:snapToGrid w:val="0"/>
              <w:jc w:val="center"/>
              <w:rPr>
                <w:snapToGrid w:val="0"/>
                <w:color w:val="auto"/>
                <w:szCs w:val="22"/>
                <w:lang w:val="zh-CN"/>
              </w:rPr>
            </w:pPr>
            <w:r>
              <w:rPr>
                <w:rFonts w:hint="eastAsia"/>
                <w:snapToGrid w:val="0"/>
                <w:color w:val="auto"/>
                <w:szCs w:val="22"/>
                <w:lang w:val="zh-CN"/>
              </w:rPr>
              <w:t>一</w:t>
            </w:r>
          </w:p>
        </w:tc>
        <w:tc>
          <w:tcPr>
            <w:tcW w:w="1241" w:type="pct"/>
            <w:tcBorders>
              <w:top w:val="single" w:color="auto" w:sz="4" w:space="0"/>
              <w:left w:val="single" w:color="auto" w:sz="4" w:space="0"/>
              <w:bottom w:val="single" w:color="auto" w:sz="4" w:space="0"/>
              <w:right w:val="single" w:color="auto" w:sz="4" w:space="0"/>
            </w:tcBorders>
            <w:vAlign w:val="center"/>
          </w:tcPr>
          <w:p w14:paraId="7C89DC97">
            <w:pPr>
              <w:adjustRightInd w:val="0"/>
              <w:snapToGrid w:val="0"/>
              <w:jc w:val="center"/>
              <w:rPr>
                <w:snapToGrid w:val="0"/>
                <w:color w:val="auto"/>
                <w:szCs w:val="22"/>
                <w:lang w:val="zh-CN"/>
              </w:rPr>
            </w:pPr>
            <w:r>
              <w:rPr>
                <w:rFonts w:hint="eastAsia"/>
                <w:snapToGrid w:val="0"/>
                <w:color w:val="auto"/>
                <w:szCs w:val="22"/>
                <w:lang w:val="zh-CN"/>
              </w:rPr>
              <w:t>一</w:t>
            </w:r>
          </w:p>
        </w:tc>
        <w:tc>
          <w:tcPr>
            <w:tcW w:w="1240" w:type="pct"/>
            <w:tcBorders>
              <w:top w:val="single" w:color="auto" w:sz="4" w:space="0"/>
              <w:left w:val="single" w:color="auto" w:sz="4" w:space="0"/>
              <w:bottom w:val="single" w:color="auto" w:sz="4" w:space="0"/>
              <w:right w:val="nil"/>
            </w:tcBorders>
            <w:vAlign w:val="center"/>
          </w:tcPr>
          <w:p w14:paraId="41EF64D1">
            <w:pPr>
              <w:adjustRightInd w:val="0"/>
              <w:snapToGrid w:val="0"/>
              <w:jc w:val="center"/>
              <w:rPr>
                <w:snapToGrid w:val="0"/>
                <w:color w:val="auto"/>
                <w:szCs w:val="22"/>
                <w:lang w:val="zh-CN"/>
              </w:rPr>
            </w:pPr>
            <w:r>
              <w:rPr>
                <w:rFonts w:hint="eastAsia"/>
                <w:snapToGrid w:val="0"/>
                <w:color w:val="auto"/>
                <w:szCs w:val="22"/>
                <w:lang w:val="zh-CN"/>
              </w:rPr>
              <w:t>二</w:t>
            </w:r>
          </w:p>
        </w:tc>
      </w:tr>
      <w:tr w14:paraId="7148D0B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1" w:hRule="atLeast"/>
        </w:trPr>
        <w:tc>
          <w:tcPr>
            <w:tcW w:w="1453" w:type="pct"/>
            <w:tcBorders>
              <w:top w:val="single" w:color="auto" w:sz="4" w:space="0"/>
              <w:left w:val="nil"/>
              <w:bottom w:val="single" w:color="auto" w:sz="4" w:space="0"/>
              <w:right w:val="single" w:color="auto" w:sz="4" w:space="0"/>
            </w:tcBorders>
            <w:vAlign w:val="center"/>
          </w:tcPr>
          <w:p w14:paraId="1240434B">
            <w:pPr>
              <w:adjustRightInd w:val="0"/>
              <w:snapToGrid w:val="0"/>
              <w:jc w:val="center"/>
              <w:rPr>
                <w:snapToGrid w:val="0"/>
                <w:color w:val="auto"/>
                <w:szCs w:val="22"/>
                <w:lang w:val="zh-CN"/>
              </w:rPr>
            </w:pPr>
            <w:r>
              <w:rPr>
                <w:rFonts w:hint="eastAsia"/>
                <w:snapToGrid w:val="0"/>
                <w:color w:val="auto"/>
                <w:szCs w:val="22"/>
                <w:lang w:val="zh-CN"/>
              </w:rPr>
              <w:t>较敏感</w:t>
            </w:r>
          </w:p>
        </w:tc>
        <w:tc>
          <w:tcPr>
            <w:tcW w:w="1064" w:type="pct"/>
            <w:tcBorders>
              <w:top w:val="single" w:color="auto" w:sz="4" w:space="0"/>
              <w:left w:val="single" w:color="auto" w:sz="4" w:space="0"/>
              <w:bottom w:val="single" w:color="auto" w:sz="4" w:space="0"/>
              <w:right w:val="single" w:color="auto" w:sz="4" w:space="0"/>
            </w:tcBorders>
            <w:vAlign w:val="center"/>
          </w:tcPr>
          <w:p w14:paraId="66C8060F">
            <w:pPr>
              <w:adjustRightInd w:val="0"/>
              <w:snapToGrid w:val="0"/>
              <w:jc w:val="center"/>
              <w:rPr>
                <w:snapToGrid w:val="0"/>
                <w:color w:val="auto"/>
                <w:szCs w:val="22"/>
                <w:lang w:val="zh-CN"/>
              </w:rPr>
            </w:pPr>
            <w:r>
              <w:rPr>
                <w:rFonts w:hint="eastAsia"/>
                <w:snapToGrid w:val="0"/>
                <w:color w:val="auto"/>
                <w:szCs w:val="22"/>
                <w:lang w:val="zh-CN"/>
              </w:rPr>
              <w:t>一</w:t>
            </w:r>
          </w:p>
        </w:tc>
        <w:tc>
          <w:tcPr>
            <w:tcW w:w="1241" w:type="pct"/>
            <w:tcBorders>
              <w:top w:val="single" w:color="auto" w:sz="4" w:space="0"/>
              <w:left w:val="single" w:color="auto" w:sz="4" w:space="0"/>
              <w:bottom w:val="single" w:color="auto" w:sz="4" w:space="0"/>
              <w:right w:val="single" w:color="auto" w:sz="4" w:space="0"/>
            </w:tcBorders>
            <w:vAlign w:val="center"/>
          </w:tcPr>
          <w:p w14:paraId="1F26A085">
            <w:pPr>
              <w:adjustRightInd w:val="0"/>
              <w:snapToGrid w:val="0"/>
              <w:jc w:val="center"/>
              <w:rPr>
                <w:snapToGrid w:val="0"/>
                <w:color w:val="auto"/>
                <w:szCs w:val="22"/>
                <w:lang w:val="zh-CN"/>
              </w:rPr>
            </w:pPr>
            <w:r>
              <w:rPr>
                <w:rFonts w:hint="eastAsia"/>
                <w:snapToGrid w:val="0"/>
                <w:color w:val="auto"/>
                <w:szCs w:val="22"/>
                <w:lang w:val="zh-CN"/>
              </w:rPr>
              <w:t>二</w:t>
            </w:r>
          </w:p>
        </w:tc>
        <w:tc>
          <w:tcPr>
            <w:tcW w:w="1240" w:type="pct"/>
            <w:tcBorders>
              <w:top w:val="single" w:color="auto" w:sz="4" w:space="0"/>
              <w:left w:val="single" w:color="auto" w:sz="4" w:space="0"/>
              <w:bottom w:val="single" w:color="auto" w:sz="4" w:space="0"/>
              <w:right w:val="nil"/>
            </w:tcBorders>
            <w:vAlign w:val="center"/>
          </w:tcPr>
          <w:p w14:paraId="38E649AE">
            <w:pPr>
              <w:adjustRightInd w:val="0"/>
              <w:snapToGrid w:val="0"/>
              <w:jc w:val="center"/>
              <w:rPr>
                <w:b/>
                <w:bCs/>
                <w:snapToGrid w:val="0"/>
                <w:color w:val="auto"/>
                <w:szCs w:val="22"/>
                <w:lang w:val="zh-CN"/>
              </w:rPr>
            </w:pPr>
            <w:r>
              <w:rPr>
                <w:rFonts w:hint="eastAsia"/>
                <w:b/>
                <w:bCs/>
                <w:snapToGrid w:val="0"/>
                <w:color w:val="auto"/>
                <w:szCs w:val="22"/>
                <w:lang w:val="zh-CN"/>
              </w:rPr>
              <w:t>三</w:t>
            </w:r>
          </w:p>
        </w:tc>
      </w:tr>
      <w:tr w14:paraId="2F5850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8" w:hRule="atLeast"/>
        </w:trPr>
        <w:tc>
          <w:tcPr>
            <w:tcW w:w="1453" w:type="pct"/>
            <w:tcBorders>
              <w:top w:val="single" w:color="auto" w:sz="4" w:space="0"/>
              <w:left w:val="nil"/>
              <w:bottom w:val="single" w:color="auto" w:sz="12" w:space="0"/>
              <w:right w:val="single" w:color="auto" w:sz="4" w:space="0"/>
            </w:tcBorders>
            <w:vAlign w:val="center"/>
          </w:tcPr>
          <w:p w14:paraId="45D945A2">
            <w:pPr>
              <w:adjustRightInd w:val="0"/>
              <w:snapToGrid w:val="0"/>
              <w:jc w:val="center"/>
              <w:rPr>
                <w:snapToGrid w:val="0"/>
                <w:color w:val="auto"/>
                <w:szCs w:val="22"/>
                <w:lang w:val="zh-CN"/>
              </w:rPr>
            </w:pPr>
            <w:r>
              <w:rPr>
                <w:rFonts w:hint="eastAsia"/>
                <w:snapToGrid w:val="0"/>
                <w:color w:val="auto"/>
                <w:szCs w:val="22"/>
                <w:lang w:val="zh-CN"/>
              </w:rPr>
              <w:t>不敏感</w:t>
            </w:r>
          </w:p>
        </w:tc>
        <w:tc>
          <w:tcPr>
            <w:tcW w:w="1064" w:type="pct"/>
            <w:tcBorders>
              <w:top w:val="single" w:color="auto" w:sz="4" w:space="0"/>
              <w:left w:val="single" w:color="auto" w:sz="4" w:space="0"/>
              <w:bottom w:val="single" w:color="auto" w:sz="12" w:space="0"/>
              <w:right w:val="single" w:color="auto" w:sz="4" w:space="0"/>
            </w:tcBorders>
            <w:vAlign w:val="center"/>
          </w:tcPr>
          <w:p w14:paraId="416DCB56">
            <w:pPr>
              <w:adjustRightInd w:val="0"/>
              <w:snapToGrid w:val="0"/>
              <w:jc w:val="center"/>
              <w:rPr>
                <w:snapToGrid w:val="0"/>
                <w:color w:val="auto"/>
                <w:szCs w:val="22"/>
                <w:lang w:val="zh-CN"/>
              </w:rPr>
            </w:pPr>
            <w:r>
              <w:rPr>
                <w:rFonts w:hint="eastAsia"/>
                <w:snapToGrid w:val="0"/>
                <w:color w:val="auto"/>
                <w:szCs w:val="22"/>
                <w:lang w:val="zh-CN"/>
              </w:rPr>
              <w:t>二</w:t>
            </w:r>
          </w:p>
        </w:tc>
        <w:tc>
          <w:tcPr>
            <w:tcW w:w="1241" w:type="pct"/>
            <w:tcBorders>
              <w:top w:val="single" w:color="auto" w:sz="4" w:space="0"/>
              <w:left w:val="single" w:color="auto" w:sz="4" w:space="0"/>
              <w:bottom w:val="single" w:color="auto" w:sz="12" w:space="0"/>
              <w:right w:val="single" w:color="auto" w:sz="4" w:space="0"/>
            </w:tcBorders>
            <w:vAlign w:val="center"/>
          </w:tcPr>
          <w:p w14:paraId="587A1F2C">
            <w:pPr>
              <w:adjustRightInd w:val="0"/>
              <w:snapToGrid w:val="0"/>
              <w:jc w:val="center"/>
              <w:rPr>
                <w:b/>
                <w:bCs/>
                <w:snapToGrid w:val="0"/>
                <w:color w:val="auto"/>
                <w:szCs w:val="22"/>
                <w:lang w:val="zh-CN"/>
              </w:rPr>
            </w:pPr>
            <w:r>
              <w:rPr>
                <w:rFonts w:hint="eastAsia"/>
                <w:b/>
                <w:bCs/>
                <w:snapToGrid w:val="0"/>
                <w:color w:val="auto"/>
                <w:szCs w:val="22"/>
                <w:lang w:val="zh-CN"/>
              </w:rPr>
              <w:t>三</w:t>
            </w:r>
          </w:p>
        </w:tc>
        <w:tc>
          <w:tcPr>
            <w:tcW w:w="1240" w:type="pct"/>
            <w:tcBorders>
              <w:top w:val="single" w:color="auto" w:sz="4" w:space="0"/>
              <w:left w:val="single" w:color="auto" w:sz="4" w:space="0"/>
              <w:bottom w:val="single" w:color="auto" w:sz="12" w:space="0"/>
              <w:right w:val="nil"/>
            </w:tcBorders>
            <w:vAlign w:val="center"/>
          </w:tcPr>
          <w:p w14:paraId="7A3D0570">
            <w:pPr>
              <w:adjustRightInd w:val="0"/>
              <w:snapToGrid w:val="0"/>
              <w:jc w:val="center"/>
              <w:rPr>
                <w:b/>
                <w:bCs/>
                <w:snapToGrid w:val="0"/>
                <w:color w:val="auto"/>
                <w:szCs w:val="22"/>
                <w:lang w:val="zh-CN"/>
              </w:rPr>
            </w:pPr>
            <w:r>
              <w:rPr>
                <w:rFonts w:hint="eastAsia"/>
                <w:b/>
                <w:bCs/>
                <w:snapToGrid w:val="0"/>
                <w:color w:val="auto"/>
                <w:szCs w:val="22"/>
                <w:lang w:val="zh-CN"/>
              </w:rPr>
              <w:t>三</w:t>
            </w:r>
          </w:p>
        </w:tc>
      </w:tr>
    </w:tbl>
    <w:p w14:paraId="4F697272">
      <w:pPr>
        <w:spacing w:line="500" w:lineRule="exact"/>
        <w:ind w:firstLine="480" w:firstLineChars="200"/>
        <w:rPr>
          <w:snapToGrid w:val="0"/>
          <w:color w:val="auto"/>
          <w:kern w:val="0"/>
          <w:sz w:val="24"/>
        </w:rPr>
      </w:pPr>
      <w:r>
        <w:rPr>
          <w:rFonts w:hint="eastAsia"/>
          <w:snapToGrid w:val="0"/>
          <w:color w:val="auto"/>
          <w:kern w:val="0"/>
          <w:sz w:val="24"/>
          <w:szCs w:val="22"/>
        </w:rPr>
        <w:t>综上分析，</w:t>
      </w:r>
      <w:bookmarkStart w:id="58" w:name="_Hlk21536356"/>
      <w:r>
        <w:rPr>
          <w:rFonts w:hint="eastAsia"/>
          <w:snapToGrid w:val="0"/>
          <w:color w:val="auto"/>
          <w:kern w:val="0"/>
          <w:sz w:val="24"/>
          <w:szCs w:val="22"/>
        </w:rPr>
        <w:t>拟建项目属于地下水环境影响评价分类的</w:t>
      </w:r>
      <w:r>
        <w:rPr>
          <w:rFonts w:hint="eastAsia" w:ascii="等线" w:hAnsi="等线" w:eastAsia="等线"/>
          <w:color w:val="auto"/>
          <w:szCs w:val="22"/>
        </w:rPr>
        <w:fldChar w:fldCharType="begin"/>
      </w:r>
      <w:r>
        <w:rPr>
          <w:snapToGrid w:val="0"/>
          <w:color w:val="auto"/>
          <w:szCs w:val="22"/>
          <w:lang w:val="zh-CN"/>
        </w:rPr>
        <w:instrText xml:space="preserve"> = 3 \* ROMAN </w:instrText>
      </w:r>
      <w:r>
        <w:rPr>
          <w:rFonts w:hint="eastAsia" w:ascii="等线" w:hAnsi="等线" w:eastAsia="等线"/>
          <w:color w:val="auto"/>
          <w:szCs w:val="22"/>
        </w:rPr>
        <w:fldChar w:fldCharType="separate"/>
      </w:r>
      <w:r>
        <w:rPr>
          <w:snapToGrid w:val="0"/>
          <w:color w:val="auto"/>
          <w:szCs w:val="22"/>
          <w:lang w:val="zh-CN"/>
        </w:rPr>
        <w:t>III</w:t>
      </w:r>
      <w:r>
        <w:rPr>
          <w:rFonts w:hint="eastAsia" w:ascii="等线" w:hAnsi="等线" w:eastAsia="等线"/>
          <w:color w:val="auto"/>
          <w:szCs w:val="22"/>
        </w:rPr>
        <w:fldChar w:fldCharType="end"/>
      </w:r>
      <w:r>
        <w:rPr>
          <w:rFonts w:hint="eastAsia"/>
          <w:snapToGrid w:val="0"/>
          <w:color w:val="auto"/>
          <w:kern w:val="0"/>
          <w:sz w:val="24"/>
          <w:szCs w:val="22"/>
        </w:rPr>
        <w:t>类项目，地下水环境敏感程度为不敏感，因此评价工作等级确定为三级。</w:t>
      </w:r>
      <w:bookmarkEnd w:id="58"/>
    </w:p>
    <w:p w14:paraId="175BDC5C">
      <w:pPr>
        <w:pStyle w:val="137"/>
        <w:rPr>
          <w:color w:val="auto"/>
          <w:highlight w:val="none"/>
        </w:rPr>
      </w:pPr>
      <w:r>
        <w:rPr>
          <w:color w:val="auto"/>
          <w:highlight w:val="none"/>
        </w:rPr>
        <w:t>2.6</w:t>
      </w:r>
      <w:bookmarkStart w:id="59" w:name="_Toc88968913"/>
      <w:bookmarkStart w:id="60" w:name="_Toc89231866"/>
      <w:bookmarkStart w:id="61" w:name="_Toc88900496"/>
      <w:bookmarkStart w:id="62" w:name="_Toc88969056"/>
      <w:r>
        <w:rPr>
          <w:color w:val="auto"/>
          <w:highlight w:val="none"/>
        </w:rPr>
        <w:t>.4声环境</w:t>
      </w:r>
      <w:bookmarkEnd w:id="59"/>
      <w:bookmarkEnd w:id="60"/>
      <w:bookmarkEnd w:id="61"/>
      <w:bookmarkEnd w:id="62"/>
      <w:r>
        <w:rPr>
          <w:color w:val="auto"/>
          <w:highlight w:val="none"/>
        </w:rPr>
        <w:t>评价工作等级</w:t>
      </w:r>
    </w:p>
    <w:p w14:paraId="346052A0">
      <w:pPr>
        <w:spacing w:line="500" w:lineRule="exact"/>
        <w:ind w:firstLine="480" w:firstLineChars="200"/>
        <w:rPr>
          <w:snapToGrid w:val="0"/>
          <w:color w:val="auto"/>
          <w:kern w:val="0"/>
          <w:sz w:val="24"/>
          <w:szCs w:val="22"/>
          <w:highlight w:val="none"/>
        </w:rPr>
      </w:pPr>
      <w:r>
        <w:rPr>
          <w:rFonts w:hint="eastAsia"/>
          <w:snapToGrid w:val="0"/>
          <w:color w:val="auto"/>
          <w:kern w:val="0"/>
          <w:sz w:val="24"/>
          <w:szCs w:val="22"/>
          <w:highlight w:val="none"/>
        </w:rPr>
        <w:t>根据《环境影响评价技术导则</w:t>
      </w:r>
      <w:r>
        <w:rPr>
          <w:snapToGrid w:val="0"/>
          <w:color w:val="auto"/>
          <w:kern w:val="0"/>
          <w:sz w:val="24"/>
          <w:szCs w:val="22"/>
          <w:highlight w:val="none"/>
        </w:rPr>
        <w:t xml:space="preserve"> </w:t>
      </w:r>
      <w:r>
        <w:rPr>
          <w:rFonts w:hint="eastAsia"/>
          <w:snapToGrid w:val="0"/>
          <w:color w:val="auto"/>
          <w:kern w:val="0"/>
          <w:sz w:val="24"/>
          <w:szCs w:val="22"/>
          <w:highlight w:val="none"/>
        </w:rPr>
        <w:t>声环境》（</w:t>
      </w:r>
      <w:r>
        <w:rPr>
          <w:snapToGrid w:val="0"/>
          <w:color w:val="auto"/>
          <w:kern w:val="0"/>
          <w:sz w:val="24"/>
          <w:szCs w:val="22"/>
          <w:highlight w:val="none"/>
        </w:rPr>
        <w:t>HJ2.4-2021</w:t>
      </w:r>
      <w:r>
        <w:rPr>
          <w:rFonts w:hint="eastAsia"/>
          <w:snapToGrid w:val="0"/>
          <w:color w:val="auto"/>
          <w:kern w:val="0"/>
          <w:sz w:val="24"/>
          <w:szCs w:val="22"/>
          <w:highlight w:val="none"/>
        </w:rPr>
        <w:t>）中规定的声环境影响评价工作等级划分</w:t>
      </w:r>
      <w:r>
        <w:rPr>
          <w:snapToGrid w:val="0"/>
          <w:color w:val="auto"/>
          <w:kern w:val="0"/>
          <w:sz w:val="24"/>
          <w:szCs w:val="22"/>
          <w:highlight w:val="none"/>
        </w:rPr>
        <w:t>5.1.3</w:t>
      </w:r>
      <w:r>
        <w:rPr>
          <w:rFonts w:hint="eastAsia"/>
          <w:snapToGrid w:val="0"/>
          <w:color w:val="auto"/>
          <w:kern w:val="0"/>
          <w:sz w:val="24"/>
          <w:szCs w:val="22"/>
          <w:highlight w:val="none"/>
        </w:rPr>
        <w:t>：建设项目所处的声环境功能区为</w:t>
      </w:r>
      <w:r>
        <w:rPr>
          <w:snapToGrid w:val="0"/>
          <w:color w:val="auto"/>
          <w:kern w:val="0"/>
          <w:sz w:val="24"/>
          <w:szCs w:val="22"/>
          <w:highlight w:val="none"/>
        </w:rPr>
        <w:t>GB3096</w:t>
      </w:r>
      <w:r>
        <w:rPr>
          <w:rFonts w:hint="eastAsia"/>
          <w:snapToGrid w:val="0"/>
          <w:color w:val="auto"/>
          <w:kern w:val="0"/>
          <w:sz w:val="24"/>
          <w:szCs w:val="22"/>
          <w:highlight w:val="none"/>
        </w:rPr>
        <w:t>规定的</w:t>
      </w:r>
      <w:r>
        <w:rPr>
          <w:snapToGrid w:val="0"/>
          <w:color w:val="auto"/>
          <w:kern w:val="0"/>
          <w:sz w:val="24"/>
          <w:szCs w:val="22"/>
          <w:highlight w:val="none"/>
        </w:rPr>
        <w:t>1</w:t>
      </w:r>
      <w:r>
        <w:rPr>
          <w:rFonts w:hint="eastAsia"/>
          <w:snapToGrid w:val="0"/>
          <w:color w:val="auto"/>
          <w:kern w:val="0"/>
          <w:sz w:val="24"/>
          <w:szCs w:val="22"/>
          <w:highlight w:val="none"/>
        </w:rPr>
        <w:t>类、</w:t>
      </w:r>
      <w:r>
        <w:rPr>
          <w:snapToGrid w:val="0"/>
          <w:color w:val="auto"/>
          <w:kern w:val="0"/>
          <w:sz w:val="24"/>
          <w:szCs w:val="22"/>
          <w:highlight w:val="none"/>
        </w:rPr>
        <w:t>2</w:t>
      </w:r>
      <w:r>
        <w:rPr>
          <w:rFonts w:hint="eastAsia"/>
          <w:snapToGrid w:val="0"/>
          <w:color w:val="auto"/>
          <w:kern w:val="0"/>
          <w:sz w:val="24"/>
          <w:szCs w:val="22"/>
          <w:highlight w:val="none"/>
        </w:rPr>
        <w:t>类地区，或建设项目建设前后评价范围内声环境保护目标噪声级增量达</w:t>
      </w:r>
      <w:r>
        <w:rPr>
          <w:snapToGrid w:val="0"/>
          <w:color w:val="auto"/>
          <w:kern w:val="0"/>
          <w:sz w:val="24"/>
          <w:szCs w:val="22"/>
          <w:highlight w:val="none"/>
        </w:rPr>
        <w:t>3dB(A)</w:t>
      </w:r>
      <w:r>
        <w:rPr>
          <w:rFonts w:hint="eastAsia"/>
          <w:snapToGrid w:val="0"/>
          <w:color w:val="auto"/>
          <w:kern w:val="0"/>
          <w:sz w:val="24"/>
          <w:szCs w:val="22"/>
          <w:highlight w:val="none"/>
        </w:rPr>
        <w:t>～</w:t>
      </w:r>
      <w:r>
        <w:rPr>
          <w:snapToGrid w:val="0"/>
          <w:color w:val="auto"/>
          <w:kern w:val="0"/>
          <w:sz w:val="24"/>
          <w:szCs w:val="22"/>
          <w:highlight w:val="none"/>
        </w:rPr>
        <w:t>5dB(A)</w:t>
      </w:r>
      <w:r>
        <w:rPr>
          <w:rFonts w:hint="eastAsia"/>
          <w:snapToGrid w:val="0"/>
          <w:color w:val="auto"/>
          <w:kern w:val="0"/>
          <w:sz w:val="24"/>
          <w:szCs w:val="22"/>
          <w:highlight w:val="none"/>
        </w:rPr>
        <w:t>，或受噪声影响人口数量增加较多时，按二级评价。</w:t>
      </w:r>
    </w:p>
    <w:p w14:paraId="206B599C">
      <w:pPr>
        <w:pStyle w:val="59"/>
        <w:ind w:firstLine="480"/>
        <w:rPr>
          <w:color w:val="auto"/>
          <w:kern w:val="0"/>
          <w:highlight w:val="none"/>
        </w:rPr>
      </w:pPr>
      <w:r>
        <w:rPr>
          <w:rFonts w:hint="eastAsia"/>
          <w:snapToGrid w:val="0"/>
          <w:color w:val="auto"/>
          <w:kern w:val="0"/>
          <w:sz w:val="24"/>
          <w:szCs w:val="22"/>
          <w:highlight w:val="none"/>
        </w:rPr>
        <w:t>本项目</w:t>
      </w:r>
      <w:r>
        <w:rPr>
          <w:rFonts w:hint="eastAsia"/>
          <w:snapToGrid w:val="0"/>
          <w:color w:val="auto"/>
          <w:kern w:val="0"/>
          <w:sz w:val="24"/>
          <w:szCs w:val="22"/>
          <w:highlight w:val="none"/>
          <w:lang w:val="en-US" w:eastAsia="zh-CN"/>
        </w:rPr>
        <w:t>区域未划定声环境功能区，项目周边200米范围内无居民，</w:t>
      </w:r>
      <w:r>
        <w:rPr>
          <w:color w:val="auto"/>
          <w:highlight w:val="none"/>
        </w:rPr>
        <w:t>项目建设前后评价范围内声环境保护目标噪声级增加量未达到</w:t>
      </w:r>
      <w:r>
        <w:rPr>
          <w:rFonts w:hint="eastAsia"/>
          <w:color w:val="auto"/>
          <w:highlight w:val="none"/>
        </w:rPr>
        <w:t>3dB（A）~5dB（A）</w:t>
      </w:r>
      <w:r>
        <w:rPr>
          <w:color w:val="auto"/>
          <w:highlight w:val="none"/>
        </w:rPr>
        <w:t>，受噪声影响的人口数量变化不大，根据《环境影响评价技术导则 声环境》（HJ2.4</w:t>
      </w:r>
      <w:r>
        <w:rPr>
          <w:rFonts w:hint="eastAsia"/>
          <w:color w:val="auto"/>
          <w:highlight w:val="none"/>
        </w:rPr>
        <w:t>-</w:t>
      </w:r>
      <w:r>
        <w:rPr>
          <w:color w:val="auto"/>
          <w:highlight w:val="none"/>
        </w:rPr>
        <w:t>2021），确定本项目声环境评价判定为二级</w:t>
      </w:r>
      <w:r>
        <w:rPr>
          <w:color w:val="auto"/>
          <w:kern w:val="0"/>
          <w:highlight w:val="none"/>
        </w:rPr>
        <w:t>。</w:t>
      </w:r>
    </w:p>
    <w:p w14:paraId="5725ACE3">
      <w:pPr>
        <w:adjustRightInd w:val="0"/>
        <w:snapToGrid w:val="0"/>
        <w:spacing w:line="500" w:lineRule="exact"/>
        <w:jc w:val="center"/>
        <w:rPr>
          <w:rFonts w:eastAsia="黑体"/>
          <w:snapToGrid w:val="0"/>
          <w:color w:val="auto"/>
          <w:kern w:val="0"/>
          <w:sz w:val="24"/>
          <w:szCs w:val="22"/>
          <w:highlight w:val="none"/>
          <w:lang w:val="zh-CN"/>
        </w:rPr>
      </w:pPr>
      <w:r>
        <w:rPr>
          <w:rFonts w:hint="eastAsia" w:eastAsia="黑体"/>
          <w:snapToGrid w:val="0"/>
          <w:color w:val="auto"/>
          <w:kern w:val="0"/>
          <w:sz w:val="24"/>
          <w:szCs w:val="22"/>
          <w:highlight w:val="none"/>
          <w:lang w:val="zh-CN"/>
        </w:rPr>
        <w:t>表</w:t>
      </w:r>
      <w:r>
        <w:rPr>
          <w:rFonts w:eastAsia="黑体"/>
          <w:snapToGrid w:val="0"/>
          <w:color w:val="auto"/>
          <w:kern w:val="0"/>
          <w:sz w:val="24"/>
          <w:szCs w:val="22"/>
          <w:highlight w:val="none"/>
          <w:lang w:val="zh-CN"/>
        </w:rPr>
        <w:t>2-6-8</w:t>
      </w:r>
      <w:r>
        <w:rPr>
          <w:rFonts w:hint="eastAsia" w:eastAsia="黑体"/>
          <w:snapToGrid w:val="0"/>
          <w:color w:val="auto"/>
          <w:kern w:val="0"/>
          <w:sz w:val="24"/>
          <w:szCs w:val="22"/>
          <w:highlight w:val="none"/>
          <w:lang w:val="zh-CN"/>
        </w:rPr>
        <w:t>声环境评价工作等级判断表</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70"/>
        <w:gridCol w:w="3489"/>
        <w:gridCol w:w="2910"/>
        <w:gridCol w:w="1457"/>
      </w:tblGrid>
      <w:tr w14:paraId="140B2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648" w:type="pct"/>
            <w:tcBorders>
              <w:top w:val="single" w:color="auto" w:sz="12" w:space="0"/>
              <w:left w:val="nil"/>
              <w:bottom w:val="single" w:color="auto" w:sz="4" w:space="0"/>
              <w:right w:val="single" w:color="auto" w:sz="4" w:space="0"/>
            </w:tcBorders>
            <w:vAlign w:val="center"/>
          </w:tcPr>
          <w:p w14:paraId="4DFC527C">
            <w:pPr>
              <w:pStyle w:val="84"/>
              <w:rPr>
                <w:rFonts w:ascii="Times New Roman" w:hAnsi="Times New Roman"/>
                <w:color w:val="auto"/>
                <w:highlight w:val="none"/>
              </w:rPr>
            </w:pPr>
            <w:r>
              <w:rPr>
                <w:rFonts w:ascii="Times New Roman" w:hAnsi="Times New Roman"/>
                <w:color w:val="auto"/>
                <w:highlight w:val="none"/>
              </w:rPr>
              <w:t>功能区</w:t>
            </w:r>
          </w:p>
        </w:tc>
        <w:tc>
          <w:tcPr>
            <w:tcW w:w="1933" w:type="pct"/>
            <w:tcBorders>
              <w:top w:val="single" w:color="auto" w:sz="12" w:space="0"/>
              <w:left w:val="single" w:color="auto" w:sz="4" w:space="0"/>
              <w:bottom w:val="single" w:color="auto" w:sz="4" w:space="0"/>
              <w:right w:val="single" w:color="auto" w:sz="4" w:space="0"/>
            </w:tcBorders>
            <w:vAlign w:val="center"/>
          </w:tcPr>
          <w:p w14:paraId="490165AC">
            <w:pPr>
              <w:pStyle w:val="84"/>
              <w:rPr>
                <w:rFonts w:ascii="Times New Roman" w:hAnsi="Times New Roman"/>
                <w:color w:val="auto"/>
                <w:highlight w:val="none"/>
              </w:rPr>
            </w:pPr>
            <w:r>
              <w:rPr>
                <w:rFonts w:ascii="Times New Roman" w:hAnsi="Times New Roman"/>
                <w:color w:val="auto"/>
                <w:highlight w:val="none"/>
              </w:rPr>
              <w:t>建设前后噪声级的增加量</w:t>
            </w:r>
          </w:p>
        </w:tc>
        <w:tc>
          <w:tcPr>
            <w:tcW w:w="1612" w:type="pct"/>
            <w:tcBorders>
              <w:top w:val="single" w:color="auto" w:sz="12" w:space="0"/>
              <w:left w:val="single" w:color="auto" w:sz="4" w:space="0"/>
              <w:bottom w:val="single" w:color="auto" w:sz="4" w:space="0"/>
              <w:right w:val="single" w:color="auto" w:sz="4" w:space="0"/>
            </w:tcBorders>
            <w:vAlign w:val="center"/>
          </w:tcPr>
          <w:p w14:paraId="5D40E1F1">
            <w:pPr>
              <w:pStyle w:val="84"/>
              <w:rPr>
                <w:rFonts w:ascii="Times New Roman" w:hAnsi="Times New Roman"/>
                <w:color w:val="auto"/>
                <w:highlight w:val="none"/>
              </w:rPr>
            </w:pPr>
            <w:r>
              <w:rPr>
                <w:rFonts w:ascii="Times New Roman" w:hAnsi="Times New Roman"/>
                <w:color w:val="auto"/>
                <w:highlight w:val="none"/>
              </w:rPr>
              <w:t>受影响人口变化情况</w:t>
            </w:r>
          </w:p>
        </w:tc>
        <w:tc>
          <w:tcPr>
            <w:tcW w:w="807" w:type="pct"/>
            <w:tcBorders>
              <w:top w:val="single" w:color="auto" w:sz="12" w:space="0"/>
              <w:left w:val="single" w:color="auto" w:sz="4" w:space="0"/>
              <w:bottom w:val="single" w:color="auto" w:sz="4" w:space="0"/>
              <w:right w:val="nil"/>
            </w:tcBorders>
            <w:vAlign w:val="center"/>
          </w:tcPr>
          <w:p w14:paraId="3025622B">
            <w:pPr>
              <w:pStyle w:val="84"/>
              <w:rPr>
                <w:rFonts w:ascii="Times New Roman" w:hAnsi="Times New Roman"/>
                <w:color w:val="auto"/>
                <w:highlight w:val="none"/>
              </w:rPr>
            </w:pPr>
            <w:r>
              <w:rPr>
                <w:rFonts w:ascii="Times New Roman" w:hAnsi="Times New Roman"/>
                <w:color w:val="auto"/>
                <w:highlight w:val="none"/>
              </w:rPr>
              <w:t>判定等级</w:t>
            </w:r>
          </w:p>
        </w:tc>
      </w:tr>
      <w:tr w14:paraId="387E243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648" w:type="pct"/>
            <w:tcBorders>
              <w:top w:val="single" w:color="auto" w:sz="4" w:space="0"/>
              <w:left w:val="nil"/>
              <w:bottom w:val="single" w:color="auto" w:sz="12" w:space="0"/>
              <w:right w:val="single" w:color="auto" w:sz="4" w:space="0"/>
            </w:tcBorders>
            <w:vAlign w:val="center"/>
          </w:tcPr>
          <w:p w14:paraId="4657D603">
            <w:pPr>
              <w:pStyle w:val="84"/>
              <w:rPr>
                <w:rFonts w:ascii="Times New Roman" w:hAnsi="Times New Roman"/>
                <w:color w:val="auto"/>
                <w:highlight w:val="none"/>
              </w:rPr>
            </w:pPr>
            <w:r>
              <w:rPr>
                <w:rFonts w:hint="eastAsia"/>
                <w:color w:val="auto"/>
                <w:highlight w:val="none"/>
                <w:lang w:val="en-US" w:eastAsia="zh-CN"/>
              </w:rPr>
              <w:t>2</w:t>
            </w:r>
            <w:r>
              <w:rPr>
                <w:rFonts w:ascii="Times New Roman" w:hAnsi="Times New Roman"/>
                <w:color w:val="auto"/>
                <w:highlight w:val="none"/>
              </w:rPr>
              <w:t>类</w:t>
            </w:r>
          </w:p>
        </w:tc>
        <w:tc>
          <w:tcPr>
            <w:tcW w:w="1933" w:type="pct"/>
            <w:tcBorders>
              <w:top w:val="single" w:color="auto" w:sz="4" w:space="0"/>
              <w:left w:val="single" w:color="auto" w:sz="4" w:space="0"/>
              <w:bottom w:val="single" w:color="auto" w:sz="12" w:space="0"/>
              <w:right w:val="single" w:color="auto" w:sz="4" w:space="0"/>
            </w:tcBorders>
            <w:vAlign w:val="center"/>
          </w:tcPr>
          <w:p w14:paraId="784B2170">
            <w:pPr>
              <w:pStyle w:val="84"/>
              <w:rPr>
                <w:rFonts w:ascii="Times New Roman" w:hAnsi="Times New Roman"/>
                <w:color w:val="auto"/>
                <w:highlight w:val="none"/>
              </w:rPr>
            </w:pPr>
            <w:r>
              <w:rPr>
                <w:rFonts w:ascii="Times New Roman" w:hAnsi="Times New Roman"/>
                <w:color w:val="auto"/>
                <w:highlight w:val="none"/>
              </w:rPr>
              <w:t>＜3dB（A）</w:t>
            </w:r>
          </w:p>
        </w:tc>
        <w:tc>
          <w:tcPr>
            <w:tcW w:w="1612" w:type="pct"/>
            <w:tcBorders>
              <w:top w:val="single" w:color="auto" w:sz="4" w:space="0"/>
              <w:left w:val="single" w:color="auto" w:sz="4" w:space="0"/>
              <w:bottom w:val="single" w:color="auto" w:sz="12" w:space="0"/>
              <w:right w:val="single" w:color="auto" w:sz="4" w:space="0"/>
            </w:tcBorders>
            <w:vAlign w:val="center"/>
          </w:tcPr>
          <w:p w14:paraId="5054929A">
            <w:pPr>
              <w:pStyle w:val="84"/>
              <w:rPr>
                <w:rFonts w:ascii="Times New Roman" w:hAnsi="Times New Roman"/>
                <w:color w:val="auto"/>
                <w:highlight w:val="none"/>
              </w:rPr>
            </w:pPr>
            <w:r>
              <w:rPr>
                <w:rFonts w:ascii="Times New Roman" w:hAnsi="Times New Roman"/>
                <w:color w:val="auto"/>
                <w:highlight w:val="none"/>
              </w:rPr>
              <w:t>不明显</w:t>
            </w:r>
          </w:p>
        </w:tc>
        <w:tc>
          <w:tcPr>
            <w:tcW w:w="807" w:type="pct"/>
            <w:tcBorders>
              <w:top w:val="single" w:color="auto" w:sz="4" w:space="0"/>
              <w:left w:val="single" w:color="auto" w:sz="4" w:space="0"/>
              <w:bottom w:val="single" w:color="auto" w:sz="12" w:space="0"/>
              <w:right w:val="nil"/>
            </w:tcBorders>
            <w:vAlign w:val="center"/>
          </w:tcPr>
          <w:p w14:paraId="034DD5FA">
            <w:pPr>
              <w:pStyle w:val="84"/>
              <w:rPr>
                <w:rFonts w:ascii="Times New Roman" w:hAnsi="Times New Roman"/>
                <w:color w:val="auto"/>
                <w:highlight w:val="none"/>
              </w:rPr>
            </w:pPr>
            <w:r>
              <w:rPr>
                <w:rFonts w:ascii="Times New Roman" w:hAnsi="Times New Roman"/>
                <w:color w:val="auto"/>
                <w:highlight w:val="none"/>
              </w:rPr>
              <w:t>二级</w:t>
            </w:r>
          </w:p>
        </w:tc>
      </w:tr>
    </w:tbl>
    <w:p w14:paraId="3C41FBE6">
      <w:pPr>
        <w:pStyle w:val="137"/>
        <w:rPr>
          <w:color w:val="auto"/>
        </w:rPr>
      </w:pPr>
      <w:r>
        <w:rPr>
          <w:color w:val="auto"/>
        </w:rPr>
        <w:t>2.6.5生态环境评价工作等级</w:t>
      </w:r>
    </w:p>
    <w:p w14:paraId="3F86E64A">
      <w:pPr>
        <w:spacing w:line="500" w:lineRule="exact"/>
        <w:ind w:firstLine="480" w:firstLineChars="200"/>
        <w:rPr>
          <w:snapToGrid w:val="0"/>
          <w:color w:val="auto"/>
          <w:sz w:val="24"/>
          <w:szCs w:val="22"/>
        </w:rPr>
      </w:pPr>
      <w:r>
        <w:rPr>
          <w:rFonts w:hint="eastAsia"/>
          <w:snapToGrid w:val="0"/>
          <w:color w:val="auto"/>
          <w:sz w:val="24"/>
          <w:szCs w:val="22"/>
        </w:rPr>
        <w:t>根据《环境影响评价技术导则</w:t>
      </w:r>
      <w:r>
        <w:rPr>
          <w:snapToGrid w:val="0"/>
          <w:color w:val="auto"/>
          <w:sz w:val="24"/>
          <w:szCs w:val="22"/>
        </w:rPr>
        <w:t xml:space="preserve"> </w:t>
      </w:r>
      <w:r>
        <w:rPr>
          <w:rFonts w:hint="eastAsia"/>
          <w:snapToGrid w:val="0"/>
          <w:color w:val="auto"/>
          <w:sz w:val="24"/>
          <w:szCs w:val="22"/>
        </w:rPr>
        <w:t>生态影响》（</w:t>
      </w:r>
      <w:r>
        <w:rPr>
          <w:snapToGrid w:val="0"/>
          <w:color w:val="auto"/>
          <w:sz w:val="24"/>
          <w:szCs w:val="22"/>
        </w:rPr>
        <w:t>HJ19-2022</w:t>
      </w:r>
      <w:r>
        <w:rPr>
          <w:rFonts w:hint="eastAsia"/>
          <w:snapToGrid w:val="0"/>
          <w:color w:val="auto"/>
          <w:sz w:val="24"/>
          <w:szCs w:val="22"/>
        </w:rPr>
        <w:t>）规定，按以下原则确定评价等级：</w:t>
      </w:r>
    </w:p>
    <w:p w14:paraId="377FB9EA">
      <w:pPr>
        <w:spacing w:line="500" w:lineRule="exact"/>
        <w:ind w:firstLine="480" w:firstLineChars="200"/>
        <w:rPr>
          <w:snapToGrid w:val="0"/>
          <w:color w:val="auto"/>
          <w:sz w:val="24"/>
          <w:szCs w:val="22"/>
        </w:rPr>
      </w:pPr>
      <w:r>
        <w:rPr>
          <w:snapToGrid w:val="0"/>
          <w:color w:val="auto"/>
          <w:sz w:val="24"/>
          <w:szCs w:val="22"/>
        </w:rPr>
        <w:t>a)</w:t>
      </w:r>
      <w:r>
        <w:rPr>
          <w:rFonts w:hint="eastAsia"/>
          <w:snapToGrid w:val="0"/>
          <w:color w:val="auto"/>
          <w:sz w:val="24"/>
          <w:szCs w:val="22"/>
        </w:rPr>
        <w:t>涉及国家公园、自然保护区、世界自然遗产、重要生境时，评价等级为一级；</w:t>
      </w:r>
    </w:p>
    <w:p w14:paraId="6621DD52">
      <w:pPr>
        <w:spacing w:line="500" w:lineRule="exact"/>
        <w:ind w:firstLine="480" w:firstLineChars="200"/>
        <w:rPr>
          <w:snapToGrid w:val="0"/>
          <w:color w:val="auto"/>
          <w:sz w:val="24"/>
          <w:szCs w:val="22"/>
        </w:rPr>
      </w:pPr>
      <w:r>
        <w:rPr>
          <w:snapToGrid w:val="0"/>
          <w:color w:val="auto"/>
          <w:sz w:val="24"/>
          <w:szCs w:val="22"/>
        </w:rPr>
        <w:t>b)</w:t>
      </w:r>
      <w:r>
        <w:rPr>
          <w:rFonts w:hint="eastAsia"/>
          <w:snapToGrid w:val="0"/>
          <w:color w:val="auto"/>
          <w:sz w:val="24"/>
          <w:szCs w:val="22"/>
        </w:rPr>
        <w:t>涉及自然公园时，评价等级为二级；</w:t>
      </w:r>
    </w:p>
    <w:p w14:paraId="398BD79E">
      <w:pPr>
        <w:spacing w:line="500" w:lineRule="exact"/>
        <w:ind w:firstLine="480" w:firstLineChars="200"/>
        <w:rPr>
          <w:snapToGrid w:val="0"/>
          <w:color w:val="auto"/>
          <w:sz w:val="24"/>
          <w:szCs w:val="22"/>
        </w:rPr>
      </w:pPr>
      <w:r>
        <w:rPr>
          <w:snapToGrid w:val="0"/>
          <w:color w:val="auto"/>
          <w:sz w:val="24"/>
          <w:szCs w:val="22"/>
        </w:rPr>
        <w:t>c)</w:t>
      </w:r>
      <w:r>
        <w:rPr>
          <w:rFonts w:hint="eastAsia"/>
          <w:snapToGrid w:val="0"/>
          <w:color w:val="auto"/>
          <w:sz w:val="24"/>
          <w:szCs w:val="22"/>
        </w:rPr>
        <w:t>涉及生态保护红线时，评价等级不低于二级；</w:t>
      </w:r>
    </w:p>
    <w:p w14:paraId="5FF434BA">
      <w:pPr>
        <w:spacing w:line="500" w:lineRule="exact"/>
        <w:ind w:firstLine="480" w:firstLineChars="200"/>
        <w:rPr>
          <w:snapToGrid w:val="0"/>
          <w:color w:val="auto"/>
          <w:sz w:val="24"/>
          <w:szCs w:val="22"/>
        </w:rPr>
      </w:pPr>
      <w:r>
        <w:rPr>
          <w:snapToGrid w:val="0"/>
          <w:color w:val="auto"/>
          <w:sz w:val="24"/>
          <w:szCs w:val="22"/>
        </w:rPr>
        <w:t>d)</w:t>
      </w:r>
      <w:r>
        <w:rPr>
          <w:rFonts w:hint="eastAsia"/>
          <w:snapToGrid w:val="0"/>
          <w:color w:val="auto"/>
          <w:sz w:val="24"/>
          <w:szCs w:val="22"/>
        </w:rPr>
        <w:t>根据</w:t>
      </w:r>
      <w:r>
        <w:rPr>
          <w:snapToGrid w:val="0"/>
          <w:color w:val="auto"/>
          <w:sz w:val="24"/>
          <w:szCs w:val="22"/>
        </w:rPr>
        <w:t>HJ2.3</w:t>
      </w:r>
      <w:r>
        <w:rPr>
          <w:rFonts w:hint="eastAsia"/>
          <w:snapToGrid w:val="0"/>
          <w:color w:val="auto"/>
          <w:sz w:val="24"/>
          <w:szCs w:val="22"/>
        </w:rPr>
        <w:t>判断属于水文要素影响型且地表水评价等级不低于二级的建设项目，生态影响评价等级不低于二级；</w:t>
      </w:r>
    </w:p>
    <w:p w14:paraId="070C6E94">
      <w:pPr>
        <w:spacing w:line="500" w:lineRule="exact"/>
        <w:ind w:firstLine="480" w:firstLineChars="200"/>
        <w:rPr>
          <w:snapToGrid w:val="0"/>
          <w:color w:val="auto"/>
          <w:sz w:val="24"/>
          <w:szCs w:val="22"/>
        </w:rPr>
      </w:pPr>
      <w:r>
        <w:rPr>
          <w:snapToGrid w:val="0"/>
          <w:color w:val="auto"/>
          <w:sz w:val="24"/>
          <w:szCs w:val="22"/>
        </w:rPr>
        <w:t>e)</w:t>
      </w:r>
      <w:r>
        <w:rPr>
          <w:rFonts w:hint="eastAsia"/>
          <w:snapToGrid w:val="0"/>
          <w:color w:val="auto"/>
          <w:sz w:val="24"/>
          <w:szCs w:val="22"/>
        </w:rPr>
        <w:t>根据</w:t>
      </w:r>
      <w:r>
        <w:rPr>
          <w:snapToGrid w:val="0"/>
          <w:color w:val="auto"/>
          <w:sz w:val="24"/>
          <w:szCs w:val="22"/>
        </w:rPr>
        <w:t>HJ610</w:t>
      </w:r>
      <w:r>
        <w:rPr>
          <w:rFonts w:hint="eastAsia"/>
          <w:snapToGrid w:val="0"/>
          <w:color w:val="auto"/>
          <w:sz w:val="24"/>
          <w:szCs w:val="22"/>
        </w:rPr>
        <w:t>、</w:t>
      </w:r>
      <w:r>
        <w:rPr>
          <w:snapToGrid w:val="0"/>
          <w:color w:val="auto"/>
          <w:sz w:val="24"/>
          <w:szCs w:val="22"/>
        </w:rPr>
        <w:t>HJ964</w:t>
      </w:r>
      <w:r>
        <w:rPr>
          <w:rFonts w:hint="eastAsia"/>
          <w:snapToGrid w:val="0"/>
          <w:color w:val="auto"/>
          <w:sz w:val="24"/>
          <w:szCs w:val="22"/>
        </w:rPr>
        <w:t>判断地下水水位或土壤影响范围内分布有天然林、公益林、湿地等生态保护目标的建设项目，生态影响评价等级不低于二级；</w:t>
      </w:r>
    </w:p>
    <w:p w14:paraId="1F1F5F4A">
      <w:pPr>
        <w:spacing w:line="500" w:lineRule="exact"/>
        <w:ind w:firstLine="480" w:firstLineChars="200"/>
        <w:rPr>
          <w:snapToGrid w:val="0"/>
          <w:color w:val="auto"/>
          <w:sz w:val="24"/>
          <w:szCs w:val="22"/>
        </w:rPr>
      </w:pPr>
      <w:r>
        <w:rPr>
          <w:snapToGrid w:val="0"/>
          <w:color w:val="auto"/>
          <w:sz w:val="24"/>
          <w:szCs w:val="22"/>
        </w:rPr>
        <w:t>f)</w:t>
      </w:r>
      <w:r>
        <w:rPr>
          <w:rFonts w:hint="eastAsia"/>
          <w:snapToGrid w:val="0"/>
          <w:color w:val="auto"/>
          <w:sz w:val="24"/>
          <w:szCs w:val="22"/>
        </w:rPr>
        <w:t>当工程占地规模大于</w:t>
      </w:r>
      <w:r>
        <w:rPr>
          <w:snapToGrid w:val="0"/>
          <w:color w:val="auto"/>
          <w:sz w:val="24"/>
          <w:szCs w:val="22"/>
        </w:rPr>
        <w:t>20km</w:t>
      </w:r>
      <w:r>
        <w:rPr>
          <w:snapToGrid w:val="0"/>
          <w:color w:val="auto"/>
          <w:sz w:val="24"/>
          <w:szCs w:val="22"/>
          <w:vertAlign w:val="superscript"/>
        </w:rPr>
        <w:t>2</w:t>
      </w:r>
      <w:r>
        <w:rPr>
          <w:rFonts w:hint="eastAsia"/>
          <w:snapToGrid w:val="0"/>
          <w:color w:val="auto"/>
          <w:sz w:val="24"/>
          <w:szCs w:val="22"/>
        </w:rPr>
        <w:t>时（包括永久和临时占用陆域和水域），评价等级不低于二级；改扩建项目的占地范围以新增占地（包括陆域和水域）确定；</w:t>
      </w:r>
    </w:p>
    <w:p w14:paraId="5A2A74E4">
      <w:pPr>
        <w:spacing w:line="500" w:lineRule="exact"/>
        <w:ind w:firstLine="480" w:firstLineChars="200"/>
        <w:rPr>
          <w:snapToGrid w:val="0"/>
          <w:color w:val="auto"/>
          <w:sz w:val="24"/>
          <w:szCs w:val="22"/>
        </w:rPr>
      </w:pPr>
      <w:r>
        <w:rPr>
          <w:snapToGrid w:val="0"/>
          <w:color w:val="auto"/>
          <w:sz w:val="24"/>
          <w:szCs w:val="22"/>
        </w:rPr>
        <w:t>g</w:t>
      </w:r>
      <w:r>
        <w:rPr>
          <w:rFonts w:hint="eastAsia"/>
          <w:snapToGrid w:val="0"/>
          <w:color w:val="auto"/>
          <w:sz w:val="24"/>
          <w:szCs w:val="22"/>
        </w:rPr>
        <w:t>）除本条</w:t>
      </w:r>
      <w:r>
        <w:rPr>
          <w:snapToGrid w:val="0"/>
          <w:color w:val="auto"/>
          <w:sz w:val="24"/>
          <w:szCs w:val="22"/>
        </w:rPr>
        <w:t>a</w:t>
      </w:r>
      <w:r>
        <w:rPr>
          <w:rFonts w:hint="eastAsia"/>
          <w:snapToGrid w:val="0"/>
          <w:color w:val="auto"/>
          <w:sz w:val="24"/>
          <w:szCs w:val="22"/>
        </w:rPr>
        <w:t>）、</w:t>
      </w:r>
      <w:r>
        <w:rPr>
          <w:snapToGrid w:val="0"/>
          <w:color w:val="auto"/>
          <w:sz w:val="24"/>
          <w:szCs w:val="22"/>
        </w:rPr>
        <w:t>b</w:t>
      </w:r>
      <w:r>
        <w:rPr>
          <w:rFonts w:hint="eastAsia"/>
          <w:snapToGrid w:val="0"/>
          <w:color w:val="auto"/>
          <w:sz w:val="24"/>
          <w:szCs w:val="22"/>
        </w:rPr>
        <w:t>）、</w:t>
      </w:r>
      <w:r>
        <w:rPr>
          <w:snapToGrid w:val="0"/>
          <w:color w:val="auto"/>
          <w:sz w:val="24"/>
          <w:szCs w:val="22"/>
        </w:rPr>
        <w:t>c</w:t>
      </w:r>
      <w:r>
        <w:rPr>
          <w:rFonts w:hint="eastAsia"/>
          <w:snapToGrid w:val="0"/>
          <w:color w:val="auto"/>
          <w:sz w:val="24"/>
          <w:szCs w:val="22"/>
        </w:rPr>
        <w:t>）、</w:t>
      </w:r>
      <w:r>
        <w:rPr>
          <w:snapToGrid w:val="0"/>
          <w:color w:val="auto"/>
          <w:sz w:val="24"/>
          <w:szCs w:val="22"/>
        </w:rPr>
        <w:t>d</w:t>
      </w:r>
      <w:r>
        <w:rPr>
          <w:rFonts w:hint="eastAsia"/>
          <w:snapToGrid w:val="0"/>
          <w:color w:val="auto"/>
          <w:sz w:val="24"/>
          <w:szCs w:val="22"/>
        </w:rPr>
        <w:t>）、</w:t>
      </w:r>
      <w:r>
        <w:rPr>
          <w:snapToGrid w:val="0"/>
          <w:color w:val="auto"/>
          <w:sz w:val="24"/>
          <w:szCs w:val="22"/>
        </w:rPr>
        <w:t>e</w:t>
      </w:r>
      <w:r>
        <w:rPr>
          <w:rFonts w:hint="eastAsia"/>
          <w:snapToGrid w:val="0"/>
          <w:color w:val="auto"/>
          <w:sz w:val="24"/>
          <w:szCs w:val="22"/>
        </w:rPr>
        <w:t>）、</w:t>
      </w:r>
      <w:r>
        <w:rPr>
          <w:snapToGrid w:val="0"/>
          <w:color w:val="auto"/>
          <w:sz w:val="24"/>
          <w:szCs w:val="22"/>
        </w:rPr>
        <w:t>f</w:t>
      </w:r>
      <w:r>
        <w:rPr>
          <w:rFonts w:hint="eastAsia"/>
          <w:snapToGrid w:val="0"/>
          <w:color w:val="auto"/>
          <w:sz w:val="24"/>
          <w:szCs w:val="22"/>
        </w:rPr>
        <w:t>）以外的情况，评价等级为三级；</w:t>
      </w:r>
    </w:p>
    <w:p w14:paraId="5AFE9ED0">
      <w:pPr>
        <w:spacing w:line="500" w:lineRule="exact"/>
        <w:ind w:firstLine="480" w:firstLineChars="200"/>
        <w:rPr>
          <w:snapToGrid w:val="0"/>
          <w:color w:val="auto"/>
          <w:sz w:val="24"/>
          <w:szCs w:val="22"/>
        </w:rPr>
      </w:pPr>
      <w:r>
        <w:rPr>
          <w:snapToGrid w:val="0"/>
          <w:color w:val="auto"/>
          <w:sz w:val="24"/>
          <w:szCs w:val="22"/>
        </w:rPr>
        <w:t>h</w:t>
      </w:r>
      <w:r>
        <w:rPr>
          <w:rFonts w:hint="eastAsia"/>
          <w:snapToGrid w:val="0"/>
          <w:color w:val="auto"/>
          <w:sz w:val="24"/>
          <w:szCs w:val="22"/>
        </w:rPr>
        <w:t>）当评价等级判定同时符合上述多种情况时，应采用其中最高的评价等级。</w:t>
      </w:r>
    </w:p>
    <w:p w14:paraId="7759662F">
      <w:pPr>
        <w:spacing w:line="500" w:lineRule="exact"/>
        <w:ind w:firstLine="480" w:firstLineChars="200"/>
        <w:rPr>
          <w:snapToGrid w:val="0"/>
          <w:color w:val="auto"/>
          <w:sz w:val="24"/>
          <w:szCs w:val="22"/>
        </w:rPr>
      </w:pPr>
      <w:r>
        <w:rPr>
          <w:rFonts w:hint="eastAsia"/>
          <w:snapToGrid w:val="0"/>
          <w:color w:val="auto"/>
          <w:sz w:val="24"/>
          <w:szCs w:val="22"/>
        </w:rPr>
        <w:t>符合生态环境分区管控要求且位于原厂界（或永久用地）范围内的污染影响类改扩建项目，位于已批准规划环评的产业园区内且符合规划环评要求、不涉及生态敏感区的污染影响类建设项目，可不确定评价等级，直接进行生态影响简单分析。</w:t>
      </w:r>
    </w:p>
    <w:p w14:paraId="2813A671">
      <w:pPr>
        <w:pStyle w:val="59"/>
        <w:ind w:firstLine="480"/>
        <w:rPr>
          <w:snapToGrid w:val="0"/>
          <w:color w:val="auto"/>
          <w:kern w:val="0"/>
          <w:highlight w:val="none"/>
        </w:rPr>
      </w:pPr>
      <w:r>
        <w:rPr>
          <w:rFonts w:hint="eastAsia"/>
          <w:color w:val="auto"/>
          <w:highlight w:val="none"/>
        </w:rPr>
        <w:t>本项目不涉及国家公园、自然保护区、世界自然遗产、重要生境、自然公园、生态保护红线，土壤影响范围内无天然林、公益林、湿地等生态保护目标。本项目</w:t>
      </w:r>
      <w:r>
        <w:rPr>
          <w:color w:val="auto"/>
          <w:highlight w:val="none"/>
        </w:rPr>
        <w:t>总占地面积为</w:t>
      </w:r>
      <w:r>
        <w:rPr>
          <w:rFonts w:hint="eastAsia"/>
          <w:color w:val="auto"/>
          <w:highlight w:val="none"/>
          <w:lang w:val="en-US" w:eastAsia="zh-CN"/>
        </w:rPr>
        <w:t>78594</w:t>
      </w:r>
      <w:r>
        <w:rPr>
          <w:color w:val="auto"/>
          <w:highlight w:val="none"/>
        </w:rPr>
        <w:t>m</w:t>
      </w:r>
      <w:r>
        <w:rPr>
          <w:color w:val="auto"/>
          <w:highlight w:val="none"/>
          <w:vertAlign w:val="superscript"/>
        </w:rPr>
        <w:t>2</w:t>
      </w:r>
      <w:r>
        <w:rPr>
          <w:color w:val="auto"/>
          <w:highlight w:val="none"/>
        </w:rPr>
        <w:t>，小于</w:t>
      </w:r>
      <w:r>
        <w:rPr>
          <w:rFonts w:hint="eastAsia"/>
          <w:color w:val="auto"/>
          <w:highlight w:val="none"/>
        </w:rPr>
        <w:t>20k</w:t>
      </w:r>
      <w:r>
        <w:rPr>
          <w:color w:val="auto"/>
          <w:highlight w:val="none"/>
        </w:rPr>
        <w:t>m</w:t>
      </w:r>
      <w:r>
        <w:rPr>
          <w:color w:val="auto"/>
          <w:highlight w:val="none"/>
          <w:vertAlign w:val="superscript"/>
        </w:rPr>
        <w:t>2</w:t>
      </w:r>
      <w:r>
        <w:rPr>
          <w:color w:val="auto"/>
          <w:highlight w:val="none"/>
        </w:rPr>
        <w:t>。根据《环境影响评价技术导则 生态影响</w:t>
      </w:r>
      <w:r>
        <w:rPr>
          <w:color w:val="auto"/>
          <w:highlight w:val="none"/>
          <w:lang w:bidi="en-US"/>
        </w:rPr>
        <w:t>（HJ19-2022）》，</w:t>
      </w:r>
      <w:r>
        <w:rPr>
          <w:color w:val="auto"/>
          <w:highlight w:val="none"/>
        </w:rPr>
        <w:t>确定本项目生态影响评价等级为三级</w:t>
      </w:r>
      <w:r>
        <w:rPr>
          <w:snapToGrid w:val="0"/>
          <w:color w:val="auto"/>
          <w:kern w:val="0"/>
          <w:highlight w:val="none"/>
        </w:rPr>
        <w:t>。</w:t>
      </w:r>
    </w:p>
    <w:p w14:paraId="2D333A8E">
      <w:pPr>
        <w:pStyle w:val="76"/>
        <w:rPr>
          <w:color w:val="auto"/>
        </w:rPr>
      </w:pPr>
      <w:r>
        <w:rPr>
          <w:color w:val="auto"/>
        </w:rPr>
        <w:t>表2-</w:t>
      </w:r>
      <w:r>
        <w:rPr>
          <w:rFonts w:hint="eastAsia"/>
          <w:color w:val="auto"/>
        </w:rPr>
        <w:t>6</w:t>
      </w:r>
      <w:r>
        <w:rPr>
          <w:color w:val="auto"/>
        </w:rPr>
        <w:t>-9生态影响评价工作级别划分判据表</w:t>
      </w:r>
    </w:p>
    <w:tbl>
      <w:tblPr>
        <w:tblStyle w:val="46"/>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00"/>
        <w:gridCol w:w="4503"/>
        <w:gridCol w:w="3814"/>
      </w:tblGrid>
      <w:tr w14:paraId="0C704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26A797C6">
            <w:pPr>
              <w:adjustRightInd w:val="0"/>
              <w:snapToGrid w:val="0"/>
              <w:jc w:val="center"/>
              <w:rPr>
                <w:color w:val="auto"/>
                <w:kern w:val="0"/>
                <w:lang w:bidi="ar"/>
              </w:rPr>
            </w:pPr>
            <w:r>
              <w:rPr>
                <w:color w:val="auto"/>
                <w:kern w:val="0"/>
                <w:lang w:bidi="ar"/>
              </w:rPr>
              <w:t>序号</w:t>
            </w:r>
          </w:p>
        </w:tc>
        <w:tc>
          <w:tcPr>
            <w:tcW w:w="2496" w:type="pct"/>
            <w:tcBorders>
              <w:tl2br w:val="nil"/>
              <w:tr2bl w:val="nil"/>
            </w:tcBorders>
            <w:vAlign w:val="center"/>
          </w:tcPr>
          <w:p w14:paraId="6B55EB40">
            <w:pPr>
              <w:adjustRightInd w:val="0"/>
              <w:snapToGrid w:val="0"/>
              <w:jc w:val="center"/>
              <w:rPr>
                <w:color w:val="auto"/>
                <w:kern w:val="0"/>
                <w:lang w:bidi="ar"/>
              </w:rPr>
            </w:pPr>
            <w:r>
              <w:rPr>
                <w:color w:val="auto"/>
                <w:kern w:val="0"/>
                <w:lang w:bidi="ar"/>
              </w:rPr>
              <w:t>评价等级判定要求</w:t>
            </w:r>
          </w:p>
        </w:tc>
        <w:tc>
          <w:tcPr>
            <w:tcW w:w="2114" w:type="pct"/>
            <w:tcBorders>
              <w:tl2br w:val="nil"/>
              <w:tr2bl w:val="nil"/>
            </w:tcBorders>
            <w:vAlign w:val="center"/>
          </w:tcPr>
          <w:p w14:paraId="25EA4249">
            <w:pPr>
              <w:adjustRightInd w:val="0"/>
              <w:snapToGrid w:val="0"/>
              <w:jc w:val="center"/>
              <w:rPr>
                <w:color w:val="auto"/>
                <w:kern w:val="0"/>
                <w:lang w:bidi="ar"/>
              </w:rPr>
            </w:pPr>
            <w:r>
              <w:rPr>
                <w:color w:val="auto"/>
                <w:kern w:val="0"/>
                <w:lang w:bidi="ar"/>
              </w:rPr>
              <w:t>本项目情况</w:t>
            </w:r>
          </w:p>
        </w:tc>
      </w:tr>
      <w:tr w14:paraId="0052B6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1D2EC361">
            <w:pPr>
              <w:adjustRightInd w:val="0"/>
              <w:snapToGrid w:val="0"/>
              <w:jc w:val="center"/>
              <w:rPr>
                <w:color w:val="auto"/>
                <w:kern w:val="0"/>
                <w:lang w:bidi="ar"/>
              </w:rPr>
            </w:pPr>
            <w:r>
              <w:rPr>
                <w:color w:val="auto"/>
                <w:kern w:val="0"/>
                <w:lang w:bidi="ar"/>
              </w:rPr>
              <w:t>a</w:t>
            </w:r>
          </w:p>
        </w:tc>
        <w:tc>
          <w:tcPr>
            <w:tcW w:w="2496" w:type="pct"/>
            <w:tcBorders>
              <w:tl2br w:val="nil"/>
              <w:tr2bl w:val="nil"/>
            </w:tcBorders>
            <w:vAlign w:val="center"/>
          </w:tcPr>
          <w:p w14:paraId="75695989">
            <w:pPr>
              <w:adjustRightInd w:val="0"/>
              <w:snapToGrid w:val="0"/>
              <w:ind w:firstLine="420" w:firstLineChars="200"/>
              <w:rPr>
                <w:color w:val="auto"/>
                <w:kern w:val="0"/>
                <w:lang w:bidi="ar"/>
              </w:rPr>
            </w:pPr>
            <w:r>
              <w:rPr>
                <w:color w:val="auto"/>
                <w:kern w:val="0"/>
                <w:lang w:bidi="ar"/>
              </w:rPr>
              <w:t>涉及国家公园、自然保护区、世界自然遗产、重要生境时，评价等级为一级</w:t>
            </w:r>
            <w:r>
              <w:rPr>
                <w:rFonts w:hint="eastAsia"/>
                <w:color w:val="auto"/>
                <w:kern w:val="0"/>
                <w:lang w:bidi="ar"/>
              </w:rPr>
              <w:t>；</w:t>
            </w:r>
          </w:p>
        </w:tc>
        <w:tc>
          <w:tcPr>
            <w:tcW w:w="2114" w:type="pct"/>
            <w:tcBorders>
              <w:tl2br w:val="nil"/>
              <w:tr2bl w:val="nil"/>
            </w:tcBorders>
            <w:vAlign w:val="center"/>
          </w:tcPr>
          <w:p w14:paraId="270F7340">
            <w:pPr>
              <w:adjustRightInd w:val="0"/>
              <w:snapToGrid w:val="0"/>
              <w:ind w:firstLine="420" w:firstLineChars="200"/>
              <w:rPr>
                <w:color w:val="auto"/>
                <w:kern w:val="0"/>
                <w:lang w:bidi="ar"/>
              </w:rPr>
            </w:pPr>
            <w:r>
              <w:rPr>
                <w:color w:val="auto"/>
                <w:kern w:val="0"/>
                <w:lang w:bidi="ar"/>
              </w:rPr>
              <w:t>本项目不涉及国家公园、自然保护区、世界自然遗产、重要生境</w:t>
            </w:r>
          </w:p>
        </w:tc>
      </w:tr>
      <w:tr w14:paraId="7297AA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23E2467D">
            <w:pPr>
              <w:adjustRightInd w:val="0"/>
              <w:snapToGrid w:val="0"/>
              <w:jc w:val="center"/>
              <w:rPr>
                <w:color w:val="auto"/>
                <w:kern w:val="0"/>
                <w:lang w:bidi="ar"/>
              </w:rPr>
            </w:pPr>
            <w:r>
              <w:rPr>
                <w:color w:val="auto"/>
                <w:kern w:val="0"/>
                <w:lang w:bidi="ar"/>
              </w:rPr>
              <w:t>b</w:t>
            </w:r>
          </w:p>
        </w:tc>
        <w:tc>
          <w:tcPr>
            <w:tcW w:w="2496" w:type="pct"/>
            <w:tcBorders>
              <w:tl2br w:val="nil"/>
              <w:tr2bl w:val="nil"/>
            </w:tcBorders>
            <w:vAlign w:val="center"/>
          </w:tcPr>
          <w:p w14:paraId="7BDA5C05">
            <w:pPr>
              <w:adjustRightInd w:val="0"/>
              <w:snapToGrid w:val="0"/>
              <w:ind w:firstLine="420" w:firstLineChars="200"/>
              <w:rPr>
                <w:color w:val="auto"/>
                <w:kern w:val="0"/>
                <w:lang w:bidi="ar"/>
              </w:rPr>
            </w:pPr>
            <w:r>
              <w:rPr>
                <w:color w:val="auto"/>
                <w:kern w:val="0"/>
                <w:lang w:bidi="ar"/>
              </w:rPr>
              <w:t>涉及自然公园时，评价等级为二级</w:t>
            </w:r>
            <w:r>
              <w:rPr>
                <w:rFonts w:hint="eastAsia"/>
                <w:color w:val="auto"/>
                <w:kern w:val="0"/>
                <w:lang w:bidi="ar"/>
              </w:rPr>
              <w:t>；</w:t>
            </w:r>
          </w:p>
        </w:tc>
        <w:tc>
          <w:tcPr>
            <w:tcW w:w="2114" w:type="pct"/>
            <w:tcBorders>
              <w:tl2br w:val="nil"/>
              <w:tr2bl w:val="nil"/>
            </w:tcBorders>
            <w:vAlign w:val="center"/>
          </w:tcPr>
          <w:p w14:paraId="43322AF6">
            <w:pPr>
              <w:adjustRightInd w:val="0"/>
              <w:snapToGrid w:val="0"/>
              <w:ind w:firstLine="420" w:firstLineChars="200"/>
              <w:rPr>
                <w:color w:val="auto"/>
                <w:kern w:val="0"/>
                <w:lang w:bidi="ar"/>
              </w:rPr>
            </w:pPr>
            <w:r>
              <w:rPr>
                <w:color w:val="auto"/>
                <w:kern w:val="0"/>
                <w:lang w:bidi="ar"/>
              </w:rPr>
              <w:t>本项目不涉及自然公园</w:t>
            </w:r>
          </w:p>
        </w:tc>
      </w:tr>
      <w:tr w14:paraId="41B0FF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15ECB937">
            <w:pPr>
              <w:adjustRightInd w:val="0"/>
              <w:snapToGrid w:val="0"/>
              <w:jc w:val="center"/>
              <w:rPr>
                <w:color w:val="auto"/>
                <w:kern w:val="0"/>
                <w:lang w:bidi="ar"/>
              </w:rPr>
            </w:pPr>
            <w:r>
              <w:rPr>
                <w:color w:val="auto"/>
                <w:kern w:val="0"/>
                <w:lang w:bidi="ar"/>
              </w:rPr>
              <w:t>c</w:t>
            </w:r>
          </w:p>
        </w:tc>
        <w:tc>
          <w:tcPr>
            <w:tcW w:w="2496" w:type="pct"/>
            <w:tcBorders>
              <w:tl2br w:val="nil"/>
              <w:tr2bl w:val="nil"/>
            </w:tcBorders>
            <w:vAlign w:val="center"/>
          </w:tcPr>
          <w:p w14:paraId="5B9AD0BA">
            <w:pPr>
              <w:adjustRightInd w:val="0"/>
              <w:snapToGrid w:val="0"/>
              <w:ind w:firstLine="420" w:firstLineChars="200"/>
              <w:rPr>
                <w:color w:val="auto"/>
                <w:kern w:val="0"/>
                <w:lang w:bidi="ar"/>
              </w:rPr>
            </w:pPr>
            <w:r>
              <w:rPr>
                <w:color w:val="auto"/>
                <w:kern w:val="0"/>
                <w:lang w:bidi="ar"/>
              </w:rPr>
              <w:t>涉及生态保护红线时，评价等级不低于二级</w:t>
            </w:r>
            <w:r>
              <w:rPr>
                <w:rFonts w:hint="eastAsia"/>
                <w:color w:val="auto"/>
                <w:kern w:val="0"/>
                <w:lang w:bidi="ar"/>
              </w:rPr>
              <w:t>；</w:t>
            </w:r>
          </w:p>
        </w:tc>
        <w:tc>
          <w:tcPr>
            <w:tcW w:w="2114" w:type="pct"/>
            <w:tcBorders>
              <w:tl2br w:val="nil"/>
              <w:tr2bl w:val="nil"/>
            </w:tcBorders>
            <w:vAlign w:val="center"/>
          </w:tcPr>
          <w:p w14:paraId="7E1182F5">
            <w:pPr>
              <w:adjustRightInd w:val="0"/>
              <w:snapToGrid w:val="0"/>
              <w:ind w:firstLine="420" w:firstLineChars="200"/>
              <w:rPr>
                <w:color w:val="auto"/>
                <w:kern w:val="0"/>
                <w:lang w:bidi="ar"/>
              </w:rPr>
            </w:pPr>
            <w:r>
              <w:rPr>
                <w:color w:val="auto"/>
                <w:kern w:val="0"/>
                <w:lang w:bidi="ar"/>
              </w:rPr>
              <w:t>本项目不涉及生态保护红线</w:t>
            </w:r>
          </w:p>
        </w:tc>
      </w:tr>
      <w:tr w14:paraId="0F8C7B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388" w:type="pct"/>
            <w:tcBorders>
              <w:tl2br w:val="nil"/>
              <w:tr2bl w:val="nil"/>
            </w:tcBorders>
            <w:vAlign w:val="center"/>
          </w:tcPr>
          <w:p w14:paraId="1ECF2A2A">
            <w:pPr>
              <w:adjustRightInd w:val="0"/>
              <w:snapToGrid w:val="0"/>
              <w:jc w:val="center"/>
              <w:rPr>
                <w:color w:val="auto"/>
                <w:kern w:val="0"/>
                <w:lang w:bidi="ar"/>
              </w:rPr>
            </w:pPr>
            <w:r>
              <w:rPr>
                <w:color w:val="auto"/>
                <w:kern w:val="0"/>
                <w:lang w:bidi="ar"/>
              </w:rPr>
              <w:t>d</w:t>
            </w:r>
          </w:p>
        </w:tc>
        <w:tc>
          <w:tcPr>
            <w:tcW w:w="2496" w:type="pct"/>
            <w:tcBorders>
              <w:tl2br w:val="nil"/>
              <w:tr2bl w:val="nil"/>
            </w:tcBorders>
            <w:vAlign w:val="center"/>
          </w:tcPr>
          <w:p w14:paraId="7AA95FC7">
            <w:pPr>
              <w:adjustRightInd w:val="0"/>
              <w:snapToGrid w:val="0"/>
              <w:ind w:firstLine="420" w:firstLineChars="200"/>
              <w:rPr>
                <w:color w:val="auto"/>
                <w:kern w:val="0"/>
                <w:lang w:bidi="ar"/>
              </w:rPr>
            </w:pPr>
            <w:r>
              <w:rPr>
                <w:color w:val="auto"/>
                <w:kern w:val="0"/>
                <w:lang w:bidi="ar"/>
              </w:rPr>
              <w:t>根据HJ 2.3判断属于水文要素影响型且地表水评价等级不低于二级的建设项目，生态影响评价等级不低于二级</w:t>
            </w:r>
            <w:r>
              <w:rPr>
                <w:rFonts w:hint="eastAsia"/>
                <w:color w:val="auto"/>
                <w:kern w:val="0"/>
                <w:lang w:bidi="ar"/>
              </w:rPr>
              <w:t>；</w:t>
            </w:r>
          </w:p>
        </w:tc>
        <w:tc>
          <w:tcPr>
            <w:tcW w:w="2114" w:type="pct"/>
            <w:tcBorders>
              <w:tl2br w:val="nil"/>
              <w:tr2bl w:val="nil"/>
            </w:tcBorders>
            <w:vAlign w:val="center"/>
          </w:tcPr>
          <w:p w14:paraId="150F12AC">
            <w:pPr>
              <w:adjustRightInd w:val="0"/>
              <w:snapToGrid w:val="0"/>
              <w:ind w:firstLine="420" w:firstLineChars="200"/>
              <w:rPr>
                <w:color w:val="auto"/>
                <w:kern w:val="0"/>
                <w:lang w:bidi="ar"/>
              </w:rPr>
            </w:pPr>
            <w:r>
              <w:rPr>
                <w:rFonts w:hint="eastAsia"/>
                <w:color w:val="auto"/>
                <w:kern w:val="0"/>
                <w:lang w:bidi="ar"/>
              </w:rPr>
              <w:t>本项目不属于水文要素影响型项目，</w:t>
            </w:r>
            <w:r>
              <w:rPr>
                <w:color w:val="auto"/>
                <w:kern w:val="0"/>
                <w:lang w:bidi="ar"/>
              </w:rPr>
              <w:t>地表水评价等级</w:t>
            </w:r>
            <w:r>
              <w:rPr>
                <w:rFonts w:hint="eastAsia"/>
                <w:color w:val="auto"/>
                <w:kern w:val="0"/>
                <w:lang w:bidi="ar"/>
              </w:rPr>
              <w:t>为三级B</w:t>
            </w:r>
          </w:p>
        </w:tc>
      </w:tr>
      <w:tr w14:paraId="59AE93D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2A1AA7FC">
            <w:pPr>
              <w:adjustRightInd w:val="0"/>
              <w:snapToGrid w:val="0"/>
              <w:jc w:val="center"/>
              <w:rPr>
                <w:color w:val="auto"/>
                <w:kern w:val="0"/>
                <w:lang w:bidi="ar"/>
              </w:rPr>
            </w:pPr>
            <w:r>
              <w:rPr>
                <w:color w:val="auto"/>
                <w:kern w:val="0"/>
                <w:lang w:bidi="ar"/>
              </w:rPr>
              <w:t>e</w:t>
            </w:r>
          </w:p>
        </w:tc>
        <w:tc>
          <w:tcPr>
            <w:tcW w:w="2496" w:type="pct"/>
            <w:tcBorders>
              <w:tl2br w:val="nil"/>
              <w:tr2bl w:val="nil"/>
            </w:tcBorders>
            <w:vAlign w:val="center"/>
          </w:tcPr>
          <w:p w14:paraId="4DBEA57B">
            <w:pPr>
              <w:adjustRightInd w:val="0"/>
              <w:snapToGrid w:val="0"/>
              <w:ind w:firstLine="420" w:firstLineChars="200"/>
              <w:rPr>
                <w:color w:val="auto"/>
                <w:kern w:val="0"/>
                <w:lang w:bidi="ar"/>
              </w:rPr>
            </w:pPr>
            <w:r>
              <w:rPr>
                <w:color w:val="auto"/>
                <w:kern w:val="0"/>
                <w:lang w:bidi="ar"/>
              </w:rPr>
              <w:t>根据HJ 610、HJ 964判断地下水水位或土壤影响范围内分布有天然林、公益林、湿地等生态保护目标的建设项目，生态影响评价等级不低于二级</w:t>
            </w:r>
            <w:r>
              <w:rPr>
                <w:rFonts w:hint="eastAsia"/>
                <w:color w:val="auto"/>
                <w:kern w:val="0"/>
                <w:lang w:bidi="ar"/>
              </w:rPr>
              <w:t>；</w:t>
            </w:r>
          </w:p>
        </w:tc>
        <w:tc>
          <w:tcPr>
            <w:tcW w:w="2114" w:type="pct"/>
            <w:tcBorders>
              <w:tl2br w:val="nil"/>
              <w:tr2bl w:val="nil"/>
            </w:tcBorders>
            <w:vAlign w:val="center"/>
          </w:tcPr>
          <w:p w14:paraId="6025042B">
            <w:pPr>
              <w:adjustRightInd w:val="0"/>
              <w:snapToGrid w:val="0"/>
              <w:ind w:firstLine="420" w:firstLineChars="200"/>
              <w:rPr>
                <w:rFonts w:hint="eastAsia" w:eastAsia="宋体"/>
                <w:color w:val="auto"/>
                <w:kern w:val="0"/>
                <w:lang w:eastAsia="zh-CN" w:bidi="ar"/>
              </w:rPr>
            </w:pPr>
            <w:r>
              <w:rPr>
                <w:color w:val="auto"/>
                <w:kern w:val="0"/>
                <w:lang w:bidi="ar"/>
              </w:rPr>
              <w:t>项目评价区域内无自然保护区、风景名胜区、地下水饮用水源保护区等生态敏感区。项目区域内主要为林地，林地性质不属于国家级公益林</w:t>
            </w:r>
            <w:r>
              <w:rPr>
                <w:rFonts w:hint="eastAsia"/>
                <w:color w:val="auto"/>
                <w:kern w:val="0"/>
                <w:lang w:bidi="ar"/>
              </w:rPr>
              <w:t>和天然林</w:t>
            </w:r>
            <w:r>
              <w:rPr>
                <w:color w:val="auto"/>
                <w:kern w:val="0"/>
                <w:lang w:bidi="ar"/>
              </w:rPr>
              <w:t>，项目不占用一般湿地和重要湿地，本项目土壤影响范围内不涉及天然林、公益林、湿地等生态保护目标</w:t>
            </w:r>
            <w:r>
              <w:rPr>
                <w:rFonts w:hint="eastAsia"/>
                <w:color w:val="auto"/>
                <w:kern w:val="0"/>
                <w:lang w:eastAsia="zh-CN" w:bidi="ar"/>
              </w:rPr>
              <w:t>。</w:t>
            </w:r>
          </w:p>
        </w:tc>
      </w:tr>
      <w:tr w14:paraId="1025A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2B096892">
            <w:pPr>
              <w:adjustRightInd w:val="0"/>
              <w:snapToGrid w:val="0"/>
              <w:jc w:val="center"/>
              <w:rPr>
                <w:color w:val="auto"/>
                <w:kern w:val="0"/>
                <w:lang w:bidi="ar"/>
              </w:rPr>
            </w:pPr>
            <w:r>
              <w:rPr>
                <w:color w:val="auto"/>
                <w:kern w:val="0"/>
                <w:lang w:bidi="ar"/>
              </w:rPr>
              <w:t>f</w:t>
            </w:r>
          </w:p>
        </w:tc>
        <w:tc>
          <w:tcPr>
            <w:tcW w:w="2496" w:type="pct"/>
            <w:tcBorders>
              <w:tl2br w:val="nil"/>
              <w:tr2bl w:val="nil"/>
            </w:tcBorders>
            <w:vAlign w:val="center"/>
          </w:tcPr>
          <w:p w14:paraId="7E517E83">
            <w:pPr>
              <w:adjustRightInd w:val="0"/>
              <w:snapToGrid w:val="0"/>
              <w:ind w:firstLine="420" w:firstLineChars="200"/>
              <w:rPr>
                <w:color w:val="auto"/>
                <w:kern w:val="0"/>
                <w:highlight w:val="none"/>
                <w:lang w:bidi="ar"/>
              </w:rPr>
            </w:pPr>
            <w:r>
              <w:rPr>
                <w:color w:val="auto"/>
                <w:kern w:val="0"/>
                <w:highlight w:val="none"/>
                <w:lang w:bidi="ar"/>
              </w:rPr>
              <w:t>当工程占地规模大于20km</w:t>
            </w:r>
            <w:r>
              <w:rPr>
                <w:color w:val="auto"/>
                <w:kern w:val="0"/>
                <w:highlight w:val="none"/>
                <w:vertAlign w:val="superscript"/>
                <w:lang w:bidi="ar"/>
              </w:rPr>
              <w:t>2</w:t>
            </w:r>
            <w:r>
              <w:rPr>
                <w:color w:val="auto"/>
                <w:kern w:val="0"/>
                <w:highlight w:val="none"/>
                <w:lang w:bidi="ar"/>
              </w:rPr>
              <w:t>时</w:t>
            </w:r>
            <w:r>
              <w:rPr>
                <w:rFonts w:hint="eastAsia"/>
                <w:color w:val="auto"/>
                <w:kern w:val="0"/>
                <w:highlight w:val="none"/>
                <w:lang w:bidi="ar"/>
              </w:rPr>
              <w:t>（</w:t>
            </w:r>
            <w:r>
              <w:rPr>
                <w:color w:val="auto"/>
                <w:kern w:val="0"/>
                <w:highlight w:val="none"/>
                <w:lang w:bidi="ar"/>
              </w:rPr>
              <w:t>包括永久和临时占用陆域和水域</w:t>
            </w:r>
            <w:r>
              <w:rPr>
                <w:rFonts w:hint="eastAsia"/>
                <w:color w:val="auto"/>
                <w:kern w:val="0"/>
                <w:highlight w:val="none"/>
                <w:lang w:bidi="ar"/>
              </w:rPr>
              <w:t>）</w:t>
            </w:r>
            <w:r>
              <w:rPr>
                <w:color w:val="auto"/>
                <w:kern w:val="0"/>
                <w:highlight w:val="none"/>
                <w:lang w:bidi="ar"/>
              </w:rPr>
              <w:t>，评价等级不低于二级</w:t>
            </w:r>
            <w:r>
              <w:rPr>
                <w:rFonts w:hint="eastAsia"/>
                <w:color w:val="auto"/>
                <w:kern w:val="0"/>
                <w:highlight w:val="none"/>
                <w:lang w:bidi="ar"/>
              </w:rPr>
              <w:t>；</w:t>
            </w:r>
            <w:r>
              <w:rPr>
                <w:color w:val="auto"/>
                <w:kern w:val="0"/>
                <w:highlight w:val="none"/>
                <w:lang w:bidi="ar"/>
              </w:rPr>
              <w:t>改扩建项目的占地范围以新增占地</w:t>
            </w:r>
            <w:r>
              <w:rPr>
                <w:rFonts w:hint="eastAsia"/>
                <w:color w:val="auto"/>
                <w:kern w:val="0"/>
                <w:highlight w:val="none"/>
                <w:lang w:bidi="ar"/>
              </w:rPr>
              <w:t>（</w:t>
            </w:r>
            <w:r>
              <w:rPr>
                <w:color w:val="auto"/>
                <w:kern w:val="0"/>
                <w:highlight w:val="none"/>
                <w:lang w:bidi="ar"/>
              </w:rPr>
              <w:t>包括陆域和水域</w:t>
            </w:r>
            <w:r>
              <w:rPr>
                <w:rFonts w:hint="eastAsia"/>
                <w:color w:val="auto"/>
                <w:kern w:val="0"/>
                <w:highlight w:val="none"/>
                <w:lang w:bidi="ar"/>
              </w:rPr>
              <w:t>）</w:t>
            </w:r>
            <w:r>
              <w:rPr>
                <w:color w:val="auto"/>
                <w:kern w:val="0"/>
                <w:highlight w:val="none"/>
                <w:lang w:bidi="ar"/>
              </w:rPr>
              <w:t>确定</w:t>
            </w:r>
            <w:r>
              <w:rPr>
                <w:rFonts w:hint="eastAsia"/>
                <w:color w:val="auto"/>
                <w:kern w:val="0"/>
                <w:highlight w:val="none"/>
                <w:lang w:bidi="ar"/>
              </w:rPr>
              <w:t>；</w:t>
            </w:r>
          </w:p>
        </w:tc>
        <w:tc>
          <w:tcPr>
            <w:tcW w:w="2114" w:type="pct"/>
            <w:tcBorders>
              <w:tl2br w:val="nil"/>
              <w:tr2bl w:val="nil"/>
            </w:tcBorders>
            <w:vAlign w:val="center"/>
          </w:tcPr>
          <w:p w14:paraId="729F2511">
            <w:pPr>
              <w:adjustRightInd w:val="0"/>
              <w:snapToGrid w:val="0"/>
              <w:ind w:firstLine="420" w:firstLineChars="200"/>
              <w:rPr>
                <w:color w:val="auto"/>
                <w:kern w:val="0"/>
                <w:highlight w:val="none"/>
                <w:lang w:bidi="ar"/>
              </w:rPr>
            </w:pPr>
            <w:r>
              <w:rPr>
                <w:color w:val="auto"/>
                <w:kern w:val="0"/>
                <w:highlight w:val="none"/>
                <w:lang w:bidi="ar"/>
              </w:rPr>
              <w:t>本项目为新建项目，项目总占地面积为</w:t>
            </w:r>
            <w:r>
              <w:rPr>
                <w:rFonts w:hint="eastAsia"/>
                <w:color w:val="auto"/>
                <w:kern w:val="0"/>
                <w:highlight w:val="none"/>
                <w:lang w:val="en-US" w:eastAsia="zh-CN" w:bidi="ar"/>
              </w:rPr>
              <w:t>0.078594</w:t>
            </w:r>
            <w:r>
              <w:rPr>
                <w:color w:val="auto"/>
                <w:kern w:val="0"/>
                <w:highlight w:val="none"/>
                <w:lang w:bidi="ar"/>
              </w:rPr>
              <w:t>km</w:t>
            </w:r>
            <w:r>
              <w:rPr>
                <w:color w:val="auto"/>
                <w:kern w:val="0"/>
                <w:highlight w:val="none"/>
                <w:vertAlign w:val="superscript"/>
                <w:lang w:bidi="ar"/>
              </w:rPr>
              <w:t>2</w:t>
            </w:r>
            <w:r>
              <w:rPr>
                <w:color w:val="auto"/>
                <w:kern w:val="0"/>
                <w:highlight w:val="none"/>
                <w:lang w:bidi="ar"/>
              </w:rPr>
              <w:t>＜20km</w:t>
            </w:r>
            <w:r>
              <w:rPr>
                <w:color w:val="auto"/>
                <w:kern w:val="0"/>
                <w:highlight w:val="none"/>
                <w:vertAlign w:val="superscript"/>
                <w:lang w:bidi="ar"/>
              </w:rPr>
              <w:t>2</w:t>
            </w:r>
          </w:p>
        </w:tc>
      </w:tr>
      <w:tr w14:paraId="69FB40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26C0191B">
            <w:pPr>
              <w:adjustRightInd w:val="0"/>
              <w:snapToGrid w:val="0"/>
              <w:jc w:val="center"/>
              <w:rPr>
                <w:color w:val="auto"/>
                <w:kern w:val="0"/>
                <w:lang w:bidi="ar"/>
              </w:rPr>
            </w:pPr>
            <w:r>
              <w:rPr>
                <w:color w:val="auto"/>
                <w:kern w:val="0"/>
                <w:lang w:bidi="ar"/>
              </w:rPr>
              <w:t>g</w:t>
            </w:r>
          </w:p>
        </w:tc>
        <w:tc>
          <w:tcPr>
            <w:tcW w:w="2496" w:type="pct"/>
            <w:tcBorders>
              <w:tl2br w:val="nil"/>
              <w:tr2bl w:val="nil"/>
            </w:tcBorders>
            <w:vAlign w:val="center"/>
          </w:tcPr>
          <w:p w14:paraId="4D8A5AC0">
            <w:pPr>
              <w:adjustRightInd w:val="0"/>
              <w:snapToGrid w:val="0"/>
              <w:ind w:firstLine="420" w:firstLineChars="200"/>
              <w:rPr>
                <w:color w:val="auto"/>
                <w:kern w:val="0"/>
                <w:lang w:bidi="ar"/>
              </w:rPr>
            </w:pPr>
            <w:r>
              <w:rPr>
                <w:color w:val="auto"/>
                <w:kern w:val="0"/>
                <w:lang w:bidi="ar"/>
              </w:rPr>
              <w:t>除本条a</w:t>
            </w:r>
            <w:r>
              <w:rPr>
                <w:rFonts w:hint="eastAsia"/>
                <w:color w:val="auto"/>
                <w:kern w:val="0"/>
                <w:lang w:bidi="ar"/>
              </w:rPr>
              <w:t>）</w:t>
            </w:r>
            <w:r>
              <w:rPr>
                <w:color w:val="auto"/>
                <w:kern w:val="0"/>
                <w:lang w:bidi="ar"/>
              </w:rPr>
              <w:t>、b</w:t>
            </w:r>
            <w:r>
              <w:rPr>
                <w:rFonts w:hint="eastAsia"/>
                <w:color w:val="auto"/>
                <w:kern w:val="0"/>
                <w:lang w:bidi="ar"/>
              </w:rPr>
              <w:t>）、</w:t>
            </w:r>
            <w:r>
              <w:rPr>
                <w:color w:val="auto"/>
                <w:kern w:val="0"/>
                <w:lang w:bidi="ar"/>
              </w:rPr>
              <w:t>c）、d</w:t>
            </w:r>
            <w:r>
              <w:rPr>
                <w:rFonts w:hint="eastAsia"/>
                <w:color w:val="auto"/>
                <w:kern w:val="0"/>
                <w:lang w:bidi="ar"/>
              </w:rPr>
              <w:t>）</w:t>
            </w:r>
            <w:r>
              <w:rPr>
                <w:color w:val="auto"/>
                <w:kern w:val="0"/>
                <w:lang w:bidi="ar"/>
              </w:rPr>
              <w:t>、e</w:t>
            </w:r>
            <w:r>
              <w:rPr>
                <w:rFonts w:hint="eastAsia"/>
                <w:color w:val="auto"/>
                <w:kern w:val="0"/>
                <w:lang w:bidi="ar"/>
              </w:rPr>
              <w:t>）</w:t>
            </w:r>
            <w:r>
              <w:rPr>
                <w:color w:val="auto"/>
                <w:kern w:val="0"/>
                <w:lang w:bidi="ar"/>
              </w:rPr>
              <w:t>、f</w:t>
            </w:r>
            <w:r>
              <w:rPr>
                <w:rFonts w:hint="eastAsia"/>
                <w:color w:val="auto"/>
                <w:kern w:val="0"/>
                <w:lang w:bidi="ar"/>
              </w:rPr>
              <w:t>）</w:t>
            </w:r>
            <w:r>
              <w:rPr>
                <w:color w:val="auto"/>
                <w:kern w:val="0"/>
                <w:lang w:bidi="ar"/>
              </w:rPr>
              <w:t>以外的情况，评价等级为三级</w:t>
            </w:r>
            <w:r>
              <w:rPr>
                <w:rFonts w:hint="eastAsia"/>
                <w:color w:val="auto"/>
                <w:kern w:val="0"/>
                <w:lang w:bidi="ar"/>
              </w:rPr>
              <w:t>；</w:t>
            </w:r>
          </w:p>
        </w:tc>
        <w:tc>
          <w:tcPr>
            <w:tcW w:w="2114" w:type="pct"/>
            <w:tcBorders>
              <w:tl2br w:val="nil"/>
              <w:tr2bl w:val="nil"/>
            </w:tcBorders>
            <w:vAlign w:val="center"/>
          </w:tcPr>
          <w:p w14:paraId="2B5F3FC5">
            <w:pPr>
              <w:adjustRightInd w:val="0"/>
              <w:snapToGrid w:val="0"/>
              <w:ind w:firstLine="420" w:firstLineChars="200"/>
              <w:rPr>
                <w:color w:val="auto"/>
                <w:kern w:val="0"/>
                <w:lang w:bidi="ar"/>
              </w:rPr>
            </w:pPr>
            <w:r>
              <w:rPr>
                <w:color w:val="auto"/>
                <w:kern w:val="0"/>
                <w:lang w:bidi="ar"/>
              </w:rPr>
              <w:t>本项目不属于a</w:t>
            </w:r>
            <w:r>
              <w:rPr>
                <w:rFonts w:hint="eastAsia"/>
                <w:color w:val="auto"/>
                <w:kern w:val="0"/>
                <w:lang w:bidi="ar"/>
              </w:rPr>
              <w:t>）</w:t>
            </w:r>
            <w:r>
              <w:rPr>
                <w:color w:val="auto"/>
                <w:kern w:val="0"/>
                <w:lang w:bidi="ar"/>
              </w:rPr>
              <w:t>、b</w:t>
            </w:r>
            <w:r>
              <w:rPr>
                <w:rFonts w:hint="eastAsia"/>
                <w:color w:val="auto"/>
                <w:kern w:val="0"/>
                <w:lang w:bidi="ar"/>
              </w:rPr>
              <w:t>）、</w:t>
            </w:r>
            <w:r>
              <w:rPr>
                <w:color w:val="auto"/>
                <w:kern w:val="0"/>
                <w:lang w:bidi="ar"/>
              </w:rPr>
              <w:t>c）、d</w:t>
            </w:r>
            <w:r>
              <w:rPr>
                <w:rFonts w:hint="eastAsia"/>
                <w:color w:val="auto"/>
                <w:kern w:val="0"/>
                <w:lang w:bidi="ar"/>
              </w:rPr>
              <w:t>）</w:t>
            </w:r>
            <w:r>
              <w:rPr>
                <w:color w:val="auto"/>
                <w:kern w:val="0"/>
                <w:lang w:bidi="ar"/>
              </w:rPr>
              <w:t>、e</w:t>
            </w:r>
            <w:r>
              <w:rPr>
                <w:rFonts w:hint="eastAsia"/>
                <w:color w:val="auto"/>
                <w:kern w:val="0"/>
                <w:lang w:bidi="ar"/>
              </w:rPr>
              <w:t>）</w:t>
            </w:r>
            <w:r>
              <w:rPr>
                <w:color w:val="auto"/>
                <w:kern w:val="0"/>
                <w:lang w:bidi="ar"/>
              </w:rPr>
              <w:t>、f</w:t>
            </w:r>
            <w:r>
              <w:rPr>
                <w:rFonts w:hint="eastAsia"/>
                <w:color w:val="auto"/>
                <w:kern w:val="0"/>
                <w:lang w:bidi="ar"/>
              </w:rPr>
              <w:t>）</w:t>
            </w:r>
            <w:r>
              <w:rPr>
                <w:color w:val="auto"/>
                <w:kern w:val="0"/>
                <w:lang w:bidi="ar"/>
              </w:rPr>
              <w:t>等情况，故项目评价等级为三级</w:t>
            </w:r>
          </w:p>
        </w:tc>
      </w:tr>
      <w:tr w14:paraId="3CC04E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88" w:type="pct"/>
            <w:tcBorders>
              <w:tl2br w:val="nil"/>
              <w:tr2bl w:val="nil"/>
            </w:tcBorders>
            <w:vAlign w:val="center"/>
          </w:tcPr>
          <w:p w14:paraId="66DB6754">
            <w:pPr>
              <w:adjustRightInd w:val="0"/>
              <w:snapToGrid w:val="0"/>
              <w:jc w:val="center"/>
              <w:rPr>
                <w:color w:val="auto"/>
                <w:kern w:val="0"/>
                <w:lang w:bidi="ar"/>
              </w:rPr>
            </w:pPr>
            <w:r>
              <w:rPr>
                <w:color w:val="auto"/>
                <w:kern w:val="0"/>
                <w:lang w:bidi="ar"/>
              </w:rPr>
              <w:t>h</w:t>
            </w:r>
          </w:p>
        </w:tc>
        <w:tc>
          <w:tcPr>
            <w:tcW w:w="2496" w:type="pct"/>
            <w:tcBorders>
              <w:tl2br w:val="nil"/>
              <w:tr2bl w:val="nil"/>
            </w:tcBorders>
            <w:vAlign w:val="center"/>
          </w:tcPr>
          <w:p w14:paraId="6BCC280F">
            <w:pPr>
              <w:adjustRightInd w:val="0"/>
              <w:snapToGrid w:val="0"/>
              <w:ind w:firstLine="420" w:firstLineChars="200"/>
              <w:rPr>
                <w:color w:val="auto"/>
                <w:kern w:val="0"/>
                <w:lang w:bidi="ar"/>
              </w:rPr>
            </w:pPr>
            <w:r>
              <w:rPr>
                <w:color w:val="auto"/>
                <w:kern w:val="0"/>
                <w:lang w:bidi="ar"/>
              </w:rPr>
              <w:t>当评价等级判定同时符合上述多种情况时，应采用其中最高的评价等</w:t>
            </w:r>
          </w:p>
        </w:tc>
        <w:tc>
          <w:tcPr>
            <w:tcW w:w="2114" w:type="pct"/>
            <w:tcBorders>
              <w:tl2br w:val="nil"/>
              <w:tr2bl w:val="nil"/>
            </w:tcBorders>
            <w:vAlign w:val="center"/>
          </w:tcPr>
          <w:p w14:paraId="33F79011">
            <w:pPr>
              <w:adjustRightInd w:val="0"/>
              <w:snapToGrid w:val="0"/>
              <w:ind w:firstLine="420" w:firstLineChars="200"/>
              <w:rPr>
                <w:color w:val="auto"/>
                <w:kern w:val="0"/>
                <w:lang w:bidi="ar"/>
              </w:rPr>
            </w:pPr>
            <w:r>
              <w:rPr>
                <w:rFonts w:hint="eastAsia"/>
                <w:color w:val="auto"/>
                <w:kern w:val="0"/>
                <w:lang w:bidi="ar"/>
              </w:rPr>
              <w:t>本项目废水不外排，不涉及水生生态影响，只涉及陆生生态影响，</w:t>
            </w:r>
            <w:r>
              <w:rPr>
                <w:color w:val="auto"/>
                <w:kern w:val="0"/>
                <w:lang w:bidi="ar"/>
              </w:rPr>
              <w:t>项目评价等级判定不同时符合上述多种情况</w:t>
            </w:r>
          </w:p>
        </w:tc>
      </w:tr>
    </w:tbl>
    <w:p w14:paraId="095455AE">
      <w:pPr>
        <w:pStyle w:val="137"/>
        <w:rPr>
          <w:color w:val="auto"/>
        </w:rPr>
      </w:pPr>
      <w:r>
        <w:rPr>
          <w:color w:val="auto"/>
        </w:rPr>
        <w:t>2.6.</w:t>
      </w:r>
      <w:r>
        <w:rPr>
          <w:rFonts w:hint="eastAsia"/>
          <w:color w:val="auto"/>
        </w:rPr>
        <w:t>6</w:t>
      </w:r>
      <w:r>
        <w:rPr>
          <w:color w:val="auto"/>
        </w:rPr>
        <w:t>风险评价工作等级</w:t>
      </w:r>
    </w:p>
    <w:p w14:paraId="11E09E62">
      <w:pPr>
        <w:spacing w:line="500" w:lineRule="exact"/>
        <w:ind w:firstLine="480" w:firstLineChars="200"/>
        <w:rPr>
          <w:color w:val="auto"/>
          <w:sz w:val="24"/>
          <w:szCs w:val="22"/>
        </w:rPr>
      </w:pPr>
      <w:r>
        <w:rPr>
          <w:color w:val="auto"/>
          <w:sz w:val="24"/>
        </w:rPr>
        <w:t>1</w:t>
      </w:r>
      <w:r>
        <w:rPr>
          <w:rFonts w:hint="eastAsia"/>
          <w:color w:val="auto"/>
          <w:sz w:val="24"/>
        </w:rPr>
        <w:t>、</w:t>
      </w:r>
      <w:r>
        <w:rPr>
          <w:color w:val="auto"/>
          <w:sz w:val="24"/>
        </w:rPr>
        <w:t>Q</w:t>
      </w:r>
      <w:r>
        <w:rPr>
          <w:rFonts w:hint="eastAsia"/>
          <w:color w:val="auto"/>
          <w:sz w:val="24"/>
        </w:rPr>
        <w:t>值的确定</w:t>
      </w:r>
    </w:p>
    <w:p w14:paraId="3A1EF4DB">
      <w:pPr>
        <w:spacing w:line="500" w:lineRule="exact"/>
        <w:ind w:firstLine="480" w:firstLineChars="200"/>
        <w:rPr>
          <w:color w:val="auto"/>
          <w:sz w:val="24"/>
        </w:rPr>
      </w:pPr>
      <w:r>
        <w:rPr>
          <w:rFonts w:hint="eastAsia"/>
          <w:color w:val="auto"/>
          <w:sz w:val="24"/>
        </w:rPr>
        <w:t>根据《建设项目环境风险评价技术导则》（</w:t>
      </w:r>
      <w:r>
        <w:rPr>
          <w:color w:val="auto"/>
          <w:sz w:val="24"/>
        </w:rPr>
        <w:t>HJ 169-2018</w:t>
      </w:r>
      <w:r>
        <w:rPr>
          <w:rFonts w:hint="eastAsia"/>
          <w:color w:val="auto"/>
          <w:sz w:val="24"/>
        </w:rPr>
        <w:t>）附录</w:t>
      </w:r>
      <w:r>
        <w:rPr>
          <w:color w:val="auto"/>
          <w:sz w:val="24"/>
        </w:rPr>
        <w:t>C</w:t>
      </w:r>
      <w:r>
        <w:rPr>
          <w:rFonts w:hint="eastAsia"/>
          <w:color w:val="auto"/>
          <w:sz w:val="24"/>
        </w:rPr>
        <w:t>，</w:t>
      </w:r>
      <w:r>
        <w:rPr>
          <w:color w:val="auto"/>
          <w:sz w:val="24"/>
        </w:rPr>
        <w:t>Q</w:t>
      </w:r>
      <w:r>
        <w:rPr>
          <w:rFonts w:hint="eastAsia"/>
          <w:color w:val="auto"/>
          <w:sz w:val="24"/>
        </w:rPr>
        <w:t>按下式进行计算：</w:t>
      </w:r>
    </w:p>
    <w:p w14:paraId="0FA8C742">
      <w:pPr>
        <w:ind w:firstLine="480" w:firstLineChars="200"/>
        <w:jc w:val="center"/>
        <w:rPr>
          <w:color w:val="auto"/>
          <w:sz w:val="24"/>
        </w:rPr>
      </w:pPr>
      <w:r>
        <w:rPr>
          <w:color w:val="auto"/>
          <w:sz w:val="24"/>
        </w:rPr>
        <w:drawing>
          <wp:inline distT="0" distB="0" distL="0" distR="0">
            <wp:extent cx="1400175" cy="390525"/>
            <wp:effectExtent l="0" t="0" r="9525" b="9525"/>
            <wp:docPr id="20218948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894829" name="图片 10"/>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a:xfrm>
                      <a:off x="0" y="0"/>
                      <a:ext cx="1400175" cy="390525"/>
                    </a:xfrm>
                    <a:prstGeom prst="rect">
                      <a:avLst/>
                    </a:prstGeom>
                    <a:noFill/>
                    <a:ln>
                      <a:noFill/>
                    </a:ln>
                  </pic:spPr>
                </pic:pic>
              </a:graphicData>
            </a:graphic>
          </wp:inline>
        </w:drawing>
      </w:r>
    </w:p>
    <w:p w14:paraId="41916C69">
      <w:pPr>
        <w:spacing w:line="500" w:lineRule="exact"/>
        <w:ind w:firstLine="480" w:firstLineChars="200"/>
        <w:rPr>
          <w:color w:val="auto"/>
          <w:sz w:val="24"/>
        </w:rPr>
      </w:pPr>
      <w:r>
        <w:rPr>
          <w:rFonts w:hint="eastAsia"/>
          <w:color w:val="auto"/>
          <w:sz w:val="24"/>
        </w:rPr>
        <w:t>式中：</w:t>
      </w:r>
      <w:r>
        <w:rPr>
          <w:color w:val="auto"/>
          <w:sz w:val="24"/>
        </w:rPr>
        <w:t>q1</w:t>
      </w:r>
      <w:r>
        <w:rPr>
          <w:rFonts w:hint="eastAsia"/>
          <w:color w:val="auto"/>
          <w:sz w:val="24"/>
        </w:rPr>
        <w:t>，</w:t>
      </w:r>
      <w:r>
        <w:rPr>
          <w:color w:val="auto"/>
          <w:sz w:val="24"/>
        </w:rPr>
        <w:t>q2……qn-</w:t>
      </w:r>
      <w:r>
        <w:rPr>
          <w:rFonts w:hint="eastAsia"/>
          <w:color w:val="auto"/>
          <w:sz w:val="24"/>
        </w:rPr>
        <w:t>每种危险物质的最大存在量，</w:t>
      </w:r>
      <w:r>
        <w:rPr>
          <w:color w:val="auto"/>
          <w:sz w:val="24"/>
        </w:rPr>
        <w:t>t</w:t>
      </w:r>
      <w:r>
        <w:rPr>
          <w:rFonts w:hint="eastAsia"/>
          <w:color w:val="auto"/>
          <w:sz w:val="24"/>
        </w:rPr>
        <w:t>；</w:t>
      </w:r>
    </w:p>
    <w:p w14:paraId="17D5122E">
      <w:pPr>
        <w:spacing w:line="500" w:lineRule="exact"/>
        <w:ind w:firstLine="480" w:firstLineChars="200"/>
        <w:rPr>
          <w:color w:val="auto"/>
          <w:sz w:val="24"/>
        </w:rPr>
      </w:pPr>
      <w:r>
        <w:rPr>
          <w:color w:val="auto"/>
          <w:sz w:val="24"/>
        </w:rPr>
        <w:t>Q1</w:t>
      </w:r>
      <w:r>
        <w:rPr>
          <w:rFonts w:hint="eastAsia"/>
          <w:color w:val="auto"/>
          <w:sz w:val="24"/>
        </w:rPr>
        <w:t>，</w:t>
      </w:r>
      <w:r>
        <w:rPr>
          <w:color w:val="auto"/>
          <w:sz w:val="24"/>
        </w:rPr>
        <w:t>Q2……Qn-</w:t>
      </w:r>
      <w:r>
        <w:rPr>
          <w:rFonts w:hint="eastAsia"/>
          <w:color w:val="auto"/>
          <w:sz w:val="24"/>
        </w:rPr>
        <w:t>每种危险物质的临界量，</w:t>
      </w:r>
      <w:r>
        <w:rPr>
          <w:color w:val="auto"/>
          <w:sz w:val="24"/>
        </w:rPr>
        <w:t>t</w:t>
      </w:r>
      <w:r>
        <w:rPr>
          <w:rFonts w:hint="eastAsia"/>
          <w:color w:val="auto"/>
          <w:sz w:val="24"/>
        </w:rPr>
        <w:t>。</w:t>
      </w:r>
    </w:p>
    <w:p w14:paraId="3913FC5F">
      <w:pPr>
        <w:spacing w:line="500" w:lineRule="exact"/>
        <w:ind w:firstLine="480" w:firstLineChars="200"/>
        <w:rPr>
          <w:color w:val="auto"/>
          <w:sz w:val="24"/>
        </w:rPr>
      </w:pPr>
      <w:r>
        <w:rPr>
          <w:rFonts w:hint="eastAsia"/>
          <w:color w:val="auto"/>
          <w:sz w:val="24"/>
        </w:rPr>
        <w:t>当</w:t>
      </w:r>
      <w:r>
        <w:rPr>
          <w:color w:val="auto"/>
          <w:sz w:val="24"/>
        </w:rPr>
        <w:t>Q</w:t>
      </w:r>
      <w:r>
        <w:rPr>
          <w:rFonts w:hint="eastAsia"/>
          <w:color w:val="auto"/>
          <w:sz w:val="24"/>
        </w:rPr>
        <w:t>＜</w:t>
      </w:r>
      <w:r>
        <w:rPr>
          <w:color w:val="auto"/>
          <w:sz w:val="24"/>
        </w:rPr>
        <w:t>1</w:t>
      </w:r>
      <w:r>
        <w:rPr>
          <w:rFonts w:hint="eastAsia"/>
          <w:color w:val="auto"/>
          <w:sz w:val="24"/>
        </w:rPr>
        <w:t>时，该项目环境风险潜势为</w:t>
      </w:r>
      <w:r>
        <w:rPr>
          <w:color w:val="auto"/>
          <w:sz w:val="24"/>
        </w:rPr>
        <w:fldChar w:fldCharType="begin"/>
      </w:r>
      <w:r>
        <w:rPr>
          <w:color w:val="auto"/>
          <w:sz w:val="24"/>
        </w:rPr>
        <w:instrText xml:space="preserve"> = 1 \* ROMAN </w:instrText>
      </w:r>
      <w:r>
        <w:rPr>
          <w:color w:val="auto"/>
          <w:sz w:val="24"/>
        </w:rPr>
        <w:fldChar w:fldCharType="separate"/>
      </w:r>
      <w:r>
        <w:rPr>
          <w:color w:val="auto"/>
          <w:sz w:val="24"/>
        </w:rPr>
        <w:t>I</w:t>
      </w:r>
      <w:r>
        <w:rPr>
          <w:color w:val="auto"/>
          <w:sz w:val="24"/>
        </w:rPr>
        <w:fldChar w:fldCharType="end"/>
      </w:r>
      <w:r>
        <w:rPr>
          <w:rFonts w:hint="eastAsia"/>
          <w:color w:val="auto"/>
          <w:sz w:val="24"/>
        </w:rPr>
        <w:t>。</w:t>
      </w:r>
    </w:p>
    <w:p w14:paraId="35875EB6">
      <w:pPr>
        <w:spacing w:line="500" w:lineRule="exact"/>
        <w:ind w:firstLine="480" w:firstLineChars="200"/>
        <w:rPr>
          <w:color w:val="auto"/>
          <w:sz w:val="24"/>
        </w:rPr>
      </w:pPr>
      <w:r>
        <w:rPr>
          <w:rFonts w:hint="eastAsia"/>
          <w:color w:val="auto"/>
          <w:sz w:val="24"/>
        </w:rPr>
        <w:t>当</w:t>
      </w:r>
      <w:r>
        <w:rPr>
          <w:color w:val="auto"/>
          <w:sz w:val="24"/>
        </w:rPr>
        <w:t>Q≥1</w:t>
      </w:r>
      <w:r>
        <w:rPr>
          <w:rFonts w:hint="eastAsia"/>
          <w:color w:val="auto"/>
          <w:sz w:val="24"/>
        </w:rPr>
        <w:t>时，将</w:t>
      </w:r>
      <w:r>
        <w:rPr>
          <w:color w:val="auto"/>
          <w:sz w:val="24"/>
        </w:rPr>
        <w:t>Q</w:t>
      </w:r>
      <w:r>
        <w:rPr>
          <w:rFonts w:hint="eastAsia"/>
          <w:color w:val="auto"/>
          <w:sz w:val="24"/>
        </w:rPr>
        <w:t>值划分为：（</w:t>
      </w:r>
      <w:r>
        <w:rPr>
          <w:color w:val="auto"/>
          <w:sz w:val="24"/>
        </w:rPr>
        <w:t>1</w:t>
      </w:r>
      <w:r>
        <w:rPr>
          <w:rFonts w:hint="eastAsia"/>
          <w:color w:val="auto"/>
          <w:sz w:val="24"/>
        </w:rPr>
        <w:t>）</w:t>
      </w:r>
      <w:r>
        <w:rPr>
          <w:color w:val="auto"/>
          <w:sz w:val="24"/>
        </w:rPr>
        <w:t>1≤Q</w:t>
      </w:r>
      <w:r>
        <w:rPr>
          <w:rFonts w:hint="eastAsia"/>
          <w:color w:val="auto"/>
          <w:sz w:val="24"/>
        </w:rPr>
        <w:t>＜</w:t>
      </w:r>
      <w:r>
        <w:rPr>
          <w:color w:val="auto"/>
          <w:sz w:val="24"/>
        </w:rPr>
        <w:t>10</w:t>
      </w:r>
      <w:r>
        <w:rPr>
          <w:rFonts w:hint="eastAsia"/>
          <w:color w:val="auto"/>
          <w:sz w:val="24"/>
        </w:rPr>
        <w:t>；（</w:t>
      </w:r>
      <w:r>
        <w:rPr>
          <w:color w:val="auto"/>
          <w:sz w:val="24"/>
        </w:rPr>
        <w:t>2</w:t>
      </w:r>
      <w:r>
        <w:rPr>
          <w:rFonts w:hint="eastAsia"/>
          <w:color w:val="auto"/>
          <w:sz w:val="24"/>
        </w:rPr>
        <w:t>）</w:t>
      </w:r>
      <w:r>
        <w:rPr>
          <w:color w:val="auto"/>
          <w:sz w:val="24"/>
        </w:rPr>
        <w:t>10≤Q</w:t>
      </w:r>
      <w:r>
        <w:rPr>
          <w:rFonts w:hint="eastAsia"/>
          <w:color w:val="auto"/>
          <w:sz w:val="24"/>
        </w:rPr>
        <w:t>＜</w:t>
      </w:r>
      <w:r>
        <w:rPr>
          <w:color w:val="auto"/>
          <w:sz w:val="24"/>
        </w:rPr>
        <w:t>100</w:t>
      </w:r>
      <w:r>
        <w:rPr>
          <w:rFonts w:hint="eastAsia"/>
          <w:color w:val="auto"/>
          <w:sz w:val="24"/>
        </w:rPr>
        <w:t>；（</w:t>
      </w:r>
      <w:r>
        <w:rPr>
          <w:color w:val="auto"/>
          <w:sz w:val="24"/>
        </w:rPr>
        <w:t>3</w:t>
      </w:r>
      <w:r>
        <w:rPr>
          <w:rFonts w:hint="eastAsia"/>
          <w:color w:val="auto"/>
          <w:sz w:val="24"/>
        </w:rPr>
        <w:t>）</w:t>
      </w:r>
      <w:r>
        <w:rPr>
          <w:color w:val="auto"/>
          <w:sz w:val="24"/>
        </w:rPr>
        <w:t>Q≥100</w:t>
      </w:r>
      <w:r>
        <w:rPr>
          <w:rFonts w:hint="eastAsia"/>
          <w:color w:val="auto"/>
          <w:sz w:val="24"/>
        </w:rPr>
        <w:t>。</w:t>
      </w:r>
    </w:p>
    <w:p w14:paraId="75BDF898">
      <w:pPr>
        <w:spacing w:line="500" w:lineRule="exact"/>
        <w:ind w:firstLine="480" w:firstLineChars="200"/>
        <w:rPr>
          <w:color w:val="auto"/>
          <w:sz w:val="24"/>
        </w:rPr>
      </w:pPr>
      <w:r>
        <w:rPr>
          <w:rFonts w:hint="eastAsia"/>
          <w:color w:val="auto"/>
          <w:sz w:val="24"/>
        </w:rPr>
        <w:t>本项目利用</w:t>
      </w:r>
      <w:r>
        <w:rPr>
          <w:rFonts w:hint="eastAsia"/>
          <w:color w:val="auto"/>
          <w:sz w:val="24"/>
          <w:lang w:eastAsia="zh-CN"/>
        </w:rPr>
        <w:t>灰渣</w:t>
      </w:r>
      <w:r>
        <w:rPr>
          <w:rFonts w:hint="eastAsia"/>
          <w:color w:val="auto"/>
          <w:sz w:val="24"/>
        </w:rPr>
        <w:t>对废弃采坑进行回填复垦，</w:t>
      </w:r>
      <w:r>
        <w:rPr>
          <w:rFonts w:hint="eastAsia"/>
          <w:color w:val="auto"/>
          <w:sz w:val="24"/>
          <w:lang w:eastAsia="zh-CN"/>
        </w:rPr>
        <w:t>灰渣</w:t>
      </w:r>
      <w:r>
        <w:rPr>
          <w:rFonts w:hint="eastAsia"/>
          <w:color w:val="auto"/>
          <w:sz w:val="24"/>
        </w:rPr>
        <w:t>不属于《建设项目环境风险评价技术导则》（</w:t>
      </w:r>
      <w:r>
        <w:rPr>
          <w:color w:val="auto"/>
          <w:sz w:val="24"/>
        </w:rPr>
        <w:t>HJ169-2018</w:t>
      </w:r>
      <w:r>
        <w:rPr>
          <w:rFonts w:hint="eastAsia"/>
          <w:color w:val="auto"/>
          <w:sz w:val="24"/>
        </w:rPr>
        <w:t>）中规定的环境风险物质，本次项目</w:t>
      </w:r>
      <w:r>
        <w:rPr>
          <w:rFonts w:hint="eastAsia"/>
          <w:color w:val="auto"/>
          <w:sz w:val="24"/>
          <w:lang w:eastAsia="zh-CN"/>
        </w:rPr>
        <w:t>灰渣</w:t>
      </w:r>
      <w:r>
        <w:rPr>
          <w:rFonts w:hint="eastAsia"/>
          <w:color w:val="auto"/>
          <w:sz w:val="24"/>
        </w:rPr>
        <w:t>回填过程不涉及危险化学品及危险物质，所以本项目可直接判定项目环境风险潜势为</w:t>
      </w:r>
      <w:r>
        <w:rPr>
          <w:color w:val="auto"/>
          <w:sz w:val="24"/>
        </w:rPr>
        <w:t>Ⅰ</w:t>
      </w:r>
      <w:r>
        <w:rPr>
          <w:rFonts w:hint="eastAsia"/>
          <w:color w:val="auto"/>
          <w:sz w:val="24"/>
        </w:rPr>
        <w:t>级。</w:t>
      </w:r>
    </w:p>
    <w:p w14:paraId="5495B68B">
      <w:pPr>
        <w:spacing w:line="500" w:lineRule="exact"/>
        <w:ind w:firstLine="480" w:firstLineChars="200"/>
        <w:rPr>
          <w:color w:val="auto"/>
          <w:sz w:val="24"/>
        </w:rPr>
      </w:pPr>
      <w:r>
        <w:rPr>
          <w:color w:val="auto"/>
          <w:sz w:val="24"/>
        </w:rPr>
        <w:t>2</w:t>
      </w:r>
      <w:r>
        <w:rPr>
          <w:rFonts w:hint="eastAsia"/>
          <w:color w:val="auto"/>
          <w:sz w:val="24"/>
        </w:rPr>
        <w:t>、环境风险潜势判断结果</w:t>
      </w:r>
    </w:p>
    <w:p w14:paraId="110B5A27">
      <w:pPr>
        <w:spacing w:line="500" w:lineRule="exact"/>
        <w:ind w:firstLine="480" w:firstLineChars="200"/>
        <w:rPr>
          <w:color w:val="auto"/>
          <w:sz w:val="24"/>
        </w:rPr>
      </w:pPr>
      <w:r>
        <w:rPr>
          <w:rFonts w:hint="eastAsia"/>
          <w:color w:val="auto"/>
          <w:sz w:val="24"/>
        </w:rPr>
        <w:t>建设项目环境风险潜势划分为：</w:t>
      </w:r>
      <w:r>
        <w:rPr>
          <w:color w:val="auto"/>
          <w:sz w:val="24"/>
        </w:rPr>
        <w:t>Ⅰ</w:t>
      </w:r>
      <w:r>
        <w:rPr>
          <w:rFonts w:hint="eastAsia"/>
          <w:color w:val="auto"/>
          <w:sz w:val="24"/>
        </w:rPr>
        <w:t>、</w:t>
      </w:r>
      <w:r>
        <w:rPr>
          <w:color w:val="auto"/>
          <w:sz w:val="24"/>
        </w:rPr>
        <w:t>Ⅱ</w:t>
      </w:r>
      <w:r>
        <w:rPr>
          <w:rFonts w:hint="eastAsia"/>
          <w:color w:val="auto"/>
          <w:sz w:val="24"/>
        </w:rPr>
        <w:t>、</w:t>
      </w:r>
      <w:r>
        <w:rPr>
          <w:color w:val="auto"/>
          <w:sz w:val="24"/>
        </w:rPr>
        <w:t>Ⅲ</w:t>
      </w:r>
      <w:r>
        <w:rPr>
          <w:rFonts w:hint="eastAsia"/>
          <w:color w:val="auto"/>
          <w:sz w:val="24"/>
        </w:rPr>
        <w:t>、</w:t>
      </w:r>
      <w:r>
        <w:rPr>
          <w:color w:val="auto"/>
          <w:sz w:val="24"/>
        </w:rPr>
        <w:t>Ⅳ/Ⅳ</w:t>
      </w:r>
      <w:r>
        <w:rPr>
          <w:color w:val="auto"/>
          <w:sz w:val="24"/>
          <w:vertAlign w:val="superscript"/>
        </w:rPr>
        <w:t>+</w:t>
      </w:r>
      <w:r>
        <w:rPr>
          <w:rFonts w:hint="eastAsia"/>
          <w:color w:val="auto"/>
          <w:sz w:val="24"/>
        </w:rPr>
        <w:t>级。根据建设项目涉及的物质和工艺系统的危险性及其所在地的环境敏感程度，结合事故情形下环境影响途径，对建设项目潜在环境危害程度进行概化分析，按照下表确定环境风险潜势。</w:t>
      </w:r>
    </w:p>
    <w:p w14:paraId="799A275E">
      <w:pPr>
        <w:pStyle w:val="76"/>
        <w:ind w:left="1260" w:hanging="420"/>
        <w:rPr>
          <w:rFonts w:cs="Times New Roman"/>
          <w:color w:val="auto"/>
        </w:rPr>
      </w:pPr>
      <w:r>
        <w:rPr>
          <w:rFonts w:hint="eastAsia"/>
          <w:color w:val="auto"/>
        </w:rPr>
        <w:t>表</w:t>
      </w:r>
      <w:r>
        <w:rPr>
          <w:color w:val="auto"/>
        </w:rPr>
        <w:t>2-6-10</w:t>
      </w:r>
      <w:r>
        <w:rPr>
          <w:rFonts w:hint="eastAsia"/>
          <w:color w:val="auto"/>
        </w:rPr>
        <w:t>建设项目环境风险潜势划分</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05"/>
        <w:gridCol w:w="1805"/>
        <w:gridCol w:w="1805"/>
        <w:gridCol w:w="1805"/>
        <w:gridCol w:w="1806"/>
      </w:tblGrid>
      <w:tr w14:paraId="4EF5C8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vMerge w:val="restart"/>
            <w:tcBorders>
              <w:top w:val="single" w:color="auto" w:sz="12" w:space="0"/>
              <w:left w:val="nil"/>
              <w:bottom w:val="single" w:color="auto" w:sz="4" w:space="0"/>
              <w:right w:val="single" w:color="auto" w:sz="4" w:space="0"/>
            </w:tcBorders>
            <w:vAlign w:val="center"/>
          </w:tcPr>
          <w:p w14:paraId="3238FC11">
            <w:pPr>
              <w:pStyle w:val="84"/>
              <w:rPr>
                <w:rFonts w:ascii="Times New Roman" w:hAnsi="Times New Roman"/>
                <w:color w:val="auto"/>
              </w:rPr>
            </w:pPr>
            <w:r>
              <w:rPr>
                <w:rFonts w:ascii="Times New Roman" w:hAnsi="Times New Roman"/>
                <w:color w:val="auto"/>
              </w:rPr>
              <w:t>环境敏感程度（E）</w:t>
            </w:r>
          </w:p>
        </w:tc>
        <w:tc>
          <w:tcPr>
            <w:tcW w:w="4000" w:type="pct"/>
            <w:gridSpan w:val="4"/>
            <w:tcBorders>
              <w:top w:val="single" w:color="auto" w:sz="12" w:space="0"/>
              <w:left w:val="single" w:color="auto" w:sz="4" w:space="0"/>
              <w:bottom w:val="single" w:color="auto" w:sz="4" w:space="0"/>
              <w:right w:val="nil"/>
            </w:tcBorders>
            <w:vAlign w:val="center"/>
          </w:tcPr>
          <w:p w14:paraId="352AC8C6">
            <w:pPr>
              <w:pStyle w:val="84"/>
              <w:rPr>
                <w:rFonts w:ascii="Times New Roman" w:hAnsi="Times New Roman"/>
                <w:color w:val="auto"/>
              </w:rPr>
            </w:pPr>
            <w:r>
              <w:rPr>
                <w:rFonts w:ascii="Times New Roman" w:hAnsi="Times New Roman"/>
                <w:color w:val="auto"/>
              </w:rPr>
              <w:t>危险物质及工艺系统危险性（P）</w:t>
            </w:r>
          </w:p>
        </w:tc>
      </w:tr>
      <w:tr w14:paraId="6903F1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0" w:type="auto"/>
            <w:vMerge w:val="continue"/>
            <w:tcBorders>
              <w:top w:val="single" w:color="auto" w:sz="12" w:space="0"/>
              <w:left w:val="nil"/>
              <w:bottom w:val="single" w:color="auto" w:sz="4" w:space="0"/>
              <w:right w:val="single" w:color="auto" w:sz="4" w:space="0"/>
            </w:tcBorders>
            <w:vAlign w:val="center"/>
          </w:tcPr>
          <w:p w14:paraId="306070D2">
            <w:pPr>
              <w:pStyle w:val="84"/>
              <w:rPr>
                <w:rFonts w:ascii="Times New Roman" w:hAnsi="Times New Roman"/>
                <w:color w:val="auto"/>
                <w:szCs w:val="22"/>
                <w:lang w:val="zh-CN"/>
              </w:rPr>
            </w:pPr>
          </w:p>
        </w:tc>
        <w:tc>
          <w:tcPr>
            <w:tcW w:w="1000" w:type="pct"/>
            <w:tcBorders>
              <w:top w:val="single" w:color="auto" w:sz="4" w:space="0"/>
              <w:left w:val="single" w:color="auto" w:sz="4" w:space="0"/>
              <w:bottom w:val="single" w:color="auto" w:sz="4" w:space="0"/>
              <w:right w:val="single" w:color="auto" w:sz="4" w:space="0"/>
            </w:tcBorders>
            <w:vAlign w:val="center"/>
          </w:tcPr>
          <w:p w14:paraId="5EC94955">
            <w:pPr>
              <w:pStyle w:val="84"/>
              <w:rPr>
                <w:rFonts w:ascii="Times New Roman" w:hAnsi="Times New Roman"/>
                <w:color w:val="auto"/>
              </w:rPr>
            </w:pPr>
            <w:r>
              <w:rPr>
                <w:rFonts w:ascii="Times New Roman" w:hAnsi="Times New Roman"/>
                <w:color w:val="auto"/>
              </w:rPr>
              <w:t>极高危害（P1）</w:t>
            </w:r>
          </w:p>
        </w:tc>
        <w:tc>
          <w:tcPr>
            <w:tcW w:w="1000" w:type="pct"/>
            <w:tcBorders>
              <w:top w:val="single" w:color="auto" w:sz="4" w:space="0"/>
              <w:left w:val="single" w:color="auto" w:sz="4" w:space="0"/>
              <w:bottom w:val="single" w:color="auto" w:sz="4" w:space="0"/>
              <w:right w:val="single" w:color="auto" w:sz="4" w:space="0"/>
            </w:tcBorders>
            <w:vAlign w:val="center"/>
          </w:tcPr>
          <w:p w14:paraId="4C782489">
            <w:pPr>
              <w:pStyle w:val="84"/>
              <w:rPr>
                <w:rFonts w:ascii="Times New Roman" w:hAnsi="Times New Roman"/>
                <w:color w:val="auto"/>
              </w:rPr>
            </w:pPr>
            <w:r>
              <w:rPr>
                <w:rFonts w:ascii="Times New Roman" w:hAnsi="Times New Roman"/>
                <w:color w:val="auto"/>
              </w:rPr>
              <w:t>高度危害（P2）</w:t>
            </w:r>
          </w:p>
        </w:tc>
        <w:tc>
          <w:tcPr>
            <w:tcW w:w="1000" w:type="pct"/>
            <w:tcBorders>
              <w:top w:val="single" w:color="auto" w:sz="4" w:space="0"/>
              <w:left w:val="single" w:color="auto" w:sz="4" w:space="0"/>
              <w:bottom w:val="single" w:color="auto" w:sz="4" w:space="0"/>
              <w:right w:val="single" w:color="auto" w:sz="4" w:space="0"/>
            </w:tcBorders>
            <w:vAlign w:val="center"/>
          </w:tcPr>
          <w:p w14:paraId="6F4A3F5E">
            <w:pPr>
              <w:pStyle w:val="84"/>
              <w:rPr>
                <w:rFonts w:ascii="Times New Roman" w:hAnsi="Times New Roman"/>
                <w:color w:val="auto"/>
              </w:rPr>
            </w:pPr>
            <w:r>
              <w:rPr>
                <w:rFonts w:ascii="Times New Roman" w:hAnsi="Times New Roman"/>
                <w:color w:val="auto"/>
              </w:rPr>
              <w:t>中度危害（P3）</w:t>
            </w:r>
          </w:p>
        </w:tc>
        <w:tc>
          <w:tcPr>
            <w:tcW w:w="1001" w:type="pct"/>
            <w:tcBorders>
              <w:top w:val="single" w:color="auto" w:sz="4" w:space="0"/>
              <w:left w:val="single" w:color="auto" w:sz="4" w:space="0"/>
              <w:bottom w:val="single" w:color="auto" w:sz="4" w:space="0"/>
              <w:right w:val="nil"/>
            </w:tcBorders>
            <w:vAlign w:val="center"/>
          </w:tcPr>
          <w:p w14:paraId="22888B06">
            <w:pPr>
              <w:pStyle w:val="84"/>
              <w:rPr>
                <w:rFonts w:ascii="Times New Roman" w:hAnsi="Times New Roman"/>
                <w:color w:val="auto"/>
              </w:rPr>
            </w:pPr>
            <w:r>
              <w:rPr>
                <w:rFonts w:ascii="Times New Roman" w:hAnsi="Times New Roman"/>
                <w:color w:val="auto"/>
              </w:rPr>
              <w:t>轻度危害（P4）</w:t>
            </w:r>
          </w:p>
        </w:tc>
      </w:tr>
      <w:tr w14:paraId="47D5EA4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4" w:space="0"/>
              <w:left w:val="nil"/>
              <w:bottom w:val="single" w:color="auto" w:sz="4" w:space="0"/>
              <w:right w:val="single" w:color="auto" w:sz="4" w:space="0"/>
            </w:tcBorders>
            <w:vAlign w:val="center"/>
          </w:tcPr>
          <w:p w14:paraId="47D89056">
            <w:pPr>
              <w:pStyle w:val="84"/>
              <w:rPr>
                <w:rFonts w:ascii="Times New Roman" w:hAnsi="Times New Roman"/>
                <w:color w:val="auto"/>
              </w:rPr>
            </w:pPr>
            <w:r>
              <w:rPr>
                <w:rFonts w:ascii="Times New Roman" w:hAnsi="Times New Roman"/>
                <w:color w:val="auto"/>
              </w:rPr>
              <w:t>环境高度敏感区（E1）</w:t>
            </w:r>
          </w:p>
        </w:tc>
        <w:tc>
          <w:tcPr>
            <w:tcW w:w="1000" w:type="pct"/>
            <w:tcBorders>
              <w:top w:val="single" w:color="auto" w:sz="4" w:space="0"/>
              <w:left w:val="single" w:color="auto" w:sz="4" w:space="0"/>
              <w:bottom w:val="single" w:color="auto" w:sz="4" w:space="0"/>
              <w:right w:val="single" w:color="auto" w:sz="4" w:space="0"/>
            </w:tcBorders>
            <w:vAlign w:val="center"/>
          </w:tcPr>
          <w:p w14:paraId="1F86E00F">
            <w:pPr>
              <w:pStyle w:val="84"/>
              <w:rPr>
                <w:rFonts w:ascii="Times New Roman" w:hAnsi="Times New Roman"/>
                <w:color w:val="auto"/>
              </w:rPr>
            </w:pPr>
            <w:r>
              <w:rPr>
                <w:rFonts w:ascii="Times New Roman" w:hAnsi="Times New Roman"/>
                <w:color w:val="auto"/>
              </w:rPr>
              <w:t>Ⅳ+</w:t>
            </w:r>
          </w:p>
        </w:tc>
        <w:tc>
          <w:tcPr>
            <w:tcW w:w="1000" w:type="pct"/>
            <w:tcBorders>
              <w:top w:val="single" w:color="auto" w:sz="4" w:space="0"/>
              <w:left w:val="single" w:color="auto" w:sz="4" w:space="0"/>
              <w:bottom w:val="single" w:color="auto" w:sz="4" w:space="0"/>
              <w:right w:val="single" w:color="auto" w:sz="4" w:space="0"/>
            </w:tcBorders>
            <w:vAlign w:val="center"/>
          </w:tcPr>
          <w:p w14:paraId="107FE773">
            <w:pPr>
              <w:pStyle w:val="84"/>
              <w:rPr>
                <w:rFonts w:ascii="Times New Roman" w:hAnsi="Times New Roman"/>
                <w:color w:val="auto"/>
              </w:rPr>
            </w:pPr>
            <w:r>
              <w:rPr>
                <w:rFonts w:ascii="Times New Roman" w:hAnsi="Times New Roman"/>
                <w:color w:val="auto"/>
              </w:rPr>
              <w:t>Ⅳ</w:t>
            </w:r>
          </w:p>
        </w:tc>
        <w:tc>
          <w:tcPr>
            <w:tcW w:w="1000" w:type="pct"/>
            <w:tcBorders>
              <w:top w:val="single" w:color="auto" w:sz="4" w:space="0"/>
              <w:left w:val="single" w:color="auto" w:sz="4" w:space="0"/>
              <w:bottom w:val="single" w:color="auto" w:sz="4" w:space="0"/>
              <w:right w:val="single" w:color="auto" w:sz="4" w:space="0"/>
            </w:tcBorders>
            <w:vAlign w:val="center"/>
          </w:tcPr>
          <w:p w14:paraId="1C6FE170">
            <w:pPr>
              <w:pStyle w:val="84"/>
              <w:rPr>
                <w:rFonts w:ascii="Times New Roman" w:hAnsi="Times New Roman"/>
                <w:color w:val="auto"/>
              </w:rPr>
            </w:pPr>
            <w:r>
              <w:rPr>
                <w:rFonts w:ascii="Times New Roman" w:hAnsi="Times New Roman"/>
                <w:color w:val="auto"/>
              </w:rPr>
              <w:t>Ⅲ</w:t>
            </w:r>
          </w:p>
        </w:tc>
        <w:tc>
          <w:tcPr>
            <w:tcW w:w="1001" w:type="pct"/>
            <w:tcBorders>
              <w:top w:val="single" w:color="auto" w:sz="4" w:space="0"/>
              <w:left w:val="single" w:color="auto" w:sz="4" w:space="0"/>
              <w:bottom w:val="single" w:color="auto" w:sz="4" w:space="0"/>
              <w:right w:val="nil"/>
            </w:tcBorders>
            <w:vAlign w:val="center"/>
          </w:tcPr>
          <w:p w14:paraId="33A0253D">
            <w:pPr>
              <w:pStyle w:val="84"/>
              <w:rPr>
                <w:rFonts w:ascii="Times New Roman" w:hAnsi="Times New Roman"/>
                <w:color w:val="auto"/>
              </w:rPr>
            </w:pPr>
            <w:r>
              <w:rPr>
                <w:rFonts w:ascii="Times New Roman" w:hAnsi="Times New Roman"/>
                <w:color w:val="auto"/>
              </w:rPr>
              <w:t>Ⅲ</w:t>
            </w:r>
          </w:p>
        </w:tc>
      </w:tr>
      <w:tr w14:paraId="554B9F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4" w:space="0"/>
              <w:left w:val="nil"/>
              <w:bottom w:val="single" w:color="auto" w:sz="4" w:space="0"/>
              <w:right w:val="single" w:color="auto" w:sz="4" w:space="0"/>
            </w:tcBorders>
            <w:vAlign w:val="center"/>
          </w:tcPr>
          <w:p w14:paraId="58DA425F">
            <w:pPr>
              <w:pStyle w:val="84"/>
              <w:rPr>
                <w:rFonts w:ascii="Times New Roman" w:hAnsi="Times New Roman"/>
                <w:color w:val="auto"/>
              </w:rPr>
            </w:pPr>
            <w:r>
              <w:rPr>
                <w:rFonts w:ascii="Times New Roman" w:hAnsi="Times New Roman"/>
                <w:color w:val="auto"/>
              </w:rPr>
              <w:t>环境中度敏感区（E2）</w:t>
            </w:r>
          </w:p>
        </w:tc>
        <w:tc>
          <w:tcPr>
            <w:tcW w:w="1000" w:type="pct"/>
            <w:tcBorders>
              <w:top w:val="single" w:color="auto" w:sz="4" w:space="0"/>
              <w:left w:val="single" w:color="auto" w:sz="4" w:space="0"/>
              <w:bottom w:val="single" w:color="auto" w:sz="4" w:space="0"/>
              <w:right w:val="single" w:color="auto" w:sz="4" w:space="0"/>
            </w:tcBorders>
            <w:vAlign w:val="center"/>
          </w:tcPr>
          <w:p w14:paraId="2D31AE63">
            <w:pPr>
              <w:pStyle w:val="84"/>
              <w:rPr>
                <w:rFonts w:ascii="Times New Roman" w:hAnsi="Times New Roman"/>
                <w:color w:val="auto"/>
              </w:rPr>
            </w:pPr>
            <w:r>
              <w:rPr>
                <w:rFonts w:ascii="Times New Roman" w:hAnsi="Times New Roman"/>
                <w:color w:val="auto"/>
              </w:rPr>
              <w:t>Ⅳ</w:t>
            </w:r>
          </w:p>
        </w:tc>
        <w:tc>
          <w:tcPr>
            <w:tcW w:w="1000" w:type="pct"/>
            <w:tcBorders>
              <w:top w:val="single" w:color="auto" w:sz="4" w:space="0"/>
              <w:left w:val="single" w:color="auto" w:sz="4" w:space="0"/>
              <w:bottom w:val="single" w:color="auto" w:sz="4" w:space="0"/>
              <w:right w:val="single" w:color="auto" w:sz="4" w:space="0"/>
            </w:tcBorders>
            <w:vAlign w:val="center"/>
          </w:tcPr>
          <w:p w14:paraId="2715B4D5">
            <w:pPr>
              <w:pStyle w:val="84"/>
              <w:rPr>
                <w:rFonts w:ascii="Times New Roman" w:hAnsi="Times New Roman"/>
                <w:color w:val="auto"/>
              </w:rPr>
            </w:pPr>
            <w:r>
              <w:rPr>
                <w:rFonts w:ascii="Times New Roman" w:hAnsi="Times New Roman"/>
                <w:color w:val="auto"/>
              </w:rPr>
              <w:t>Ⅲ</w:t>
            </w:r>
          </w:p>
        </w:tc>
        <w:tc>
          <w:tcPr>
            <w:tcW w:w="1000" w:type="pct"/>
            <w:tcBorders>
              <w:top w:val="single" w:color="auto" w:sz="4" w:space="0"/>
              <w:left w:val="single" w:color="auto" w:sz="4" w:space="0"/>
              <w:bottom w:val="single" w:color="auto" w:sz="4" w:space="0"/>
              <w:right w:val="single" w:color="auto" w:sz="4" w:space="0"/>
            </w:tcBorders>
            <w:vAlign w:val="center"/>
          </w:tcPr>
          <w:p w14:paraId="1713ABCD">
            <w:pPr>
              <w:pStyle w:val="84"/>
              <w:rPr>
                <w:rFonts w:ascii="Times New Roman" w:hAnsi="Times New Roman"/>
                <w:color w:val="auto"/>
              </w:rPr>
            </w:pPr>
            <w:r>
              <w:rPr>
                <w:rFonts w:ascii="Times New Roman" w:hAnsi="Times New Roman"/>
                <w:color w:val="auto"/>
              </w:rPr>
              <w:t>Ⅲ</w:t>
            </w:r>
          </w:p>
        </w:tc>
        <w:tc>
          <w:tcPr>
            <w:tcW w:w="1001" w:type="pct"/>
            <w:tcBorders>
              <w:top w:val="single" w:color="auto" w:sz="4" w:space="0"/>
              <w:left w:val="single" w:color="auto" w:sz="4" w:space="0"/>
              <w:bottom w:val="single" w:color="auto" w:sz="4" w:space="0"/>
              <w:right w:val="nil"/>
            </w:tcBorders>
            <w:vAlign w:val="center"/>
          </w:tcPr>
          <w:p w14:paraId="6005E628">
            <w:pPr>
              <w:pStyle w:val="84"/>
              <w:rPr>
                <w:rFonts w:ascii="Times New Roman" w:hAnsi="Times New Roman"/>
                <w:color w:val="auto"/>
              </w:rPr>
            </w:pPr>
            <w:r>
              <w:rPr>
                <w:rFonts w:ascii="Times New Roman" w:hAnsi="Times New Roman"/>
                <w:color w:val="auto"/>
              </w:rPr>
              <w:t>Ⅱ</w:t>
            </w:r>
          </w:p>
        </w:tc>
      </w:tr>
      <w:tr w14:paraId="615F9D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000" w:type="pct"/>
            <w:tcBorders>
              <w:top w:val="single" w:color="auto" w:sz="4" w:space="0"/>
              <w:left w:val="nil"/>
              <w:bottom w:val="single" w:color="auto" w:sz="4" w:space="0"/>
              <w:right w:val="single" w:color="auto" w:sz="4" w:space="0"/>
            </w:tcBorders>
            <w:vAlign w:val="center"/>
          </w:tcPr>
          <w:p w14:paraId="59AD1DF7">
            <w:pPr>
              <w:pStyle w:val="84"/>
              <w:rPr>
                <w:rFonts w:ascii="Times New Roman" w:hAnsi="Times New Roman"/>
                <w:color w:val="auto"/>
              </w:rPr>
            </w:pPr>
            <w:r>
              <w:rPr>
                <w:rFonts w:ascii="Times New Roman" w:hAnsi="Times New Roman"/>
                <w:color w:val="auto"/>
              </w:rPr>
              <w:t>环境低度敏感区（E3）</w:t>
            </w:r>
          </w:p>
        </w:tc>
        <w:tc>
          <w:tcPr>
            <w:tcW w:w="1000" w:type="pct"/>
            <w:tcBorders>
              <w:top w:val="single" w:color="auto" w:sz="4" w:space="0"/>
              <w:left w:val="single" w:color="auto" w:sz="4" w:space="0"/>
              <w:bottom w:val="single" w:color="auto" w:sz="4" w:space="0"/>
              <w:right w:val="single" w:color="auto" w:sz="4" w:space="0"/>
            </w:tcBorders>
            <w:vAlign w:val="center"/>
          </w:tcPr>
          <w:p w14:paraId="04143263">
            <w:pPr>
              <w:pStyle w:val="84"/>
              <w:rPr>
                <w:rFonts w:ascii="Times New Roman" w:hAnsi="Times New Roman"/>
                <w:color w:val="auto"/>
              </w:rPr>
            </w:pPr>
            <w:r>
              <w:rPr>
                <w:rFonts w:ascii="Times New Roman" w:hAnsi="Times New Roman"/>
                <w:color w:val="auto"/>
              </w:rPr>
              <w:t>Ⅲ</w:t>
            </w:r>
          </w:p>
        </w:tc>
        <w:tc>
          <w:tcPr>
            <w:tcW w:w="1000" w:type="pct"/>
            <w:tcBorders>
              <w:top w:val="single" w:color="auto" w:sz="4" w:space="0"/>
              <w:left w:val="single" w:color="auto" w:sz="4" w:space="0"/>
              <w:bottom w:val="single" w:color="auto" w:sz="4" w:space="0"/>
              <w:right w:val="single" w:color="auto" w:sz="4" w:space="0"/>
            </w:tcBorders>
            <w:vAlign w:val="center"/>
          </w:tcPr>
          <w:p w14:paraId="2A979BC6">
            <w:pPr>
              <w:pStyle w:val="84"/>
              <w:rPr>
                <w:rFonts w:ascii="Times New Roman" w:hAnsi="Times New Roman"/>
                <w:color w:val="auto"/>
              </w:rPr>
            </w:pPr>
            <w:r>
              <w:rPr>
                <w:rFonts w:ascii="Times New Roman" w:hAnsi="Times New Roman"/>
                <w:color w:val="auto"/>
              </w:rPr>
              <w:t>Ⅲ</w:t>
            </w:r>
          </w:p>
        </w:tc>
        <w:tc>
          <w:tcPr>
            <w:tcW w:w="1000" w:type="pct"/>
            <w:tcBorders>
              <w:top w:val="single" w:color="auto" w:sz="4" w:space="0"/>
              <w:left w:val="single" w:color="auto" w:sz="4" w:space="0"/>
              <w:bottom w:val="single" w:color="auto" w:sz="4" w:space="0"/>
              <w:right w:val="single" w:color="auto" w:sz="4" w:space="0"/>
            </w:tcBorders>
            <w:vAlign w:val="center"/>
          </w:tcPr>
          <w:p w14:paraId="1F13B237">
            <w:pPr>
              <w:pStyle w:val="84"/>
              <w:rPr>
                <w:rFonts w:ascii="Times New Roman" w:hAnsi="Times New Roman"/>
                <w:color w:val="auto"/>
              </w:rPr>
            </w:pPr>
            <w:r>
              <w:rPr>
                <w:rFonts w:ascii="Times New Roman" w:hAnsi="Times New Roman"/>
                <w:color w:val="auto"/>
              </w:rPr>
              <w:t>Ⅱ</w:t>
            </w:r>
          </w:p>
        </w:tc>
        <w:tc>
          <w:tcPr>
            <w:tcW w:w="1001" w:type="pct"/>
            <w:tcBorders>
              <w:top w:val="single" w:color="auto" w:sz="4" w:space="0"/>
              <w:left w:val="single" w:color="auto" w:sz="4" w:space="0"/>
              <w:bottom w:val="single" w:color="auto" w:sz="4" w:space="0"/>
              <w:right w:val="nil"/>
            </w:tcBorders>
            <w:vAlign w:val="center"/>
          </w:tcPr>
          <w:p w14:paraId="51FE5726">
            <w:pPr>
              <w:pStyle w:val="84"/>
              <w:rPr>
                <w:rFonts w:ascii="Times New Roman" w:hAnsi="Times New Roman"/>
                <w:color w:val="auto"/>
              </w:rPr>
            </w:pPr>
            <w:r>
              <w:rPr>
                <w:rFonts w:ascii="Times New Roman" w:hAnsi="Times New Roman"/>
                <w:color w:val="auto"/>
              </w:rPr>
              <w:t>Ⅰ</w:t>
            </w:r>
          </w:p>
        </w:tc>
      </w:tr>
      <w:tr w14:paraId="6EAFA4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5"/>
            <w:tcBorders>
              <w:top w:val="single" w:color="auto" w:sz="4" w:space="0"/>
              <w:left w:val="nil"/>
              <w:bottom w:val="single" w:color="auto" w:sz="12" w:space="0"/>
              <w:right w:val="nil"/>
            </w:tcBorders>
            <w:vAlign w:val="center"/>
          </w:tcPr>
          <w:p w14:paraId="4A4EA873">
            <w:pPr>
              <w:pStyle w:val="84"/>
              <w:ind w:firstLine="420"/>
              <w:jc w:val="both"/>
              <w:rPr>
                <w:rFonts w:ascii="Times New Roman" w:hAnsi="Times New Roman"/>
                <w:b/>
                <w:color w:val="auto"/>
              </w:rPr>
            </w:pPr>
            <w:r>
              <w:rPr>
                <w:rFonts w:ascii="Times New Roman" w:hAnsi="Times New Roman"/>
                <w:color w:val="auto"/>
              </w:rPr>
              <w:t>注：</w:t>
            </w:r>
            <w:r>
              <w:rPr>
                <w:rFonts w:ascii="Calibri" w:hAnsi="Calibri"/>
                <w:color w:val="auto"/>
              </w:rPr>
              <w:fldChar w:fldCharType="begin"/>
            </w:r>
            <w:r>
              <w:rPr>
                <w:rFonts w:ascii="Times New Roman" w:hAnsi="Times New Roman"/>
                <w:color w:val="auto"/>
              </w:rPr>
              <w:instrText xml:space="preserve"> = 4 \* ROMAN \* MERGEFORMAT </w:instrText>
            </w:r>
            <w:r>
              <w:rPr>
                <w:rFonts w:ascii="Calibri" w:hAnsi="Calibri"/>
                <w:color w:val="auto"/>
              </w:rPr>
              <w:fldChar w:fldCharType="separate"/>
            </w:r>
            <w:r>
              <w:rPr>
                <w:rFonts w:ascii="Times New Roman" w:hAnsi="Times New Roman"/>
                <w:color w:val="auto"/>
              </w:rPr>
              <w:t>IV</w:t>
            </w:r>
            <w:r>
              <w:rPr>
                <w:rFonts w:ascii="Calibri" w:hAnsi="Calibri"/>
                <w:color w:val="auto"/>
              </w:rPr>
              <w:fldChar w:fldCharType="end"/>
            </w:r>
            <w:r>
              <w:rPr>
                <w:rFonts w:ascii="Times New Roman" w:hAnsi="Times New Roman"/>
                <w:color w:val="auto"/>
                <w:vertAlign w:val="superscript"/>
              </w:rPr>
              <w:t>+</w:t>
            </w:r>
            <w:r>
              <w:rPr>
                <w:rFonts w:ascii="Times New Roman" w:hAnsi="Times New Roman"/>
                <w:color w:val="auto"/>
              </w:rPr>
              <w:t>为极高环境风险；危险物质数量与临界量比值Q＜1，项目环境风险潜势为I。</w:t>
            </w:r>
          </w:p>
        </w:tc>
      </w:tr>
    </w:tbl>
    <w:p w14:paraId="16149258">
      <w:pPr>
        <w:spacing w:line="500" w:lineRule="exact"/>
        <w:ind w:firstLine="480" w:firstLineChars="200"/>
        <w:rPr>
          <w:color w:val="auto"/>
          <w:sz w:val="24"/>
          <w:szCs w:val="22"/>
        </w:rPr>
      </w:pPr>
      <w:r>
        <w:rPr>
          <w:rFonts w:hint="eastAsia"/>
          <w:color w:val="auto"/>
          <w:sz w:val="24"/>
        </w:rPr>
        <w:t>本项目</w:t>
      </w:r>
      <w:r>
        <w:rPr>
          <w:color w:val="auto"/>
          <w:sz w:val="24"/>
        </w:rPr>
        <w:t>Q</w:t>
      </w:r>
      <w:r>
        <w:rPr>
          <w:rFonts w:hint="eastAsia"/>
          <w:color w:val="auto"/>
          <w:sz w:val="24"/>
        </w:rPr>
        <w:t>＜</w:t>
      </w:r>
      <w:r>
        <w:rPr>
          <w:color w:val="auto"/>
          <w:sz w:val="24"/>
        </w:rPr>
        <w:t>1</w:t>
      </w:r>
      <w:r>
        <w:rPr>
          <w:rFonts w:hint="eastAsia"/>
          <w:color w:val="auto"/>
          <w:sz w:val="24"/>
        </w:rPr>
        <w:t>，根据《建设项目环境风险评价技术导则》（</w:t>
      </w:r>
      <w:r>
        <w:rPr>
          <w:color w:val="auto"/>
          <w:sz w:val="24"/>
        </w:rPr>
        <w:t>HJ169-2018</w:t>
      </w:r>
      <w:r>
        <w:rPr>
          <w:rFonts w:hint="eastAsia"/>
          <w:color w:val="auto"/>
          <w:sz w:val="24"/>
        </w:rPr>
        <w:t>）附录</w:t>
      </w:r>
      <w:r>
        <w:rPr>
          <w:color w:val="auto"/>
          <w:sz w:val="24"/>
        </w:rPr>
        <w:t>C</w:t>
      </w:r>
      <w:r>
        <w:rPr>
          <w:rFonts w:hint="eastAsia"/>
          <w:color w:val="auto"/>
          <w:sz w:val="24"/>
        </w:rPr>
        <w:t>，本项目危险物质数量与临界量比值</w:t>
      </w:r>
      <w:r>
        <w:rPr>
          <w:color w:val="auto"/>
          <w:sz w:val="24"/>
        </w:rPr>
        <w:t>Q</w:t>
      </w:r>
      <w:r>
        <w:rPr>
          <w:rFonts w:hint="eastAsia"/>
          <w:color w:val="auto"/>
          <w:sz w:val="24"/>
        </w:rPr>
        <w:t>＜</w:t>
      </w:r>
      <w:r>
        <w:rPr>
          <w:color w:val="auto"/>
          <w:sz w:val="24"/>
        </w:rPr>
        <w:t>1</w:t>
      </w:r>
      <w:r>
        <w:rPr>
          <w:rFonts w:hint="eastAsia"/>
          <w:color w:val="auto"/>
          <w:sz w:val="24"/>
        </w:rPr>
        <w:t>，最终确定本项目环境风险潜势为</w:t>
      </w:r>
      <w:r>
        <w:rPr>
          <w:color w:val="auto"/>
          <w:sz w:val="24"/>
        </w:rPr>
        <w:fldChar w:fldCharType="begin"/>
      </w:r>
      <w:r>
        <w:rPr>
          <w:color w:val="auto"/>
          <w:sz w:val="24"/>
        </w:rPr>
        <w:instrText xml:space="preserve"> = 1 \* ROMAN </w:instrText>
      </w:r>
      <w:r>
        <w:rPr>
          <w:color w:val="auto"/>
          <w:sz w:val="24"/>
        </w:rPr>
        <w:fldChar w:fldCharType="separate"/>
      </w:r>
      <w:r>
        <w:rPr>
          <w:color w:val="auto"/>
          <w:sz w:val="24"/>
        </w:rPr>
        <w:t>I</w:t>
      </w:r>
      <w:r>
        <w:rPr>
          <w:color w:val="auto"/>
          <w:sz w:val="24"/>
        </w:rPr>
        <w:fldChar w:fldCharType="end"/>
      </w:r>
      <w:r>
        <w:rPr>
          <w:rFonts w:hint="eastAsia"/>
          <w:color w:val="auto"/>
          <w:sz w:val="24"/>
        </w:rPr>
        <w:t>。</w:t>
      </w:r>
    </w:p>
    <w:p w14:paraId="578268D4">
      <w:pPr>
        <w:spacing w:line="500" w:lineRule="exact"/>
        <w:ind w:firstLine="480" w:firstLineChars="200"/>
        <w:rPr>
          <w:color w:val="auto"/>
          <w:sz w:val="24"/>
        </w:rPr>
      </w:pPr>
      <w:r>
        <w:rPr>
          <w:color w:val="auto"/>
          <w:sz w:val="24"/>
        </w:rPr>
        <w:t>3</w:t>
      </w:r>
      <w:r>
        <w:rPr>
          <w:rFonts w:hint="eastAsia"/>
          <w:color w:val="auto"/>
          <w:sz w:val="24"/>
        </w:rPr>
        <w:t>、风险评价等级</w:t>
      </w:r>
    </w:p>
    <w:p w14:paraId="02308C58">
      <w:pPr>
        <w:spacing w:line="500" w:lineRule="exact"/>
        <w:ind w:firstLine="480" w:firstLineChars="200"/>
        <w:rPr>
          <w:color w:val="auto"/>
          <w:sz w:val="24"/>
        </w:rPr>
      </w:pPr>
      <w:r>
        <w:rPr>
          <w:rFonts w:hint="eastAsia"/>
          <w:color w:val="auto"/>
          <w:sz w:val="24"/>
        </w:rPr>
        <w:t>依据《建设项目环境风险评价技术导则》（</w:t>
      </w:r>
      <w:r>
        <w:rPr>
          <w:color w:val="auto"/>
          <w:sz w:val="24"/>
        </w:rPr>
        <w:t>HJ169-2018</w:t>
      </w:r>
      <w:r>
        <w:rPr>
          <w:rFonts w:hint="eastAsia"/>
          <w:color w:val="auto"/>
          <w:sz w:val="24"/>
        </w:rPr>
        <w:t>）的有关规定，环境风险评价工作等级划分为一级、二级、三级。根据建设项目涉及的物质及工艺系统危险性和所在地的环境敏感性确定环境风险潜势，按照下表确定评价工作等级。风险潜势为</w:t>
      </w:r>
      <w:r>
        <w:rPr>
          <w:color w:val="auto"/>
          <w:sz w:val="24"/>
        </w:rPr>
        <w:t>Ⅳ</w:t>
      </w:r>
      <w:r>
        <w:rPr>
          <w:rFonts w:hint="eastAsia"/>
          <w:color w:val="auto"/>
          <w:sz w:val="24"/>
        </w:rPr>
        <w:t>及以上，进行一级评价；风险潜势为</w:t>
      </w:r>
      <w:r>
        <w:rPr>
          <w:color w:val="auto"/>
          <w:sz w:val="24"/>
        </w:rPr>
        <w:t>Ⅲ</w:t>
      </w:r>
      <w:r>
        <w:rPr>
          <w:rFonts w:hint="eastAsia"/>
          <w:color w:val="auto"/>
          <w:sz w:val="24"/>
        </w:rPr>
        <w:t>，进行二级评价；风险潜势为</w:t>
      </w:r>
      <w:r>
        <w:rPr>
          <w:color w:val="auto"/>
          <w:sz w:val="24"/>
        </w:rPr>
        <w:t>Ⅱ</w:t>
      </w:r>
      <w:r>
        <w:rPr>
          <w:rFonts w:hint="eastAsia"/>
          <w:color w:val="auto"/>
          <w:sz w:val="24"/>
        </w:rPr>
        <w:t>，进行三级评价；风险潜势为</w:t>
      </w:r>
      <w:r>
        <w:rPr>
          <w:color w:val="auto"/>
          <w:sz w:val="24"/>
        </w:rPr>
        <w:t>Ⅰ</w:t>
      </w:r>
      <w:r>
        <w:rPr>
          <w:rFonts w:hint="eastAsia"/>
          <w:color w:val="auto"/>
          <w:sz w:val="24"/>
        </w:rPr>
        <w:t>，可开展简单分析。</w:t>
      </w:r>
    </w:p>
    <w:p w14:paraId="58E5030E">
      <w:pPr>
        <w:pStyle w:val="76"/>
        <w:ind w:left="1260" w:hanging="420"/>
        <w:rPr>
          <w:rFonts w:cs="Times New Roman"/>
          <w:color w:val="auto"/>
        </w:rPr>
      </w:pPr>
      <w:r>
        <w:rPr>
          <w:rFonts w:hint="eastAsia"/>
          <w:color w:val="auto"/>
        </w:rPr>
        <w:t>表</w:t>
      </w:r>
      <w:r>
        <w:rPr>
          <w:color w:val="auto"/>
        </w:rPr>
        <w:t>2-6-11</w:t>
      </w:r>
      <w:r>
        <w:rPr>
          <w:rFonts w:hint="eastAsia"/>
          <w:color w:val="auto"/>
        </w:rPr>
        <w:t>风险评价工作等级划分表</w:t>
      </w:r>
    </w:p>
    <w:tbl>
      <w:tblPr>
        <w:tblStyle w:val="45"/>
        <w:tblW w:w="5000" w:type="pct"/>
        <w:tblInd w:w="0" w:type="dxa"/>
        <w:tblBorders>
          <w:top w:val="single" w:color="auto" w:sz="8" w:space="0"/>
          <w:left w:val="none" w:color="auto" w:sz="0" w:space="0"/>
          <w:bottom w:val="single" w:color="auto" w:sz="8"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1805"/>
        <w:gridCol w:w="1805"/>
        <w:gridCol w:w="1805"/>
        <w:gridCol w:w="1805"/>
        <w:gridCol w:w="1806"/>
      </w:tblGrid>
      <w:tr w14:paraId="26A65060">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1000" w:type="pct"/>
            <w:tcBorders>
              <w:top w:val="single" w:color="auto" w:sz="12" w:space="0"/>
              <w:left w:val="nil"/>
              <w:bottom w:val="single" w:color="auto" w:sz="8" w:space="0"/>
              <w:right w:val="single" w:color="auto" w:sz="8" w:space="0"/>
            </w:tcBorders>
            <w:vAlign w:val="center"/>
          </w:tcPr>
          <w:p w14:paraId="2F2E9BF5">
            <w:pPr>
              <w:pStyle w:val="84"/>
              <w:rPr>
                <w:color w:val="auto"/>
              </w:rPr>
            </w:pPr>
            <w:r>
              <w:rPr>
                <w:rFonts w:hint="eastAsia"/>
                <w:color w:val="auto"/>
              </w:rPr>
              <w:t>环境风险潜势</w:t>
            </w:r>
          </w:p>
        </w:tc>
        <w:tc>
          <w:tcPr>
            <w:tcW w:w="1000" w:type="pct"/>
            <w:tcBorders>
              <w:top w:val="single" w:color="auto" w:sz="12" w:space="0"/>
              <w:left w:val="single" w:color="auto" w:sz="8" w:space="0"/>
              <w:bottom w:val="single" w:color="auto" w:sz="8" w:space="0"/>
              <w:right w:val="single" w:color="auto" w:sz="8" w:space="0"/>
            </w:tcBorders>
            <w:vAlign w:val="center"/>
          </w:tcPr>
          <w:p w14:paraId="664D8B9B">
            <w:pPr>
              <w:pStyle w:val="84"/>
              <w:rPr>
                <w:color w:val="auto"/>
              </w:rPr>
            </w:pPr>
            <w:r>
              <w:rPr>
                <w:color w:val="auto"/>
              </w:rPr>
              <w:t>Ⅳ</w:t>
            </w:r>
            <w:r>
              <w:rPr>
                <w:rFonts w:hint="eastAsia"/>
                <w:color w:val="auto"/>
              </w:rPr>
              <w:t>、</w:t>
            </w:r>
            <w:r>
              <w:rPr>
                <w:color w:val="auto"/>
              </w:rPr>
              <w:t>Ⅳ+</w:t>
            </w:r>
          </w:p>
        </w:tc>
        <w:tc>
          <w:tcPr>
            <w:tcW w:w="1000" w:type="pct"/>
            <w:tcBorders>
              <w:top w:val="single" w:color="auto" w:sz="12" w:space="0"/>
              <w:left w:val="single" w:color="auto" w:sz="8" w:space="0"/>
              <w:bottom w:val="single" w:color="auto" w:sz="8" w:space="0"/>
              <w:right w:val="single" w:color="auto" w:sz="8" w:space="0"/>
            </w:tcBorders>
            <w:vAlign w:val="center"/>
          </w:tcPr>
          <w:p w14:paraId="0A0178A0">
            <w:pPr>
              <w:pStyle w:val="84"/>
              <w:rPr>
                <w:color w:val="auto"/>
              </w:rPr>
            </w:pPr>
            <w:r>
              <w:rPr>
                <w:color w:val="auto"/>
              </w:rPr>
              <w:t>Ⅲ</w:t>
            </w:r>
          </w:p>
        </w:tc>
        <w:tc>
          <w:tcPr>
            <w:tcW w:w="1000" w:type="pct"/>
            <w:tcBorders>
              <w:top w:val="single" w:color="auto" w:sz="12" w:space="0"/>
              <w:left w:val="single" w:color="auto" w:sz="8" w:space="0"/>
              <w:bottom w:val="single" w:color="auto" w:sz="8" w:space="0"/>
              <w:right w:val="single" w:color="auto" w:sz="8" w:space="0"/>
            </w:tcBorders>
            <w:vAlign w:val="center"/>
          </w:tcPr>
          <w:p w14:paraId="2D2A6651">
            <w:pPr>
              <w:pStyle w:val="84"/>
              <w:rPr>
                <w:color w:val="auto"/>
              </w:rPr>
            </w:pPr>
            <w:r>
              <w:rPr>
                <w:color w:val="auto"/>
              </w:rPr>
              <w:t>Ⅱ</w:t>
            </w:r>
          </w:p>
        </w:tc>
        <w:tc>
          <w:tcPr>
            <w:tcW w:w="1000" w:type="pct"/>
            <w:tcBorders>
              <w:top w:val="single" w:color="auto" w:sz="12" w:space="0"/>
              <w:left w:val="single" w:color="auto" w:sz="8" w:space="0"/>
              <w:bottom w:val="single" w:color="auto" w:sz="8" w:space="0"/>
              <w:right w:val="nil"/>
            </w:tcBorders>
            <w:vAlign w:val="center"/>
          </w:tcPr>
          <w:p w14:paraId="0CAF91CB">
            <w:pPr>
              <w:pStyle w:val="84"/>
              <w:rPr>
                <w:color w:val="auto"/>
              </w:rPr>
            </w:pPr>
            <w:r>
              <w:rPr>
                <w:color w:val="auto"/>
              </w:rPr>
              <w:t>Ⅰ</w:t>
            </w:r>
          </w:p>
        </w:tc>
      </w:tr>
      <w:tr w14:paraId="31055D6E">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1000" w:type="pct"/>
            <w:tcBorders>
              <w:top w:val="single" w:color="auto" w:sz="8" w:space="0"/>
              <w:left w:val="nil"/>
              <w:bottom w:val="single" w:color="auto" w:sz="8" w:space="0"/>
              <w:right w:val="single" w:color="auto" w:sz="8" w:space="0"/>
            </w:tcBorders>
            <w:vAlign w:val="center"/>
          </w:tcPr>
          <w:p w14:paraId="2447A624">
            <w:pPr>
              <w:pStyle w:val="84"/>
              <w:rPr>
                <w:color w:val="auto"/>
              </w:rPr>
            </w:pPr>
            <w:r>
              <w:rPr>
                <w:rFonts w:hint="eastAsia"/>
                <w:color w:val="auto"/>
              </w:rPr>
              <w:t>评价工作等级</w:t>
            </w:r>
          </w:p>
        </w:tc>
        <w:tc>
          <w:tcPr>
            <w:tcW w:w="1000" w:type="pct"/>
            <w:tcBorders>
              <w:top w:val="single" w:color="auto" w:sz="8" w:space="0"/>
              <w:left w:val="single" w:color="auto" w:sz="8" w:space="0"/>
              <w:bottom w:val="single" w:color="auto" w:sz="8" w:space="0"/>
              <w:right w:val="single" w:color="auto" w:sz="8" w:space="0"/>
            </w:tcBorders>
            <w:vAlign w:val="center"/>
          </w:tcPr>
          <w:p w14:paraId="669C3B1E">
            <w:pPr>
              <w:pStyle w:val="84"/>
              <w:rPr>
                <w:color w:val="auto"/>
              </w:rPr>
            </w:pPr>
            <w:r>
              <w:rPr>
                <w:rFonts w:hint="eastAsia"/>
                <w:color w:val="auto"/>
              </w:rPr>
              <w:t>一</w:t>
            </w:r>
          </w:p>
        </w:tc>
        <w:tc>
          <w:tcPr>
            <w:tcW w:w="1000" w:type="pct"/>
            <w:tcBorders>
              <w:top w:val="single" w:color="auto" w:sz="8" w:space="0"/>
              <w:left w:val="single" w:color="auto" w:sz="8" w:space="0"/>
              <w:bottom w:val="single" w:color="auto" w:sz="8" w:space="0"/>
              <w:right w:val="single" w:color="auto" w:sz="8" w:space="0"/>
            </w:tcBorders>
            <w:vAlign w:val="center"/>
          </w:tcPr>
          <w:p w14:paraId="67A83DB4">
            <w:pPr>
              <w:pStyle w:val="84"/>
              <w:rPr>
                <w:color w:val="auto"/>
              </w:rPr>
            </w:pPr>
            <w:r>
              <w:rPr>
                <w:rFonts w:hint="eastAsia"/>
                <w:color w:val="auto"/>
              </w:rPr>
              <w:t>二</w:t>
            </w:r>
          </w:p>
        </w:tc>
        <w:tc>
          <w:tcPr>
            <w:tcW w:w="1000" w:type="pct"/>
            <w:tcBorders>
              <w:top w:val="single" w:color="auto" w:sz="8" w:space="0"/>
              <w:left w:val="single" w:color="auto" w:sz="8" w:space="0"/>
              <w:bottom w:val="single" w:color="auto" w:sz="8" w:space="0"/>
              <w:right w:val="single" w:color="auto" w:sz="8" w:space="0"/>
            </w:tcBorders>
            <w:vAlign w:val="center"/>
          </w:tcPr>
          <w:p w14:paraId="258F61DF">
            <w:pPr>
              <w:pStyle w:val="84"/>
              <w:rPr>
                <w:color w:val="auto"/>
              </w:rPr>
            </w:pPr>
            <w:r>
              <w:rPr>
                <w:rFonts w:hint="eastAsia"/>
                <w:color w:val="auto"/>
              </w:rPr>
              <w:t>三</w:t>
            </w:r>
          </w:p>
        </w:tc>
        <w:tc>
          <w:tcPr>
            <w:tcW w:w="1000" w:type="pct"/>
            <w:tcBorders>
              <w:top w:val="single" w:color="auto" w:sz="8" w:space="0"/>
              <w:left w:val="single" w:color="auto" w:sz="8" w:space="0"/>
              <w:bottom w:val="single" w:color="auto" w:sz="8" w:space="0"/>
              <w:right w:val="nil"/>
            </w:tcBorders>
            <w:vAlign w:val="center"/>
          </w:tcPr>
          <w:p w14:paraId="6ABCAD95">
            <w:pPr>
              <w:pStyle w:val="84"/>
              <w:rPr>
                <w:color w:val="auto"/>
              </w:rPr>
            </w:pPr>
            <w:r>
              <w:rPr>
                <w:rFonts w:hint="eastAsia"/>
                <w:color w:val="auto"/>
              </w:rPr>
              <w:t>简单分析</w:t>
            </w:r>
            <w:r>
              <w:rPr>
                <w:color w:val="auto"/>
              </w:rPr>
              <w:t>a</w:t>
            </w:r>
          </w:p>
        </w:tc>
      </w:tr>
      <w:tr w14:paraId="79835761">
        <w:tblPrEx>
          <w:tblBorders>
            <w:top w:val="single" w:color="auto" w:sz="8" w:space="0"/>
            <w:left w:val="none" w:color="auto" w:sz="0" w:space="0"/>
            <w:bottom w:val="single" w:color="auto" w:sz="8"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rPr>
        <w:tc>
          <w:tcPr>
            <w:tcW w:w="5000" w:type="pct"/>
            <w:gridSpan w:val="5"/>
            <w:tcBorders>
              <w:top w:val="single" w:color="auto" w:sz="8" w:space="0"/>
              <w:left w:val="nil"/>
              <w:bottom w:val="single" w:color="auto" w:sz="12" w:space="0"/>
              <w:right w:val="nil"/>
            </w:tcBorders>
            <w:vAlign w:val="center"/>
          </w:tcPr>
          <w:p w14:paraId="0FEA4AEC">
            <w:pPr>
              <w:pStyle w:val="84"/>
              <w:jc w:val="both"/>
              <w:rPr>
                <w:color w:val="auto"/>
              </w:rPr>
            </w:pPr>
            <w:r>
              <w:rPr>
                <w:color w:val="auto"/>
              </w:rPr>
              <w:t>a</w:t>
            </w:r>
            <w:r>
              <w:rPr>
                <w:rFonts w:hint="eastAsia"/>
                <w:color w:val="auto"/>
              </w:rPr>
              <w:t>：是相对于详细评价工作内容而言，在描述危险物质、环境影响途径、环境危害后果、风险防范措施等方面给出定性的说明。</w:t>
            </w:r>
          </w:p>
        </w:tc>
      </w:tr>
    </w:tbl>
    <w:p w14:paraId="0F405256">
      <w:pPr>
        <w:spacing w:line="500" w:lineRule="exact"/>
        <w:ind w:firstLine="480" w:firstLineChars="200"/>
        <w:rPr>
          <w:color w:val="auto"/>
          <w:sz w:val="24"/>
          <w:szCs w:val="22"/>
        </w:rPr>
      </w:pPr>
      <w:r>
        <w:rPr>
          <w:rFonts w:hint="eastAsia"/>
          <w:color w:val="auto"/>
          <w:sz w:val="24"/>
        </w:rPr>
        <w:t>本项目环境风险潜势为</w:t>
      </w:r>
      <w:r>
        <w:rPr>
          <w:color w:val="auto"/>
          <w:sz w:val="24"/>
        </w:rPr>
        <w:t>Ⅰ</w:t>
      </w:r>
      <w:r>
        <w:rPr>
          <w:rFonts w:hint="eastAsia"/>
          <w:color w:val="auto"/>
          <w:sz w:val="24"/>
        </w:rPr>
        <w:t>，根据《建设项目环境风险评价技术导则》（</w:t>
      </w:r>
      <w:r>
        <w:rPr>
          <w:color w:val="auto"/>
          <w:sz w:val="24"/>
        </w:rPr>
        <w:t>HJ169-2018</w:t>
      </w:r>
      <w:r>
        <w:rPr>
          <w:rFonts w:hint="eastAsia"/>
          <w:color w:val="auto"/>
          <w:sz w:val="24"/>
        </w:rPr>
        <w:t>），本报告进行简单风险分析。</w:t>
      </w:r>
    </w:p>
    <w:p w14:paraId="4A1A722F">
      <w:pPr>
        <w:pStyle w:val="137"/>
        <w:rPr>
          <w:color w:val="auto"/>
        </w:rPr>
      </w:pPr>
      <w:r>
        <w:rPr>
          <w:color w:val="auto"/>
        </w:rPr>
        <w:t>2.6.7土壤评价工作等级</w:t>
      </w:r>
    </w:p>
    <w:p w14:paraId="49ECBAB1">
      <w:pPr>
        <w:spacing w:line="500" w:lineRule="exact"/>
        <w:ind w:firstLine="480" w:firstLineChars="200"/>
        <w:rPr>
          <w:color w:val="auto"/>
          <w:sz w:val="24"/>
        </w:rPr>
      </w:pPr>
      <w:r>
        <w:rPr>
          <w:rFonts w:hint="eastAsia"/>
          <w:color w:val="auto"/>
          <w:sz w:val="24"/>
        </w:rPr>
        <w:t>（</w:t>
      </w:r>
      <w:r>
        <w:rPr>
          <w:color w:val="auto"/>
          <w:sz w:val="24"/>
        </w:rPr>
        <w:t>1</w:t>
      </w:r>
      <w:r>
        <w:rPr>
          <w:rFonts w:hint="eastAsia"/>
          <w:color w:val="auto"/>
          <w:sz w:val="24"/>
        </w:rPr>
        <w:t>）项目类别</w:t>
      </w:r>
    </w:p>
    <w:p w14:paraId="24AE8DA8">
      <w:pPr>
        <w:spacing w:line="500" w:lineRule="exact"/>
        <w:ind w:firstLine="480" w:firstLineChars="200"/>
        <w:rPr>
          <w:color w:val="auto"/>
          <w:sz w:val="24"/>
        </w:rPr>
      </w:pPr>
      <w:r>
        <w:rPr>
          <w:rFonts w:hint="eastAsia"/>
          <w:color w:val="auto"/>
          <w:sz w:val="24"/>
        </w:rPr>
        <w:t>本项目的</w:t>
      </w:r>
      <w:r>
        <w:rPr>
          <w:rFonts w:hint="eastAsia"/>
          <w:color w:val="auto"/>
          <w:sz w:val="24"/>
          <w:lang w:eastAsia="zh-CN"/>
        </w:rPr>
        <w:t>灰渣</w:t>
      </w:r>
      <w:r>
        <w:rPr>
          <w:rFonts w:hint="eastAsia"/>
          <w:color w:val="auto"/>
          <w:sz w:val="24"/>
        </w:rPr>
        <w:t>根据固体废物鉴别标准鉴别为一般工业固体废物，其影响类似于</w:t>
      </w:r>
      <w:bookmarkStart w:id="63" w:name="_Hlk69720803"/>
      <w:r>
        <w:rPr>
          <w:rFonts w:hint="eastAsia"/>
          <w:color w:val="auto"/>
          <w:sz w:val="24"/>
        </w:rPr>
        <w:t>《环境影响评价技术导则</w:t>
      </w:r>
      <w:r>
        <w:rPr>
          <w:color w:val="auto"/>
          <w:sz w:val="24"/>
        </w:rPr>
        <w:t xml:space="preserve"> </w:t>
      </w:r>
      <w:r>
        <w:rPr>
          <w:rFonts w:hint="eastAsia"/>
          <w:color w:val="auto"/>
          <w:sz w:val="24"/>
        </w:rPr>
        <w:t>土壤环境》（</w:t>
      </w:r>
      <w:r>
        <w:rPr>
          <w:color w:val="auto"/>
          <w:sz w:val="24"/>
        </w:rPr>
        <w:t>HJ964-2018</w:t>
      </w:r>
      <w:r>
        <w:rPr>
          <w:rFonts w:hint="eastAsia"/>
          <w:color w:val="auto"/>
          <w:sz w:val="24"/>
        </w:rPr>
        <w:t>）</w:t>
      </w:r>
      <w:bookmarkEnd w:id="63"/>
      <w:r>
        <w:rPr>
          <w:rFonts w:hint="eastAsia"/>
          <w:color w:val="auto"/>
          <w:sz w:val="24"/>
        </w:rPr>
        <w:t>附录</w:t>
      </w:r>
      <w:r>
        <w:rPr>
          <w:color w:val="auto"/>
          <w:sz w:val="24"/>
        </w:rPr>
        <w:t>A</w:t>
      </w:r>
      <w:r>
        <w:rPr>
          <w:rFonts w:hint="eastAsia"/>
          <w:color w:val="auto"/>
          <w:sz w:val="24"/>
        </w:rPr>
        <w:t>中</w:t>
      </w:r>
      <w:r>
        <w:rPr>
          <w:rFonts w:hint="eastAsia" w:ascii="宋体" w:hAnsi="宋体" w:eastAsia="宋体" w:cs="宋体"/>
          <w:color w:val="auto"/>
          <w:sz w:val="24"/>
        </w:rPr>
        <w:t>“</w:t>
      </w:r>
      <w:r>
        <w:rPr>
          <w:rFonts w:hint="eastAsia"/>
          <w:color w:val="auto"/>
          <w:sz w:val="24"/>
        </w:rPr>
        <w:t>环境和公共设施管理业</w:t>
      </w:r>
      <w:r>
        <w:rPr>
          <w:color w:val="auto"/>
          <w:sz w:val="24"/>
        </w:rPr>
        <w:t xml:space="preserve"> </w:t>
      </w:r>
      <w:r>
        <w:rPr>
          <w:rFonts w:hint="eastAsia"/>
          <w:color w:val="auto"/>
          <w:sz w:val="24"/>
        </w:rPr>
        <w:t>采取填埋和焚烧方式的一般工业固体废物处置及综合利用</w:t>
      </w:r>
      <w:r>
        <w:rPr>
          <w:rFonts w:hint="eastAsia" w:ascii="宋体" w:hAnsi="宋体" w:eastAsia="宋体" w:cs="宋体"/>
          <w:color w:val="auto"/>
          <w:sz w:val="24"/>
        </w:rPr>
        <w:t>”</w:t>
      </w:r>
      <w:r>
        <w:rPr>
          <w:rFonts w:hint="eastAsia"/>
          <w:color w:val="auto"/>
          <w:sz w:val="24"/>
        </w:rPr>
        <w:t>，项目类别为</w:t>
      </w:r>
      <w:r>
        <w:rPr>
          <w:color w:val="auto"/>
          <w:sz w:val="24"/>
        </w:rPr>
        <w:t>Ⅱ</w:t>
      </w:r>
      <w:r>
        <w:rPr>
          <w:rFonts w:hint="eastAsia"/>
          <w:color w:val="auto"/>
          <w:sz w:val="24"/>
        </w:rPr>
        <w:t>类。</w:t>
      </w:r>
    </w:p>
    <w:p w14:paraId="54EE8F90">
      <w:pPr>
        <w:spacing w:line="500" w:lineRule="exact"/>
        <w:ind w:firstLine="480" w:firstLineChars="200"/>
        <w:rPr>
          <w:color w:val="auto"/>
          <w:sz w:val="24"/>
        </w:rPr>
      </w:pPr>
      <w:r>
        <w:rPr>
          <w:rFonts w:hint="eastAsia"/>
          <w:color w:val="auto"/>
          <w:sz w:val="24"/>
        </w:rPr>
        <w:t>（</w:t>
      </w:r>
      <w:r>
        <w:rPr>
          <w:color w:val="auto"/>
          <w:sz w:val="24"/>
        </w:rPr>
        <w:t>2</w:t>
      </w:r>
      <w:r>
        <w:rPr>
          <w:rFonts w:hint="eastAsia"/>
          <w:color w:val="auto"/>
          <w:sz w:val="24"/>
        </w:rPr>
        <w:t>）环境影响类型</w:t>
      </w:r>
    </w:p>
    <w:p w14:paraId="54B1CEF9">
      <w:pPr>
        <w:spacing w:line="500" w:lineRule="exact"/>
        <w:ind w:firstLine="480" w:firstLineChars="200"/>
        <w:rPr>
          <w:color w:val="auto"/>
          <w:sz w:val="24"/>
        </w:rPr>
      </w:pPr>
      <w:r>
        <w:rPr>
          <w:rFonts w:hint="eastAsia"/>
          <w:color w:val="auto"/>
          <w:sz w:val="24"/>
        </w:rPr>
        <w:t>鉴于</w:t>
      </w:r>
      <w:r>
        <w:rPr>
          <w:rFonts w:hint="eastAsia"/>
          <w:color w:val="auto"/>
          <w:sz w:val="24"/>
          <w:lang w:eastAsia="zh-CN"/>
        </w:rPr>
        <w:t>灰渣</w:t>
      </w:r>
      <w:r>
        <w:rPr>
          <w:rFonts w:hint="eastAsia"/>
          <w:color w:val="auto"/>
          <w:sz w:val="24"/>
        </w:rPr>
        <w:t>回填有可能对土壤环境带来污染影响，故项目属于污染影响型。</w:t>
      </w:r>
    </w:p>
    <w:p w14:paraId="7EC21D0D">
      <w:pPr>
        <w:spacing w:line="500" w:lineRule="exact"/>
        <w:ind w:firstLine="480" w:firstLineChars="200"/>
        <w:rPr>
          <w:color w:val="auto"/>
          <w:sz w:val="24"/>
        </w:rPr>
      </w:pPr>
      <w:r>
        <w:rPr>
          <w:rFonts w:hint="eastAsia"/>
          <w:color w:val="auto"/>
          <w:sz w:val="24"/>
        </w:rPr>
        <w:t>（</w:t>
      </w:r>
      <w:r>
        <w:rPr>
          <w:color w:val="auto"/>
          <w:sz w:val="24"/>
        </w:rPr>
        <w:t>3</w:t>
      </w:r>
      <w:r>
        <w:rPr>
          <w:rFonts w:hint="eastAsia"/>
          <w:color w:val="auto"/>
          <w:sz w:val="24"/>
        </w:rPr>
        <w:t>）项目规模及敏感程度</w:t>
      </w:r>
    </w:p>
    <w:p w14:paraId="59423A7F">
      <w:pPr>
        <w:spacing w:line="500" w:lineRule="exact"/>
        <w:ind w:firstLine="480" w:firstLineChars="200"/>
        <w:rPr>
          <w:color w:val="auto"/>
          <w:sz w:val="24"/>
          <w:highlight w:val="none"/>
        </w:rPr>
      </w:pPr>
      <w:r>
        <w:rPr>
          <w:rFonts w:hint="eastAsia"/>
          <w:color w:val="auto"/>
          <w:sz w:val="24"/>
          <w:highlight w:val="none"/>
        </w:rPr>
        <w:t>本项目占地</w:t>
      </w:r>
      <w:r>
        <w:rPr>
          <w:rStyle w:val="60"/>
          <w:rFonts w:hint="eastAsia"/>
          <w:color w:val="auto"/>
          <w:highlight w:val="none"/>
          <w:lang w:val="en-US" w:eastAsia="zh-CN"/>
        </w:rPr>
        <w:t>78594</w:t>
      </w:r>
      <w:r>
        <w:rPr>
          <w:rStyle w:val="60"/>
          <w:rFonts w:hint="eastAsia"/>
          <w:color w:val="auto"/>
          <w:highlight w:val="none"/>
        </w:rPr>
        <w:t>平方米</w:t>
      </w:r>
      <w:r>
        <w:rPr>
          <w:rStyle w:val="60"/>
          <w:rFonts w:hint="eastAsia"/>
          <w:color w:val="auto"/>
          <w:highlight w:val="none"/>
          <w:lang w:eastAsia="zh-CN"/>
        </w:rPr>
        <w:t>（</w:t>
      </w:r>
      <w:r>
        <w:rPr>
          <w:color w:val="auto"/>
          <w:sz w:val="24"/>
          <w:highlight w:val="none"/>
        </w:rPr>
        <w:t>5hm</w:t>
      </w:r>
      <w:r>
        <w:rPr>
          <w:color w:val="auto"/>
          <w:sz w:val="24"/>
          <w:highlight w:val="none"/>
          <w:vertAlign w:val="superscript"/>
        </w:rPr>
        <w:t>2</w:t>
      </w:r>
      <w:r>
        <w:rPr>
          <w:rFonts w:hint="eastAsia"/>
          <w:color w:val="auto"/>
          <w:sz w:val="24"/>
          <w:highlight w:val="none"/>
          <w:vertAlign w:val="baseline"/>
          <w:lang w:val="en-US" w:eastAsia="zh-CN"/>
        </w:rPr>
        <w:t>~50hm</w:t>
      </w:r>
      <w:r>
        <w:rPr>
          <w:rFonts w:hint="eastAsia"/>
          <w:color w:val="auto"/>
          <w:sz w:val="24"/>
          <w:highlight w:val="none"/>
          <w:vertAlign w:val="superscript"/>
          <w:lang w:val="en-US" w:eastAsia="zh-CN"/>
        </w:rPr>
        <w:t>2</w:t>
      </w:r>
      <w:r>
        <w:rPr>
          <w:rFonts w:hint="eastAsia"/>
          <w:color w:val="auto"/>
          <w:sz w:val="24"/>
          <w:highlight w:val="none"/>
        </w:rPr>
        <w:t>），按占地规模分类判定</w:t>
      </w:r>
      <w:r>
        <w:rPr>
          <w:rFonts w:hint="eastAsia" w:ascii="宋体" w:hAnsi="宋体" w:eastAsia="宋体" w:cs="宋体"/>
          <w:color w:val="auto"/>
          <w:sz w:val="24"/>
          <w:highlight w:val="none"/>
        </w:rPr>
        <w:t>为“</w:t>
      </w:r>
      <w:r>
        <w:rPr>
          <w:rFonts w:hint="eastAsia" w:ascii="宋体" w:hAnsi="宋体" w:cs="宋体"/>
          <w:color w:val="auto"/>
          <w:sz w:val="24"/>
          <w:highlight w:val="none"/>
          <w:lang w:val="en-US" w:eastAsia="zh-CN"/>
        </w:rPr>
        <w:t>中型</w:t>
      </w:r>
      <w:r>
        <w:rPr>
          <w:rFonts w:hint="eastAsia" w:ascii="宋体" w:hAnsi="宋体" w:eastAsia="宋体" w:cs="宋体"/>
          <w:color w:val="auto"/>
          <w:sz w:val="24"/>
          <w:highlight w:val="none"/>
        </w:rPr>
        <w:t>”</w:t>
      </w:r>
      <w:r>
        <w:rPr>
          <w:rFonts w:hint="eastAsia"/>
          <w:color w:val="auto"/>
          <w:sz w:val="24"/>
          <w:highlight w:val="none"/>
        </w:rPr>
        <w:t>。项目所在地及周边存在农田，土壤环境敏感程度</w:t>
      </w:r>
      <w:r>
        <w:rPr>
          <w:rFonts w:hint="eastAsia" w:ascii="宋体" w:hAnsi="宋体" w:eastAsia="宋体" w:cs="宋体"/>
          <w:color w:val="auto"/>
          <w:sz w:val="24"/>
          <w:highlight w:val="none"/>
        </w:rPr>
        <w:t>判别为“敏感”</w:t>
      </w:r>
      <w:r>
        <w:rPr>
          <w:rFonts w:hint="eastAsia"/>
          <w:color w:val="auto"/>
          <w:sz w:val="24"/>
          <w:highlight w:val="none"/>
        </w:rPr>
        <w:t>。</w:t>
      </w:r>
    </w:p>
    <w:p w14:paraId="1C04E930">
      <w:pPr>
        <w:adjustRightInd w:val="0"/>
        <w:snapToGrid w:val="0"/>
        <w:spacing w:line="500" w:lineRule="exact"/>
        <w:jc w:val="center"/>
        <w:rPr>
          <w:rFonts w:eastAsia="黑体"/>
          <w:color w:val="auto"/>
          <w:sz w:val="24"/>
          <w:szCs w:val="22"/>
          <w:lang w:val="zh-CN"/>
        </w:rPr>
      </w:pPr>
      <w:r>
        <w:rPr>
          <w:rFonts w:hint="eastAsia" w:eastAsia="黑体"/>
          <w:color w:val="auto"/>
          <w:sz w:val="24"/>
          <w:szCs w:val="22"/>
          <w:lang w:val="zh-CN"/>
        </w:rPr>
        <w:t>表</w:t>
      </w:r>
      <w:r>
        <w:rPr>
          <w:rFonts w:eastAsia="黑体"/>
          <w:color w:val="auto"/>
          <w:sz w:val="24"/>
          <w:szCs w:val="22"/>
          <w:lang w:val="zh-CN"/>
        </w:rPr>
        <w:t>2-6-12</w:t>
      </w:r>
      <w:r>
        <w:rPr>
          <w:rFonts w:hint="eastAsia" w:eastAsia="黑体"/>
          <w:color w:val="auto"/>
          <w:sz w:val="24"/>
          <w:szCs w:val="22"/>
          <w:lang w:val="zh-CN"/>
        </w:rPr>
        <w:t>污染影响型敏感程度分级表</w:t>
      </w:r>
    </w:p>
    <w:tbl>
      <w:tblPr>
        <w:tblStyle w:val="45"/>
        <w:tblW w:w="8250" w:type="dxa"/>
        <w:jc w:val="center"/>
        <w:tblLayout w:type="fixed"/>
        <w:tblCellMar>
          <w:top w:w="0" w:type="dxa"/>
          <w:left w:w="0" w:type="dxa"/>
          <w:bottom w:w="0" w:type="dxa"/>
          <w:right w:w="0" w:type="dxa"/>
        </w:tblCellMar>
      </w:tblPr>
      <w:tblGrid>
        <w:gridCol w:w="1626"/>
        <w:gridCol w:w="6624"/>
      </w:tblGrid>
      <w:tr w14:paraId="0AC87C1C">
        <w:tblPrEx>
          <w:tblCellMar>
            <w:top w:w="0" w:type="dxa"/>
            <w:left w:w="0" w:type="dxa"/>
            <w:bottom w:w="0" w:type="dxa"/>
            <w:right w:w="0" w:type="dxa"/>
          </w:tblCellMar>
        </w:tblPrEx>
        <w:trPr>
          <w:trHeight w:val="44" w:hRule="atLeast"/>
          <w:jc w:val="center"/>
        </w:trPr>
        <w:tc>
          <w:tcPr>
            <w:tcW w:w="1626" w:type="dxa"/>
            <w:tcBorders>
              <w:top w:val="single" w:color="000000" w:sz="12" w:space="0"/>
              <w:left w:val="nil"/>
              <w:bottom w:val="single" w:color="000000" w:sz="4" w:space="0"/>
              <w:right w:val="single" w:color="000000" w:sz="4" w:space="0"/>
            </w:tcBorders>
            <w:vAlign w:val="center"/>
          </w:tcPr>
          <w:p w14:paraId="515DCE0C">
            <w:pPr>
              <w:adjustRightInd w:val="0"/>
              <w:snapToGrid w:val="0"/>
              <w:jc w:val="center"/>
              <w:rPr>
                <w:rFonts w:cs="宋体"/>
                <w:color w:val="auto"/>
                <w:kern w:val="21"/>
                <w:lang w:eastAsia="en-US"/>
              </w:rPr>
            </w:pPr>
            <w:r>
              <w:rPr>
                <w:rFonts w:hint="eastAsia" w:cs="宋体"/>
                <w:color w:val="auto"/>
                <w:kern w:val="21"/>
                <w:lang w:eastAsia="en-US"/>
              </w:rPr>
              <w:t>敏感程度</w:t>
            </w:r>
          </w:p>
        </w:tc>
        <w:tc>
          <w:tcPr>
            <w:tcW w:w="6624" w:type="dxa"/>
            <w:tcBorders>
              <w:top w:val="single" w:color="000000" w:sz="12" w:space="0"/>
              <w:left w:val="single" w:color="000000" w:sz="4" w:space="0"/>
              <w:bottom w:val="single" w:color="000000" w:sz="4" w:space="0"/>
              <w:right w:val="nil"/>
            </w:tcBorders>
            <w:vAlign w:val="center"/>
          </w:tcPr>
          <w:p w14:paraId="524C6533">
            <w:pPr>
              <w:adjustRightInd w:val="0"/>
              <w:snapToGrid w:val="0"/>
              <w:jc w:val="center"/>
              <w:rPr>
                <w:rFonts w:cs="宋体"/>
                <w:color w:val="auto"/>
                <w:kern w:val="21"/>
                <w:szCs w:val="21"/>
                <w:lang w:eastAsia="en-US"/>
              </w:rPr>
            </w:pPr>
            <w:r>
              <w:rPr>
                <w:rFonts w:hint="eastAsia" w:cs="宋体"/>
                <w:color w:val="auto"/>
                <w:kern w:val="21"/>
                <w:szCs w:val="21"/>
                <w:lang w:eastAsia="en-US"/>
              </w:rPr>
              <w:t>判别依据</w:t>
            </w:r>
          </w:p>
        </w:tc>
      </w:tr>
      <w:tr w14:paraId="224F9830">
        <w:tblPrEx>
          <w:tblCellMar>
            <w:top w:w="0" w:type="dxa"/>
            <w:left w:w="0" w:type="dxa"/>
            <w:bottom w:w="0" w:type="dxa"/>
            <w:right w:w="0" w:type="dxa"/>
          </w:tblCellMar>
        </w:tblPrEx>
        <w:trPr>
          <w:trHeight w:val="64" w:hRule="atLeast"/>
          <w:jc w:val="center"/>
        </w:trPr>
        <w:tc>
          <w:tcPr>
            <w:tcW w:w="1626" w:type="dxa"/>
            <w:tcBorders>
              <w:top w:val="single" w:color="000000" w:sz="4" w:space="0"/>
              <w:left w:val="nil"/>
              <w:bottom w:val="single" w:color="000000" w:sz="4" w:space="0"/>
              <w:right w:val="single" w:color="000000" w:sz="4" w:space="0"/>
            </w:tcBorders>
            <w:vAlign w:val="center"/>
          </w:tcPr>
          <w:p w14:paraId="06B417F1">
            <w:pPr>
              <w:adjustRightInd w:val="0"/>
              <w:snapToGrid w:val="0"/>
              <w:jc w:val="center"/>
              <w:rPr>
                <w:rFonts w:cs="宋体"/>
                <w:color w:val="auto"/>
                <w:kern w:val="21"/>
                <w:szCs w:val="21"/>
                <w:lang w:eastAsia="en-US"/>
              </w:rPr>
            </w:pPr>
            <w:r>
              <w:rPr>
                <w:rFonts w:hint="eastAsia" w:cs="宋体"/>
                <w:color w:val="auto"/>
                <w:kern w:val="21"/>
                <w:szCs w:val="21"/>
                <w:lang w:eastAsia="en-US"/>
              </w:rPr>
              <w:t>敏感</w:t>
            </w:r>
          </w:p>
        </w:tc>
        <w:tc>
          <w:tcPr>
            <w:tcW w:w="6624" w:type="dxa"/>
            <w:tcBorders>
              <w:top w:val="single" w:color="000000" w:sz="4" w:space="0"/>
              <w:left w:val="single" w:color="000000" w:sz="4" w:space="0"/>
              <w:bottom w:val="single" w:color="000000" w:sz="4" w:space="0"/>
              <w:right w:val="nil"/>
            </w:tcBorders>
            <w:vAlign w:val="center"/>
          </w:tcPr>
          <w:p w14:paraId="657CB6CD">
            <w:pPr>
              <w:adjustRightInd w:val="0"/>
              <w:snapToGrid w:val="0"/>
              <w:rPr>
                <w:rFonts w:cs="宋体"/>
                <w:color w:val="auto"/>
                <w:kern w:val="21"/>
                <w:szCs w:val="21"/>
              </w:rPr>
            </w:pPr>
            <w:r>
              <w:rPr>
                <w:rFonts w:hint="eastAsia" w:cs="宋体"/>
                <w:color w:val="auto"/>
                <w:kern w:val="21"/>
                <w:szCs w:val="21"/>
              </w:rPr>
              <w:t>建设项目周边存在耕地、园地、牧草地、饮用水水源地或居民区、学校、医院、疗养院、养老院等土壤环境敏感目标的</w:t>
            </w:r>
          </w:p>
        </w:tc>
      </w:tr>
      <w:tr w14:paraId="2CD0F2A7">
        <w:tblPrEx>
          <w:tblCellMar>
            <w:top w:w="0" w:type="dxa"/>
            <w:left w:w="0" w:type="dxa"/>
            <w:bottom w:w="0" w:type="dxa"/>
            <w:right w:w="0" w:type="dxa"/>
          </w:tblCellMar>
        </w:tblPrEx>
        <w:trPr>
          <w:trHeight w:val="64" w:hRule="atLeast"/>
          <w:jc w:val="center"/>
        </w:trPr>
        <w:tc>
          <w:tcPr>
            <w:tcW w:w="1626" w:type="dxa"/>
            <w:tcBorders>
              <w:top w:val="single" w:color="000000" w:sz="4" w:space="0"/>
              <w:left w:val="nil"/>
              <w:bottom w:val="single" w:color="000000" w:sz="4" w:space="0"/>
              <w:right w:val="single" w:color="000000" w:sz="4" w:space="0"/>
            </w:tcBorders>
            <w:vAlign w:val="center"/>
          </w:tcPr>
          <w:p w14:paraId="0D4D5DED">
            <w:pPr>
              <w:adjustRightInd w:val="0"/>
              <w:snapToGrid w:val="0"/>
              <w:jc w:val="center"/>
              <w:rPr>
                <w:rFonts w:cs="宋体"/>
                <w:color w:val="auto"/>
                <w:kern w:val="21"/>
                <w:szCs w:val="21"/>
                <w:lang w:eastAsia="en-US"/>
              </w:rPr>
            </w:pPr>
            <w:r>
              <w:rPr>
                <w:rFonts w:hint="eastAsia" w:cs="宋体"/>
                <w:color w:val="auto"/>
                <w:kern w:val="21"/>
                <w:szCs w:val="21"/>
                <w:lang w:eastAsia="en-US"/>
              </w:rPr>
              <w:t>较敏感</w:t>
            </w:r>
          </w:p>
        </w:tc>
        <w:tc>
          <w:tcPr>
            <w:tcW w:w="6624" w:type="dxa"/>
            <w:tcBorders>
              <w:top w:val="single" w:color="000000" w:sz="4" w:space="0"/>
              <w:left w:val="single" w:color="000000" w:sz="4" w:space="0"/>
              <w:bottom w:val="single" w:color="000000" w:sz="4" w:space="0"/>
              <w:right w:val="nil"/>
            </w:tcBorders>
            <w:vAlign w:val="center"/>
          </w:tcPr>
          <w:p w14:paraId="706A4461">
            <w:pPr>
              <w:adjustRightInd w:val="0"/>
              <w:snapToGrid w:val="0"/>
              <w:rPr>
                <w:rFonts w:cs="宋体"/>
                <w:color w:val="auto"/>
                <w:kern w:val="21"/>
                <w:szCs w:val="21"/>
              </w:rPr>
            </w:pPr>
            <w:r>
              <w:rPr>
                <w:rFonts w:hint="eastAsia" w:cs="宋体"/>
                <w:color w:val="auto"/>
                <w:kern w:val="21"/>
                <w:szCs w:val="21"/>
              </w:rPr>
              <w:t>建设项目周边存在其他土壤环境敏感目标</w:t>
            </w:r>
          </w:p>
        </w:tc>
      </w:tr>
      <w:tr w14:paraId="153FE805">
        <w:tblPrEx>
          <w:tblCellMar>
            <w:top w:w="0" w:type="dxa"/>
            <w:left w:w="0" w:type="dxa"/>
            <w:bottom w:w="0" w:type="dxa"/>
            <w:right w:w="0" w:type="dxa"/>
          </w:tblCellMar>
        </w:tblPrEx>
        <w:trPr>
          <w:trHeight w:val="283" w:hRule="atLeast"/>
          <w:jc w:val="center"/>
        </w:trPr>
        <w:tc>
          <w:tcPr>
            <w:tcW w:w="1626" w:type="dxa"/>
            <w:tcBorders>
              <w:top w:val="single" w:color="000000" w:sz="4" w:space="0"/>
              <w:left w:val="nil"/>
              <w:bottom w:val="single" w:color="000000" w:sz="12" w:space="0"/>
              <w:right w:val="single" w:color="000000" w:sz="4" w:space="0"/>
            </w:tcBorders>
            <w:vAlign w:val="center"/>
          </w:tcPr>
          <w:p w14:paraId="5C80CE6D">
            <w:pPr>
              <w:adjustRightInd w:val="0"/>
              <w:snapToGrid w:val="0"/>
              <w:jc w:val="center"/>
              <w:rPr>
                <w:rFonts w:cs="宋体"/>
                <w:color w:val="auto"/>
                <w:kern w:val="21"/>
                <w:szCs w:val="21"/>
                <w:lang w:eastAsia="en-US"/>
              </w:rPr>
            </w:pPr>
            <w:r>
              <w:rPr>
                <w:rFonts w:hint="eastAsia" w:cs="宋体"/>
                <w:color w:val="auto"/>
                <w:kern w:val="21"/>
                <w:szCs w:val="21"/>
                <w:lang w:eastAsia="en-US"/>
              </w:rPr>
              <w:t>不敏感</w:t>
            </w:r>
          </w:p>
        </w:tc>
        <w:tc>
          <w:tcPr>
            <w:tcW w:w="6624" w:type="dxa"/>
            <w:tcBorders>
              <w:top w:val="single" w:color="000000" w:sz="4" w:space="0"/>
              <w:left w:val="single" w:color="000000" w:sz="4" w:space="0"/>
              <w:bottom w:val="single" w:color="000000" w:sz="12" w:space="0"/>
              <w:right w:val="nil"/>
            </w:tcBorders>
            <w:vAlign w:val="center"/>
          </w:tcPr>
          <w:p w14:paraId="7EB57C5D">
            <w:pPr>
              <w:adjustRightInd w:val="0"/>
              <w:snapToGrid w:val="0"/>
              <w:jc w:val="center"/>
              <w:rPr>
                <w:rFonts w:cs="宋体"/>
                <w:color w:val="auto"/>
                <w:kern w:val="21"/>
                <w:szCs w:val="21"/>
                <w:lang w:eastAsia="en-US"/>
              </w:rPr>
            </w:pPr>
            <w:r>
              <w:rPr>
                <w:rFonts w:hint="eastAsia" w:cs="宋体"/>
                <w:color w:val="auto"/>
                <w:kern w:val="21"/>
                <w:szCs w:val="21"/>
                <w:lang w:eastAsia="en-US"/>
              </w:rPr>
              <w:t>其他情况</w:t>
            </w:r>
          </w:p>
        </w:tc>
      </w:tr>
    </w:tbl>
    <w:p w14:paraId="1D017DB9">
      <w:pPr>
        <w:spacing w:line="500" w:lineRule="exact"/>
        <w:ind w:firstLine="480" w:firstLineChars="200"/>
        <w:rPr>
          <w:color w:val="auto"/>
          <w:sz w:val="24"/>
        </w:rPr>
      </w:pPr>
      <w:r>
        <w:rPr>
          <w:rFonts w:hint="eastAsia"/>
          <w:color w:val="auto"/>
          <w:sz w:val="24"/>
        </w:rPr>
        <w:t>（</w:t>
      </w:r>
      <w:r>
        <w:rPr>
          <w:color w:val="auto"/>
          <w:sz w:val="24"/>
        </w:rPr>
        <w:t>4</w:t>
      </w:r>
      <w:r>
        <w:rPr>
          <w:rFonts w:hint="eastAsia"/>
          <w:color w:val="auto"/>
          <w:sz w:val="24"/>
        </w:rPr>
        <w:t>）评价等级</w:t>
      </w:r>
    </w:p>
    <w:p w14:paraId="11DDF1D9">
      <w:pPr>
        <w:spacing w:line="500" w:lineRule="exact"/>
        <w:ind w:firstLine="480" w:firstLineChars="200"/>
        <w:rPr>
          <w:color w:val="auto"/>
          <w:sz w:val="24"/>
          <w:szCs w:val="22"/>
        </w:rPr>
      </w:pPr>
      <w:r>
        <w:rPr>
          <w:rFonts w:hint="eastAsia"/>
          <w:color w:val="auto"/>
          <w:sz w:val="24"/>
          <w:szCs w:val="22"/>
        </w:rPr>
        <w:t>根据《环境影响评价技术导则</w:t>
      </w:r>
      <w:r>
        <w:rPr>
          <w:color w:val="auto"/>
          <w:sz w:val="24"/>
          <w:szCs w:val="22"/>
        </w:rPr>
        <w:t xml:space="preserve"> </w:t>
      </w:r>
      <w:r>
        <w:rPr>
          <w:rFonts w:hint="eastAsia"/>
          <w:color w:val="auto"/>
          <w:sz w:val="24"/>
          <w:szCs w:val="22"/>
        </w:rPr>
        <w:t>土壤环境》（</w:t>
      </w:r>
      <w:r>
        <w:rPr>
          <w:color w:val="auto"/>
          <w:sz w:val="24"/>
          <w:szCs w:val="22"/>
        </w:rPr>
        <w:t>HJ964-2018</w:t>
      </w:r>
      <w:r>
        <w:rPr>
          <w:rFonts w:hint="eastAsia"/>
          <w:color w:val="auto"/>
          <w:sz w:val="24"/>
          <w:szCs w:val="22"/>
        </w:rPr>
        <w:t>）可知，本项目土壤环境影响评价工作等级为二级。</w:t>
      </w:r>
    </w:p>
    <w:p w14:paraId="0B945EF7">
      <w:pPr>
        <w:adjustRightInd w:val="0"/>
        <w:snapToGrid w:val="0"/>
        <w:spacing w:line="500" w:lineRule="exact"/>
        <w:jc w:val="center"/>
        <w:rPr>
          <w:rFonts w:eastAsia="黑体"/>
          <w:snapToGrid w:val="0"/>
          <w:color w:val="auto"/>
          <w:sz w:val="24"/>
          <w:szCs w:val="22"/>
          <w:lang w:val="zh-CN"/>
        </w:rPr>
      </w:pPr>
      <w:r>
        <w:rPr>
          <w:rFonts w:eastAsia="黑体"/>
          <w:color w:val="auto"/>
          <w:sz w:val="24"/>
          <w:szCs w:val="22"/>
        </w:rPr>
        <mc:AlternateContent>
          <mc:Choice Requires="wps">
            <w:drawing>
              <wp:anchor distT="45720" distB="45720" distL="114300" distR="114300" simplePos="0" relativeHeight="251665408" behindDoc="0" locked="0" layoutInCell="1" allowOverlap="1">
                <wp:simplePos x="0" y="0"/>
                <wp:positionH relativeFrom="column">
                  <wp:posOffset>685800</wp:posOffset>
                </wp:positionH>
                <wp:positionV relativeFrom="paragraph">
                  <wp:posOffset>268605</wp:posOffset>
                </wp:positionV>
                <wp:extent cx="672465" cy="285750"/>
                <wp:effectExtent l="0" t="0" r="0" b="0"/>
                <wp:wrapNone/>
                <wp:docPr id="793510007" name="文本框 2"/>
                <wp:cNvGraphicFramePr/>
                <a:graphic xmlns:a="http://schemas.openxmlformats.org/drawingml/2006/main">
                  <a:graphicData uri="http://schemas.microsoft.com/office/word/2010/wordprocessingShape">
                    <wps:wsp>
                      <wps:cNvSpPr txBox="1">
                        <a:spLocks noChangeArrowheads="1"/>
                      </wps:cNvSpPr>
                      <wps:spPr bwMode="auto">
                        <a:xfrm>
                          <a:off x="0" y="0"/>
                          <a:ext cx="672465" cy="285750"/>
                        </a:xfrm>
                        <a:prstGeom prst="rect">
                          <a:avLst/>
                        </a:prstGeom>
                        <a:noFill/>
                        <a:ln w="9525">
                          <a:noFill/>
                          <a:miter lim="800000"/>
                        </a:ln>
                      </wps:spPr>
                      <wps:txbx>
                        <w:txbxContent>
                          <w:p w14:paraId="5AF789F3">
                            <w:pPr>
                              <w:rPr>
                                <w:sz w:val="15"/>
                                <w:szCs w:val="15"/>
                              </w:rPr>
                            </w:pPr>
                            <w:r>
                              <w:rPr>
                                <w:rFonts w:hint="eastAsia"/>
                                <w:sz w:val="15"/>
                                <w:szCs w:val="15"/>
                              </w:rPr>
                              <w:t>项目类别</w:t>
                            </w:r>
                          </w:p>
                        </w:txbxContent>
                      </wps:txbx>
                      <wps:bodyPr rot="0" vertOverflow="clip" horzOverflow="clip" vert="horz" wrap="square" lIns="91440" tIns="45720" rIns="91440" bIns="45720" anchor="t" anchorCtr="0">
                        <a:noAutofit/>
                      </wps:bodyPr>
                    </wps:wsp>
                  </a:graphicData>
                </a:graphic>
              </wp:anchor>
            </w:drawing>
          </mc:Choice>
          <mc:Fallback>
            <w:pict>
              <v:shape id="文本框 2" o:spid="_x0000_s1026" o:spt="202" type="#_x0000_t202" style="position:absolute;left:0pt;margin-left:54pt;margin-top:21.15pt;height:22.5pt;width:52.95pt;z-index:251665408;mso-width-relative:page;mso-height-relative:page;" filled="f" stroked="f" coordsize="21600,21600" o:gfxdata="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5JW34tcAAAAJAQAADwAAAAAAAAABACAAAAAiAAAAZHJzL2Rv&#10;d25yZXYueG1sUEsBAhQAFAAAAAgAh07iQIME0TU7AgAAWAQAAA4AAAAAAAAAAQAgAAAAJgEAAGRy&#10;cy9lMm9Eb2MueG1sUEsFBgAAAAAGAAYAWQEAANMFAAAAAA==&#10;">
                <v:fill on="f" focussize="0,0"/>
                <v:stroke on="f" miterlimit="8" joinstyle="miter"/>
                <v:imagedata o:title=""/>
                <o:lock v:ext="edit" aspectratio="f"/>
                <v:textbox>
                  <w:txbxContent>
                    <w:p w14:paraId="5AF789F3">
                      <w:pPr>
                        <w:rPr>
                          <w:sz w:val="15"/>
                          <w:szCs w:val="15"/>
                        </w:rPr>
                      </w:pPr>
                      <w:r>
                        <w:rPr>
                          <w:rFonts w:hint="eastAsia"/>
                          <w:sz w:val="15"/>
                          <w:szCs w:val="15"/>
                        </w:rPr>
                        <w:t>项目类别</w:t>
                      </w:r>
                    </w:p>
                  </w:txbxContent>
                </v:textbox>
              </v:shape>
            </w:pict>
          </mc:Fallback>
        </mc:AlternateContent>
      </w:r>
      <w:r>
        <w:rPr>
          <w:rFonts w:hint="eastAsia" w:eastAsia="黑体"/>
          <w:snapToGrid w:val="0"/>
          <w:color w:val="auto"/>
          <w:sz w:val="24"/>
          <w:szCs w:val="22"/>
          <w:lang w:val="zh-CN"/>
        </w:rPr>
        <w:t>表</w:t>
      </w:r>
      <w:r>
        <w:rPr>
          <w:rFonts w:eastAsia="黑体"/>
          <w:snapToGrid w:val="0"/>
          <w:color w:val="auto"/>
          <w:sz w:val="24"/>
          <w:szCs w:val="22"/>
          <w:lang w:val="zh-CN"/>
        </w:rPr>
        <w:t>2-6-13</w:t>
      </w:r>
      <w:r>
        <w:rPr>
          <w:rFonts w:hint="eastAsia" w:eastAsia="黑体"/>
          <w:snapToGrid w:val="0"/>
          <w:color w:val="auto"/>
          <w:sz w:val="24"/>
          <w:szCs w:val="22"/>
          <w:lang w:val="zh-CN"/>
        </w:rPr>
        <w:t>土壤环境评价工作等级划分表</w:t>
      </w:r>
    </w:p>
    <w:tbl>
      <w:tblPr>
        <w:tblStyle w:val="45"/>
        <w:tblW w:w="8310"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905"/>
        <w:gridCol w:w="689"/>
        <w:gridCol w:w="694"/>
        <w:gridCol w:w="689"/>
        <w:gridCol w:w="693"/>
        <w:gridCol w:w="691"/>
        <w:gridCol w:w="691"/>
        <w:gridCol w:w="829"/>
        <w:gridCol w:w="693"/>
        <w:gridCol w:w="736"/>
      </w:tblGrid>
      <w:tr w14:paraId="20DF65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03" w:type="dxa"/>
            <w:vMerge w:val="restart"/>
            <w:tcBorders>
              <w:top w:val="single" w:color="auto" w:sz="12" w:space="0"/>
              <w:left w:val="nil"/>
              <w:bottom w:val="single" w:color="auto" w:sz="4" w:space="0"/>
              <w:right w:val="single" w:color="auto" w:sz="4" w:space="0"/>
            </w:tcBorders>
            <w:vAlign w:val="center"/>
          </w:tcPr>
          <w:p w14:paraId="68A04AB0">
            <w:pPr>
              <w:adjustRightInd w:val="0"/>
              <w:snapToGrid w:val="0"/>
              <w:jc w:val="center"/>
              <w:rPr>
                <w:snapToGrid w:val="0"/>
                <w:color w:val="auto"/>
                <w:szCs w:val="22"/>
                <w:lang w:val="zh-CN"/>
              </w:rPr>
            </w:pPr>
            <w:r>
              <w:rPr>
                <w:color w:val="auto"/>
                <w:szCs w:val="22"/>
              </w:rPr>
              <mc:AlternateContent>
                <mc:Choice Requires="wps">
                  <w:drawing>
                    <wp:anchor distT="45720" distB="45720" distL="114300" distR="114300" simplePos="0" relativeHeight="251666432" behindDoc="0" locked="0" layoutInCell="1" allowOverlap="1">
                      <wp:simplePos x="0" y="0"/>
                      <wp:positionH relativeFrom="column">
                        <wp:posOffset>-135255</wp:posOffset>
                      </wp:positionH>
                      <wp:positionV relativeFrom="paragraph">
                        <wp:posOffset>222885</wp:posOffset>
                      </wp:positionV>
                      <wp:extent cx="933450" cy="285115"/>
                      <wp:effectExtent l="0" t="0" r="0" b="635"/>
                      <wp:wrapNone/>
                      <wp:docPr id="947861005"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33450" cy="285115"/>
                              </a:xfrm>
                              <a:prstGeom prst="rect">
                                <a:avLst/>
                              </a:prstGeom>
                              <a:noFill/>
                              <a:ln w="9525">
                                <a:noFill/>
                                <a:miter lim="800000"/>
                              </a:ln>
                            </wps:spPr>
                            <wps:txbx>
                              <w:txbxContent>
                                <w:p w14:paraId="3649881A">
                                  <w:pPr>
                                    <w:rPr>
                                      <w:sz w:val="15"/>
                                      <w:szCs w:val="15"/>
                                    </w:rPr>
                                  </w:pPr>
                                  <w:r>
                                    <w:rPr>
                                      <w:rFonts w:hint="eastAsia"/>
                                      <w:sz w:val="15"/>
                                      <w:szCs w:val="15"/>
                                    </w:rPr>
                                    <w:t>环境敏感程度</w:t>
                                  </w:r>
                                </w:p>
                              </w:txbxContent>
                            </wps:txbx>
                            <wps:bodyPr rot="0" vertOverflow="clip" horzOverflow="clip" vert="horz" wrap="square" lIns="91440" tIns="45720" rIns="91440" bIns="45720" anchor="t" anchorCtr="0">
                              <a:noAutofit/>
                            </wps:bodyPr>
                          </wps:wsp>
                        </a:graphicData>
                      </a:graphic>
                    </wp:anchor>
                  </w:drawing>
                </mc:Choice>
                <mc:Fallback>
                  <w:pict>
                    <v:shape id="文本框 2" o:spid="_x0000_s1026" o:spt="202" type="#_x0000_t202" style="position:absolute;left:0pt;margin-left:-10.65pt;margin-top:17.55pt;height:22.45pt;width:73.5pt;z-index:251666432;mso-width-relative:page;mso-height-relative:page;" filled="f" stroked="f" coordsize="21600,21600" o:gfxdata="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DCWkHXXAAAACQEAAA8AAAAAAAAAAQAgAAAAIgAAAGRycy9kb3du&#10;cmV2LnhtbFBLAQIUABQAAAAIAIdO4kA7DIB/OQIAAFgEAAAOAAAAAAAAAAEAIAAAACYBAABkcnMv&#10;ZTJvRG9jLnhtbFBLBQYAAAAABgAGAFkBAADRBQAAAAA=&#10;">
                      <v:fill on="f" focussize="0,0"/>
                      <v:stroke on="f" miterlimit="8" joinstyle="miter"/>
                      <v:imagedata o:title=""/>
                      <o:lock v:ext="edit" aspectratio="f"/>
                      <v:textbox>
                        <w:txbxContent>
                          <w:p w14:paraId="3649881A">
                            <w:pPr>
                              <w:rPr>
                                <w:sz w:val="15"/>
                                <w:szCs w:val="15"/>
                              </w:rPr>
                            </w:pPr>
                            <w:r>
                              <w:rPr>
                                <w:rFonts w:hint="eastAsia"/>
                                <w:sz w:val="15"/>
                                <w:szCs w:val="15"/>
                              </w:rPr>
                              <w:t>环境敏感程度</w:t>
                            </w:r>
                          </w:p>
                        </w:txbxContent>
                      </v:textbox>
                    </v:shape>
                  </w:pict>
                </mc:Fallback>
              </mc:AlternateContent>
            </w:r>
            <w:r>
              <w:rPr>
                <w:color w:val="auto"/>
                <w:szCs w:val="22"/>
              </w:rPr>
              <mc:AlternateContent>
                <mc:Choice Requires="wps">
                  <w:drawing>
                    <wp:anchor distT="45720" distB="45720" distL="114300" distR="114300" simplePos="0" relativeHeight="251664384" behindDoc="0" locked="0" layoutInCell="1" allowOverlap="1">
                      <wp:simplePos x="0" y="0"/>
                      <wp:positionH relativeFrom="column">
                        <wp:posOffset>75565</wp:posOffset>
                      </wp:positionH>
                      <wp:positionV relativeFrom="paragraph">
                        <wp:posOffset>46990</wp:posOffset>
                      </wp:positionV>
                      <wp:extent cx="972820" cy="285115"/>
                      <wp:effectExtent l="0" t="0" r="0" b="635"/>
                      <wp:wrapNone/>
                      <wp:docPr id="63557792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972820" cy="285115"/>
                              </a:xfrm>
                              <a:prstGeom prst="rect">
                                <a:avLst/>
                              </a:prstGeom>
                              <a:noFill/>
                              <a:ln w="9525">
                                <a:noFill/>
                                <a:miter lim="800000"/>
                              </a:ln>
                            </wps:spPr>
                            <wps:txbx>
                              <w:txbxContent>
                                <w:p w14:paraId="77DFD8C9">
                                  <w:pPr>
                                    <w:rPr>
                                      <w:sz w:val="15"/>
                                      <w:szCs w:val="15"/>
                                    </w:rPr>
                                  </w:pPr>
                                  <w:r>
                                    <w:rPr>
                                      <w:rFonts w:hint="eastAsia"/>
                                      <w:sz w:val="15"/>
                                      <w:szCs w:val="15"/>
                                    </w:rPr>
                                    <w:t>评价工作等级</w:t>
                                  </w:r>
                                </w:p>
                              </w:txbxContent>
                            </wps:txbx>
                            <wps:bodyPr rot="0" vertOverflow="clip" horzOverflow="clip" vert="horz" wrap="square" lIns="91440" tIns="45720" rIns="91440" bIns="45720" anchor="t" anchorCtr="0">
                              <a:noAutofit/>
                            </wps:bodyPr>
                          </wps:wsp>
                        </a:graphicData>
                      </a:graphic>
                    </wp:anchor>
                  </w:drawing>
                </mc:Choice>
                <mc:Fallback>
                  <w:pict>
                    <v:shape id="文本框 2" o:spid="_x0000_s1026" o:spt="202" type="#_x0000_t202" style="position:absolute;left:0pt;margin-left:5.95pt;margin-top:3.7pt;height:22.45pt;width:76.6pt;z-index:251664384;mso-width-relative:page;mso-height-relative:page;" filled="f" stroked="f" coordsize="21600,21600" o:gfxdata="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KAefx3UAAAABwEAAA8AAAAAAAAAAQAgAAAAIgAAAGRycy9kb3ducmV2&#10;LnhtbFBLAQIUABQAAAAIAIdO4kD30ReDOQIAAFgEAAAOAAAAAAAAAAEAIAAAACMBAABkcnMvZTJv&#10;RG9jLnhtbFBLBQYAAAAABgAGAFkBAADOBQAAAAA=&#10;">
                      <v:fill on="f" focussize="0,0"/>
                      <v:stroke on="f" miterlimit="8" joinstyle="miter"/>
                      <v:imagedata o:title=""/>
                      <o:lock v:ext="edit" aspectratio="f"/>
                      <v:textbox>
                        <w:txbxContent>
                          <w:p w14:paraId="77DFD8C9">
                            <w:pPr>
                              <w:rPr>
                                <w:sz w:val="15"/>
                                <w:szCs w:val="15"/>
                              </w:rPr>
                            </w:pPr>
                            <w:r>
                              <w:rPr>
                                <w:rFonts w:hint="eastAsia"/>
                                <w:sz w:val="15"/>
                                <w:szCs w:val="15"/>
                              </w:rPr>
                              <w:t>评价工作等级</w:t>
                            </w:r>
                          </w:p>
                        </w:txbxContent>
                      </v:textbox>
                    </v:shape>
                  </w:pict>
                </mc:Fallback>
              </mc:AlternateContent>
            </w:r>
          </w:p>
        </w:tc>
        <w:tc>
          <w:tcPr>
            <w:tcW w:w="2070" w:type="dxa"/>
            <w:gridSpan w:val="3"/>
            <w:tcBorders>
              <w:top w:val="single" w:color="auto" w:sz="12" w:space="0"/>
              <w:left w:val="single" w:color="auto" w:sz="4" w:space="0"/>
              <w:bottom w:val="single" w:color="auto" w:sz="4" w:space="0"/>
              <w:right w:val="single" w:color="auto" w:sz="4" w:space="0"/>
            </w:tcBorders>
            <w:vAlign w:val="center"/>
          </w:tcPr>
          <w:p w14:paraId="4C75F925">
            <w:pPr>
              <w:adjustRightInd w:val="0"/>
              <w:snapToGrid w:val="0"/>
              <w:jc w:val="center"/>
              <w:rPr>
                <w:snapToGrid w:val="0"/>
                <w:color w:val="auto"/>
                <w:szCs w:val="22"/>
                <w:lang w:val="zh-CN"/>
              </w:rPr>
            </w:pPr>
            <w:r>
              <w:rPr>
                <w:snapToGrid w:val="0"/>
                <w:color w:val="auto"/>
                <w:szCs w:val="22"/>
                <w:lang w:val="zh-CN"/>
              </w:rPr>
              <w:fldChar w:fldCharType="begin"/>
            </w:r>
            <w:r>
              <w:rPr>
                <w:snapToGrid w:val="0"/>
                <w:color w:val="auto"/>
                <w:szCs w:val="22"/>
                <w:lang w:val="zh-CN"/>
              </w:rPr>
              <w:instrText xml:space="preserve"> = 1 \* ROMAN </w:instrText>
            </w:r>
            <w:r>
              <w:rPr>
                <w:snapToGrid w:val="0"/>
                <w:color w:val="auto"/>
                <w:szCs w:val="22"/>
                <w:lang w:val="zh-CN"/>
              </w:rPr>
              <w:fldChar w:fldCharType="separate"/>
            </w:r>
            <w:r>
              <w:rPr>
                <w:snapToGrid w:val="0"/>
                <w:color w:val="auto"/>
                <w:szCs w:val="22"/>
                <w:lang w:val="zh-CN"/>
              </w:rPr>
              <w:t>I</w:t>
            </w:r>
            <w:r>
              <w:rPr>
                <w:snapToGrid w:val="0"/>
                <w:color w:val="auto"/>
                <w:szCs w:val="22"/>
                <w:lang w:val="zh-CN"/>
              </w:rPr>
              <w:fldChar w:fldCharType="end"/>
            </w:r>
          </w:p>
        </w:tc>
        <w:tc>
          <w:tcPr>
            <w:tcW w:w="2075" w:type="dxa"/>
            <w:gridSpan w:val="3"/>
            <w:tcBorders>
              <w:top w:val="single" w:color="auto" w:sz="12" w:space="0"/>
              <w:left w:val="single" w:color="auto" w:sz="4" w:space="0"/>
              <w:bottom w:val="single" w:color="auto" w:sz="4" w:space="0"/>
              <w:right w:val="single" w:color="auto" w:sz="4" w:space="0"/>
            </w:tcBorders>
            <w:vAlign w:val="center"/>
          </w:tcPr>
          <w:p w14:paraId="39AE2B98">
            <w:pPr>
              <w:adjustRightInd w:val="0"/>
              <w:snapToGrid w:val="0"/>
              <w:jc w:val="center"/>
              <w:rPr>
                <w:snapToGrid w:val="0"/>
                <w:color w:val="auto"/>
                <w:szCs w:val="22"/>
                <w:lang w:val="zh-CN"/>
              </w:rPr>
            </w:pPr>
            <w:r>
              <w:rPr>
                <w:snapToGrid w:val="0"/>
                <w:color w:val="auto"/>
                <w:szCs w:val="22"/>
                <w:lang w:val="zh-CN"/>
              </w:rPr>
              <w:fldChar w:fldCharType="begin"/>
            </w:r>
            <w:r>
              <w:rPr>
                <w:snapToGrid w:val="0"/>
                <w:color w:val="auto"/>
                <w:szCs w:val="22"/>
                <w:lang w:val="zh-CN"/>
              </w:rPr>
              <w:instrText xml:space="preserve"> = 2 \* ROMAN </w:instrText>
            </w:r>
            <w:r>
              <w:rPr>
                <w:snapToGrid w:val="0"/>
                <w:color w:val="auto"/>
                <w:szCs w:val="22"/>
                <w:lang w:val="zh-CN"/>
              </w:rPr>
              <w:fldChar w:fldCharType="separate"/>
            </w:r>
            <w:r>
              <w:rPr>
                <w:snapToGrid w:val="0"/>
                <w:color w:val="auto"/>
                <w:szCs w:val="22"/>
                <w:lang w:val="zh-CN"/>
              </w:rPr>
              <w:t>II</w:t>
            </w:r>
            <w:r>
              <w:rPr>
                <w:snapToGrid w:val="0"/>
                <w:color w:val="auto"/>
                <w:szCs w:val="22"/>
                <w:lang w:val="zh-CN"/>
              </w:rPr>
              <w:fldChar w:fldCharType="end"/>
            </w:r>
          </w:p>
        </w:tc>
        <w:tc>
          <w:tcPr>
            <w:tcW w:w="2258" w:type="dxa"/>
            <w:gridSpan w:val="3"/>
            <w:tcBorders>
              <w:top w:val="single" w:color="auto" w:sz="12" w:space="0"/>
              <w:left w:val="single" w:color="auto" w:sz="4" w:space="0"/>
              <w:bottom w:val="single" w:color="auto" w:sz="4" w:space="0"/>
              <w:right w:val="nil"/>
            </w:tcBorders>
            <w:vAlign w:val="center"/>
          </w:tcPr>
          <w:p w14:paraId="1C441050">
            <w:pPr>
              <w:adjustRightInd w:val="0"/>
              <w:snapToGrid w:val="0"/>
              <w:jc w:val="center"/>
              <w:rPr>
                <w:snapToGrid w:val="0"/>
                <w:color w:val="auto"/>
                <w:szCs w:val="22"/>
                <w:lang w:val="zh-CN"/>
              </w:rPr>
            </w:pPr>
            <w:r>
              <w:rPr>
                <w:snapToGrid w:val="0"/>
                <w:color w:val="auto"/>
                <w:szCs w:val="22"/>
                <w:lang w:val="zh-CN"/>
              </w:rPr>
              <w:fldChar w:fldCharType="begin"/>
            </w:r>
            <w:r>
              <w:rPr>
                <w:snapToGrid w:val="0"/>
                <w:color w:val="auto"/>
                <w:szCs w:val="22"/>
                <w:lang w:val="zh-CN"/>
              </w:rPr>
              <w:instrText xml:space="preserve"> = 3 \* ROMAN </w:instrText>
            </w:r>
            <w:r>
              <w:rPr>
                <w:snapToGrid w:val="0"/>
                <w:color w:val="auto"/>
                <w:szCs w:val="22"/>
                <w:lang w:val="zh-CN"/>
              </w:rPr>
              <w:fldChar w:fldCharType="separate"/>
            </w:r>
            <w:r>
              <w:rPr>
                <w:snapToGrid w:val="0"/>
                <w:color w:val="auto"/>
                <w:szCs w:val="22"/>
                <w:lang w:val="zh-CN"/>
              </w:rPr>
              <w:t>III</w:t>
            </w:r>
            <w:r>
              <w:rPr>
                <w:snapToGrid w:val="0"/>
                <w:color w:val="auto"/>
                <w:szCs w:val="22"/>
                <w:lang w:val="zh-CN"/>
              </w:rPr>
              <w:fldChar w:fldCharType="end"/>
            </w:r>
          </w:p>
        </w:tc>
      </w:tr>
      <w:tr w14:paraId="7DEBFF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68" w:hRule="atLeast"/>
        </w:trPr>
        <w:tc>
          <w:tcPr>
            <w:tcW w:w="1903" w:type="dxa"/>
            <w:vMerge w:val="continue"/>
            <w:tcBorders>
              <w:top w:val="single" w:color="auto" w:sz="12" w:space="0"/>
              <w:left w:val="nil"/>
              <w:bottom w:val="single" w:color="auto" w:sz="4" w:space="0"/>
              <w:right w:val="single" w:color="auto" w:sz="4" w:space="0"/>
            </w:tcBorders>
            <w:vAlign w:val="center"/>
          </w:tcPr>
          <w:p w14:paraId="2F6B2AFF">
            <w:pPr>
              <w:widowControl/>
              <w:jc w:val="left"/>
              <w:rPr>
                <w:snapToGrid w:val="0"/>
                <w:color w:val="auto"/>
                <w:szCs w:val="22"/>
                <w:lang w:val="zh-CN"/>
              </w:rPr>
            </w:pPr>
          </w:p>
        </w:tc>
        <w:tc>
          <w:tcPr>
            <w:tcW w:w="688" w:type="dxa"/>
            <w:tcBorders>
              <w:top w:val="single" w:color="auto" w:sz="4" w:space="0"/>
              <w:left w:val="single" w:color="auto" w:sz="4" w:space="0"/>
              <w:bottom w:val="single" w:color="auto" w:sz="4" w:space="0"/>
              <w:right w:val="single" w:color="auto" w:sz="4" w:space="0"/>
            </w:tcBorders>
            <w:vAlign w:val="center"/>
          </w:tcPr>
          <w:p w14:paraId="281618C9">
            <w:pPr>
              <w:adjustRightInd w:val="0"/>
              <w:snapToGrid w:val="0"/>
              <w:jc w:val="center"/>
              <w:rPr>
                <w:snapToGrid w:val="0"/>
                <w:color w:val="auto"/>
                <w:szCs w:val="22"/>
                <w:lang w:val="zh-CN"/>
              </w:rPr>
            </w:pPr>
            <w:r>
              <w:rPr>
                <w:rFonts w:hint="eastAsia"/>
                <w:snapToGrid w:val="0"/>
                <w:color w:val="auto"/>
                <w:szCs w:val="22"/>
                <w:lang w:val="zh-CN"/>
              </w:rPr>
              <w:t>大</w:t>
            </w:r>
          </w:p>
        </w:tc>
        <w:tc>
          <w:tcPr>
            <w:tcW w:w="693" w:type="dxa"/>
            <w:tcBorders>
              <w:top w:val="single" w:color="auto" w:sz="4" w:space="0"/>
              <w:left w:val="single" w:color="auto" w:sz="4" w:space="0"/>
              <w:bottom w:val="single" w:color="auto" w:sz="4" w:space="0"/>
              <w:right w:val="single" w:color="auto" w:sz="4" w:space="0"/>
            </w:tcBorders>
            <w:vAlign w:val="center"/>
          </w:tcPr>
          <w:p w14:paraId="0A6A4E89">
            <w:pPr>
              <w:adjustRightInd w:val="0"/>
              <w:snapToGrid w:val="0"/>
              <w:jc w:val="center"/>
              <w:rPr>
                <w:snapToGrid w:val="0"/>
                <w:color w:val="auto"/>
                <w:szCs w:val="22"/>
                <w:lang w:val="zh-CN"/>
              </w:rPr>
            </w:pPr>
            <w:r>
              <w:rPr>
                <w:rFonts w:hint="eastAsia"/>
                <w:snapToGrid w:val="0"/>
                <w:color w:val="auto"/>
                <w:szCs w:val="22"/>
                <w:lang w:val="zh-CN"/>
              </w:rPr>
              <w:t>中</w:t>
            </w:r>
          </w:p>
        </w:tc>
        <w:tc>
          <w:tcPr>
            <w:tcW w:w="689" w:type="dxa"/>
            <w:tcBorders>
              <w:top w:val="single" w:color="auto" w:sz="4" w:space="0"/>
              <w:left w:val="single" w:color="auto" w:sz="4" w:space="0"/>
              <w:bottom w:val="single" w:color="auto" w:sz="4" w:space="0"/>
              <w:right w:val="single" w:color="auto" w:sz="4" w:space="0"/>
            </w:tcBorders>
            <w:vAlign w:val="center"/>
          </w:tcPr>
          <w:p w14:paraId="204978BC">
            <w:pPr>
              <w:adjustRightInd w:val="0"/>
              <w:snapToGrid w:val="0"/>
              <w:jc w:val="center"/>
              <w:rPr>
                <w:snapToGrid w:val="0"/>
                <w:color w:val="auto"/>
                <w:szCs w:val="22"/>
                <w:lang w:val="zh-CN"/>
              </w:rPr>
            </w:pPr>
            <w:r>
              <w:rPr>
                <w:rFonts w:hint="eastAsia"/>
                <w:snapToGrid w:val="0"/>
                <w:color w:val="auto"/>
                <w:szCs w:val="22"/>
                <w:lang w:val="zh-CN"/>
              </w:rPr>
              <w:t>小</w:t>
            </w:r>
          </w:p>
        </w:tc>
        <w:tc>
          <w:tcPr>
            <w:tcW w:w="693" w:type="dxa"/>
            <w:tcBorders>
              <w:top w:val="single" w:color="auto" w:sz="4" w:space="0"/>
              <w:left w:val="single" w:color="auto" w:sz="4" w:space="0"/>
              <w:bottom w:val="single" w:color="auto" w:sz="4" w:space="0"/>
              <w:right w:val="single" w:color="auto" w:sz="4" w:space="0"/>
            </w:tcBorders>
            <w:vAlign w:val="center"/>
          </w:tcPr>
          <w:p w14:paraId="74DACDEC">
            <w:pPr>
              <w:adjustRightInd w:val="0"/>
              <w:snapToGrid w:val="0"/>
              <w:jc w:val="center"/>
              <w:rPr>
                <w:snapToGrid w:val="0"/>
                <w:color w:val="auto"/>
                <w:szCs w:val="22"/>
                <w:lang w:val="zh-CN"/>
              </w:rPr>
            </w:pPr>
            <w:r>
              <w:rPr>
                <w:rFonts w:hint="eastAsia"/>
                <w:snapToGrid w:val="0"/>
                <w:color w:val="auto"/>
                <w:szCs w:val="22"/>
                <w:lang w:val="zh-CN"/>
              </w:rPr>
              <w:t>大</w:t>
            </w:r>
          </w:p>
        </w:tc>
        <w:tc>
          <w:tcPr>
            <w:tcW w:w="691" w:type="dxa"/>
            <w:tcBorders>
              <w:top w:val="single" w:color="auto" w:sz="4" w:space="0"/>
              <w:left w:val="single" w:color="auto" w:sz="4" w:space="0"/>
              <w:bottom w:val="single" w:color="auto" w:sz="4" w:space="0"/>
              <w:right w:val="single" w:color="auto" w:sz="4" w:space="0"/>
            </w:tcBorders>
            <w:vAlign w:val="center"/>
          </w:tcPr>
          <w:p w14:paraId="5C7E1E7F">
            <w:pPr>
              <w:adjustRightInd w:val="0"/>
              <w:snapToGrid w:val="0"/>
              <w:jc w:val="center"/>
              <w:rPr>
                <w:snapToGrid w:val="0"/>
                <w:color w:val="auto"/>
                <w:szCs w:val="22"/>
                <w:lang w:val="zh-CN"/>
              </w:rPr>
            </w:pPr>
            <w:r>
              <w:rPr>
                <w:rFonts w:hint="eastAsia"/>
                <w:snapToGrid w:val="0"/>
                <w:color w:val="auto"/>
                <w:szCs w:val="22"/>
                <w:lang w:val="zh-CN"/>
              </w:rPr>
              <w:t>中</w:t>
            </w:r>
          </w:p>
        </w:tc>
        <w:tc>
          <w:tcPr>
            <w:tcW w:w="691" w:type="dxa"/>
            <w:tcBorders>
              <w:top w:val="single" w:color="auto" w:sz="4" w:space="0"/>
              <w:left w:val="single" w:color="auto" w:sz="4" w:space="0"/>
              <w:bottom w:val="single" w:color="auto" w:sz="4" w:space="0"/>
              <w:right w:val="single" w:color="auto" w:sz="4" w:space="0"/>
            </w:tcBorders>
            <w:vAlign w:val="center"/>
          </w:tcPr>
          <w:p w14:paraId="0063D8AE">
            <w:pPr>
              <w:adjustRightInd w:val="0"/>
              <w:snapToGrid w:val="0"/>
              <w:jc w:val="center"/>
              <w:rPr>
                <w:snapToGrid w:val="0"/>
                <w:color w:val="auto"/>
                <w:szCs w:val="22"/>
                <w:lang w:val="zh-CN"/>
              </w:rPr>
            </w:pPr>
            <w:r>
              <w:rPr>
                <w:rFonts w:hint="eastAsia"/>
                <w:snapToGrid w:val="0"/>
                <w:color w:val="auto"/>
                <w:szCs w:val="22"/>
                <w:lang w:val="zh-CN"/>
              </w:rPr>
              <w:t>小</w:t>
            </w:r>
          </w:p>
        </w:tc>
        <w:tc>
          <w:tcPr>
            <w:tcW w:w="829" w:type="dxa"/>
            <w:tcBorders>
              <w:top w:val="single" w:color="auto" w:sz="4" w:space="0"/>
              <w:left w:val="single" w:color="auto" w:sz="4" w:space="0"/>
              <w:bottom w:val="single" w:color="auto" w:sz="4" w:space="0"/>
              <w:right w:val="single" w:color="auto" w:sz="4" w:space="0"/>
            </w:tcBorders>
            <w:vAlign w:val="center"/>
          </w:tcPr>
          <w:p w14:paraId="665AABDF">
            <w:pPr>
              <w:adjustRightInd w:val="0"/>
              <w:snapToGrid w:val="0"/>
              <w:jc w:val="center"/>
              <w:rPr>
                <w:snapToGrid w:val="0"/>
                <w:color w:val="auto"/>
                <w:szCs w:val="22"/>
                <w:lang w:val="zh-CN"/>
              </w:rPr>
            </w:pPr>
            <w:r>
              <w:rPr>
                <w:rFonts w:hint="eastAsia"/>
                <w:snapToGrid w:val="0"/>
                <w:color w:val="auto"/>
                <w:szCs w:val="22"/>
                <w:lang w:val="zh-CN"/>
              </w:rPr>
              <w:t>大</w:t>
            </w:r>
          </w:p>
        </w:tc>
        <w:tc>
          <w:tcPr>
            <w:tcW w:w="693" w:type="dxa"/>
            <w:tcBorders>
              <w:top w:val="single" w:color="auto" w:sz="4" w:space="0"/>
              <w:left w:val="single" w:color="auto" w:sz="4" w:space="0"/>
              <w:bottom w:val="single" w:color="auto" w:sz="4" w:space="0"/>
              <w:right w:val="single" w:color="auto" w:sz="4" w:space="0"/>
            </w:tcBorders>
            <w:vAlign w:val="center"/>
          </w:tcPr>
          <w:p w14:paraId="1BD05DBE">
            <w:pPr>
              <w:adjustRightInd w:val="0"/>
              <w:snapToGrid w:val="0"/>
              <w:jc w:val="center"/>
              <w:rPr>
                <w:snapToGrid w:val="0"/>
                <w:color w:val="auto"/>
                <w:szCs w:val="22"/>
                <w:lang w:val="zh-CN"/>
              </w:rPr>
            </w:pPr>
            <w:r>
              <w:rPr>
                <w:rFonts w:hint="eastAsia"/>
                <w:snapToGrid w:val="0"/>
                <w:color w:val="auto"/>
                <w:szCs w:val="22"/>
                <w:lang w:val="zh-CN"/>
              </w:rPr>
              <w:t>中</w:t>
            </w:r>
          </w:p>
        </w:tc>
        <w:tc>
          <w:tcPr>
            <w:tcW w:w="736" w:type="dxa"/>
            <w:tcBorders>
              <w:top w:val="single" w:color="auto" w:sz="4" w:space="0"/>
              <w:left w:val="single" w:color="auto" w:sz="4" w:space="0"/>
              <w:bottom w:val="single" w:color="auto" w:sz="4" w:space="0"/>
              <w:right w:val="nil"/>
            </w:tcBorders>
            <w:vAlign w:val="center"/>
          </w:tcPr>
          <w:p w14:paraId="2D088620">
            <w:pPr>
              <w:adjustRightInd w:val="0"/>
              <w:snapToGrid w:val="0"/>
              <w:jc w:val="center"/>
              <w:rPr>
                <w:snapToGrid w:val="0"/>
                <w:color w:val="auto"/>
                <w:szCs w:val="22"/>
                <w:lang w:val="zh-CN"/>
              </w:rPr>
            </w:pPr>
            <w:r>
              <w:rPr>
                <w:rFonts w:hint="eastAsia"/>
                <w:snapToGrid w:val="0"/>
                <w:color w:val="auto"/>
                <w:szCs w:val="22"/>
                <w:lang w:val="zh-CN"/>
              </w:rPr>
              <w:t>小</w:t>
            </w:r>
          </w:p>
        </w:tc>
      </w:tr>
      <w:tr w14:paraId="329A6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03" w:type="dxa"/>
            <w:tcBorders>
              <w:top w:val="single" w:color="auto" w:sz="4" w:space="0"/>
              <w:left w:val="nil"/>
              <w:bottom w:val="single" w:color="auto" w:sz="4" w:space="0"/>
              <w:right w:val="single" w:color="auto" w:sz="4" w:space="0"/>
            </w:tcBorders>
            <w:vAlign w:val="center"/>
          </w:tcPr>
          <w:p w14:paraId="75AB6E0C">
            <w:pPr>
              <w:adjustRightInd w:val="0"/>
              <w:snapToGrid w:val="0"/>
              <w:jc w:val="center"/>
              <w:rPr>
                <w:snapToGrid w:val="0"/>
                <w:color w:val="auto"/>
                <w:szCs w:val="22"/>
                <w:lang w:val="zh-CN"/>
              </w:rPr>
            </w:pPr>
            <w:r>
              <w:rPr>
                <w:rFonts w:hint="eastAsia"/>
                <w:snapToGrid w:val="0"/>
                <w:color w:val="auto"/>
                <w:szCs w:val="22"/>
                <w:lang w:val="zh-CN"/>
              </w:rPr>
              <w:t>敏感</w:t>
            </w:r>
          </w:p>
        </w:tc>
        <w:tc>
          <w:tcPr>
            <w:tcW w:w="688" w:type="dxa"/>
            <w:tcBorders>
              <w:top w:val="single" w:color="auto" w:sz="4" w:space="0"/>
              <w:left w:val="single" w:color="auto" w:sz="4" w:space="0"/>
              <w:bottom w:val="single" w:color="auto" w:sz="4" w:space="0"/>
              <w:right w:val="single" w:color="auto" w:sz="4" w:space="0"/>
            </w:tcBorders>
            <w:vAlign w:val="center"/>
          </w:tcPr>
          <w:p w14:paraId="05E348E1">
            <w:pPr>
              <w:adjustRightInd w:val="0"/>
              <w:snapToGrid w:val="0"/>
              <w:jc w:val="center"/>
              <w:rPr>
                <w:snapToGrid w:val="0"/>
                <w:color w:val="auto"/>
                <w:szCs w:val="22"/>
                <w:lang w:val="zh-CN"/>
              </w:rPr>
            </w:pPr>
            <w:r>
              <w:rPr>
                <w:rFonts w:hint="eastAsia"/>
                <w:snapToGrid w:val="0"/>
                <w:color w:val="auto"/>
                <w:szCs w:val="22"/>
                <w:lang w:val="zh-CN"/>
              </w:rPr>
              <w:t>一级</w:t>
            </w:r>
          </w:p>
        </w:tc>
        <w:tc>
          <w:tcPr>
            <w:tcW w:w="693" w:type="dxa"/>
            <w:tcBorders>
              <w:top w:val="single" w:color="auto" w:sz="4" w:space="0"/>
              <w:left w:val="single" w:color="auto" w:sz="4" w:space="0"/>
              <w:bottom w:val="single" w:color="auto" w:sz="4" w:space="0"/>
              <w:right w:val="single" w:color="auto" w:sz="4" w:space="0"/>
            </w:tcBorders>
            <w:vAlign w:val="center"/>
          </w:tcPr>
          <w:p w14:paraId="0B898FEE">
            <w:pPr>
              <w:adjustRightInd w:val="0"/>
              <w:snapToGrid w:val="0"/>
              <w:jc w:val="center"/>
              <w:rPr>
                <w:snapToGrid w:val="0"/>
                <w:color w:val="auto"/>
                <w:szCs w:val="22"/>
                <w:lang w:val="zh-CN"/>
              </w:rPr>
            </w:pPr>
            <w:r>
              <w:rPr>
                <w:rFonts w:hint="eastAsia"/>
                <w:snapToGrid w:val="0"/>
                <w:color w:val="auto"/>
                <w:szCs w:val="22"/>
                <w:lang w:val="zh-CN"/>
              </w:rPr>
              <w:t>一级</w:t>
            </w:r>
          </w:p>
        </w:tc>
        <w:tc>
          <w:tcPr>
            <w:tcW w:w="689" w:type="dxa"/>
            <w:tcBorders>
              <w:top w:val="single" w:color="auto" w:sz="4" w:space="0"/>
              <w:left w:val="single" w:color="auto" w:sz="4" w:space="0"/>
              <w:bottom w:val="single" w:color="auto" w:sz="4" w:space="0"/>
              <w:right w:val="single" w:color="auto" w:sz="4" w:space="0"/>
            </w:tcBorders>
            <w:vAlign w:val="center"/>
          </w:tcPr>
          <w:p w14:paraId="2869B249">
            <w:pPr>
              <w:adjustRightInd w:val="0"/>
              <w:snapToGrid w:val="0"/>
              <w:jc w:val="center"/>
              <w:rPr>
                <w:snapToGrid w:val="0"/>
                <w:color w:val="auto"/>
                <w:szCs w:val="22"/>
                <w:lang w:val="zh-CN"/>
              </w:rPr>
            </w:pPr>
            <w:r>
              <w:rPr>
                <w:rFonts w:hint="eastAsia"/>
                <w:snapToGrid w:val="0"/>
                <w:color w:val="auto"/>
                <w:szCs w:val="22"/>
                <w:lang w:val="zh-CN"/>
              </w:rPr>
              <w:t>一级</w:t>
            </w:r>
          </w:p>
        </w:tc>
        <w:tc>
          <w:tcPr>
            <w:tcW w:w="693" w:type="dxa"/>
            <w:tcBorders>
              <w:top w:val="single" w:color="auto" w:sz="4" w:space="0"/>
              <w:left w:val="single" w:color="auto" w:sz="4" w:space="0"/>
              <w:bottom w:val="single" w:color="auto" w:sz="4" w:space="0"/>
              <w:right w:val="single" w:color="auto" w:sz="4" w:space="0"/>
            </w:tcBorders>
          </w:tcPr>
          <w:p w14:paraId="25A2BBBD">
            <w:pPr>
              <w:adjustRightInd w:val="0"/>
              <w:snapToGrid w:val="0"/>
              <w:jc w:val="center"/>
              <w:rPr>
                <w:snapToGrid w:val="0"/>
                <w:color w:val="auto"/>
                <w:szCs w:val="22"/>
                <w:lang w:val="zh-CN"/>
              </w:rPr>
            </w:pPr>
            <w:r>
              <w:rPr>
                <w:rFonts w:hint="eastAsia"/>
                <w:snapToGrid w:val="0"/>
                <w:color w:val="auto"/>
                <w:szCs w:val="22"/>
                <w:lang w:val="zh-CN"/>
              </w:rPr>
              <w:t>二级</w:t>
            </w:r>
          </w:p>
        </w:tc>
        <w:tc>
          <w:tcPr>
            <w:tcW w:w="691" w:type="dxa"/>
            <w:tcBorders>
              <w:top w:val="single" w:color="auto" w:sz="4" w:space="0"/>
              <w:left w:val="single" w:color="auto" w:sz="4" w:space="0"/>
              <w:bottom w:val="single" w:color="auto" w:sz="4" w:space="0"/>
              <w:right w:val="single" w:color="auto" w:sz="4" w:space="0"/>
            </w:tcBorders>
          </w:tcPr>
          <w:p w14:paraId="6557C418">
            <w:pPr>
              <w:adjustRightInd w:val="0"/>
              <w:snapToGrid w:val="0"/>
              <w:jc w:val="center"/>
              <w:rPr>
                <w:b/>
                <w:bCs/>
                <w:snapToGrid w:val="0"/>
                <w:color w:val="auto"/>
                <w:szCs w:val="22"/>
                <w:lang w:val="zh-CN"/>
              </w:rPr>
            </w:pPr>
            <w:r>
              <w:rPr>
                <w:rFonts w:hint="eastAsia"/>
                <w:b/>
                <w:bCs/>
                <w:snapToGrid w:val="0"/>
                <w:color w:val="auto"/>
                <w:szCs w:val="22"/>
                <w:lang w:val="zh-CN"/>
              </w:rPr>
              <w:t>二级</w:t>
            </w:r>
          </w:p>
        </w:tc>
        <w:tc>
          <w:tcPr>
            <w:tcW w:w="691" w:type="dxa"/>
            <w:tcBorders>
              <w:top w:val="single" w:color="auto" w:sz="4" w:space="0"/>
              <w:left w:val="single" w:color="auto" w:sz="4" w:space="0"/>
              <w:bottom w:val="single" w:color="auto" w:sz="4" w:space="0"/>
              <w:right w:val="single" w:color="auto" w:sz="4" w:space="0"/>
            </w:tcBorders>
          </w:tcPr>
          <w:p w14:paraId="37D50B74">
            <w:pPr>
              <w:adjustRightInd w:val="0"/>
              <w:snapToGrid w:val="0"/>
              <w:jc w:val="center"/>
              <w:rPr>
                <w:b/>
                <w:bCs/>
                <w:snapToGrid w:val="0"/>
                <w:color w:val="auto"/>
                <w:szCs w:val="22"/>
                <w:lang w:val="zh-CN"/>
              </w:rPr>
            </w:pPr>
            <w:r>
              <w:rPr>
                <w:rFonts w:hint="eastAsia"/>
                <w:b w:val="0"/>
                <w:bCs w:val="0"/>
                <w:snapToGrid w:val="0"/>
                <w:color w:val="auto"/>
                <w:szCs w:val="22"/>
                <w:lang w:val="zh-CN"/>
              </w:rPr>
              <w:t>二级</w:t>
            </w:r>
          </w:p>
        </w:tc>
        <w:tc>
          <w:tcPr>
            <w:tcW w:w="829" w:type="dxa"/>
            <w:tcBorders>
              <w:top w:val="single" w:color="auto" w:sz="4" w:space="0"/>
              <w:left w:val="single" w:color="auto" w:sz="4" w:space="0"/>
              <w:bottom w:val="single" w:color="auto" w:sz="4" w:space="0"/>
              <w:right w:val="single" w:color="auto" w:sz="4" w:space="0"/>
            </w:tcBorders>
          </w:tcPr>
          <w:p w14:paraId="7F3E824A">
            <w:pPr>
              <w:adjustRightInd w:val="0"/>
              <w:snapToGrid w:val="0"/>
              <w:jc w:val="center"/>
              <w:rPr>
                <w:snapToGrid w:val="0"/>
                <w:color w:val="auto"/>
                <w:szCs w:val="22"/>
                <w:lang w:val="zh-CN"/>
              </w:rPr>
            </w:pPr>
            <w:r>
              <w:rPr>
                <w:rFonts w:hint="eastAsia"/>
                <w:snapToGrid w:val="0"/>
                <w:color w:val="auto"/>
                <w:szCs w:val="22"/>
                <w:lang w:val="zh-CN"/>
              </w:rPr>
              <w:t>三级</w:t>
            </w:r>
          </w:p>
        </w:tc>
        <w:tc>
          <w:tcPr>
            <w:tcW w:w="693" w:type="dxa"/>
            <w:tcBorders>
              <w:top w:val="single" w:color="auto" w:sz="4" w:space="0"/>
              <w:left w:val="single" w:color="auto" w:sz="4" w:space="0"/>
              <w:bottom w:val="single" w:color="auto" w:sz="4" w:space="0"/>
              <w:right w:val="single" w:color="auto" w:sz="4" w:space="0"/>
            </w:tcBorders>
          </w:tcPr>
          <w:p w14:paraId="18C4B0B9">
            <w:pPr>
              <w:adjustRightInd w:val="0"/>
              <w:snapToGrid w:val="0"/>
              <w:jc w:val="center"/>
              <w:rPr>
                <w:snapToGrid w:val="0"/>
                <w:color w:val="auto"/>
                <w:szCs w:val="22"/>
                <w:lang w:val="zh-CN"/>
              </w:rPr>
            </w:pPr>
            <w:r>
              <w:rPr>
                <w:rFonts w:hint="eastAsia"/>
                <w:snapToGrid w:val="0"/>
                <w:color w:val="auto"/>
                <w:szCs w:val="22"/>
                <w:lang w:val="zh-CN"/>
              </w:rPr>
              <w:t>三级</w:t>
            </w:r>
          </w:p>
        </w:tc>
        <w:tc>
          <w:tcPr>
            <w:tcW w:w="736" w:type="dxa"/>
            <w:tcBorders>
              <w:top w:val="single" w:color="auto" w:sz="4" w:space="0"/>
              <w:left w:val="single" w:color="auto" w:sz="4" w:space="0"/>
              <w:bottom w:val="single" w:color="auto" w:sz="4" w:space="0"/>
              <w:right w:val="nil"/>
            </w:tcBorders>
          </w:tcPr>
          <w:p w14:paraId="30D01578">
            <w:pPr>
              <w:adjustRightInd w:val="0"/>
              <w:snapToGrid w:val="0"/>
              <w:jc w:val="center"/>
              <w:rPr>
                <w:snapToGrid w:val="0"/>
                <w:color w:val="auto"/>
                <w:szCs w:val="22"/>
                <w:lang w:val="zh-CN"/>
              </w:rPr>
            </w:pPr>
            <w:r>
              <w:rPr>
                <w:rFonts w:hint="eastAsia"/>
                <w:snapToGrid w:val="0"/>
                <w:color w:val="auto"/>
                <w:szCs w:val="22"/>
                <w:lang w:val="zh-CN"/>
              </w:rPr>
              <w:t>三级</w:t>
            </w:r>
          </w:p>
        </w:tc>
      </w:tr>
      <w:tr w14:paraId="3E145B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03" w:type="dxa"/>
            <w:tcBorders>
              <w:top w:val="single" w:color="auto" w:sz="4" w:space="0"/>
              <w:left w:val="nil"/>
              <w:bottom w:val="single" w:color="auto" w:sz="4" w:space="0"/>
              <w:right w:val="single" w:color="auto" w:sz="4" w:space="0"/>
            </w:tcBorders>
            <w:vAlign w:val="center"/>
          </w:tcPr>
          <w:p w14:paraId="1B0E4791">
            <w:pPr>
              <w:adjustRightInd w:val="0"/>
              <w:snapToGrid w:val="0"/>
              <w:jc w:val="center"/>
              <w:rPr>
                <w:snapToGrid w:val="0"/>
                <w:color w:val="auto"/>
                <w:szCs w:val="22"/>
                <w:lang w:val="zh-CN"/>
              </w:rPr>
            </w:pPr>
            <w:r>
              <w:rPr>
                <w:rFonts w:hint="eastAsia"/>
                <w:snapToGrid w:val="0"/>
                <w:color w:val="auto"/>
                <w:szCs w:val="22"/>
                <w:lang w:val="zh-CN"/>
              </w:rPr>
              <w:t>较敏感</w:t>
            </w:r>
          </w:p>
        </w:tc>
        <w:tc>
          <w:tcPr>
            <w:tcW w:w="688" w:type="dxa"/>
            <w:tcBorders>
              <w:top w:val="single" w:color="auto" w:sz="4" w:space="0"/>
              <w:left w:val="single" w:color="auto" w:sz="4" w:space="0"/>
              <w:bottom w:val="single" w:color="auto" w:sz="4" w:space="0"/>
              <w:right w:val="single" w:color="auto" w:sz="4" w:space="0"/>
            </w:tcBorders>
            <w:vAlign w:val="center"/>
          </w:tcPr>
          <w:p w14:paraId="38FCDCB5">
            <w:pPr>
              <w:adjustRightInd w:val="0"/>
              <w:snapToGrid w:val="0"/>
              <w:jc w:val="center"/>
              <w:rPr>
                <w:snapToGrid w:val="0"/>
                <w:color w:val="auto"/>
                <w:szCs w:val="22"/>
                <w:lang w:val="zh-CN"/>
              </w:rPr>
            </w:pPr>
            <w:r>
              <w:rPr>
                <w:rFonts w:hint="eastAsia"/>
                <w:snapToGrid w:val="0"/>
                <w:color w:val="auto"/>
                <w:szCs w:val="22"/>
                <w:lang w:val="zh-CN"/>
              </w:rPr>
              <w:t>二级</w:t>
            </w:r>
          </w:p>
        </w:tc>
        <w:tc>
          <w:tcPr>
            <w:tcW w:w="693" w:type="dxa"/>
            <w:tcBorders>
              <w:top w:val="single" w:color="auto" w:sz="4" w:space="0"/>
              <w:left w:val="single" w:color="auto" w:sz="4" w:space="0"/>
              <w:bottom w:val="single" w:color="auto" w:sz="4" w:space="0"/>
              <w:right w:val="single" w:color="auto" w:sz="4" w:space="0"/>
            </w:tcBorders>
          </w:tcPr>
          <w:p w14:paraId="38BCA172">
            <w:pPr>
              <w:adjustRightInd w:val="0"/>
              <w:snapToGrid w:val="0"/>
              <w:jc w:val="center"/>
              <w:rPr>
                <w:snapToGrid w:val="0"/>
                <w:color w:val="auto"/>
                <w:szCs w:val="22"/>
                <w:lang w:val="zh-CN"/>
              </w:rPr>
            </w:pPr>
            <w:r>
              <w:rPr>
                <w:rFonts w:hint="eastAsia"/>
                <w:snapToGrid w:val="0"/>
                <w:color w:val="auto"/>
                <w:szCs w:val="22"/>
                <w:lang w:val="zh-CN"/>
              </w:rPr>
              <w:t>二级</w:t>
            </w:r>
          </w:p>
        </w:tc>
        <w:tc>
          <w:tcPr>
            <w:tcW w:w="689" w:type="dxa"/>
            <w:tcBorders>
              <w:top w:val="single" w:color="auto" w:sz="4" w:space="0"/>
              <w:left w:val="single" w:color="auto" w:sz="4" w:space="0"/>
              <w:bottom w:val="single" w:color="auto" w:sz="4" w:space="0"/>
              <w:right w:val="single" w:color="auto" w:sz="4" w:space="0"/>
            </w:tcBorders>
          </w:tcPr>
          <w:p w14:paraId="55E5E83E">
            <w:pPr>
              <w:adjustRightInd w:val="0"/>
              <w:snapToGrid w:val="0"/>
              <w:jc w:val="center"/>
              <w:rPr>
                <w:snapToGrid w:val="0"/>
                <w:color w:val="auto"/>
                <w:szCs w:val="22"/>
                <w:lang w:val="zh-CN"/>
              </w:rPr>
            </w:pPr>
            <w:r>
              <w:rPr>
                <w:rFonts w:hint="eastAsia"/>
                <w:snapToGrid w:val="0"/>
                <w:color w:val="auto"/>
                <w:szCs w:val="22"/>
                <w:lang w:val="zh-CN"/>
              </w:rPr>
              <w:t>二级</w:t>
            </w:r>
          </w:p>
        </w:tc>
        <w:tc>
          <w:tcPr>
            <w:tcW w:w="693" w:type="dxa"/>
            <w:tcBorders>
              <w:top w:val="single" w:color="auto" w:sz="4" w:space="0"/>
              <w:left w:val="single" w:color="auto" w:sz="4" w:space="0"/>
              <w:bottom w:val="single" w:color="auto" w:sz="4" w:space="0"/>
              <w:right w:val="single" w:color="auto" w:sz="4" w:space="0"/>
            </w:tcBorders>
          </w:tcPr>
          <w:p w14:paraId="42E70252">
            <w:pPr>
              <w:adjustRightInd w:val="0"/>
              <w:snapToGrid w:val="0"/>
              <w:jc w:val="center"/>
              <w:rPr>
                <w:snapToGrid w:val="0"/>
                <w:color w:val="auto"/>
                <w:szCs w:val="22"/>
                <w:lang w:val="zh-CN"/>
              </w:rPr>
            </w:pPr>
            <w:r>
              <w:rPr>
                <w:rFonts w:hint="eastAsia"/>
                <w:snapToGrid w:val="0"/>
                <w:color w:val="auto"/>
                <w:szCs w:val="22"/>
                <w:lang w:val="zh-CN"/>
              </w:rPr>
              <w:t>二级</w:t>
            </w:r>
          </w:p>
        </w:tc>
        <w:tc>
          <w:tcPr>
            <w:tcW w:w="691" w:type="dxa"/>
            <w:tcBorders>
              <w:top w:val="single" w:color="auto" w:sz="4" w:space="0"/>
              <w:left w:val="single" w:color="auto" w:sz="4" w:space="0"/>
              <w:bottom w:val="single" w:color="auto" w:sz="4" w:space="0"/>
              <w:right w:val="single" w:color="auto" w:sz="4" w:space="0"/>
            </w:tcBorders>
          </w:tcPr>
          <w:p w14:paraId="18B893F8">
            <w:pPr>
              <w:adjustRightInd w:val="0"/>
              <w:snapToGrid w:val="0"/>
              <w:jc w:val="center"/>
              <w:rPr>
                <w:snapToGrid w:val="0"/>
                <w:color w:val="auto"/>
                <w:szCs w:val="22"/>
                <w:lang w:val="zh-CN"/>
              </w:rPr>
            </w:pPr>
            <w:r>
              <w:rPr>
                <w:rFonts w:hint="eastAsia"/>
                <w:snapToGrid w:val="0"/>
                <w:color w:val="auto"/>
                <w:szCs w:val="22"/>
                <w:lang w:val="zh-CN"/>
              </w:rPr>
              <w:t>二级</w:t>
            </w:r>
          </w:p>
        </w:tc>
        <w:tc>
          <w:tcPr>
            <w:tcW w:w="691" w:type="dxa"/>
            <w:tcBorders>
              <w:top w:val="single" w:color="auto" w:sz="4" w:space="0"/>
              <w:left w:val="single" w:color="auto" w:sz="4" w:space="0"/>
              <w:bottom w:val="single" w:color="auto" w:sz="4" w:space="0"/>
              <w:right w:val="single" w:color="auto" w:sz="4" w:space="0"/>
            </w:tcBorders>
            <w:vAlign w:val="center"/>
          </w:tcPr>
          <w:p w14:paraId="4C014862">
            <w:pPr>
              <w:adjustRightInd w:val="0"/>
              <w:snapToGrid w:val="0"/>
              <w:jc w:val="center"/>
              <w:rPr>
                <w:snapToGrid w:val="0"/>
                <w:color w:val="auto"/>
                <w:szCs w:val="22"/>
                <w:lang w:val="zh-CN"/>
              </w:rPr>
            </w:pPr>
            <w:r>
              <w:rPr>
                <w:rFonts w:hint="eastAsia"/>
                <w:snapToGrid w:val="0"/>
                <w:color w:val="auto"/>
                <w:szCs w:val="22"/>
                <w:lang w:val="zh-CN"/>
              </w:rPr>
              <w:t>三级</w:t>
            </w:r>
          </w:p>
        </w:tc>
        <w:tc>
          <w:tcPr>
            <w:tcW w:w="829" w:type="dxa"/>
            <w:tcBorders>
              <w:top w:val="single" w:color="auto" w:sz="4" w:space="0"/>
              <w:left w:val="single" w:color="auto" w:sz="4" w:space="0"/>
              <w:bottom w:val="single" w:color="auto" w:sz="4" w:space="0"/>
              <w:right w:val="single" w:color="auto" w:sz="4" w:space="0"/>
            </w:tcBorders>
          </w:tcPr>
          <w:p w14:paraId="5B319409">
            <w:pPr>
              <w:adjustRightInd w:val="0"/>
              <w:snapToGrid w:val="0"/>
              <w:jc w:val="center"/>
              <w:rPr>
                <w:snapToGrid w:val="0"/>
                <w:color w:val="auto"/>
                <w:szCs w:val="22"/>
                <w:lang w:val="zh-CN"/>
              </w:rPr>
            </w:pPr>
            <w:r>
              <w:rPr>
                <w:rFonts w:hint="eastAsia"/>
                <w:snapToGrid w:val="0"/>
                <w:color w:val="auto"/>
                <w:szCs w:val="22"/>
                <w:lang w:val="zh-CN"/>
              </w:rPr>
              <w:t>三级</w:t>
            </w:r>
          </w:p>
        </w:tc>
        <w:tc>
          <w:tcPr>
            <w:tcW w:w="693" w:type="dxa"/>
            <w:tcBorders>
              <w:top w:val="single" w:color="auto" w:sz="4" w:space="0"/>
              <w:left w:val="single" w:color="auto" w:sz="4" w:space="0"/>
              <w:bottom w:val="single" w:color="auto" w:sz="4" w:space="0"/>
              <w:right w:val="single" w:color="auto" w:sz="4" w:space="0"/>
            </w:tcBorders>
          </w:tcPr>
          <w:p w14:paraId="44099085">
            <w:pPr>
              <w:adjustRightInd w:val="0"/>
              <w:snapToGrid w:val="0"/>
              <w:jc w:val="center"/>
              <w:rPr>
                <w:snapToGrid w:val="0"/>
                <w:color w:val="auto"/>
                <w:szCs w:val="22"/>
                <w:lang w:val="zh-CN"/>
              </w:rPr>
            </w:pPr>
            <w:r>
              <w:rPr>
                <w:rFonts w:hint="eastAsia"/>
                <w:snapToGrid w:val="0"/>
                <w:color w:val="auto"/>
                <w:szCs w:val="22"/>
                <w:lang w:val="zh-CN"/>
              </w:rPr>
              <w:t>三级</w:t>
            </w:r>
          </w:p>
        </w:tc>
        <w:tc>
          <w:tcPr>
            <w:tcW w:w="736" w:type="dxa"/>
            <w:tcBorders>
              <w:top w:val="single" w:color="auto" w:sz="4" w:space="0"/>
              <w:left w:val="single" w:color="auto" w:sz="4" w:space="0"/>
              <w:bottom w:val="single" w:color="auto" w:sz="4" w:space="0"/>
              <w:right w:val="nil"/>
            </w:tcBorders>
            <w:vAlign w:val="center"/>
          </w:tcPr>
          <w:p w14:paraId="5AED3BD1">
            <w:pPr>
              <w:adjustRightInd w:val="0"/>
              <w:snapToGrid w:val="0"/>
              <w:jc w:val="center"/>
              <w:rPr>
                <w:snapToGrid w:val="0"/>
                <w:color w:val="auto"/>
                <w:szCs w:val="22"/>
                <w:lang w:val="zh-CN"/>
              </w:rPr>
            </w:pPr>
            <w:r>
              <w:rPr>
                <w:snapToGrid w:val="0"/>
                <w:color w:val="auto"/>
                <w:szCs w:val="22"/>
                <w:lang w:val="zh-CN"/>
              </w:rPr>
              <w:t>-</w:t>
            </w:r>
          </w:p>
        </w:tc>
      </w:tr>
      <w:tr w14:paraId="35B585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903" w:type="dxa"/>
            <w:tcBorders>
              <w:top w:val="single" w:color="auto" w:sz="4" w:space="0"/>
              <w:left w:val="nil"/>
              <w:bottom w:val="single" w:color="auto" w:sz="12" w:space="0"/>
              <w:right w:val="single" w:color="auto" w:sz="4" w:space="0"/>
            </w:tcBorders>
            <w:vAlign w:val="center"/>
          </w:tcPr>
          <w:p w14:paraId="46E955C8">
            <w:pPr>
              <w:adjustRightInd w:val="0"/>
              <w:snapToGrid w:val="0"/>
              <w:jc w:val="center"/>
              <w:rPr>
                <w:snapToGrid w:val="0"/>
                <w:color w:val="auto"/>
                <w:szCs w:val="22"/>
                <w:lang w:val="zh-CN"/>
              </w:rPr>
            </w:pPr>
            <w:r>
              <w:rPr>
                <w:rFonts w:hint="eastAsia"/>
                <w:snapToGrid w:val="0"/>
                <w:color w:val="auto"/>
                <w:szCs w:val="22"/>
                <w:lang w:val="zh-CN"/>
              </w:rPr>
              <w:t>不敏感</w:t>
            </w:r>
          </w:p>
        </w:tc>
        <w:tc>
          <w:tcPr>
            <w:tcW w:w="688" w:type="dxa"/>
            <w:tcBorders>
              <w:top w:val="single" w:color="auto" w:sz="4" w:space="0"/>
              <w:left w:val="single" w:color="auto" w:sz="4" w:space="0"/>
              <w:bottom w:val="single" w:color="auto" w:sz="12" w:space="0"/>
              <w:right w:val="single" w:color="auto" w:sz="4" w:space="0"/>
            </w:tcBorders>
          </w:tcPr>
          <w:p w14:paraId="6A9BE427">
            <w:pPr>
              <w:adjustRightInd w:val="0"/>
              <w:snapToGrid w:val="0"/>
              <w:jc w:val="center"/>
              <w:rPr>
                <w:snapToGrid w:val="0"/>
                <w:color w:val="auto"/>
                <w:szCs w:val="22"/>
                <w:lang w:val="zh-CN"/>
              </w:rPr>
            </w:pPr>
            <w:r>
              <w:rPr>
                <w:rFonts w:hint="eastAsia"/>
                <w:snapToGrid w:val="0"/>
                <w:color w:val="auto"/>
                <w:szCs w:val="22"/>
                <w:lang w:val="zh-CN"/>
              </w:rPr>
              <w:t>二级</w:t>
            </w:r>
          </w:p>
        </w:tc>
        <w:tc>
          <w:tcPr>
            <w:tcW w:w="693" w:type="dxa"/>
            <w:tcBorders>
              <w:top w:val="single" w:color="auto" w:sz="4" w:space="0"/>
              <w:left w:val="single" w:color="auto" w:sz="4" w:space="0"/>
              <w:bottom w:val="single" w:color="auto" w:sz="12" w:space="0"/>
              <w:right w:val="single" w:color="auto" w:sz="4" w:space="0"/>
            </w:tcBorders>
          </w:tcPr>
          <w:p w14:paraId="38EFF4BD">
            <w:pPr>
              <w:adjustRightInd w:val="0"/>
              <w:snapToGrid w:val="0"/>
              <w:jc w:val="center"/>
              <w:rPr>
                <w:snapToGrid w:val="0"/>
                <w:color w:val="auto"/>
                <w:szCs w:val="22"/>
                <w:lang w:val="zh-CN"/>
              </w:rPr>
            </w:pPr>
            <w:r>
              <w:rPr>
                <w:rFonts w:hint="eastAsia"/>
                <w:snapToGrid w:val="0"/>
                <w:color w:val="auto"/>
                <w:szCs w:val="22"/>
                <w:lang w:val="zh-CN"/>
              </w:rPr>
              <w:t>二级</w:t>
            </w:r>
          </w:p>
        </w:tc>
        <w:tc>
          <w:tcPr>
            <w:tcW w:w="689" w:type="dxa"/>
            <w:tcBorders>
              <w:top w:val="single" w:color="auto" w:sz="4" w:space="0"/>
              <w:left w:val="single" w:color="auto" w:sz="4" w:space="0"/>
              <w:bottom w:val="single" w:color="auto" w:sz="12" w:space="0"/>
              <w:right w:val="single" w:color="auto" w:sz="4" w:space="0"/>
            </w:tcBorders>
          </w:tcPr>
          <w:p w14:paraId="3BDE1201">
            <w:pPr>
              <w:adjustRightInd w:val="0"/>
              <w:snapToGrid w:val="0"/>
              <w:jc w:val="center"/>
              <w:rPr>
                <w:snapToGrid w:val="0"/>
                <w:color w:val="auto"/>
                <w:szCs w:val="22"/>
                <w:lang w:val="zh-CN"/>
              </w:rPr>
            </w:pPr>
            <w:r>
              <w:rPr>
                <w:rFonts w:hint="eastAsia"/>
                <w:snapToGrid w:val="0"/>
                <w:color w:val="auto"/>
                <w:szCs w:val="22"/>
                <w:lang w:val="zh-CN"/>
              </w:rPr>
              <w:t>二级</w:t>
            </w:r>
          </w:p>
        </w:tc>
        <w:tc>
          <w:tcPr>
            <w:tcW w:w="693" w:type="dxa"/>
            <w:tcBorders>
              <w:top w:val="single" w:color="auto" w:sz="4" w:space="0"/>
              <w:left w:val="single" w:color="auto" w:sz="4" w:space="0"/>
              <w:bottom w:val="single" w:color="auto" w:sz="12" w:space="0"/>
              <w:right w:val="single" w:color="auto" w:sz="4" w:space="0"/>
            </w:tcBorders>
            <w:vAlign w:val="center"/>
          </w:tcPr>
          <w:p w14:paraId="0AE82991">
            <w:pPr>
              <w:adjustRightInd w:val="0"/>
              <w:snapToGrid w:val="0"/>
              <w:jc w:val="center"/>
              <w:rPr>
                <w:snapToGrid w:val="0"/>
                <w:color w:val="auto"/>
                <w:szCs w:val="22"/>
                <w:lang w:val="zh-CN"/>
              </w:rPr>
            </w:pPr>
            <w:r>
              <w:rPr>
                <w:rFonts w:hint="eastAsia"/>
                <w:snapToGrid w:val="0"/>
                <w:color w:val="auto"/>
                <w:szCs w:val="22"/>
                <w:lang w:val="zh-CN"/>
              </w:rPr>
              <w:t>二级</w:t>
            </w:r>
          </w:p>
        </w:tc>
        <w:tc>
          <w:tcPr>
            <w:tcW w:w="691" w:type="dxa"/>
            <w:tcBorders>
              <w:top w:val="single" w:color="auto" w:sz="4" w:space="0"/>
              <w:left w:val="single" w:color="auto" w:sz="4" w:space="0"/>
              <w:bottom w:val="single" w:color="auto" w:sz="12" w:space="0"/>
              <w:right w:val="single" w:color="auto" w:sz="4" w:space="0"/>
            </w:tcBorders>
          </w:tcPr>
          <w:p w14:paraId="0E14E3B7">
            <w:pPr>
              <w:adjustRightInd w:val="0"/>
              <w:snapToGrid w:val="0"/>
              <w:jc w:val="center"/>
              <w:rPr>
                <w:snapToGrid w:val="0"/>
                <w:color w:val="auto"/>
                <w:szCs w:val="22"/>
                <w:lang w:val="zh-CN"/>
              </w:rPr>
            </w:pPr>
            <w:r>
              <w:rPr>
                <w:rFonts w:hint="eastAsia"/>
                <w:snapToGrid w:val="0"/>
                <w:color w:val="auto"/>
                <w:szCs w:val="22"/>
                <w:lang w:val="zh-CN"/>
              </w:rPr>
              <w:t>三级</w:t>
            </w:r>
          </w:p>
        </w:tc>
        <w:tc>
          <w:tcPr>
            <w:tcW w:w="691" w:type="dxa"/>
            <w:tcBorders>
              <w:top w:val="single" w:color="auto" w:sz="4" w:space="0"/>
              <w:left w:val="single" w:color="auto" w:sz="4" w:space="0"/>
              <w:bottom w:val="single" w:color="auto" w:sz="12" w:space="0"/>
              <w:right w:val="single" w:color="auto" w:sz="4" w:space="0"/>
            </w:tcBorders>
          </w:tcPr>
          <w:p w14:paraId="6B9806DB">
            <w:pPr>
              <w:adjustRightInd w:val="0"/>
              <w:snapToGrid w:val="0"/>
              <w:jc w:val="center"/>
              <w:rPr>
                <w:snapToGrid w:val="0"/>
                <w:color w:val="auto"/>
                <w:szCs w:val="22"/>
                <w:lang w:val="zh-CN"/>
              </w:rPr>
            </w:pPr>
            <w:r>
              <w:rPr>
                <w:rFonts w:hint="eastAsia"/>
                <w:snapToGrid w:val="0"/>
                <w:color w:val="auto"/>
                <w:szCs w:val="22"/>
                <w:lang w:val="zh-CN"/>
              </w:rPr>
              <w:t>三级</w:t>
            </w:r>
          </w:p>
        </w:tc>
        <w:tc>
          <w:tcPr>
            <w:tcW w:w="829" w:type="dxa"/>
            <w:tcBorders>
              <w:top w:val="single" w:color="auto" w:sz="4" w:space="0"/>
              <w:left w:val="single" w:color="auto" w:sz="4" w:space="0"/>
              <w:bottom w:val="single" w:color="auto" w:sz="12" w:space="0"/>
              <w:right w:val="single" w:color="auto" w:sz="4" w:space="0"/>
            </w:tcBorders>
          </w:tcPr>
          <w:p w14:paraId="337BBB05">
            <w:pPr>
              <w:adjustRightInd w:val="0"/>
              <w:snapToGrid w:val="0"/>
              <w:jc w:val="center"/>
              <w:rPr>
                <w:snapToGrid w:val="0"/>
                <w:color w:val="auto"/>
                <w:szCs w:val="22"/>
                <w:lang w:val="zh-CN"/>
              </w:rPr>
            </w:pPr>
            <w:r>
              <w:rPr>
                <w:rFonts w:hint="eastAsia"/>
                <w:snapToGrid w:val="0"/>
                <w:color w:val="auto"/>
                <w:szCs w:val="22"/>
                <w:lang w:val="zh-CN"/>
              </w:rPr>
              <w:t>三级</w:t>
            </w:r>
          </w:p>
        </w:tc>
        <w:tc>
          <w:tcPr>
            <w:tcW w:w="693" w:type="dxa"/>
            <w:tcBorders>
              <w:top w:val="single" w:color="auto" w:sz="4" w:space="0"/>
              <w:left w:val="single" w:color="auto" w:sz="4" w:space="0"/>
              <w:bottom w:val="single" w:color="auto" w:sz="12" w:space="0"/>
              <w:right w:val="single" w:color="auto" w:sz="4" w:space="0"/>
            </w:tcBorders>
          </w:tcPr>
          <w:p w14:paraId="19C8A4EE">
            <w:pPr>
              <w:adjustRightInd w:val="0"/>
              <w:snapToGrid w:val="0"/>
              <w:jc w:val="center"/>
              <w:rPr>
                <w:snapToGrid w:val="0"/>
                <w:color w:val="auto"/>
                <w:szCs w:val="22"/>
                <w:lang w:val="zh-CN"/>
              </w:rPr>
            </w:pPr>
            <w:r>
              <w:rPr>
                <w:snapToGrid w:val="0"/>
                <w:color w:val="auto"/>
                <w:szCs w:val="22"/>
                <w:lang w:val="zh-CN"/>
              </w:rPr>
              <w:t>-</w:t>
            </w:r>
          </w:p>
        </w:tc>
        <w:tc>
          <w:tcPr>
            <w:tcW w:w="736" w:type="dxa"/>
            <w:tcBorders>
              <w:top w:val="single" w:color="auto" w:sz="4" w:space="0"/>
              <w:left w:val="single" w:color="auto" w:sz="4" w:space="0"/>
              <w:bottom w:val="single" w:color="auto" w:sz="12" w:space="0"/>
              <w:right w:val="nil"/>
            </w:tcBorders>
            <w:vAlign w:val="center"/>
          </w:tcPr>
          <w:p w14:paraId="58CE9CD6">
            <w:pPr>
              <w:adjustRightInd w:val="0"/>
              <w:snapToGrid w:val="0"/>
              <w:jc w:val="center"/>
              <w:rPr>
                <w:snapToGrid w:val="0"/>
                <w:color w:val="auto"/>
                <w:szCs w:val="22"/>
                <w:lang w:val="zh-CN"/>
              </w:rPr>
            </w:pPr>
            <w:r>
              <w:rPr>
                <w:snapToGrid w:val="0"/>
                <w:color w:val="auto"/>
                <w:szCs w:val="22"/>
                <w:lang w:val="zh-CN"/>
              </w:rPr>
              <w:t>-</w:t>
            </w:r>
          </w:p>
        </w:tc>
      </w:tr>
    </w:tbl>
    <w:p w14:paraId="17B2E94A">
      <w:pPr>
        <w:rPr>
          <w:color w:val="auto"/>
          <w:szCs w:val="22"/>
          <w:lang w:val="zh-CN"/>
        </w:rPr>
      </w:pPr>
      <w:r>
        <w:rPr>
          <w:rFonts w:hint="eastAsia"/>
          <w:color w:val="auto"/>
          <w:szCs w:val="22"/>
          <w:lang w:val="zh-CN"/>
        </w:rPr>
        <w:t>注</w:t>
      </w:r>
      <w:r>
        <w:rPr>
          <w:rFonts w:eastAsia="TimesNewRomanPSMT"/>
          <w:color w:val="auto"/>
          <w:szCs w:val="22"/>
          <w:lang w:val="zh-CN"/>
        </w:rPr>
        <w:t>2</w:t>
      </w:r>
      <w:r>
        <w:rPr>
          <w:rFonts w:hint="eastAsia"/>
          <w:color w:val="auto"/>
          <w:szCs w:val="22"/>
          <w:lang w:val="zh-CN"/>
        </w:rPr>
        <w:t>：</w:t>
      </w:r>
      <w:r>
        <w:rPr>
          <w:rFonts w:eastAsia="TimesNewRomanPSMT"/>
          <w:color w:val="auto"/>
          <w:szCs w:val="22"/>
          <w:lang w:val="zh-CN"/>
        </w:rPr>
        <w:t>“—”</w:t>
      </w:r>
      <w:r>
        <w:rPr>
          <w:rFonts w:hint="eastAsia"/>
          <w:color w:val="auto"/>
          <w:szCs w:val="22"/>
          <w:lang w:val="zh-CN"/>
        </w:rPr>
        <w:t>表示可不开展土壤环境影响评价工作。</w:t>
      </w:r>
    </w:p>
    <w:p w14:paraId="6E3BC82E">
      <w:pPr>
        <w:pStyle w:val="548"/>
        <w:rPr>
          <w:color w:val="auto"/>
        </w:rPr>
      </w:pPr>
      <w:bookmarkStart w:id="64" w:name="_Toc119316793"/>
      <w:bookmarkStart w:id="65" w:name="_Toc149054197"/>
      <w:r>
        <w:rPr>
          <w:color w:val="auto"/>
        </w:rPr>
        <w:t>2.7评价范围及评价时段</w:t>
      </w:r>
      <w:bookmarkEnd w:id="64"/>
      <w:bookmarkEnd w:id="65"/>
    </w:p>
    <w:p w14:paraId="765FE5A3">
      <w:pPr>
        <w:spacing w:line="500" w:lineRule="exact"/>
        <w:ind w:firstLine="480" w:firstLineChars="200"/>
        <w:rPr>
          <w:snapToGrid w:val="0"/>
          <w:color w:val="auto"/>
          <w:kern w:val="0"/>
          <w:sz w:val="24"/>
          <w:szCs w:val="22"/>
        </w:rPr>
      </w:pPr>
      <w:r>
        <w:rPr>
          <w:rFonts w:hint="eastAsia"/>
          <w:snapToGrid w:val="0"/>
          <w:color w:val="auto"/>
          <w:kern w:val="0"/>
          <w:sz w:val="24"/>
          <w:szCs w:val="22"/>
        </w:rPr>
        <w:t>由于施工期对周围环境影响较小，并且为短期影响，因此施工期只作影响分析；回填复垦期对周围环境影响程度因工序污染物排放不同而不同，而且为长期影响，因此本评价以回填复垦期为重点评价时段；生态恢复期主要为土地复垦，为有利影响，因此生态恢复期作简要影响分析。根据评价区域环境特点、建设项目工程污染特征及环境影响评价工作等级要求，确定各环境要素评价范围。</w:t>
      </w:r>
    </w:p>
    <w:p w14:paraId="2579FD71">
      <w:pPr>
        <w:pStyle w:val="137"/>
        <w:rPr>
          <w:color w:val="auto"/>
        </w:rPr>
      </w:pPr>
      <w:bookmarkStart w:id="66" w:name="_Toc11758479"/>
      <w:r>
        <w:rPr>
          <w:color w:val="auto"/>
        </w:rPr>
        <w:t>2.7.1评价范围</w:t>
      </w:r>
      <w:bookmarkEnd w:id="66"/>
    </w:p>
    <w:p w14:paraId="474B9D42">
      <w:pPr>
        <w:pStyle w:val="59"/>
        <w:ind w:firstLine="480"/>
        <w:rPr>
          <w:snapToGrid w:val="0"/>
          <w:color w:val="auto"/>
        </w:rPr>
      </w:pPr>
      <w:r>
        <w:rPr>
          <w:rFonts w:hint="eastAsia"/>
          <w:snapToGrid w:val="0"/>
          <w:color w:val="auto"/>
        </w:rPr>
        <w:t>（</w:t>
      </w:r>
      <w:r>
        <w:rPr>
          <w:snapToGrid w:val="0"/>
          <w:color w:val="auto"/>
        </w:rPr>
        <w:t>1</w:t>
      </w:r>
      <w:r>
        <w:rPr>
          <w:rFonts w:hint="eastAsia"/>
          <w:snapToGrid w:val="0"/>
          <w:color w:val="auto"/>
        </w:rPr>
        <w:t>）环境空气</w:t>
      </w:r>
    </w:p>
    <w:p w14:paraId="0BBAC6C6">
      <w:pPr>
        <w:pStyle w:val="59"/>
        <w:ind w:firstLine="480"/>
        <w:rPr>
          <w:snapToGrid w:val="0"/>
          <w:color w:val="auto"/>
        </w:rPr>
      </w:pPr>
      <w:r>
        <w:rPr>
          <w:rFonts w:hint="eastAsia"/>
          <w:snapToGrid w:val="0"/>
          <w:color w:val="auto"/>
        </w:rPr>
        <w:t>根据评价工作等级要求，考虑本项目所在区域的地形、地理特征，评价范围为边长为5km的矩形区域。</w:t>
      </w:r>
    </w:p>
    <w:p w14:paraId="05404A82">
      <w:pPr>
        <w:pStyle w:val="59"/>
        <w:ind w:firstLine="480"/>
        <w:rPr>
          <w:snapToGrid w:val="0"/>
          <w:color w:val="auto"/>
        </w:rPr>
      </w:pPr>
      <w:r>
        <w:rPr>
          <w:rFonts w:hint="eastAsia"/>
          <w:snapToGrid w:val="0"/>
          <w:color w:val="auto"/>
        </w:rPr>
        <w:t>（</w:t>
      </w:r>
      <w:r>
        <w:rPr>
          <w:snapToGrid w:val="0"/>
          <w:color w:val="auto"/>
        </w:rPr>
        <w:t>2</w:t>
      </w:r>
      <w:r>
        <w:rPr>
          <w:rFonts w:hint="eastAsia"/>
          <w:snapToGrid w:val="0"/>
          <w:color w:val="auto"/>
        </w:rPr>
        <w:t>）地下水</w:t>
      </w:r>
    </w:p>
    <w:p w14:paraId="35851466">
      <w:pPr>
        <w:pStyle w:val="59"/>
        <w:ind w:firstLine="480"/>
        <w:rPr>
          <w:snapToGrid w:val="0"/>
          <w:color w:val="auto"/>
        </w:rPr>
      </w:pPr>
      <w:r>
        <w:rPr>
          <w:rFonts w:hint="eastAsia"/>
          <w:snapToGrid w:val="0"/>
          <w:color w:val="auto"/>
        </w:rPr>
        <w:t>根据《环境影响评价技术导则 地下水环境》(HJ610-2016)，确定项目地下水评价范围为：场地上游1000m、下游2000m，两侧各1000m所围成的范围，面积6km</w:t>
      </w:r>
      <w:r>
        <w:rPr>
          <w:rFonts w:hint="eastAsia"/>
          <w:snapToGrid w:val="0"/>
          <w:color w:val="auto"/>
          <w:vertAlign w:val="superscript"/>
        </w:rPr>
        <w:t>2</w:t>
      </w:r>
      <w:r>
        <w:rPr>
          <w:rFonts w:hint="eastAsia"/>
          <w:snapToGrid w:val="0"/>
          <w:color w:val="auto"/>
        </w:rPr>
        <w:t>。</w:t>
      </w:r>
    </w:p>
    <w:p w14:paraId="2B6A2A1A">
      <w:pPr>
        <w:pStyle w:val="59"/>
        <w:ind w:firstLine="480"/>
        <w:rPr>
          <w:snapToGrid w:val="0"/>
          <w:color w:val="auto"/>
        </w:rPr>
      </w:pPr>
      <w:r>
        <w:rPr>
          <w:rFonts w:hint="eastAsia"/>
          <w:snapToGrid w:val="0"/>
          <w:color w:val="auto"/>
        </w:rPr>
        <w:t>（</w:t>
      </w:r>
      <w:r>
        <w:rPr>
          <w:snapToGrid w:val="0"/>
          <w:color w:val="auto"/>
        </w:rPr>
        <w:t>3</w:t>
      </w:r>
      <w:r>
        <w:rPr>
          <w:rFonts w:hint="eastAsia"/>
          <w:snapToGrid w:val="0"/>
          <w:color w:val="auto"/>
        </w:rPr>
        <w:t>）声环境</w:t>
      </w:r>
    </w:p>
    <w:p w14:paraId="5EB399D8">
      <w:pPr>
        <w:pStyle w:val="59"/>
        <w:ind w:firstLine="480"/>
        <w:rPr>
          <w:snapToGrid w:val="0"/>
          <w:color w:val="auto"/>
        </w:rPr>
      </w:pPr>
      <w:r>
        <w:rPr>
          <w:rFonts w:hint="eastAsia"/>
          <w:snapToGrid w:val="0"/>
          <w:color w:val="auto"/>
        </w:rPr>
        <w:t>根据评价工作等级要求，该项目噪声评价范围为拟建项目厂界外200m范围。</w:t>
      </w:r>
    </w:p>
    <w:p w14:paraId="1D3B2BFE">
      <w:pPr>
        <w:pStyle w:val="59"/>
        <w:ind w:firstLine="480"/>
        <w:rPr>
          <w:snapToGrid w:val="0"/>
          <w:color w:val="auto"/>
        </w:rPr>
      </w:pPr>
      <w:r>
        <w:rPr>
          <w:rFonts w:hint="eastAsia"/>
          <w:snapToGrid w:val="0"/>
          <w:color w:val="auto"/>
        </w:rPr>
        <w:t>（</w:t>
      </w:r>
      <w:r>
        <w:rPr>
          <w:snapToGrid w:val="0"/>
          <w:color w:val="auto"/>
        </w:rPr>
        <w:t>4</w:t>
      </w:r>
      <w:r>
        <w:rPr>
          <w:rFonts w:hint="eastAsia"/>
          <w:snapToGrid w:val="0"/>
          <w:color w:val="auto"/>
        </w:rPr>
        <w:t>）生态环境</w:t>
      </w:r>
    </w:p>
    <w:p w14:paraId="00E91E6F">
      <w:pPr>
        <w:pStyle w:val="59"/>
        <w:ind w:firstLine="480"/>
        <w:rPr>
          <w:snapToGrid w:val="0"/>
          <w:color w:val="auto"/>
        </w:rPr>
      </w:pPr>
      <w:r>
        <w:rPr>
          <w:rFonts w:hint="eastAsia"/>
          <w:snapToGrid w:val="0"/>
          <w:color w:val="auto"/>
        </w:rPr>
        <w:t>根据评价工作等级要求，该项目生态评价范围为拟建项目厂界外</w:t>
      </w:r>
      <w:r>
        <w:rPr>
          <w:snapToGrid w:val="0"/>
          <w:color w:val="auto"/>
        </w:rPr>
        <w:t>2</w:t>
      </w:r>
      <w:r>
        <w:rPr>
          <w:rFonts w:hint="eastAsia"/>
          <w:snapToGrid w:val="0"/>
          <w:color w:val="auto"/>
        </w:rPr>
        <w:t>00m范围。</w:t>
      </w:r>
    </w:p>
    <w:p w14:paraId="207E4F6E">
      <w:pPr>
        <w:pStyle w:val="59"/>
        <w:ind w:firstLine="480"/>
        <w:rPr>
          <w:snapToGrid w:val="0"/>
          <w:color w:val="auto"/>
        </w:rPr>
      </w:pPr>
      <w:r>
        <w:rPr>
          <w:rFonts w:hint="eastAsia"/>
          <w:snapToGrid w:val="0"/>
          <w:color w:val="auto"/>
        </w:rPr>
        <w:t>（</w:t>
      </w:r>
      <w:r>
        <w:rPr>
          <w:snapToGrid w:val="0"/>
          <w:color w:val="auto"/>
        </w:rPr>
        <w:t>5</w:t>
      </w:r>
      <w:r>
        <w:rPr>
          <w:rFonts w:hint="eastAsia"/>
          <w:snapToGrid w:val="0"/>
          <w:color w:val="auto"/>
        </w:rPr>
        <w:t>）土壤环境</w:t>
      </w:r>
    </w:p>
    <w:p w14:paraId="13CDEACC">
      <w:pPr>
        <w:pStyle w:val="59"/>
        <w:ind w:firstLine="480"/>
        <w:rPr>
          <w:snapToGrid w:val="0"/>
          <w:color w:val="auto"/>
        </w:rPr>
      </w:pPr>
      <w:r>
        <w:rPr>
          <w:rFonts w:hint="eastAsia"/>
          <w:snapToGrid w:val="0"/>
          <w:color w:val="auto"/>
        </w:rPr>
        <w:t>根据评价工作等级要求，该项目土壤评价范围为拟建项目占地范围内及占地范围外200m范围内。</w:t>
      </w:r>
    </w:p>
    <w:p w14:paraId="69EF7E99">
      <w:pPr>
        <w:pStyle w:val="76"/>
        <w:rPr>
          <w:color w:val="auto"/>
        </w:rPr>
      </w:pPr>
      <w:r>
        <w:rPr>
          <w:color w:val="auto"/>
        </w:rPr>
        <w:t>表2-7-1工程评价范围表</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86"/>
        <w:gridCol w:w="1386"/>
        <w:gridCol w:w="924"/>
        <w:gridCol w:w="5330"/>
      </w:tblGrid>
      <w:tr w14:paraId="40F26F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1536" w:type="pct"/>
            <w:gridSpan w:val="2"/>
            <w:tcBorders>
              <w:top w:val="single" w:color="auto" w:sz="12" w:space="0"/>
              <w:left w:val="nil"/>
              <w:bottom w:val="single" w:color="auto" w:sz="4" w:space="0"/>
              <w:right w:val="single" w:color="auto" w:sz="4" w:space="0"/>
            </w:tcBorders>
            <w:vAlign w:val="center"/>
          </w:tcPr>
          <w:p w14:paraId="08BA53F7">
            <w:pPr>
              <w:jc w:val="center"/>
              <w:rPr>
                <w:snapToGrid w:val="0"/>
                <w:color w:val="auto"/>
                <w:szCs w:val="22"/>
                <w:lang w:val="zh-CN"/>
              </w:rPr>
            </w:pPr>
            <w:bookmarkStart w:id="67" w:name="_Toc15991636"/>
            <w:bookmarkStart w:id="68" w:name="_Toc524431294"/>
            <w:r>
              <w:rPr>
                <w:rFonts w:hint="eastAsia"/>
                <w:snapToGrid w:val="0"/>
                <w:color w:val="auto"/>
                <w:lang w:val="zh-CN"/>
              </w:rPr>
              <w:t>项目</w:t>
            </w:r>
          </w:p>
        </w:tc>
        <w:tc>
          <w:tcPr>
            <w:tcW w:w="512" w:type="pct"/>
            <w:tcBorders>
              <w:top w:val="single" w:color="auto" w:sz="12" w:space="0"/>
              <w:left w:val="single" w:color="auto" w:sz="4" w:space="0"/>
              <w:bottom w:val="single" w:color="auto" w:sz="4" w:space="0"/>
              <w:right w:val="single" w:color="auto" w:sz="4" w:space="0"/>
            </w:tcBorders>
            <w:vAlign w:val="center"/>
          </w:tcPr>
          <w:p w14:paraId="45A7C4E7">
            <w:pPr>
              <w:jc w:val="center"/>
              <w:rPr>
                <w:snapToGrid w:val="0"/>
                <w:color w:val="auto"/>
                <w:lang w:val="zh-CN"/>
              </w:rPr>
            </w:pPr>
            <w:r>
              <w:rPr>
                <w:rFonts w:hint="eastAsia"/>
                <w:snapToGrid w:val="0"/>
                <w:color w:val="auto"/>
                <w:lang w:val="zh-CN"/>
              </w:rPr>
              <w:t>评价区域</w:t>
            </w:r>
          </w:p>
        </w:tc>
        <w:tc>
          <w:tcPr>
            <w:tcW w:w="2952" w:type="pct"/>
            <w:tcBorders>
              <w:top w:val="single" w:color="auto" w:sz="12" w:space="0"/>
              <w:left w:val="single" w:color="auto" w:sz="4" w:space="0"/>
              <w:bottom w:val="single" w:color="auto" w:sz="4" w:space="0"/>
              <w:right w:val="nil"/>
            </w:tcBorders>
            <w:vAlign w:val="center"/>
          </w:tcPr>
          <w:p w14:paraId="4AB14D5F">
            <w:pPr>
              <w:jc w:val="center"/>
              <w:rPr>
                <w:snapToGrid w:val="0"/>
                <w:color w:val="auto"/>
                <w:lang w:val="zh-CN"/>
              </w:rPr>
            </w:pPr>
            <w:r>
              <w:rPr>
                <w:rFonts w:hint="eastAsia"/>
                <w:snapToGrid w:val="0"/>
                <w:color w:val="auto"/>
                <w:lang w:val="zh-CN"/>
              </w:rPr>
              <w:t>评价范围</w:t>
            </w:r>
          </w:p>
        </w:tc>
      </w:tr>
      <w:tr w14:paraId="7242EA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4" w:hRule="atLeast"/>
        </w:trPr>
        <w:tc>
          <w:tcPr>
            <w:tcW w:w="768" w:type="pct"/>
            <w:vMerge w:val="restart"/>
            <w:tcBorders>
              <w:top w:val="single" w:color="auto" w:sz="4" w:space="0"/>
              <w:left w:val="nil"/>
              <w:bottom w:val="single" w:color="auto" w:sz="4" w:space="0"/>
              <w:right w:val="single" w:color="auto" w:sz="4" w:space="0"/>
            </w:tcBorders>
            <w:vAlign w:val="center"/>
          </w:tcPr>
          <w:p w14:paraId="3B56F37B">
            <w:pPr>
              <w:jc w:val="center"/>
              <w:rPr>
                <w:snapToGrid w:val="0"/>
                <w:color w:val="auto"/>
                <w:lang w:val="zh-CN"/>
              </w:rPr>
            </w:pPr>
            <w:r>
              <w:rPr>
                <w:rFonts w:hint="eastAsia"/>
                <w:color w:val="auto"/>
                <w:lang w:val="zh-CN"/>
              </w:rPr>
              <w:t>环境空气</w:t>
            </w:r>
          </w:p>
        </w:tc>
        <w:tc>
          <w:tcPr>
            <w:tcW w:w="768" w:type="pct"/>
            <w:tcBorders>
              <w:top w:val="single" w:color="auto" w:sz="4" w:space="0"/>
              <w:left w:val="single" w:color="auto" w:sz="4" w:space="0"/>
              <w:bottom w:val="single" w:color="auto" w:sz="4" w:space="0"/>
              <w:right w:val="single" w:color="auto" w:sz="4" w:space="0"/>
            </w:tcBorders>
            <w:vAlign w:val="center"/>
          </w:tcPr>
          <w:p w14:paraId="783189BC">
            <w:pPr>
              <w:jc w:val="center"/>
              <w:rPr>
                <w:color w:val="auto"/>
                <w:lang w:val="zh-CN"/>
              </w:rPr>
            </w:pPr>
            <w:r>
              <w:rPr>
                <w:rFonts w:hint="eastAsia"/>
                <w:color w:val="auto"/>
                <w:lang w:val="zh-CN"/>
              </w:rPr>
              <w:t>现状调查</w:t>
            </w:r>
          </w:p>
        </w:tc>
        <w:tc>
          <w:tcPr>
            <w:tcW w:w="512" w:type="pct"/>
            <w:vMerge w:val="restart"/>
            <w:tcBorders>
              <w:top w:val="single" w:color="auto" w:sz="4" w:space="0"/>
              <w:left w:val="single" w:color="auto" w:sz="4" w:space="0"/>
              <w:bottom w:val="single" w:color="auto" w:sz="4" w:space="0"/>
              <w:right w:val="single" w:color="auto" w:sz="4" w:space="0"/>
            </w:tcBorders>
            <w:vAlign w:val="center"/>
          </w:tcPr>
          <w:p w14:paraId="14CB9563">
            <w:pPr>
              <w:jc w:val="center"/>
              <w:rPr>
                <w:color w:val="auto"/>
                <w:lang w:val="zh-CN"/>
              </w:rPr>
            </w:pPr>
            <w:r>
              <w:rPr>
                <w:rFonts w:hint="eastAsia"/>
                <w:color w:val="auto"/>
                <w:lang w:val="zh-CN"/>
              </w:rPr>
              <w:t>项目所在区域</w:t>
            </w:r>
          </w:p>
        </w:tc>
        <w:tc>
          <w:tcPr>
            <w:tcW w:w="2952" w:type="pct"/>
            <w:vMerge w:val="restart"/>
            <w:tcBorders>
              <w:top w:val="single" w:color="auto" w:sz="4" w:space="0"/>
              <w:left w:val="single" w:color="auto" w:sz="4" w:space="0"/>
              <w:bottom w:val="single" w:color="auto" w:sz="4" w:space="0"/>
              <w:right w:val="nil"/>
            </w:tcBorders>
            <w:vAlign w:val="center"/>
          </w:tcPr>
          <w:p w14:paraId="0DDBE3DA">
            <w:pPr>
              <w:jc w:val="center"/>
              <w:rPr>
                <w:snapToGrid w:val="0"/>
                <w:color w:val="auto"/>
                <w:lang w:val="zh-CN"/>
              </w:rPr>
            </w:pPr>
            <w:r>
              <w:rPr>
                <w:rFonts w:hint="eastAsia"/>
                <w:snapToGrid w:val="0"/>
                <w:color w:val="auto"/>
                <w:lang w:val="zh-CN"/>
              </w:rPr>
              <w:t>为边长为</w:t>
            </w:r>
            <w:r>
              <w:rPr>
                <w:snapToGrid w:val="0"/>
                <w:color w:val="auto"/>
                <w:lang w:val="zh-CN"/>
              </w:rPr>
              <w:t>5km</w:t>
            </w:r>
            <w:r>
              <w:rPr>
                <w:rFonts w:hint="eastAsia"/>
                <w:snapToGrid w:val="0"/>
                <w:color w:val="auto"/>
                <w:lang w:val="zh-CN"/>
              </w:rPr>
              <w:t>的矩形区域。</w:t>
            </w:r>
          </w:p>
        </w:tc>
      </w:tr>
      <w:tr w14:paraId="2ACEE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0" w:type="auto"/>
            <w:vMerge w:val="continue"/>
            <w:tcBorders>
              <w:top w:val="single" w:color="auto" w:sz="4" w:space="0"/>
              <w:left w:val="nil"/>
              <w:bottom w:val="single" w:color="auto" w:sz="4" w:space="0"/>
              <w:right w:val="single" w:color="auto" w:sz="4" w:space="0"/>
            </w:tcBorders>
            <w:vAlign w:val="center"/>
          </w:tcPr>
          <w:p w14:paraId="797561CE">
            <w:pPr>
              <w:widowControl/>
              <w:jc w:val="left"/>
              <w:rPr>
                <w:snapToGrid w:val="0"/>
                <w:color w:val="auto"/>
                <w:szCs w:val="22"/>
                <w:lang w:val="zh-CN"/>
              </w:rPr>
            </w:pPr>
          </w:p>
        </w:tc>
        <w:tc>
          <w:tcPr>
            <w:tcW w:w="768" w:type="pct"/>
            <w:tcBorders>
              <w:top w:val="single" w:color="auto" w:sz="4" w:space="0"/>
              <w:left w:val="single" w:color="auto" w:sz="4" w:space="0"/>
              <w:bottom w:val="single" w:color="auto" w:sz="4" w:space="0"/>
              <w:right w:val="single" w:color="auto" w:sz="4" w:space="0"/>
            </w:tcBorders>
            <w:vAlign w:val="center"/>
          </w:tcPr>
          <w:p w14:paraId="472BDDC2">
            <w:pPr>
              <w:jc w:val="center"/>
              <w:rPr>
                <w:color w:val="auto"/>
                <w:lang w:val="zh-CN"/>
              </w:rPr>
            </w:pPr>
            <w:r>
              <w:rPr>
                <w:rFonts w:hint="eastAsia"/>
                <w:color w:val="auto"/>
                <w:lang w:val="zh-CN"/>
              </w:rPr>
              <w:t>影响分析</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11111E">
            <w:pPr>
              <w:widowControl/>
              <w:jc w:val="left"/>
              <w:rPr>
                <w:color w:val="auto"/>
                <w:szCs w:val="22"/>
                <w:lang w:val="zh-CN"/>
              </w:rPr>
            </w:pPr>
          </w:p>
        </w:tc>
        <w:tc>
          <w:tcPr>
            <w:tcW w:w="0" w:type="auto"/>
            <w:vMerge w:val="continue"/>
            <w:tcBorders>
              <w:top w:val="single" w:color="auto" w:sz="4" w:space="0"/>
              <w:left w:val="single" w:color="auto" w:sz="4" w:space="0"/>
              <w:bottom w:val="single" w:color="auto" w:sz="4" w:space="0"/>
              <w:right w:val="nil"/>
            </w:tcBorders>
            <w:vAlign w:val="center"/>
          </w:tcPr>
          <w:p w14:paraId="5A608541">
            <w:pPr>
              <w:widowControl/>
              <w:jc w:val="left"/>
              <w:rPr>
                <w:snapToGrid w:val="0"/>
                <w:color w:val="auto"/>
                <w:szCs w:val="22"/>
                <w:lang w:val="zh-CN"/>
              </w:rPr>
            </w:pPr>
          </w:p>
        </w:tc>
      </w:tr>
      <w:tr w14:paraId="70F97D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68" w:type="pct"/>
            <w:vMerge w:val="restart"/>
            <w:tcBorders>
              <w:top w:val="single" w:color="auto" w:sz="4" w:space="0"/>
              <w:left w:val="nil"/>
              <w:bottom w:val="single" w:color="auto" w:sz="4" w:space="0"/>
              <w:right w:val="single" w:color="auto" w:sz="4" w:space="0"/>
            </w:tcBorders>
            <w:vAlign w:val="center"/>
          </w:tcPr>
          <w:p w14:paraId="611F9223">
            <w:pPr>
              <w:jc w:val="center"/>
              <w:rPr>
                <w:snapToGrid w:val="0"/>
                <w:color w:val="auto"/>
                <w:lang w:val="zh-CN"/>
              </w:rPr>
            </w:pPr>
            <w:r>
              <w:rPr>
                <w:rFonts w:hint="eastAsia"/>
                <w:snapToGrid w:val="0"/>
                <w:color w:val="auto"/>
                <w:lang w:val="zh-CN"/>
              </w:rPr>
              <w:t>声环境</w:t>
            </w:r>
          </w:p>
        </w:tc>
        <w:tc>
          <w:tcPr>
            <w:tcW w:w="768" w:type="pct"/>
            <w:tcBorders>
              <w:top w:val="single" w:color="auto" w:sz="4" w:space="0"/>
              <w:left w:val="single" w:color="auto" w:sz="4" w:space="0"/>
              <w:bottom w:val="single" w:color="auto" w:sz="4" w:space="0"/>
              <w:right w:val="single" w:color="auto" w:sz="4" w:space="0"/>
            </w:tcBorders>
            <w:vAlign w:val="center"/>
          </w:tcPr>
          <w:p w14:paraId="131C8EE4">
            <w:pPr>
              <w:jc w:val="center"/>
              <w:rPr>
                <w:snapToGrid w:val="0"/>
                <w:color w:val="auto"/>
                <w:lang w:val="zh-CN"/>
              </w:rPr>
            </w:pPr>
            <w:r>
              <w:rPr>
                <w:rFonts w:hint="eastAsia"/>
                <w:snapToGrid w:val="0"/>
                <w:color w:val="auto"/>
                <w:lang w:val="zh-CN"/>
              </w:rPr>
              <w:t>现状调查</w:t>
            </w:r>
          </w:p>
        </w:tc>
        <w:tc>
          <w:tcPr>
            <w:tcW w:w="512" w:type="pct"/>
            <w:vMerge w:val="restart"/>
            <w:tcBorders>
              <w:top w:val="single" w:color="auto" w:sz="4" w:space="0"/>
              <w:left w:val="single" w:color="auto" w:sz="4" w:space="0"/>
              <w:bottom w:val="single" w:color="auto" w:sz="4" w:space="0"/>
              <w:right w:val="single" w:color="auto" w:sz="4" w:space="0"/>
            </w:tcBorders>
            <w:vAlign w:val="center"/>
          </w:tcPr>
          <w:p w14:paraId="697D7EA4">
            <w:pPr>
              <w:jc w:val="center"/>
              <w:rPr>
                <w:snapToGrid w:val="0"/>
                <w:color w:val="auto"/>
                <w:lang w:val="zh-CN"/>
              </w:rPr>
            </w:pPr>
            <w:r>
              <w:rPr>
                <w:rFonts w:hint="eastAsia"/>
                <w:snapToGrid w:val="0"/>
                <w:color w:val="auto"/>
                <w:lang w:val="zh-CN"/>
              </w:rPr>
              <w:t>项目区及周边</w:t>
            </w:r>
          </w:p>
        </w:tc>
        <w:tc>
          <w:tcPr>
            <w:tcW w:w="2952" w:type="pct"/>
            <w:vMerge w:val="restart"/>
            <w:tcBorders>
              <w:top w:val="single" w:color="auto" w:sz="4" w:space="0"/>
              <w:left w:val="single" w:color="auto" w:sz="4" w:space="0"/>
              <w:bottom w:val="single" w:color="auto" w:sz="4" w:space="0"/>
              <w:right w:val="nil"/>
            </w:tcBorders>
            <w:vAlign w:val="center"/>
          </w:tcPr>
          <w:p w14:paraId="02FA6234">
            <w:pPr>
              <w:jc w:val="center"/>
              <w:rPr>
                <w:snapToGrid w:val="0"/>
                <w:color w:val="auto"/>
                <w:lang w:val="zh-CN"/>
              </w:rPr>
            </w:pPr>
            <w:r>
              <w:rPr>
                <w:rFonts w:hint="eastAsia"/>
                <w:snapToGrid w:val="0"/>
                <w:color w:val="auto"/>
                <w:lang w:val="zh-CN"/>
              </w:rPr>
              <w:t>厂界</w:t>
            </w:r>
            <w:r>
              <w:rPr>
                <w:snapToGrid w:val="0"/>
                <w:color w:val="auto"/>
                <w:lang w:val="zh-CN"/>
              </w:rPr>
              <w:t>200m</w:t>
            </w:r>
            <w:r>
              <w:rPr>
                <w:rFonts w:hint="eastAsia"/>
                <w:snapToGrid w:val="0"/>
                <w:color w:val="auto"/>
                <w:lang w:val="zh-CN"/>
              </w:rPr>
              <w:t>范围</w:t>
            </w:r>
          </w:p>
        </w:tc>
      </w:tr>
      <w:tr w14:paraId="7E4381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0" w:type="auto"/>
            <w:vMerge w:val="continue"/>
            <w:tcBorders>
              <w:top w:val="single" w:color="auto" w:sz="4" w:space="0"/>
              <w:left w:val="nil"/>
              <w:bottom w:val="single" w:color="auto" w:sz="4" w:space="0"/>
              <w:right w:val="single" w:color="auto" w:sz="4" w:space="0"/>
            </w:tcBorders>
            <w:vAlign w:val="center"/>
          </w:tcPr>
          <w:p w14:paraId="6C8B0907">
            <w:pPr>
              <w:widowControl/>
              <w:jc w:val="left"/>
              <w:rPr>
                <w:snapToGrid w:val="0"/>
                <w:color w:val="auto"/>
                <w:szCs w:val="22"/>
                <w:lang w:val="zh-CN"/>
              </w:rPr>
            </w:pPr>
          </w:p>
        </w:tc>
        <w:tc>
          <w:tcPr>
            <w:tcW w:w="768" w:type="pct"/>
            <w:tcBorders>
              <w:top w:val="single" w:color="auto" w:sz="4" w:space="0"/>
              <w:left w:val="single" w:color="auto" w:sz="4" w:space="0"/>
              <w:bottom w:val="single" w:color="auto" w:sz="4" w:space="0"/>
              <w:right w:val="single" w:color="auto" w:sz="4" w:space="0"/>
            </w:tcBorders>
            <w:vAlign w:val="center"/>
          </w:tcPr>
          <w:p w14:paraId="3AE33AD0">
            <w:pPr>
              <w:jc w:val="center"/>
              <w:rPr>
                <w:snapToGrid w:val="0"/>
                <w:color w:val="auto"/>
                <w:lang w:val="zh-CN"/>
              </w:rPr>
            </w:pPr>
            <w:r>
              <w:rPr>
                <w:rFonts w:hint="eastAsia"/>
                <w:snapToGrid w:val="0"/>
                <w:color w:val="auto"/>
                <w:lang w:val="zh-CN"/>
              </w:rPr>
              <w:t>影响分析</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916C29D">
            <w:pPr>
              <w:widowControl/>
              <w:jc w:val="left"/>
              <w:rPr>
                <w:snapToGrid w:val="0"/>
                <w:color w:val="auto"/>
                <w:szCs w:val="22"/>
                <w:lang w:val="zh-CN"/>
              </w:rPr>
            </w:pPr>
          </w:p>
        </w:tc>
        <w:tc>
          <w:tcPr>
            <w:tcW w:w="0" w:type="auto"/>
            <w:vMerge w:val="continue"/>
            <w:tcBorders>
              <w:top w:val="single" w:color="auto" w:sz="4" w:space="0"/>
              <w:left w:val="single" w:color="auto" w:sz="4" w:space="0"/>
              <w:bottom w:val="single" w:color="auto" w:sz="4" w:space="0"/>
              <w:right w:val="nil"/>
            </w:tcBorders>
            <w:vAlign w:val="center"/>
          </w:tcPr>
          <w:p w14:paraId="5D59D39B">
            <w:pPr>
              <w:widowControl/>
              <w:jc w:val="left"/>
              <w:rPr>
                <w:snapToGrid w:val="0"/>
                <w:color w:val="auto"/>
                <w:szCs w:val="22"/>
                <w:lang w:val="zh-CN"/>
              </w:rPr>
            </w:pPr>
          </w:p>
        </w:tc>
      </w:tr>
      <w:tr w14:paraId="6A06F5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98" w:hRule="atLeast"/>
        </w:trPr>
        <w:tc>
          <w:tcPr>
            <w:tcW w:w="768" w:type="pct"/>
            <w:vMerge w:val="restart"/>
            <w:tcBorders>
              <w:top w:val="single" w:color="auto" w:sz="4" w:space="0"/>
              <w:left w:val="nil"/>
              <w:bottom w:val="single" w:color="auto" w:sz="4" w:space="0"/>
              <w:right w:val="single" w:color="auto" w:sz="4" w:space="0"/>
            </w:tcBorders>
            <w:vAlign w:val="center"/>
          </w:tcPr>
          <w:p w14:paraId="4F171E2A">
            <w:pPr>
              <w:jc w:val="center"/>
              <w:rPr>
                <w:snapToGrid w:val="0"/>
                <w:color w:val="auto"/>
                <w:lang w:val="zh-CN"/>
              </w:rPr>
            </w:pPr>
            <w:r>
              <w:rPr>
                <w:rFonts w:hint="eastAsia"/>
                <w:snapToGrid w:val="0"/>
                <w:color w:val="auto"/>
                <w:lang w:val="zh-CN"/>
              </w:rPr>
              <w:t>地下水环境</w:t>
            </w:r>
          </w:p>
        </w:tc>
        <w:tc>
          <w:tcPr>
            <w:tcW w:w="768" w:type="pct"/>
            <w:tcBorders>
              <w:top w:val="single" w:color="auto" w:sz="4" w:space="0"/>
              <w:left w:val="single" w:color="auto" w:sz="4" w:space="0"/>
              <w:bottom w:val="single" w:color="auto" w:sz="4" w:space="0"/>
              <w:right w:val="single" w:color="auto" w:sz="4" w:space="0"/>
            </w:tcBorders>
            <w:vAlign w:val="center"/>
          </w:tcPr>
          <w:p w14:paraId="1A4B5EDD">
            <w:pPr>
              <w:jc w:val="center"/>
              <w:rPr>
                <w:snapToGrid w:val="0"/>
                <w:color w:val="auto"/>
                <w:lang w:val="zh-CN"/>
              </w:rPr>
            </w:pPr>
            <w:r>
              <w:rPr>
                <w:rFonts w:hint="eastAsia"/>
                <w:snapToGrid w:val="0"/>
                <w:color w:val="auto"/>
                <w:lang w:val="zh-CN"/>
              </w:rPr>
              <w:t>现状调查</w:t>
            </w:r>
          </w:p>
        </w:tc>
        <w:tc>
          <w:tcPr>
            <w:tcW w:w="512" w:type="pct"/>
            <w:vMerge w:val="restart"/>
            <w:tcBorders>
              <w:top w:val="single" w:color="auto" w:sz="4" w:space="0"/>
              <w:left w:val="single" w:color="auto" w:sz="4" w:space="0"/>
              <w:bottom w:val="single" w:color="auto" w:sz="4" w:space="0"/>
              <w:right w:val="single" w:color="auto" w:sz="4" w:space="0"/>
            </w:tcBorders>
            <w:vAlign w:val="center"/>
          </w:tcPr>
          <w:p w14:paraId="2723620C">
            <w:pPr>
              <w:jc w:val="center"/>
              <w:rPr>
                <w:snapToGrid w:val="0"/>
                <w:color w:val="auto"/>
                <w:lang w:val="zh-CN"/>
              </w:rPr>
            </w:pPr>
            <w:r>
              <w:rPr>
                <w:rFonts w:hint="eastAsia"/>
                <w:snapToGrid w:val="0"/>
                <w:color w:val="auto"/>
                <w:lang w:val="zh-CN"/>
              </w:rPr>
              <w:t>项目评价区域</w:t>
            </w:r>
          </w:p>
        </w:tc>
        <w:tc>
          <w:tcPr>
            <w:tcW w:w="2952" w:type="pct"/>
            <w:vMerge w:val="restart"/>
            <w:tcBorders>
              <w:top w:val="single" w:color="auto" w:sz="4" w:space="0"/>
              <w:left w:val="single" w:color="auto" w:sz="4" w:space="0"/>
              <w:bottom w:val="single" w:color="auto" w:sz="4" w:space="0"/>
              <w:right w:val="nil"/>
            </w:tcBorders>
            <w:vAlign w:val="center"/>
          </w:tcPr>
          <w:p w14:paraId="54A3C0ED">
            <w:pPr>
              <w:rPr>
                <w:snapToGrid w:val="0"/>
                <w:color w:val="auto"/>
              </w:rPr>
            </w:pPr>
            <w:r>
              <w:rPr>
                <w:rFonts w:hint="eastAsia"/>
                <w:snapToGrid w:val="0"/>
                <w:color w:val="auto"/>
                <w:lang w:val="zh-CN"/>
              </w:rPr>
              <w:t>评价区上游</w:t>
            </w:r>
            <w:r>
              <w:rPr>
                <w:snapToGrid w:val="0"/>
                <w:color w:val="auto"/>
                <w:lang w:val="zh-CN"/>
              </w:rPr>
              <w:t>1000m</w:t>
            </w:r>
            <w:r>
              <w:rPr>
                <w:rFonts w:hint="eastAsia"/>
                <w:snapToGrid w:val="0"/>
                <w:color w:val="auto"/>
                <w:lang w:val="zh-CN"/>
              </w:rPr>
              <w:t>、下游</w:t>
            </w:r>
            <w:r>
              <w:rPr>
                <w:snapToGrid w:val="0"/>
                <w:color w:val="auto"/>
                <w:lang w:val="zh-CN"/>
              </w:rPr>
              <w:t>2000m</w:t>
            </w:r>
            <w:r>
              <w:rPr>
                <w:rFonts w:hint="eastAsia"/>
                <w:snapToGrid w:val="0"/>
                <w:color w:val="auto"/>
                <w:lang w:val="zh-CN"/>
              </w:rPr>
              <w:t>、两侧各</w:t>
            </w:r>
            <w:r>
              <w:rPr>
                <w:snapToGrid w:val="0"/>
                <w:color w:val="auto"/>
                <w:lang w:val="zh-CN"/>
              </w:rPr>
              <w:t>1000m</w:t>
            </w:r>
            <w:r>
              <w:rPr>
                <w:rFonts w:hint="eastAsia"/>
                <w:snapToGrid w:val="0"/>
                <w:color w:val="auto"/>
                <w:lang w:val="zh-CN"/>
              </w:rPr>
              <w:t>所围成的范围</w:t>
            </w:r>
            <w:r>
              <w:rPr>
                <w:rFonts w:hint="eastAsia"/>
                <w:snapToGrid w:val="0"/>
                <w:color w:val="auto"/>
              </w:rPr>
              <w:t>，面积</w:t>
            </w:r>
            <w:r>
              <w:rPr>
                <w:snapToGrid w:val="0"/>
                <w:color w:val="auto"/>
              </w:rPr>
              <w:t>6km</w:t>
            </w:r>
            <w:r>
              <w:rPr>
                <w:snapToGrid w:val="0"/>
                <w:color w:val="auto"/>
                <w:vertAlign w:val="superscript"/>
              </w:rPr>
              <w:t>2</w:t>
            </w:r>
            <w:r>
              <w:rPr>
                <w:rFonts w:hint="eastAsia"/>
                <w:snapToGrid w:val="0"/>
                <w:color w:val="auto"/>
                <w:lang w:val="zh-CN"/>
              </w:rPr>
              <w:t>。</w:t>
            </w:r>
          </w:p>
        </w:tc>
      </w:tr>
      <w:tr w14:paraId="167AF7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0" w:type="auto"/>
            <w:vMerge w:val="continue"/>
            <w:tcBorders>
              <w:top w:val="single" w:color="auto" w:sz="4" w:space="0"/>
              <w:left w:val="nil"/>
              <w:bottom w:val="single" w:color="auto" w:sz="4" w:space="0"/>
              <w:right w:val="single" w:color="auto" w:sz="4" w:space="0"/>
            </w:tcBorders>
            <w:vAlign w:val="center"/>
          </w:tcPr>
          <w:p w14:paraId="3D80115E">
            <w:pPr>
              <w:widowControl/>
              <w:jc w:val="left"/>
              <w:rPr>
                <w:snapToGrid w:val="0"/>
                <w:color w:val="auto"/>
                <w:szCs w:val="22"/>
                <w:lang w:val="zh-CN"/>
              </w:rPr>
            </w:pPr>
          </w:p>
        </w:tc>
        <w:tc>
          <w:tcPr>
            <w:tcW w:w="768" w:type="pct"/>
            <w:tcBorders>
              <w:top w:val="single" w:color="auto" w:sz="4" w:space="0"/>
              <w:left w:val="single" w:color="auto" w:sz="4" w:space="0"/>
              <w:bottom w:val="single" w:color="auto" w:sz="4" w:space="0"/>
              <w:right w:val="single" w:color="auto" w:sz="4" w:space="0"/>
            </w:tcBorders>
            <w:vAlign w:val="center"/>
          </w:tcPr>
          <w:p w14:paraId="0C25C2ED">
            <w:pPr>
              <w:jc w:val="center"/>
              <w:rPr>
                <w:snapToGrid w:val="0"/>
                <w:color w:val="auto"/>
                <w:lang w:val="zh-CN"/>
              </w:rPr>
            </w:pPr>
            <w:r>
              <w:rPr>
                <w:rFonts w:hint="eastAsia"/>
                <w:snapToGrid w:val="0"/>
                <w:color w:val="auto"/>
                <w:lang w:val="zh-CN"/>
              </w:rPr>
              <w:t>影响分析</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41D908B">
            <w:pPr>
              <w:widowControl/>
              <w:jc w:val="left"/>
              <w:rPr>
                <w:snapToGrid w:val="0"/>
                <w:color w:val="auto"/>
                <w:szCs w:val="22"/>
                <w:lang w:val="zh-CN"/>
              </w:rPr>
            </w:pPr>
          </w:p>
        </w:tc>
        <w:tc>
          <w:tcPr>
            <w:tcW w:w="0" w:type="auto"/>
            <w:vMerge w:val="continue"/>
            <w:tcBorders>
              <w:top w:val="single" w:color="auto" w:sz="4" w:space="0"/>
              <w:left w:val="single" w:color="auto" w:sz="4" w:space="0"/>
              <w:bottom w:val="single" w:color="auto" w:sz="4" w:space="0"/>
              <w:right w:val="nil"/>
            </w:tcBorders>
            <w:vAlign w:val="center"/>
          </w:tcPr>
          <w:p w14:paraId="6D55F3D5">
            <w:pPr>
              <w:widowControl/>
              <w:jc w:val="left"/>
              <w:rPr>
                <w:snapToGrid w:val="0"/>
                <w:color w:val="auto"/>
                <w:szCs w:val="22"/>
              </w:rPr>
            </w:pPr>
          </w:p>
        </w:tc>
      </w:tr>
      <w:tr w14:paraId="341F71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68" w:type="pct"/>
            <w:vMerge w:val="restart"/>
            <w:tcBorders>
              <w:top w:val="single" w:color="auto" w:sz="4" w:space="0"/>
              <w:left w:val="nil"/>
              <w:bottom w:val="single" w:color="auto" w:sz="4" w:space="0"/>
              <w:right w:val="single" w:color="auto" w:sz="4" w:space="0"/>
            </w:tcBorders>
            <w:vAlign w:val="center"/>
          </w:tcPr>
          <w:p w14:paraId="66FC16F6">
            <w:pPr>
              <w:jc w:val="center"/>
              <w:rPr>
                <w:rFonts w:eastAsia="Times New Roman"/>
                <w:snapToGrid w:val="0"/>
                <w:color w:val="auto"/>
                <w:lang w:val="zh-CN"/>
              </w:rPr>
            </w:pPr>
            <w:r>
              <w:rPr>
                <w:rFonts w:hint="eastAsia" w:ascii="宋体" w:hAnsi="宋体" w:cs="宋体"/>
                <w:snapToGrid w:val="0"/>
                <w:color w:val="auto"/>
                <w:lang w:val="zh-CN"/>
              </w:rPr>
              <w:t>生态环境</w:t>
            </w:r>
          </w:p>
        </w:tc>
        <w:tc>
          <w:tcPr>
            <w:tcW w:w="768" w:type="pct"/>
            <w:tcBorders>
              <w:top w:val="single" w:color="auto" w:sz="4" w:space="0"/>
              <w:left w:val="single" w:color="auto" w:sz="4" w:space="0"/>
              <w:bottom w:val="single" w:color="auto" w:sz="4" w:space="0"/>
              <w:right w:val="single" w:color="auto" w:sz="4" w:space="0"/>
            </w:tcBorders>
            <w:vAlign w:val="center"/>
          </w:tcPr>
          <w:p w14:paraId="0D87248D">
            <w:pPr>
              <w:jc w:val="center"/>
              <w:rPr>
                <w:snapToGrid w:val="0"/>
                <w:color w:val="auto"/>
                <w:lang w:val="zh-CN"/>
              </w:rPr>
            </w:pPr>
            <w:r>
              <w:rPr>
                <w:rFonts w:hint="eastAsia"/>
                <w:snapToGrid w:val="0"/>
                <w:color w:val="auto"/>
                <w:lang w:val="zh-CN"/>
              </w:rPr>
              <w:t>现状调查</w:t>
            </w:r>
          </w:p>
        </w:tc>
        <w:tc>
          <w:tcPr>
            <w:tcW w:w="512" w:type="pct"/>
            <w:vMerge w:val="restart"/>
            <w:tcBorders>
              <w:top w:val="single" w:color="auto" w:sz="4" w:space="0"/>
              <w:left w:val="single" w:color="auto" w:sz="4" w:space="0"/>
              <w:bottom w:val="single" w:color="auto" w:sz="4" w:space="0"/>
              <w:right w:val="single" w:color="auto" w:sz="4" w:space="0"/>
            </w:tcBorders>
            <w:vAlign w:val="center"/>
          </w:tcPr>
          <w:p w14:paraId="19B43882">
            <w:pPr>
              <w:jc w:val="center"/>
              <w:rPr>
                <w:rFonts w:eastAsia="Times New Roman"/>
                <w:snapToGrid w:val="0"/>
                <w:color w:val="auto"/>
                <w:lang w:val="zh-CN"/>
              </w:rPr>
            </w:pPr>
            <w:r>
              <w:rPr>
                <w:rFonts w:hint="eastAsia"/>
                <w:snapToGrid w:val="0"/>
                <w:color w:val="auto"/>
                <w:lang w:val="zh-CN"/>
              </w:rPr>
              <w:t>项目区及周边</w:t>
            </w:r>
          </w:p>
        </w:tc>
        <w:tc>
          <w:tcPr>
            <w:tcW w:w="2952" w:type="pct"/>
            <w:vMerge w:val="restart"/>
            <w:tcBorders>
              <w:top w:val="single" w:color="auto" w:sz="4" w:space="0"/>
              <w:left w:val="single" w:color="auto" w:sz="4" w:space="0"/>
              <w:bottom w:val="single" w:color="auto" w:sz="4" w:space="0"/>
              <w:right w:val="nil"/>
            </w:tcBorders>
            <w:vAlign w:val="center"/>
          </w:tcPr>
          <w:p w14:paraId="2AE42DFC">
            <w:pPr>
              <w:jc w:val="center"/>
              <w:rPr>
                <w:rFonts w:eastAsia="Times New Roman"/>
                <w:snapToGrid w:val="0"/>
                <w:color w:val="auto"/>
                <w:lang w:val="zh-CN"/>
              </w:rPr>
            </w:pPr>
            <w:r>
              <w:rPr>
                <w:rFonts w:hint="eastAsia" w:ascii="宋体" w:hAnsi="宋体" w:cs="宋体"/>
                <w:snapToGrid w:val="0"/>
                <w:color w:val="auto"/>
                <w:lang w:val="zh-CN"/>
              </w:rPr>
              <w:t>厂界外</w:t>
            </w:r>
            <w:r>
              <w:rPr>
                <w:rFonts w:eastAsia="Times New Roman"/>
                <w:snapToGrid w:val="0"/>
                <w:color w:val="auto"/>
                <w:lang w:val="zh-CN"/>
              </w:rPr>
              <w:t>500m</w:t>
            </w:r>
            <w:r>
              <w:rPr>
                <w:rFonts w:hint="eastAsia" w:ascii="宋体" w:hAnsi="宋体" w:cs="宋体"/>
                <w:snapToGrid w:val="0"/>
                <w:color w:val="auto"/>
                <w:lang w:val="zh-CN"/>
              </w:rPr>
              <w:t>范围</w:t>
            </w:r>
          </w:p>
        </w:tc>
      </w:tr>
      <w:tr w14:paraId="126110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0" w:type="auto"/>
            <w:vMerge w:val="continue"/>
            <w:tcBorders>
              <w:top w:val="single" w:color="auto" w:sz="4" w:space="0"/>
              <w:left w:val="nil"/>
              <w:bottom w:val="single" w:color="auto" w:sz="4" w:space="0"/>
              <w:right w:val="single" w:color="auto" w:sz="4" w:space="0"/>
            </w:tcBorders>
            <w:vAlign w:val="center"/>
          </w:tcPr>
          <w:p w14:paraId="15288A09">
            <w:pPr>
              <w:widowControl/>
              <w:jc w:val="left"/>
              <w:rPr>
                <w:rFonts w:eastAsia="Times New Roman"/>
                <w:snapToGrid w:val="0"/>
                <w:color w:val="auto"/>
                <w:szCs w:val="22"/>
                <w:lang w:val="zh-CN"/>
              </w:rPr>
            </w:pPr>
          </w:p>
        </w:tc>
        <w:tc>
          <w:tcPr>
            <w:tcW w:w="768" w:type="pct"/>
            <w:tcBorders>
              <w:top w:val="single" w:color="auto" w:sz="4" w:space="0"/>
              <w:left w:val="single" w:color="auto" w:sz="4" w:space="0"/>
              <w:bottom w:val="single" w:color="auto" w:sz="4" w:space="0"/>
              <w:right w:val="single" w:color="auto" w:sz="4" w:space="0"/>
            </w:tcBorders>
            <w:vAlign w:val="center"/>
          </w:tcPr>
          <w:p w14:paraId="5684A9D9">
            <w:pPr>
              <w:jc w:val="center"/>
              <w:rPr>
                <w:snapToGrid w:val="0"/>
                <w:color w:val="auto"/>
                <w:lang w:val="zh-CN"/>
              </w:rPr>
            </w:pPr>
            <w:r>
              <w:rPr>
                <w:rFonts w:hint="eastAsia"/>
                <w:snapToGrid w:val="0"/>
                <w:color w:val="auto"/>
                <w:lang w:val="zh-CN"/>
              </w:rPr>
              <w:t>影响分析</w:t>
            </w: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29B9914">
            <w:pPr>
              <w:widowControl/>
              <w:jc w:val="left"/>
              <w:rPr>
                <w:rFonts w:eastAsia="Times New Roman"/>
                <w:snapToGrid w:val="0"/>
                <w:color w:val="auto"/>
                <w:szCs w:val="22"/>
                <w:lang w:val="zh-CN"/>
              </w:rPr>
            </w:pPr>
          </w:p>
        </w:tc>
        <w:tc>
          <w:tcPr>
            <w:tcW w:w="0" w:type="auto"/>
            <w:vMerge w:val="continue"/>
            <w:tcBorders>
              <w:top w:val="single" w:color="auto" w:sz="4" w:space="0"/>
              <w:left w:val="single" w:color="auto" w:sz="4" w:space="0"/>
              <w:bottom w:val="single" w:color="auto" w:sz="4" w:space="0"/>
              <w:right w:val="nil"/>
            </w:tcBorders>
            <w:vAlign w:val="center"/>
          </w:tcPr>
          <w:p w14:paraId="3E30B05F">
            <w:pPr>
              <w:widowControl/>
              <w:jc w:val="left"/>
              <w:rPr>
                <w:rFonts w:eastAsia="Times New Roman"/>
                <w:snapToGrid w:val="0"/>
                <w:color w:val="auto"/>
                <w:szCs w:val="22"/>
                <w:lang w:val="zh-CN"/>
              </w:rPr>
            </w:pPr>
          </w:p>
        </w:tc>
      </w:tr>
      <w:tr w14:paraId="512699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768" w:type="pct"/>
            <w:vMerge w:val="restart"/>
            <w:tcBorders>
              <w:top w:val="single" w:color="auto" w:sz="4" w:space="0"/>
              <w:left w:val="nil"/>
              <w:bottom w:val="single" w:color="auto" w:sz="12" w:space="0"/>
              <w:right w:val="single" w:color="auto" w:sz="4" w:space="0"/>
            </w:tcBorders>
            <w:vAlign w:val="center"/>
          </w:tcPr>
          <w:p w14:paraId="4B3F3309">
            <w:pPr>
              <w:jc w:val="center"/>
              <w:rPr>
                <w:rFonts w:eastAsia="Times New Roman"/>
                <w:snapToGrid w:val="0"/>
                <w:color w:val="auto"/>
                <w:lang w:val="zh-CN"/>
              </w:rPr>
            </w:pPr>
            <w:r>
              <w:rPr>
                <w:rFonts w:hint="eastAsia" w:ascii="宋体" w:hAnsi="宋体" w:cs="宋体"/>
                <w:snapToGrid w:val="0"/>
                <w:color w:val="auto"/>
                <w:lang w:val="zh-CN"/>
              </w:rPr>
              <w:t>土壤环境</w:t>
            </w:r>
          </w:p>
        </w:tc>
        <w:tc>
          <w:tcPr>
            <w:tcW w:w="768" w:type="pct"/>
            <w:tcBorders>
              <w:top w:val="single" w:color="auto" w:sz="4" w:space="0"/>
              <w:left w:val="single" w:color="auto" w:sz="4" w:space="0"/>
              <w:bottom w:val="single" w:color="auto" w:sz="4" w:space="0"/>
              <w:right w:val="single" w:color="auto" w:sz="4" w:space="0"/>
            </w:tcBorders>
            <w:vAlign w:val="center"/>
          </w:tcPr>
          <w:p w14:paraId="1B2EFD6E">
            <w:pPr>
              <w:jc w:val="center"/>
              <w:rPr>
                <w:snapToGrid w:val="0"/>
                <w:color w:val="auto"/>
                <w:lang w:val="zh-CN"/>
              </w:rPr>
            </w:pPr>
            <w:r>
              <w:rPr>
                <w:rFonts w:hint="eastAsia"/>
                <w:snapToGrid w:val="0"/>
                <w:color w:val="auto"/>
                <w:lang w:val="zh-CN"/>
              </w:rPr>
              <w:t>现状调查</w:t>
            </w:r>
          </w:p>
        </w:tc>
        <w:tc>
          <w:tcPr>
            <w:tcW w:w="512" w:type="pct"/>
            <w:vMerge w:val="restart"/>
            <w:tcBorders>
              <w:top w:val="single" w:color="auto" w:sz="4" w:space="0"/>
              <w:left w:val="single" w:color="auto" w:sz="4" w:space="0"/>
              <w:bottom w:val="single" w:color="auto" w:sz="12" w:space="0"/>
              <w:right w:val="single" w:color="auto" w:sz="4" w:space="0"/>
            </w:tcBorders>
            <w:vAlign w:val="center"/>
          </w:tcPr>
          <w:p w14:paraId="5EA117A8">
            <w:pPr>
              <w:jc w:val="center"/>
              <w:rPr>
                <w:rFonts w:eastAsia="Times New Roman"/>
                <w:snapToGrid w:val="0"/>
                <w:color w:val="auto"/>
                <w:lang w:val="zh-CN"/>
              </w:rPr>
            </w:pPr>
            <w:r>
              <w:rPr>
                <w:rFonts w:hint="eastAsia"/>
                <w:snapToGrid w:val="0"/>
                <w:color w:val="auto"/>
                <w:lang w:val="zh-CN"/>
              </w:rPr>
              <w:t>项目区及周边</w:t>
            </w:r>
          </w:p>
        </w:tc>
        <w:tc>
          <w:tcPr>
            <w:tcW w:w="2952" w:type="pct"/>
            <w:vMerge w:val="restart"/>
            <w:tcBorders>
              <w:top w:val="single" w:color="auto" w:sz="4" w:space="0"/>
              <w:left w:val="single" w:color="auto" w:sz="4" w:space="0"/>
              <w:bottom w:val="single" w:color="auto" w:sz="12" w:space="0"/>
              <w:right w:val="nil"/>
            </w:tcBorders>
            <w:vAlign w:val="center"/>
          </w:tcPr>
          <w:p w14:paraId="777BD4EB">
            <w:pPr>
              <w:pStyle w:val="84"/>
              <w:ind w:left="1260" w:hanging="420"/>
              <w:rPr>
                <w:rFonts w:eastAsia="Times New Roman"/>
                <w:snapToGrid w:val="0"/>
                <w:color w:val="auto"/>
                <w:lang w:val="zh-CN"/>
              </w:rPr>
            </w:pPr>
            <w:bookmarkStart w:id="69" w:name="_Hlk69724065"/>
            <w:r>
              <w:rPr>
                <w:rFonts w:hint="eastAsia"/>
                <w:snapToGrid w:val="0"/>
                <w:color w:val="auto"/>
              </w:rPr>
              <w:t>占地范围内及占地范围外</w:t>
            </w:r>
            <w:r>
              <w:rPr>
                <w:snapToGrid w:val="0"/>
                <w:color w:val="auto"/>
              </w:rPr>
              <w:t>200m</w:t>
            </w:r>
            <w:r>
              <w:rPr>
                <w:rFonts w:hint="eastAsia"/>
                <w:snapToGrid w:val="0"/>
                <w:color w:val="auto"/>
              </w:rPr>
              <w:t>范围内</w:t>
            </w:r>
            <w:bookmarkEnd w:id="69"/>
          </w:p>
        </w:tc>
      </w:tr>
      <w:tr w14:paraId="7A595D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0" w:type="auto"/>
            <w:vMerge w:val="continue"/>
            <w:tcBorders>
              <w:top w:val="single" w:color="auto" w:sz="4" w:space="0"/>
              <w:left w:val="nil"/>
              <w:bottom w:val="single" w:color="auto" w:sz="12" w:space="0"/>
              <w:right w:val="single" w:color="auto" w:sz="4" w:space="0"/>
            </w:tcBorders>
            <w:vAlign w:val="center"/>
          </w:tcPr>
          <w:p w14:paraId="78E6571B">
            <w:pPr>
              <w:widowControl/>
              <w:jc w:val="left"/>
              <w:rPr>
                <w:rFonts w:eastAsia="Times New Roman"/>
                <w:snapToGrid w:val="0"/>
                <w:color w:val="auto"/>
                <w:szCs w:val="22"/>
                <w:lang w:val="zh-CN"/>
              </w:rPr>
            </w:pPr>
          </w:p>
        </w:tc>
        <w:tc>
          <w:tcPr>
            <w:tcW w:w="768" w:type="pct"/>
            <w:tcBorders>
              <w:top w:val="single" w:color="auto" w:sz="4" w:space="0"/>
              <w:left w:val="single" w:color="auto" w:sz="4" w:space="0"/>
              <w:bottom w:val="single" w:color="auto" w:sz="12" w:space="0"/>
              <w:right w:val="single" w:color="auto" w:sz="4" w:space="0"/>
            </w:tcBorders>
            <w:vAlign w:val="center"/>
          </w:tcPr>
          <w:p w14:paraId="0C023B45">
            <w:pPr>
              <w:jc w:val="center"/>
              <w:rPr>
                <w:snapToGrid w:val="0"/>
                <w:color w:val="auto"/>
                <w:lang w:val="zh-CN"/>
              </w:rPr>
            </w:pPr>
            <w:r>
              <w:rPr>
                <w:rFonts w:hint="eastAsia"/>
                <w:snapToGrid w:val="0"/>
                <w:color w:val="auto"/>
                <w:lang w:val="zh-CN"/>
              </w:rPr>
              <w:t>影响分析</w:t>
            </w:r>
          </w:p>
        </w:tc>
        <w:tc>
          <w:tcPr>
            <w:tcW w:w="0" w:type="auto"/>
            <w:vMerge w:val="continue"/>
            <w:tcBorders>
              <w:top w:val="single" w:color="auto" w:sz="4" w:space="0"/>
              <w:left w:val="single" w:color="auto" w:sz="4" w:space="0"/>
              <w:bottom w:val="single" w:color="auto" w:sz="12" w:space="0"/>
              <w:right w:val="single" w:color="auto" w:sz="4" w:space="0"/>
            </w:tcBorders>
            <w:vAlign w:val="center"/>
          </w:tcPr>
          <w:p w14:paraId="4E8CD8AF">
            <w:pPr>
              <w:widowControl/>
              <w:jc w:val="left"/>
              <w:rPr>
                <w:rFonts w:eastAsia="Times New Roman"/>
                <w:snapToGrid w:val="0"/>
                <w:color w:val="auto"/>
                <w:szCs w:val="22"/>
                <w:lang w:val="zh-CN"/>
              </w:rPr>
            </w:pPr>
          </w:p>
        </w:tc>
        <w:tc>
          <w:tcPr>
            <w:tcW w:w="0" w:type="auto"/>
            <w:vMerge w:val="continue"/>
            <w:tcBorders>
              <w:top w:val="single" w:color="auto" w:sz="4" w:space="0"/>
              <w:left w:val="single" w:color="auto" w:sz="4" w:space="0"/>
              <w:bottom w:val="single" w:color="auto" w:sz="12" w:space="0"/>
              <w:right w:val="nil"/>
            </w:tcBorders>
            <w:vAlign w:val="center"/>
          </w:tcPr>
          <w:p w14:paraId="2FE91FA3">
            <w:pPr>
              <w:widowControl/>
              <w:jc w:val="left"/>
              <w:rPr>
                <w:rFonts w:eastAsia="Times New Roman"/>
                <w:snapToGrid w:val="0"/>
                <w:color w:val="auto"/>
                <w:szCs w:val="22"/>
                <w:lang w:val="zh-CN"/>
              </w:rPr>
            </w:pPr>
          </w:p>
        </w:tc>
      </w:tr>
    </w:tbl>
    <w:p w14:paraId="3A729EC8">
      <w:pPr>
        <w:pStyle w:val="137"/>
        <w:rPr>
          <w:color w:val="auto"/>
        </w:rPr>
      </w:pPr>
      <w:r>
        <w:rPr>
          <w:color w:val="auto"/>
        </w:rPr>
        <w:t>2.7.2评价时段</w:t>
      </w:r>
      <w:bookmarkEnd w:id="67"/>
      <w:bookmarkEnd w:id="68"/>
    </w:p>
    <w:p w14:paraId="43A87A33">
      <w:pPr>
        <w:spacing w:line="500" w:lineRule="exact"/>
        <w:ind w:firstLine="480" w:firstLineChars="200"/>
        <w:rPr>
          <w:snapToGrid w:val="0"/>
          <w:color w:val="auto"/>
          <w:kern w:val="0"/>
          <w:sz w:val="24"/>
          <w:szCs w:val="22"/>
        </w:rPr>
      </w:pPr>
      <w:bookmarkStart w:id="70" w:name="_Toc119316794"/>
      <w:r>
        <w:rPr>
          <w:rFonts w:hint="eastAsia"/>
          <w:snapToGrid w:val="0"/>
          <w:color w:val="auto"/>
          <w:kern w:val="0"/>
          <w:sz w:val="24"/>
          <w:szCs w:val="22"/>
        </w:rPr>
        <w:t>评价时段为施工期、运行期、生态恢复期。由于施工期对周围环境影响较小，并且为短期影响，因此施工期只作影响分析；生态恢复期主要为土地复垦，因此生态恢复期作简要影响分析；运行期对周围环境影响程度因工序污染物排放不同而不同，而且为长期影响，因此本评价以回填复垦期为重点评价时段。</w:t>
      </w:r>
    </w:p>
    <w:p w14:paraId="399A058C">
      <w:pPr>
        <w:pStyle w:val="548"/>
        <w:rPr>
          <w:color w:val="auto"/>
          <w:highlight w:val="none"/>
        </w:rPr>
      </w:pPr>
      <w:bookmarkStart w:id="71" w:name="_Toc149054198"/>
      <w:r>
        <w:rPr>
          <w:color w:val="auto"/>
          <w:highlight w:val="none"/>
        </w:rPr>
        <w:t>2.8污染控制与环境保护目标</w:t>
      </w:r>
      <w:bookmarkEnd w:id="70"/>
      <w:bookmarkEnd w:id="71"/>
    </w:p>
    <w:p w14:paraId="5AB6B865">
      <w:pPr>
        <w:pStyle w:val="59"/>
        <w:ind w:firstLine="480"/>
        <w:rPr>
          <w:color w:val="auto"/>
          <w:highlight w:val="none"/>
        </w:rPr>
      </w:pPr>
      <w:r>
        <w:rPr>
          <w:color w:val="auto"/>
          <w:highlight w:val="none"/>
        </w:rPr>
        <w:t>本项目环境敏感目标见下表，保护目标分布图见</w:t>
      </w:r>
      <w:r>
        <w:rPr>
          <w:rFonts w:hint="eastAsia"/>
          <w:color w:val="auto"/>
          <w:highlight w:val="none"/>
        </w:rPr>
        <w:t>图2-8-1、2-8-2</w:t>
      </w:r>
      <w:r>
        <w:rPr>
          <w:color w:val="auto"/>
          <w:highlight w:val="none"/>
        </w:rPr>
        <w:t>。</w:t>
      </w:r>
    </w:p>
    <w:p w14:paraId="3FF40A2E">
      <w:pPr>
        <w:pStyle w:val="76"/>
        <w:rPr>
          <w:color w:val="auto"/>
          <w:highlight w:val="none"/>
        </w:rPr>
      </w:pPr>
      <w:r>
        <w:rPr>
          <w:color w:val="auto"/>
          <w:highlight w:val="none"/>
        </w:rPr>
        <w:t>表2</w:t>
      </w:r>
      <w:r>
        <w:rPr>
          <w:rFonts w:hint="eastAsia"/>
          <w:color w:val="auto"/>
          <w:highlight w:val="none"/>
        </w:rPr>
        <w:t>-8</w:t>
      </w:r>
      <w:r>
        <w:rPr>
          <w:color w:val="auto"/>
          <w:highlight w:val="none"/>
        </w:rPr>
        <w:t>-</w:t>
      </w:r>
      <w:r>
        <w:rPr>
          <w:rFonts w:hint="eastAsia"/>
          <w:color w:val="auto"/>
          <w:highlight w:val="none"/>
        </w:rPr>
        <w:t>1环境空气保护目标</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18"/>
        <w:gridCol w:w="1548"/>
        <w:gridCol w:w="1434"/>
        <w:gridCol w:w="961"/>
        <w:gridCol w:w="706"/>
        <w:gridCol w:w="1051"/>
        <w:gridCol w:w="896"/>
        <w:gridCol w:w="912"/>
      </w:tblGrid>
      <w:tr w14:paraId="2FD1D4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Merge w:val="restart"/>
            <w:vAlign w:val="center"/>
          </w:tcPr>
          <w:p w14:paraId="6897D8F3">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名称</w:t>
            </w:r>
          </w:p>
        </w:tc>
        <w:tc>
          <w:tcPr>
            <w:tcW w:w="1651" w:type="pct"/>
            <w:gridSpan w:val="2"/>
            <w:vAlign w:val="center"/>
          </w:tcPr>
          <w:p w14:paraId="3B194759">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坐标/°</w:t>
            </w:r>
          </w:p>
        </w:tc>
        <w:tc>
          <w:tcPr>
            <w:tcW w:w="532" w:type="pct"/>
            <w:vMerge w:val="restart"/>
            <w:vAlign w:val="center"/>
          </w:tcPr>
          <w:p w14:paraId="5CBC6EF3">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保护对象</w:t>
            </w:r>
          </w:p>
        </w:tc>
        <w:tc>
          <w:tcPr>
            <w:tcW w:w="391" w:type="pct"/>
            <w:vMerge w:val="restart"/>
            <w:vAlign w:val="center"/>
          </w:tcPr>
          <w:p w14:paraId="1FC196B7">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保护内容</w:t>
            </w:r>
          </w:p>
        </w:tc>
        <w:tc>
          <w:tcPr>
            <w:tcW w:w="582" w:type="pct"/>
            <w:vMerge w:val="restart"/>
            <w:vAlign w:val="center"/>
          </w:tcPr>
          <w:p w14:paraId="34839A9E">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环境</w:t>
            </w:r>
          </w:p>
          <w:p w14:paraId="07871F38">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功能区</w:t>
            </w:r>
          </w:p>
        </w:tc>
        <w:tc>
          <w:tcPr>
            <w:tcW w:w="496" w:type="pct"/>
            <w:vMerge w:val="restart"/>
            <w:vAlign w:val="center"/>
          </w:tcPr>
          <w:p w14:paraId="163361DB">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相对厂址方位</w:t>
            </w:r>
          </w:p>
        </w:tc>
        <w:tc>
          <w:tcPr>
            <w:tcW w:w="505" w:type="pct"/>
            <w:vMerge w:val="restart"/>
            <w:vAlign w:val="center"/>
          </w:tcPr>
          <w:p w14:paraId="720D27EB">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相对厂界距离</w:t>
            </w:r>
          </w:p>
        </w:tc>
      </w:tr>
      <w:tr w14:paraId="13A545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3" w:hRule="atLeast"/>
          <w:jc w:val="center"/>
        </w:trPr>
        <w:tc>
          <w:tcPr>
            <w:tcW w:w="841" w:type="pct"/>
            <w:vMerge w:val="continue"/>
            <w:vAlign w:val="center"/>
          </w:tcPr>
          <w:p w14:paraId="36E4C5F2">
            <w:pPr>
              <w:pStyle w:val="735"/>
              <w:spacing w:line="240" w:lineRule="auto"/>
              <w:textAlignment w:val="center"/>
              <w:rPr>
                <w:rFonts w:ascii="Times New Roman" w:hAnsi="Times New Roman" w:eastAsia="宋体" w:cs="Times New Roman"/>
                <w:color w:val="auto"/>
                <w:sz w:val="21"/>
                <w:szCs w:val="21"/>
                <w:highlight w:val="none"/>
              </w:rPr>
            </w:pPr>
          </w:p>
        </w:tc>
        <w:tc>
          <w:tcPr>
            <w:tcW w:w="857" w:type="pct"/>
            <w:vAlign w:val="center"/>
          </w:tcPr>
          <w:p w14:paraId="1D59BE1F">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经度</w:t>
            </w:r>
          </w:p>
        </w:tc>
        <w:tc>
          <w:tcPr>
            <w:tcW w:w="794" w:type="pct"/>
            <w:vAlign w:val="center"/>
          </w:tcPr>
          <w:p w14:paraId="43CBB930">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纬度</w:t>
            </w:r>
          </w:p>
        </w:tc>
        <w:tc>
          <w:tcPr>
            <w:tcW w:w="532" w:type="pct"/>
            <w:vMerge w:val="continue"/>
            <w:vAlign w:val="center"/>
          </w:tcPr>
          <w:p w14:paraId="2FD6E230">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77027736">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0D02980D">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Merge w:val="continue"/>
            <w:vAlign w:val="center"/>
          </w:tcPr>
          <w:p w14:paraId="0399F3B4">
            <w:pPr>
              <w:pStyle w:val="735"/>
              <w:spacing w:line="240" w:lineRule="auto"/>
              <w:textAlignment w:val="center"/>
              <w:rPr>
                <w:rFonts w:ascii="Times New Roman" w:hAnsi="Times New Roman" w:eastAsia="宋体" w:cs="Times New Roman"/>
                <w:color w:val="auto"/>
                <w:sz w:val="21"/>
                <w:szCs w:val="21"/>
                <w:highlight w:val="none"/>
              </w:rPr>
            </w:pPr>
          </w:p>
        </w:tc>
        <w:tc>
          <w:tcPr>
            <w:tcW w:w="505" w:type="pct"/>
            <w:vMerge w:val="continue"/>
            <w:vAlign w:val="center"/>
          </w:tcPr>
          <w:p w14:paraId="4B9F3C20">
            <w:pPr>
              <w:pStyle w:val="735"/>
              <w:spacing w:line="240" w:lineRule="auto"/>
              <w:textAlignment w:val="center"/>
              <w:rPr>
                <w:rFonts w:ascii="Times New Roman" w:hAnsi="Times New Roman" w:eastAsia="宋体" w:cs="Times New Roman"/>
                <w:color w:val="auto"/>
                <w:sz w:val="21"/>
                <w:szCs w:val="21"/>
                <w:highlight w:val="none"/>
              </w:rPr>
            </w:pPr>
          </w:p>
        </w:tc>
      </w:tr>
      <w:tr w14:paraId="143594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6FBA1237">
            <w:pPr>
              <w:pStyle w:val="735"/>
              <w:spacing w:line="240" w:lineRule="auto"/>
              <w:textAlignment w:val="center"/>
              <w:rPr>
                <w:rFonts w:hint="eastAsia" w:ascii="Times New Roman" w:hAnsi="Times New Roman" w:eastAsia="宋体" w:cs="Times New Roman"/>
                <w:color w:val="auto"/>
                <w:sz w:val="21"/>
                <w:szCs w:val="21"/>
                <w:highlight w:val="none"/>
                <w:lang w:eastAsia="zh-CN"/>
              </w:rPr>
            </w:pPr>
            <w:bookmarkStart w:id="72" w:name="_Hlk148706924"/>
            <w:r>
              <w:rPr>
                <w:rFonts w:hint="eastAsia" w:ascii="Times New Roman" w:hAnsi="Times New Roman" w:eastAsia="宋体" w:cs="Times New Roman"/>
                <w:color w:val="auto"/>
                <w:sz w:val="21"/>
                <w:szCs w:val="21"/>
                <w:highlight w:val="none"/>
                <w:lang w:eastAsia="zh-CN"/>
              </w:rPr>
              <w:t>东海煤矿</w:t>
            </w:r>
          </w:p>
        </w:tc>
        <w:tc>
          <w:tcPr>
            <w:tcW w:w="857" w:type="pct"/>
            <w:vAlign w:val="center"/>
          </w:tcPr>
          <w:p w14:paraId="3F0B01F7">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131.24276161</w:t>
            </w:r>
          </w:p>
        </w:tc>
        <w:tc>
          <w:tcPr>
            <w:tcW w:w="794" w:type="pct"/>
            <w:vAlign w:val="center"/>
          </w:tcPr>
          <w:p w14:paraId="5526480A">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45.36666870</w:t>
            </w:r>
          </w:p>
        </w:tc>
        <w:tc>
          <w:tcPr>
            <w:tcW w:w="532" w:type="pct"/>
            <w:vAlign w:val="center"/>
          </w:tcPr>
          <w:p w14:paraId="0BAD5968">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居住区</w:t>
            </w:r>
          </w:p>
        </w:tc>
        <w:tc>
          <w:tcPr>
            <w:tcW w:w="391" w:type="pct"/>
            <w:vMerge w:val="restart"/>
            <w:vAlign w:val="center"/>
          </w:tcPr>
          <w:p w14:paraId="52A35E64">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人群</w:t>
            </w:r>
          </w:p>
        </w:tc>
        <w:tc>
          <w:tcPr>
            <w:tcW w:w="582" w:type="pct"/>
            <w:vMerge w:val="restart"/>
            <w:vAlign w:val="center"/>
          </w:tcPr>
          <w:p w14:paraId="71AF4D10">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二类区</w:t>
            </w:r>
          </w:p>
        </w:tc>
        <w:tc>
          <w:tcPr>
            <w:tcW w:w="496" w:type="pct"/>
            <w:vAlign w:val="center"/>
          </w:tcPr>
          <w:p w14:paraId="30AB23FE">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西北</w:t>
            </w:r>
          </w:p>
        </w:tc>
        <w:tc>
          <w:tcPr>
            <w:tcW w:w="505" w:type="pct"/>
            <w:vAlign w:val="center"/>
          </w:tcPr>
          <w:p w14:paraId="6AD34772">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2700</w:t>
            </w:r>
            <w:r>
              <w:rPr>
                <w:rFonts w:hint="eastAsia" w:ascii="Times New Roman" w:hAnsi="Times New Roman" w:eastAsia="宋体" w:cs="Times New Roman"/>
                <w:color w:val="auto"/>
                <w:sz w:val="21"/>
                <w:szCs w:val="21"/>
                <w:highlight w:val="none"/>
              </w:rPr>
              <w:t>m</w:t>
            </w:r>
          </w:p>
        </w:tc>
      </w:tr>
      <w:tr w14:paraId="5639F8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26D35B0F">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兴富村</w:t>
            </w:r>
          </w:p>
        </w:tc>
        <w:tc>
          <w:tcPr>
            <w:tcW w:w="857" w:type="pct"/>
            <w:vAlign w:val="center"/>
          </w:tcPr>
          <w:p w14:paraId="20492351">
            <w:pPr>
              <w:widowControl w:val="0"/>
              <w:spacing w:line="240" w:lineRule="auto"/>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131.26383305</w:t>
            </w:r>
          </w:p>
        </w:tc>
        <w:tc>
          <w:tcPr>
            <w:tcW w:w="794" w:type="pct"/>
            <w:vAlign w:val="center"/>
          </w:tcPr>
          <w:p w14:paraId="40CC29D9">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kern w:val="2"/>
                <w:sz w:val="21"/>
                <w:szCs w:val="21"/>
                <w:highlight w:val="none"/>
                <w:lang w:val="en-US" w:eastAsia="zh-CN" w:bidi="ar-SA"/>
              </w:rPr>
              <w:t>45.35684109</w:t>
            </w:r>
          </w:p>
        </w:tc>
        <w:tc>
          <w:tcPr>
            <w:tcW w:w="532" w:type="pct"/>
            <w:vMerge w:val="restart"/>
            <w:vAlign w:val="center"/>
          </w:tcPr>
          <w:p w14:paraId="1E7BFE77">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农村人群集中区</w:t>
            </w:r>
          </w:p>
        </w:tc>
        <w:tc>
          <w:tcPr>
            <w:tcW w:w="391" w:type="pct"/>
            <w:vMerge w:val="continue"/>
            <w:vAlign w:val="center"/>
          </w:tcPr>
          <w:p w14:paraId="7B91B061">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2B96814F">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3A4FF1EE">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北</w:t>
            </w:r>
          </w:p>
        </w:tc>
        <w:tc>
          <w:tcPr>
            <w:tcW w:w="505" w:type="pct"/>
            <w:vAlign w:val="center"/>
          </w:tcPr>
          <w:p w14:paraId="72642F3B">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960</w:t>
            </w:r>
            <w:r>
              <w:rPr>
                <w:rFonts w:hint="eastAsia" w:ascii="Times New Roman" w:hAnsi="Times New Roman" w:eastAsia="宋体" w:cs="Times New Roman"/>
                <w:color w:val="auto"/>
                <w:sz w:val="21"/>
                <w:szCs w:val="21"/>
                <w:highlight w:val="none"/>
              </w:rPr>
              <w:t>m</w:t>
            </w:r>
          </w:p>
        </w:tc>
      </w:tr>
      <w:tr w14:paraId="74A9E14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19D80347">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繁荣屯</w:t>
            </w:r>
          </w:p>
        </w:tc>
        <w:tc>
          <w:tcPr>
            <w:tcW w:w="857" w:type="pct"/>
            <w:vAlign w:val="center"/>
          </w:tcPr>
          <w:p w14:paraId="3C0EDFB7">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131.28967881</w:t>
            </w:r>
          </w:p>
        </w:tc>
        <w:tc>
          <w:tcPr>
            <w:tcW w:w="794" w:type="pct"/>
            <w:vAlign w:val="center"/>
          </w:tcPr>
          <w:p w14:paraId="2088B4CE">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45.36542416</w:t>
            </w:r>
          </w:p>
        </w:tc>
        <w:tc>
          <w:tcPr>
            <w:tcW w:w="532" w:type="pct"/>
            <w:vMerge w:val="continue"/>
            <w:vAlign w:val="center"/>
          </w:tcPr>
          <w:p w14:paraId="397A3233">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296FAA5D">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73945AEF">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6E682E70">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东北</w:t>
            </w:r>
          </w:p>
        </w:tc>
        <w:tc>
          <w:tcPr>
            <w:tcW w:w="505" w:type="pct"/>
            <w:vAlign w:val="center"/>
          </w:tcPr>
          <w:p w14:paraId="53483428">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2</w:t>
            </w:r>
            <w:r>
              <w:rPr>
                <w:rFonts w:hint="eastAsia" w:ascii="Times New Roman" w:hAnsi="Times New Roman" w:eastAsia="宋体" w:cs="Times New Roman"/>
                <w:color w:val="auto"/>
                <w:sz w:val="21"/>
                <w:szCs w:val="21"/>
                <w:highlight w:val="none"/>
                <w:lang w:val="en-US" w:eastAsia="zh-CN"/>
              </w:rPr>
              <w:t>300</w:t>
            </w:r>
            <w:r>
              <w:rPr>
                <w:rFonts w:hint="eastAsia" w:ascii="Times New Roman" w:hAnsi="Times New Roman" w:eastAsia="宋体" w:cs="Times New Roman"/>
                <w:color w:val="auto"/>
                <w:sz w:val="21"/>
                <w:szCs w:val="21"/>
                <w:highlight w:val="none"/>
              </w:rPr>
              <w:t>m</w:t>
            </w:r>
          </w:p>
        </w:tc>
      </w:tr>
      <w:tr w14:paraId="07A4E7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18F2572D">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郭家屯</w:t>
            </w:r>
          </w:p>
        </w:tc>
        <w:tc>
          <w:tcPr>
            <w:tcW w:w="857" w:type="pct"/>
            <w:vAlign w:val="center"/>
          </w:tcPr>
          <w:p w14:paraId="39994759">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131.24711752</w:t>
            </w:r>
          </w:p>
        </w:tc>
        <w:tc>
          <w:tcPr>
            <w:tcW w:w="794" w:type="pct"/>
            <w:vAlign w:val="center"/>
          </w:tcPr>
          <w:p w14:paraId="4559B372">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45.34421325</w:t>
            </w:r>
          </w:p>
        </w:tc>
        <w:tc>
          <w:tcPr>
            <w:tcW w:w="532" w:type="pct"/>
            <w:vMerge w:val="continue"/>
            <w:vAlign w:val="center"/>
          </w:tcPr>
          <w:p w14:paraId="7F702DA5">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0556D6FE">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0C226821">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6A09EB91">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西</w:t>
            </w:r>
          </w:p>
        </w:tc>
        <w:tc>
          <w:tcPr>
            <w:tcW w:w="505" w:type="pct"/>
            <w:vAlign w:val="center"/>
          </w:tcPr>
          <w:p w14:paraId="56E71B94">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1400</w:t>
            </w:r>
            <w:r>
              <w:rPr>
                <w:rFonts w:hint="eastAsia" w:ascii="Times New Roman" w:hAnsi="Times New Roman" w:eastAsia="宋体" w:cs="Times New Roman"/>
                <w:color w:val="auto"/>
                <w:sz w:val="21"/>
                <w:szCs w:val="21"/>
                <w:highlight w:val="none"/>
              </w:rPr>
              <w:t>m</w:t>
            </w:r>
          </w:p>
        </w:tc>
      </w:tr>
      <w:tr w14:paraId="2658E1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7CD37C8C">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新泉五队</w:t>
            </w:r>
          </w:p>
        </w:tc>
        <w:tc>
          <w:tcPr>
            <w:tcW w:w="857" w:type="pct"/>
            <w:vAlign w:val="center"/>
          </w:tcPr>
          <w:p w14:paraId="64A5C8CC">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131.27867103</w:t>
            </w:r>
          </w:p>
        </w:tc>
        <w:tc>
          <w:tcPr>
            <w:tcW w:w="794" w:type="pct"/>
            <w:vAlign w:val="center"/>
          </w:tcPr>
          <w:p w14:paraId="722B5ACE">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45.34551144</w:t>
            </w:r>
          </w:p>
        </w:tc>
        <w:tc>
          <w:tcPr>
            <w:tcW w:w="532" w:type="pct"/>
            <w:vMerge w:val="continue"/>
            <w:vAlign w:val="center"/>
          </w:tcPr>
          <w:p w14:paraId="05E8B142">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3AC909E4">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6541E4AE">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48BCAF6F">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东</w:t>
            </w:r>
          </w:p>
        </w:tc>
        <w:tc>
          <w:tcPr>
            <w:tcW w:w="505" w:type="pct"/>
            <w:vAlign w:val="center"/>
          </w:tcPr>
          <w:p w14:paraId="69EBBAD9">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530m</w:t>
            </w:r>
          </w:p>
        </w:tc>
      </w:tr>
      <w:tr w14:paraId="01AF07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15F13C9F">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泉眼屯</w:t>
            </w:r>
          </w:p>
        </w:tc>
        <w:tc>
          <w:tcPr>
            <w:tcW w:w="857" w:type="pct"/>
            <w:vAlign w:val="center"/>
          </w:tcPr>
          <w:p w14:paraId="1AF1B107">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131.24979973</w:t>
            </w:r>
          </w:p>
        </w:tc>
        <w:tc>
          <w:tcPr>
            <w:tcW w:w="794" w:type="pct"/>
            <w:vAlign w:val="center"/>
          </w:tcPr>
          <w:p w14:paraId="134725BC">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45.33860207</w:t>
            </w:r>
          </w:p>
        </w:tc>
        <w:tc>
          <w:tcPr>
            <w:tcW w:w="532" w:type="pct"/>
            <w:vMerge w:val="continue"/>
            <w:vAlign w:val="center"/>
          </w:tcPr>
          <w:p w14:paraId="4ACBF073">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1BD21C16">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0CB7AAC3">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57F94CB2">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西</w:t>
            </w:r>
          </w:p>
        </w:tc>
        <w:tc>
          <w:tcPr>
            <w:tcW w:w="505" w:type="pct"/>
            <w:vAlign w:val="center"/>
          </w:tcPr>
          <w:p w14:paraId="04DAE647">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1400m</w:t>
            </w:r>
          </w:p>
        </w:tc>
      </w:tr>
      <w:tr w14:paraId="798E1A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723CB4E3">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兴隆村</w:t>
            </w:r>
          </w:p>
        </w:tc>
        <w:tc>
          <w:tcPr>
            <w:tcW w:w="857" w:type="pct"/>
            <w:vAlign w:val="center"/>
          </w:tcPr>
          <w:p w14:paraId="69EA949D">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131.25227809</w:t>
            </w:r>
          </w:p>
        </w:tc>
        <w:tc>
          <w:tcPr>
            <w:tcW w:w="794" w:type="pct"/>
            <w:vAlign w:val="center"/>
          </w:tcPr>
          <w:p w14:paraId="4889B596">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45.33109725</w:t>
            </w:r>
          </w:p>
        </w:tc>
        <w:tc>
          <w:tcPr>
            <w:tcW w:w="532" w:type="pct"/>
            <w:vMerge w:val="continue"/>
            <w:vAlign w:val="center"/>
          </w:tcPr>
          <w:p w14:paraId="0FD1E782">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64B1418C">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2CA807B9">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53F55953">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西南</w:t>
            </w:r>
          </w:p>
        </w:tc>
        <w:tc>
          <w:tcPr>
            <w:tcW w:w="505" w:type="pct"/>
            <w:vAlign w:val="center"/>
          </w:tcPr>
          <w:p w14:paraId="54C207E2">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1640m</w:t>
            </w:r>
          </w:p>
        </w:tc>
      </w:tr>
      <w:tr w14:paraId="7E0275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0CF31694">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泉北屯</w:t>
            </w:r>
          </w:p>
        </w:tc>
        <w:tc>
          <w:tcPr>
            <w:tcW w:w="857" w:type="pct"/>
            <w:vAlign w:val="center"/>
          </w:tcPr>
          <w:p w14:paraId="1AF882A5">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131.27125740</w:t>
            </w:r>
          </w:p>
        </w:tc>
        <w:tc>
          <w:tcPr>
            <w:tcW w:w="794" w:type="pct"/>
            <w:vAlign w:val="center"/>
          </w:tcPr>
          <w:p w14:paraId="4DBE842A">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45.33328056</w:t>
            </w:r>
          </w:p>
        </w:tc>
        <w:tc>
          <w:tcPr>
            <w:tcW w:w="532" w:type="pct"/>
            <w:vMerge w:val="continue"/>
            <w:vAlign w:val="center"/>
          </w:tcPr>
          <w:p w14:paraId="335A2338">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4825B8BF">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24E2F9ED">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1C0798C0">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南</w:t>
            </w:r>
          </w:p>
        </w:tc>
        <w:tc>
          <w:tcPr>
            <w:tcW w:w="505" w:type="pct"/>
            <w:vAlign w:val="center"/>
          </w:tcPr>
          <w:p w14:paraId="6F804217">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950m</w:t>
            </w:r>
          </w:p>
        </w:tc>
      </w:tr>
      <w:tr w14:paraId="29643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5015DC74">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泉西屯</w:t>
            </w:r>
          </w:p>
        </w:tc>
        <w:tc>
          <w:tcPr>
            <w:tcW w:w="857" w:type="pct"/>
            <w:vAlign w:val="center"/>
          </w:tcPr>
          <w:p w14:paraId="4A44E0B0">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131.27672911</w:t>
            </w:r>
          </w:p>
        </w:tc>
        <w:tc>
          <w:tcPr>
            <w:tcW w:w="794" w:type="pct"/>
            <w:vAlign w:val="center"/>
          </w:tcPr>
          <w:p w14:paraId="279213E5">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45.32406449</w:t>
            </w:r>
          </w:p>
        </w:tc>
        <w:tc>
          <w:tcPr>
            <w:tcW w:w="532" w:type="pct"/>
            <w:vMerge w:val="continue"/>
            <w:vAlign w:val="center"/>
          </w:tcPr>
          <w:p w14:paraId="62E9CBFE">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05D28560">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411058B1">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74EB9BC8">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南</w:t>
            </w:r>
          </w:p>
        </w:tc>
        <w:tc>
          <w:tcPr>
            <w:tcW w:w="505" w:type="pct"/>
            <w:vAlign w:val="center"/>
          </w:tcPr>
          <w:p w14:paraId="5A1E232E">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2000m</w:t>
            </w:r>
          </w:p>
        </w:tc>
      </w:tr>
      <w:tr w14:paraId="597AC9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0" w:hRule="atLeast"/>
          <w:jc w:val="center"/>
        </w:trPr>
        <w:tc>
          <w:tcPr>
            <w:tcW w:w="841" w:type="pct"/>
            <w:vAlign w:val="center"/>
          </w:tcPr>
          <w:p w14:paraId="0C97C088">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松树林屯</w:t>
            </w:r>
          </w:p>
        </w:tc>
        <w:tc>
          <w:tcPr>
            <w:tcW w:w="857" w:type="pct"/>
            <w:vAlign w:val="center"/>
          </w:tcPr>
          <w:p w14:paraId="00864882">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131.25430584</w:t>
            </w:r>
          </w:p>
        </w:tc>
        <w:tc>
          <w:tcPr>
            <w:tcW w:w="794" w:type="pct"/>
            <w:vAlign w:val="center"/>
          </w:tcPr>
          <w:p w14:paraId="794932AD">
            <w:pPr>
              <w:pStyle w:val="735"/>
              <w:spacing w:line="240" w:lineRule="auto"/>
              <w:textAlignment w:val="center"/>
              <w:rPr>
                <w:rFonts w:hint="eastAsia"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45.32409668</w:t>
            </w:r>
          </w:p>
        </w:tc>
        <w:tc>
          <w:tcPr>
            <w:tcW w:w="532" w:type="pct"/>
            <w:vMerge w:val="continue"/>
            <w:vAlign w:val="center"/>
          </w:tcPr>
          <w:p w14:paraId="464E96FC">
            <w:pPr>
              <w:pStyle w:val="735"/>
              <w:spacing w:line="240" w:lineRule="auto"/>
              <w:textAlignment w:val="center"/>
              <w:rPr>
                <w:rFonts w:ascii="Times New Roman" w:hAnsi="Times New Roman" w:eastAsia="宋体" w:cs="Times New Roman"/>
                <w:color w:val="auto"/>
                <w:sz w:val="21"/>
                <w:szCs w:val="21"/>
                <w:highlight w:val="none"/>
              </w:rPr>
            </w:pPr>
          </w:p>
        </w:tc>
        <w:tc>
          <w:tcPr>
            <w:tcW w:w="391" w:type="pct"/>
            <w:vMerge w:val="continue"/>
            <w:vAlign w:val="center"/>
          </w:tcPr>
          <w:p w14:paraId="4F450B2E">
            <w:pPr>
              <w:pStyle w:val="735"/>
              <w:spacing w:line="240" w:lineRule="auto"/>
              <w:textAlignment w:val="center"/>
              <w:rPr>
                <w:rFonts w:ascii="Times New Roman" w:hAnsi="Times New Roman" w:eastAsia="宋体" w:cs="Times New Roman"/>
                <w:color w:val="auto"/>
                <w:sz w:val="21"/>
                <w:szCs w:val="21"/>
                <w:highlight w:val="none"/>
              </w:rPr>
            </w:pPr>
          </w:p>
        </w:tc>
        <w:tc>
          <w:tcPr>
            <w:tcW w:w="582" w:type="pct"/>
            <w:vMerge w:val="continue"/>
            <w:vAlign w:val="center"/>
          </w:tcPr>
          <w:p w14:paraId="5DA8E5E0">
            <w:pPr>
              <w:pStyle w:val="735"/>
              <w:spacing w:line="240" w:lineRule="auto"/>
              <w:textAlignment w:val="center"/>
              <w:rPr>
                <w:rFonts w:ascii="Times New Roman" w:hAnsi="Times New Roman" w:eastAsia="宋体" w:cs="Times New Roman"/>
                <w:color w:val="auto"/>
                <w:sz w:val="21"/>
                <w:szCs w:val="21"/>
                <w:highlight w:val="none"/>
              </w:rPr>
            </w:pPr>
          </w:p>
        </w:tc>
        <w:tc>
          <w:tcPr>
            <w:tcW w:w="496" w:type="pct"/>
            <w:vAlign w:val="center"/>
          </w:tcPr>
          <w:p w14:paraId="7C9D5C66">
            <w:pPr>
              <w:pStyle w:val="735"/>
              <w:spacing w:line="240" w:lineRule="auto"/>
              <w:textAlignment w:val="center"/>
              <w:rPr>
                <w:rFonts w:hint="eastAsia" w:ascii="Times New Roman" w:hAnsi="Times New Roman" w:eastAsia="宋体" w:cs="Times New Roman"/>
                <w:color w:val="auto"/>
                <w:sz w:val="21"/>
                <w:szCs w:val="21"/>
                <w:highlight w:val="none"/>
                <w:lang w:eastAsia="zh-CN"/>
              </w:rPr>
            </w:pPr>
            <w:r>
              <w:rPr>
                <w:rFonts w:hint="eastAsia" w:ascii="Times New Roman" w:hAnsi="Times New Roman" w:eastAsia="宋体" w:cs="Times New Roman"/>
                <w:color w:val="auto"/>
                <w:sz w:val="21"/>
                <w:szCs w:val="21"/>
                <w:highlight w:val="none"/>
                <w:lang w:eastAsia="zh-CN"/>
              </w:rPr>
              <w:t>西南</w:t>
            </w:r>
          </w:p>
        </w:tc>
        <w:tc>
          <w:tcPr>
            <w:tcW w:w="505" w:type="pct"/>
            <w:vAlign w:val="center"/>
          </w:tcPr>
          <w:p w14:paraId="11DDD807">
            <w:pPr>
              <w:pStyle w:val="735"/>
              <w:spacing w:line="240" w:lineRule="auto"/>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2200m</w:t>
            </w:r>
          </w:p>
        </w:tc>
      </w:tr>
      <w:bookmarkEnd w:id="72"/>
    </w:tbl>
    <w:p w14:paraId="28D665CA">
      <w:pPr>
        <w:pStyle w:val="76"/>
        <w:rPr>
          <w:color w:val="auto"/>
          <w:highlight w:val="none"/>
        </w:rPr>
      </w:pPr>
      <w:r>
        <w:rPr>
          <w:color w:val="auto"/>
          <w:highlight w:val="none"/>
        </w:rPr>
        <w:t>表2</w:t>
      </w:r>
      <w:r>
        <w:rPr>
          <w:rFonts w:hint="eastAsia"/>
          <w:color w:val="auto"/>
          <w:highlight w:val="none"/>
        </w:rPr>
        <w:t>-8-2</w:t>
      </w:r>
      <w:r>
        <w:rPr>
          <w:color w:val="auto"/>
          <w:highlight w:val="none"/>
        </w:rPr>
        <w:t>生态环境</w:t>
      </w:r>
      <w:r>
        <w:rPr>
          <w:rFonts w:hint="eastAsia"/>
          <w:color w:val="auto"/>
          <w:highlight w:val="none"/>
        </w:rPr>
        <w:t>、土壤、地下水</w:t>
      </w:r>
      <w:r>
        <w:rPr>
          <w:color w:val="auto"/>
          <w:highlight w:val="none"/>
        </w:rPr>
        <w:t>保护目标一览表</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828"/>
        <w:gridCol w:w="2252"/>
        <w:gridCol w:w="2465"/>
        <w:gridCol w:w="3481"/>
      </w:tblGrid>
      <w:tr w14:paraId="32AE293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58" w:hRule="atLeast"/>
          <w:jc w:val="center"/>
        </w:trPr>
        <w:tc>
          <w:tcPr>
            <w:tcW w:w="459" w:type="pct"/>
            <w:vAlign w:val="center"/>
          </w:tcPr>
          <w:p w14:paraId="1B76BBFF">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环境要素</w:t>
            </w:r>
          </w:p>
        </w:tc>
        <w:tc>
          <w:tcPr>
            <w:tcW w:w="1247" w:type="pct"/>
            <w:vAlign w:val="center"/>
          </w:tcPr>
          <w:p w14:paraId="2FB07A9B">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环境</w:t>
            </w:r>
            <w:r>
              <w:rPr>
                <w:rFonts w:hint="eastAsia" w:ascii="Times New Roman" w:hAnsi="Times New Roman" w:eastAsia="宋体" w:cs="Times New Roman"/>
                <w:color w:val="auto"/>
                <w:sz w:val="21"/>
                <w:szCs w:val="21"/>
                <w:highlight w:val="none"/>
              </w:rPr>
              <w:t>保护目标</w:t>
            </w:r>
          </w:p>
        </w:tc>
        <w:tc>
          <w:tcPr>
            <w:tcW w:w="1365" w:type="pct"/>
            <w:vAlign w:val="center"/>
          </w:tcPr>
          <w:p w14:paraId="0B50AFE4">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保护对象</w:t>
            </w:r>
          </w:p>
        </w:tc>
        <w:tc>
          <w:tcPr>
            <w:tcW w:w="1928" w:type="pct"/>
            <w:vAlign w:val="center"/>
          </w:tcPr>
          <w:p w14:paraId="1CA3BE5B">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保护内容</w:t>
            </w:r>
          </w:p>
        </w:tc>
      </w:tr>
      <w:tr w14:paraId="632B032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88" w:hRule="atLeast"/>
          <w:jc w:val="center"/>
        </w:trPr>
        <w:tc>
          <w:tcPr>
            <w:tcW w:w="459" w:type="pct"/>
            <w:vAlign w:val="center"/>
          </w:tcPr>
          <w:p w14:paraId="02DC690B">
            <w:pPr>
              <w:pStyle w:val="735"/>
              <w:spacing w:line="240" w:lineRule="auto"/>
              <w:textAlignment w:val="center"/>
              <w:rPr>
                <w:rFonts w:ascii="Times New Roman" w:hAnsi="Times New Roman" w:eastAsia="宋体" w:cs="Times New Roman"/>
                <w:color w:val="auto"/>
                <w:sz w:val="21"/>
                <w:szCs w:val="21"/>
                <w:highlight w:val="none"/>
              </w:rPr>
            </w:pPr>
            <w:r>
              <w:rPr>
                <w:rFonts w:ascii="Times New Roman" w:hAnsi="Times New Roman" w:eastAsia="宋体" w:cs="Times New Roman"/>
                <w:color w:val="auto"/>
                <w:sz w:val="21"/>
                <w:szCs w:val="21"/>
                <w:highlight w:val="none"/>
              </w:rPr>
              <w:t>生态</w:t>
            </w:r>
          </w:p>
        </w:tc>
        <w:tc>
          <w:tcPr>
            <w:tcW w:w="1247" w:type="pct"/>
            <w:vAlign w:val="center"/>
          </w:tcPr>
          <w:p w14:paraId="6B995638">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植被、景观、野生动物等</w:t>
            </w:r>
          </w:p>
        </w:tc>
        <w:tc>
          <w:tcPr>
            <w:tcW w:w="1365" w:type="pct"/>
            <w:vAlign w:val="center"/>
          </w:tcPr>
          <w:p w14:paraId="42978D90">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场地及四周</w:t>
            </w:r>
            <w:r>
              <w:rPr>
                <w:rFonts w:ascii="Times New Roman" w:hAnsi="Times New Roman" w:eastAsia="宋体" w:cs="Times New Roman"/>
                <w:color w:val="auto"/>
                <w:sz w:val="21"/>
                <w:szCs w:val="21"/>
                <w:highlight w:val="none"/>
              </w:rPr>
              <w:t>2</w:t>
            </w:r>
            <w:r>
              <w:rPr>
                <w:rFonts w:hint="eastAsia" w:ascii="Times New Roman" w:hAnsi="Times New Roman" w:eastAsia="宋体" w:cs="Times New Roman"/>
                <w:color w:val="auto"/>
                <w:sz w:val="21"/>
                <w:szCs w:val="21"/>
                <w:highlight w:val="none"/>
              </w:rPr>
              <w:t>00m的生态环境</w:t>
            </w:r>
          </w:p>
        </w:tc>
        <w:tc>
          <w:tcPr>
            <w:tcW w:w="1928" w:type="pct"/>
            <w:vAlign w:val="center"/>
          </w:tcPr>
          <w:p w14:paraId="5A3C15D5">
            <w:pPr>
              <w:pStyle w:val="735"/>
              <w:spacing w:line="240" w:lineRule="auto"/>
              <w:jc w:val="center"/>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周边生态环境不遭到破坏</w:t>
            </w:r>
          </w:p>
        </w:tc>
      </w:tr>
      <w:tr w14:paraId="7C91ACC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88" w:hRule="atLeast"/>
          <w:jc w:val="center"/>
        </w:trPr>
        <w:tc>
          <w:tcPr>
            <w:tcW w:w="459" w:type="pct"/>
            <w:vAlign w:val="center"/>
          </w:tcPr>
          <w:p w14:paraId="5CD9DFBB">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土壤</w:t>
            </w:r>
          </w:p>
        </w:tc>
        <w:tc>
          <w:tcPr>
            <w:tcW w:w="1247" w:type="pct"/>
            <w:vAlign w:val="center"/>
          </w:tcPr>
          <w:p w14:paraId="365C79C3">
            <w:pPr>
              <w:pStyle w:val="735"/>
              <w:spacing w:line="240" w:lineRule="auto"/>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耕地</w:t>
            </w:r>
          </w:p>
        </w:tc>
        <w:tc>
          <w:tcPr>
            <w:tcW w:w="1365" w:type="pct"/>
            <w:vAlign w:val="center"/>
          </w:tcPr>
          <w:p w14:paraId="182B17CE">
            <w:pPr>
              <w:pStyle w:val="84"/>
              <w:rPr>
                <w:color w:val="auto"/>
                <w:highlight w:val="none"/>
              </w:rPr>
            </w:pPr>
            <w:r>
              <w:rPr>
                <w:rFonts w:hint="eastAsia"/>
                <w:color w:val="auto"/>
                <w:highlight w:val="none"/>
              </w:rPr>
              <w:t>场地内的土壤环境及厂界外200m范围内</w:t>
            </w:r>
          </w:p>
        </w:tc>
        <w:tc>
          <w:tcPr>
            <w:tcW w:w="1928" w:type="pct"/>
            <w:vAlign w:val="center"/>
          </w:tcPr>
          <w:p w14:paraId="7ADF48F2">
            <w:pPr>
              <w:pStyle w:val="735"/>
              <w:spacing w:line="240" w:lineRule="auto"/>
              <w:jc w:val="both"/>
              <w:textAlignment w:val="center"/>
              <w:rPr>
                <w:rFonts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rPr>
              <w:t>《土壤环境质量标准 农用地土壤污染风险管控标准》（GB15618-2018）</w:t>
            </w:r>
          </w:p>
        </w:tc>
      </w:tr>
      <w:tr w14:paraId="156AF0E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688" w:hRule="atLeast"/>
          <w:jc w:val="center"/>
        </w:trPr>
        <w:tc>
          <w:tcPr>
            <w:tcW w:w="459" w:type="pct"/>
            <w:vAlign w:val="center"/>
          </w:tcPr>
          <w:p w14:paraId="734CF79A">
            <w:pPr>
              <w:pStyle w:val="84"/>
              <w:rPr>
                <w:color w:val="auto"/>
                <w:highlight w:val="none"/>
              </w:rPr>
            </w:pPr>
            <w:r>
              <w:rPr>
                <w:color w:val="auto"/>
                <w:highlight w:val="none"/>
              </w:rPr>
              <w:t>地下水</w:t>
            </w:r>
          </w:p>
        </w:tc>
        <w:tc>
          <w:tcPr>
            <w:tcW w:w="1247" w:type="pct"/>
            <w:vAlign w:val="center"/>
          </w:tcPr>
          <w:p w14:paraId="5BEA209E">
            <w:pPr>
              <w:pStyle w:val="84"/>
              <w:rPr>
                <w:color w:val="auto"/>
                <w:highlight w:val="none"/>
              </w:rPr>
            </w:pPr>
            <w:r>
              <w:rPr>
                <w:rFonts w:hint="eastAsia" w:hAnsi="宋体"/>
                <w:snapToGrid w:val="0"/>
                <w:color w:val="auto"/>
                <w:szCs w:val="22"/>
                <w:highlight w:val="none"/>
              </w:rPr>
              <w:t>地下水潜水含水层</w:t>
            </w:r>
          </w:p>
        </w:tc>
        <w:tc>
          <w:tcPr>
            <w:tcW w:w="1365" w:type="pct"/>
            <w:vAlign w:val="center"/>
          </w:tcPr>
          <w:p w14:paraId="3E477C81">
            <w:pPr>
              <w:pStyle w:val="84"/>
              <w:rPr>
                <w:color w:val="auto"/>
                <w:highlight w:val="none"/>
              </w:rPr>
            </w:pPr>
            <w:r>
              <w:rPr>
                <w:rFonts w:hint="eastAsia"/>
                <w:color w:val="auto"/>
                <w:highlight w:val="none"/>
              </w:rPr>
              <w:t>评价范围内地下水含水层</w:t>
            </w:r>
          </w:p>
        </w:tc>
        <w:tc>
          <w:tcPr>
            <w:tcW w:w="1928" w:type="pct"/>
            <w:vAlign w:val="center"/>
          </w:tcPr>
          <w:p w14:paraId="16D1F1BD">
            <w:pPr>
              <w:pStyle w:val="84"/>
              <w:jc w:val="both"/>
              <w:rPr>
                <w:color w:val="auto"/>
                <w:highlight w:val="none"/>
              </w:rPr>
            </w:pPr>
            <w:r>
              <w:rPr>
                <w:rFonts w:hint="eastAsia"/>
                <w:color w:val="auto"/>
                <w:highlight w:val="none"/>
              </w:rPr>
              <w:t>《地下水质量标准》（GB/T14848-2017）III类</w:t>
            </w:r>
          </w:p>
        </w:tc>
      </w:tr>
    </w:tbl>
    <w:p w14:paraId="24CBD30E">
      <w:pPr>
        <w:pStyle w:val="76"/>
        <w:rPr>
          <w:color w:val="auto"/>
          <w:highlight w:val="none"/>
        </w:rPr>
      </w:pPr>
      <w:r>
        <w:rPr>
          <w:color w:val="auto"/>
          <w:highlight w:val="none"/>
        </w:rPr>
        <w:t>表2-</w:t>
      </w:r>
      <w:r>
        <w:rPr>
          <w:rFonts w:hint="eastAsia"/>
          <w:color w:val="auto"/>
          <w:highlight w:val="none"/>
        </w:rPr>
        <w:t>8-3运输道路两侧</w:t>
      </w:r>
      <w:r>
        <w:rPr>
          <w:color w:val="auto"/>
          <w:highlight w:val="none"/>
        </w:rPr>
        <w:t>环境保护目标一览表</w:t>
      </w:r>
    </w:p>
    <w:tbl>
      <w:tblPr>
        <w:tblStyle w:val="45"/>
        <w:tblW w:w="486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2"/>
        <w:gridCol w:w="1563"/>
        <w:gridCol w:w="700"/>
        <w:gridCol w:w="848"/>
        <w:gridCol w:w="1528"/>
        <w:gridCol w:w="3197"/>
      </w:tblGrid>
      <w:tr w14:paraId="2DDCA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restart"/>
            <w:vAlign w:val="center"/>
          </w:tcPr>
          <w:p w14:paraId="51D84112">
            <w:pPr>
              <w:contextualSpacing/>
              <w:jc w:val="center"/>
              <w:rPr>
                <w:color w:val="auto"/>
                <w:szCs w:val="21"/>
                <w:highlight w:val="none"/>
              </w:rPr>
            </w:pPr>
            <w:r>
              <w:rPr>
                <w:color w:val="auto"/>
                <w:szCs w:val="21"/>
                <w:highlight w:val="none"/>
              </w:rPr>
              <w:t>涉及环</w:t>
            </w:r>
          </w:p>
          <w:p w14:paraId="4B49C301">
            <w:pPr>
              <w:contextualSpacing/>
              <w:jc w:val="center"/>
              <w:rPr>
                <w:color w:val="auto"/>
                <w:szCs w:val="21"/>
                <w:highlight w:val="none"/>
              </w:rPr>
            </w:pPr>
            <w:r>
              <w:rPr>
                <w:color w:val="auto"/>
                <w:szCs w:val="21"/>
                <w:highlight w:val="none"/>
              </w:rPr>
              <w:t>境要素</w:t>
            </w:r>
          </w:p>
        </w:tc>
        <w:tc>
          <w:tcPr>
            <w:tcW w:w="889" w:type="pct"/>
            <w:vMerge w:val="restart"/>
            <w:vAlign w:val="center"/>
          </w:tcPr>
          <w:p w14:paraId="3E3CD182">
            <w:pPr>
              <w:contextualSpacing/>
              <w:jc w:val="center"/>
              <w:rPr>
                <w:color w:val="auto"/>
                <w:szCs w:val="21"/>
                <w:highlight w:val="none"/>
              </w:rPr>
            </w:pPr>
            <w:r>
              <w:rPr>
                <w:color w:val="auto"/>
                <w:szCs w:val="21"/>
                <w:highlight w:val="none"/>
              </w:rPr>
              <w:t>环境保</w:t>
            </w:r>
          </w:p>
          <w:p w14:paraId="0457C24E">
            <w:pPr>
              <w:contextualSpacing/>
              <w:jc w:val="center"/>
              <w:rPr>
                <w:color w:val="auto"/>
                <w:szCs w:val="21"/>
                <w:highlight w:val="none"/>
              </w:rPr>
            </w:pPr>
            <w:r>
              <w:rPr>
                <w:color w:val="auto"/>
                <w:szCs w:val="21"/>
                <w:highlight w:val="none"/>
              </w:rPr>
              <w:t>护目标</w:t>
            </w:r>
          </w:p>
        </w:tc>
        <w:tc>
          <w:tcPr>
            <w:tcW w:w="880" w:type="pct"/>
            <w:gridSpan w:val="2"/>
            <w:vAlign w:val="center"/>
          </w:tcPr>
          <w:p w14:paraId="7726E180">
            <w:pPr>
              <w:contextualSpacing/>
              <w:jc w:val="center"/>
              <w:rPr>
                <w:color w:val="auto"/>
                <w:szCs w:val="21"/>
                <w:highlight w:val="none"/>
              </w:rPr>
            </w:pPr>
            <w:r>
              <w:rPr>
                <w:color w:val="auto"/>
                <w:szCs w:val="21"/>
                <w:highlight w:val="none"/>
              </w:rPr>
              <w:t>相对</w:t>
            </w:r>
            <w:r>
              <w:rPr>
                <w:rFonts w:hint="eastAsia"/>
                <w:color w:val="auto"/>
                <w:szCs w:val="21"/>
                <w:highlight w:val="none"/>
              </w:rPr>
              <w:t>道路</w:t>
            </w:r>
            <w:r>
              <w:rPr>
                <w:color w:val="auto"/>
                <w:szCs w:val="21"/>
                <w:highlight w:val="none"/>
              </w:rPr>
              <w:t>位置</w:t>
            </w:r>
          </w:p>
        </w:tc>
        <w:tc>
          <w:tcPr>
            <w:tcW w:w="869" w:type="pct"/>
            <w:vMerge w:val="restart"/>
            <w:vAlign w:val="center"/>
          </w:tcPr>
          <w:p w14:paraId="7214A4F5">
            <w:pPr>
              <w:contextualSpacing/>
              <w:jc w:val="center"/>
              <w:rPr>
                <w:color w:val="auto"/>
                <w:szCs w:val="21"/>
                <w:highlight w:val="none"/>
              </w:rPr>
            </w:pPr>
            <w:r>
              <w:rPr>
                <w:color w:val="auto"/>
                <w:kern w:val="0"/>
                <w:szCs w:val="21"/>
                <w:highlight w:val="none"/>
              </w:rPr>
              <w:t>主要保护对象</w:t>
            </w:r>
          </w:p>
        </w:tc>
        <w:tc>
          <w:tcPr>
            <w:tcW w:w="1818" w:type="pct"/>
            <w:vMerge w:val="restart"/>
            <w:vAlign w:val="center"/>
          </w:tcPr>
          <w:p w14:paraId="29EE9693">
            <w:pPr>
              <w:contextualSpacing/>
              <w:jc w:val="center"/>
              <w:rPr>
                <w:color w:val="auto"/>
                <w:szCs w:val="21"/>
                <w:highlight w:val="none"/>
              </w:rPr>
            </w:pPr>
            <w:r>
              <w:rPr>
                <w:color w:val="auto"/>
                <w:szCs w:val="21"/>
                <w:highlight w:val="none"/>
              </w:rPr>
              <w:t>保护</w:t>
            </w:r>
            <w:r>
              <w:rPr>
                <w:rFonts w:hint="eastAsia"/>
                <w:color w:val="auto"/>
                <w:szCs w:val="21"/>
                <w:highlight w:val="none"/>
              </w:rPr>
              <w:t>内容</w:t>
            </w:r>
          </w:p>
        </w:tc>
      </w:tr>
      <w:tr w14:paraId="61742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0C9098D8">
            <w:pPr>
              <w:contextualSpacing/>
              <w:jc w:val="center"/>
              <w:rPr>
                <w:color w:val="auto"/>
                <w:szCs w:val="21"/>
                <w:highlight w:val="none"/>
              </w:rPr>
            </w:pPr>
          </w:p>
        </w:tc>
        <w:tc>
          <w:tcPr>
            <w:tcW w:w="889" w:type="pct"/>
            <w:vMerge w:val="continue"/>
            <w:vAlign w:val="center"/>
          </w:tcPr>
          <w:p w14:paraId="5CB5C497">
            <w:pPr>
              <w:contextualSpacing/>
              <w:jc w:val="center"/>
              <w:rPr>
                <w:color w:val="auto"/>
                <w:szCs w:val="21"/>
                <w:highlight w:val="none"/>
              </w:rPr>
            </w:pPr>
          </w:p>
        </w:tc>
        <w:tc>
          <w:tcPr>
            <w:tcW w:w="398" w:type="pct"/>
            <w:vAlign w:val="center"/>
          </w:tcPr>
          <w:p w14:paraId="6962E4A7">
            <w:pPr>
              <w:contextualSpacing/>
              <w:jc w:val="center"/>
              <w:rPr>
                <w:color w:val="auto"/>
                <w:szCs w:val="21"/>
                <w:highlight w:val="none"/>
              </w:rPr>
            </w:pPr>
            <w:r>
              <w:rPr>
                <w:color w:val="auto"/>
                <w:szCs w:val="21"/>
                <w:highlight w:val="none"/>
              </w:rPr>
              <w:t>方位</w:t>
            </w:r>
          </w:p>
        </w:tc>
        <w:tc>
          <w:tcPr>
            <w:tcW w:w="482" w:type="pct"/>
            <w:vAlign w:val="center"/>
          </w:tcPr>
          <w:p w14:paraId="76277369">
            <w:pPr>
              <w:contextualSpacing/>
              <w:jc w:val="center"/>
              <w:rPr>
                <w:color w:val="auto"/>
                <w:szCs w:val="21"/>
                <w:highlight w:val="none"/>
              </w:rPr>
            </w:pPr>
            <w:r>
              <w:rPr>
                <w:color w:val="auto"/>
                <w:szCs w:val="21"/>
                <w:highlight w:val="none"/>
              </w:rPr>
              <w:t>距离（m）</w:t>
            </w:r>
          </w:p>
        </w:tc>
        <w:tc>
          <w:tcPr>
            <w:tcW w:w="869" w:type="pct"/>
            <w:vMerge w:val="continue"/>
            <w:vAlign w:val="center"/>
          </w:tcPr>
          <w:p w14:paraId="0ABDF246">
            <w:pPr>
              <w:contextualSpacing/>
              <w:jc w:val="center"/>
              <w:rPr>
                <w:color w:val="auto"/>
                <w:szCs w:val="21"/>
                <w:highlight w:val="none"/>
              </w:rPr>
            </w:pPr>
          </w:p>
        </w:tc>
        <w:tc>
          <w:tcPr>
            <w:tcW w:w="1818" w:type="pct"/>
            <w:vMerge w:val="continue"/>
            <w:vAlign w:val="center"/>
          </w:tcPr>
          <w:p w14:paraId="13575AC8">
            <w:pPr>
              <w:contextualSpacing/>
              <w:jc w:val="center"/>
              <w:rPr>
                <w:color w:val="auto"/>
                <w:szCs w:val="21"/>
                <w:highlight w:val="none"/>
              </w:rPr>
            </w:pPr>
          </w:p>
        </w:tc>
      </w:tr>
      <w:tr w14:paraId="1ABF4C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restart"/>
            <w:vAlign w:val="center"/>
          </w:tcPr>
          <w:p w14:paraId="1EC5C114">
            <w:pPr>
              <w:contextualSpacing/>
              <w:jc w:val="center"/>
              <w:rPr>
                <w:color w:val="auto"/>
                <w:szCs w:val="21"/>
                <w:highlight w:val="none"/>
              </w:rPr>
            </w:pPr>
            <w:r>
              <w:rPr>
                <w:color w:val="auto"/>
                <w:szCs w:val="21"/>
                <w:highlight w:val="none"/>
              </w:rPr>
              <w:t>运输路线声环境</w:t>
            </w:r>
            <w:r>
              <w:rPr>
                <w:rFonts w:hint="eastAsia"/>
                <w:color w:val="auto"/>
                <w:szCs w:val="21"/>
                <w:highlight w:val="none"/>
              </w:rPr>
              <w:t>、大气环境</w:t>
            </w:r>
          </w:p>
        </w:tc>
        <w:tc>
          <w:tcPr>
            <w:tcW w:w="889" w:type="pct"/>
            <w:vAlign w:val="center"/>
          </w:tcPr>
          <w:p w14:paraId="3DFBCE0F">
            <w:pPr>
              <w:contextualSpacing/>
              <w:jc w:val="center"/>
              <w:rPr>
                <w:rFonts w:hint="eastAsia" w:eastAsia="宋体"/>
                <w:color w:val="auto"/>
                <w:szCs w:val="21"/>
                <w:highlight w:val="none"/>
                <w:lang w:eastAsia="zh-CN"/>
              </w:rPr>
            </w:pPr>
            <w:r>
              <w:rPr>
                <w:rFonts w:hint="eastAsia"/>
                <w:color w:val="auto"/>
                <w:szCs w:val="21"/>
                <w:highlight w:val="none"/>
                <w:lang w:eastAsia="zh-CN"/>
              </w:rPr>
              <w:t>泉北屯</w:t>
            </w:r>
          </w:p>
        </w:tc>
        <w:tc>
          <w:tcPr>
            <w:tcW w:w="398" w:type="pct"/>
            <w:vAlign w:val="center"/>
          </w:tcPr>
          <w:p w14:paraId="20833832">
            <w:pPr>
              <w:contextualSpacing/>
              <w:jc w:val="center"/>
              <w:rPr>
                <w:rFonts w:hint="eastAsia" w:eastAsia="宋体"/>
                <w:color w:val="auto"/>
                <w:szCs w:val="21"/>
                <w:highlight w:val="none"/>
                <w:lang w:eastAsia="zh-CN"/>
              </w:rPr>
            </w:pPr>
            <w:r>
              <w:rPr>
                <w:rFonts w:hint="eastAsia"/>
                <w:color w:val="auto"/>
                <w:szCs w:val="21"/>
                <w:highlight w:val="none"/>
                <w:lang w:eastAsia="zh-CN"/>
              </w:rPr>
              <w:t>西</w:t>
            </w:r>
          </w:p>
        </w:tc>
        <w:tc>
          <w:tcPr>
            <w:tcW w:w="482" w:type="pct"/>
            <w:vAlign w:val="center"/>
          </w:tcPr>
          <w:p w14:paraId="0A501F73">
            <w:pPr>
              <w:contextualSpacing/>
              <w:jc w:val="center"/>
              <w:rPr>
                <w:rFonts w:hint="default" w:eastAsia="宋体"/>
                <w:color w:val="auto"/>
                <w:szCs w:val="21"/>
                <w:highlight w:val="none"/>
                <w:lang w:val="en-US" w:eastAsia="zh-CN"/>
              </w:rPr>
            </w:pPr>
            <w:r>
              <w:rPr>
                <w:rFonts w:hint="eastAsia"/>
                <w:color w:val="auto"/>
                <w:szCs w:val="21"/>
                <w:highlight w:val="none"/>
                <w:lang w:val="en-US" w:eastAsia="zh-CN"/>
              </w:rPr>
              <w:t>20</w:t>
            </w:r>
          </w:p>
        </w:tc>
        <w:tc>
          <w:tcPr>
            <w:tcW w:w="869" w:type="pct"/>
            <w:vMerge w:val="restart"/>
            <w:vAlign w:val="center"/>
          </w:tcPr>
          <w:p w14:paraId="7B3C0C7D">
            <w:pPr>
              <w:contextualSpacing/>
              <w:jc w:val="center"/>
              <w:rPr>
                <w:color w:val="auto"/>
                <w:szCs w:val="21"/>
                <w:highlight w:val="none"/>
              </w:rPr>
            </w:pPr>
            <w:r>
              <w:rPr>
                <w:color w:val="auto"/>
                <w:szCs w:val="21"/>
                <w:highlight w:val="none"/>
              </w:rPr>
              <w:t>农村地区中人群较集中的区域</w:t>
            </w:r>
          </w:p>
        </w:tc>
        <w:tc>
          <w:tcPr>
            <w:tcW w:w="1818" w:type="pct"/>
            <w:vMerge w:val="restart"/>
            <w:vAlign w:val="center"/>
          </w:tcPr>
          <w:p w14:paraId="003FA7FC">
            <w:pPr>
              <w:contextualSpacing/>
              <w:rPr>
                <w:color w:val="auto"/>
                <w:szCs w:val="21"/>
                <w:highlight w:val="none"/>
              </w:rPr>
            </w:pPr>
            <w:r>
              <w:rPr>
                <w:color w:val="auto"/>
                <w:szCs w:val="21"/>
                <w:highlight w:val="none"/>
              </w:rPr>
              <w:t>《声环境质量标准》（GB3096-2008）表1中1类标准</w:t>
            </w:r>
            <w:r>
              <w:rPr>
                <w:rFonts w:hint="eastAsia"/>
                <w:color w:val="auto"/>
                <w:szCs w:val="21"/>
                <w:highlight w:val="none"/>
              </w:rPr>
              <w:t>、《环境空气质量标准》（GB3095-2012）及修改单二级标准</w:t>
            </w:r>
          </w:p>
        </w:tc>
      </w:tr>
      <w:tr w14:paraId="1256BC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604CC4D6">
            <w:pPr>
              <w:contextualSpacing/>
              <w:jc w:val="center"/>
              <w:rPr>
                <w:color w:val="auto"/>
                <w:szCs w:val="21"/>
                <w:highlight w:val="none"/>
              </w:rPr>
            </w:pPr>
          </w:p>
        </w:tc>
        <w:tc>
          <w:tcPr>
            <w:tcW w:w="889" w:type="pct"/>
            <w:vAlign w:val="center"/>
          </w:tcPr>
          <w:p w14:paraId="5D4226E6">
            <w:pPr>
              <w:contextualSpacing/>
              <w:jc w:val="center"/>
              <w:rPr>
                <w:color w:val="auto"/>
                <w:szCs w:val="21"/>
                <w:highlight w:val="none"/>
              </w:rPr>
            </w:pPr>
            <w:r>
              <w:rPr>
                <w:rFonts w:hint="eastAsia"/>
                <w:color w:val="auto"/>
                <w:szCs w:val="21"/>
                <w:highlight w:val="none"/>
                <w:lang w:eastAsia="zh-CN"/>
              </w:rPr>
              <w:t>泉西屯</w:t>
            </w:r>
          </w:p>
        </w:tc>
        <w:tc>
          <w:tcPr>
            <w:tcW w:w="398" w:type="pct"/>
            <w:vAlign w:val="center"/>
          </w:tcPr>
          <w:p w14:paraId="0B059128">
            <w:pPr>
              <w:contextualSpacing/>
              <w:jc w:val="center"/>
              <w:rPr>
                <w:rFonts w:hint="default" w:eastAsia="宋体"/>
                <w:color w:val="auto"/>
                <w:szCs w:val="21"/>
                <w:highlight w:val="none"/>
                <w:lang w:val="en-US" w:eastAsia="zh-CN"/>
              </w:rPr>
            </w:pPr>
            <w:r>
              <w:rPr>
                <w:rFonts w:hint="eastAsia"/>
                <w:color w:val="auto"/>
                <w:szCs w:val="21"/>
                <w:highlight w:val="none"/>
                <w:lang w:val="en-US" w:eastAsia="zh-CN"/>
              </w:rPr>
              <w:t>两侧</w:t>
            </w:r>
          </w:p>
        </w:tc>
        <w:tc>
          <w:tcPr>
            <w:tcW w:w="482" w:type="pct"/>
            <w:vAlign w:val="center"/>
          </w:tcPr>
          <w:p w14:paraId="080FF8CA">
            <w:pPr>
              <w:contextualSpacing/>
              <w:jc w:val="center"/>
              <w:rPr>
                <w:rFonts w:hint="eastAsia" w:eastAsia="宋体"/>
                <w:color w:val="auto"/>
                <w:szCs w:val="21"/>
                <w:highlight w:val="none"/>
                <w:lang w:eastAsia="zh-CN"/>
              </w:rPr>
            </w:pPr>
            <w:r>
              <w:rPr>
                <w:rFonts w:hint="eastAsia"/>
                <w:color w:val="auto"/>
                <w:szCs w:val="21"/>
                <w:highlight w:val="none"/>
                <w:lang w:val="en-US" w:eastAsia="zh-CN"/>
              </w:rPr>
              <w:t>5</w:t>
            </w:r>
          </w:p>
        </w:tc>
        <w:tc>
          <w:tcPr>
            <w:tcW w:w="869" w:type="pct"/>
            <w:vMerge w:val="continue"/>
            <w:vAlign w:val="center"/>
          </w:tcPr>
          <w:p w14:paraId="76A6C28C">
            <w:pPr>
              <w:contextualSpacing/>
              <w:jc w:val="center"/>
              <w:rPr>
                <w:color w:val="auto"/>
                <w:szCs w:val="21"/>
                <w:highlight w:val="none"/>
              </w:rPr>
            </w:pPr>
          </w:p>
        </w:tc>
        <w:tc>
          <w:tcPr>
            <w:tcW w:w="1818" w:type="pct"/>
            <w:vMerge w:val="continue"/>
            <w:vAlign w:val="center"/>
          </w:tcPr>
          <w:p w14:paraId="2E4F732E">
            <w:pPr>
              <w:contextualSpacing/>
              <w:rPr>
                <w:color w:val="auto"/>
                <w:szCs w:val="21"/>
                <w:highlight w:val="none"/>
              </w:rPr>
            </w:pPr>
          </w:p>
        </w:tc>
      </w:tr>
      <w:tr w14:paraId="1DD257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68115913">
            <w:pPr>
              <w:contextualSpacing/>
              <w:jc w:val="center"/>
              <w:rPr>
                <w:color w:val="auto"/>
                <w:szCs w:val="21"/>
                <w:highlight w:val="none"/>
              </w:rPr>
            </w:pPr>
          </w:p>
        </w:tc>
        <w:tc>
          <w:tcPr>
            <w:tcW w:w="889" w:type="pct"/>
            <w:vAlign w:val="center"/>
          </w:tcPr>
          <w:p w14:paraId="1B354648">
            <w:pPr>
              <w:contextualSpacing/>
              <w:jc w:val="center"/>
              <w:rPr>
                <w:rFonts w:hint="eastAsia" w:eastAsia="宋体"/>
                <w:color w:val="auto"/>
                <w:szCs w:val="21"/>
                <w:highlight w:val="none"/>
                <w:lang w:eastAsia="zh-CN"/>
              </w:rPr>
            </w:pPr>
            <w:r>
              <w:rPr>
                <w:rFonts w:hint="eastAsia"/>
                <w:color w:val="auto"/>
                <w:szCs w:val="21"/>
                <w:highlight w:val="none"/>
                <w:lang w:eastAsia="zh-CN"/>
              </w:rPr>
              <w:t>新泉村</w:t>
            </w:r>
          </w:p>
        </w:tc>
        <w:tc>
          <w:tcPr>
            <w:tcW w:w="398" w:type="pct"/>
            <w:vAlign w:val="center"/>
          </w:tcPr>
          <w:p w14:paraId="6C052BE2">
            <w:pPr>
              <w:contextualSpacing/>
              <w:jc w:val="center"/>
              <w:rPr>
                <w:rFonts w:hint="eastAsia" w:eastAsia="宋体"/>
                <w:color w:val="auto"/>
                <w:szCs w:val="21"/>
                <w:highlight w:val="none"/>
                <w:lang w:eastAsia="zh-CN"/>
              </w:rPr>
            </w:pPr>
            <w:r>
              <w:rPr>
                <w:rFonts w:hint="eastAsia"/>
                <w:color w:val="auto"/>
                <w:szCs w:val="21"/>
                <w:highlight w:val="none"/>
                <w:lang w:eastAsia="zh-CN"/>
              </w:rPr>
              <w:t>东</w:t>
            </w:r>
          </w:p>
        </w:tc>
        <w:tc>
          <w:tcPr>
            <w:tcW w:w="482" w:type="pct"/>
            <w:vAlign w:val="center"/>
          </w:tcPr>
          <w:p w14:paraId="02D9B602">
            <w:pPr>
              <w:contextualSpacing/>
              <w:jc w:val="center"/>
              <w:rPr>
                <w:rFonts w:hint="eastAsia" w:eastAsia="宋体"/>
                <w:color w:val="auto"/>
                <w:szCs w:val="21"/>
                <w:highlight w:val="none"/>
                <w:lang w:eastAsia="zh-CN"/>
              </w:rPr>
            </w:pPr>
            <w:r>
              <w:rPr>
                <w:rFonts w:hint="eastAsia"/>
                <w:color w:val="auto"/>
                <w:szCs w:val="21"/>
                <w:highlight w:val="none"/>
                <w:lang w:val="en-US" w:eastAsia="zh-CN"/>
              </w:rPr>
              <w:t>5</w:t>
            </w:r>
          </w:p>
        </w:tc>
        <w:tc>
          <w:tcPr>
            <w:tcW w:w="869" w:type="pct"/>
            <w:vMerge w:val="continue"/>
            <w:vAlign w:val="center"/>
          </w:tcPr>
          <w:p w14:paraId="6264A4B5">
            <w:pPr>
              <w:contextualSpacing/>
              <w:jc w:val="center"/>
              <w:rPr>
                <w:color w:val="auto"/>
                <w:szCs w:val="21"/>
                <w:highlight w:val="none"/>
              </w:rPr>
            </w:pPr>
          </w:p>
        </w:tc>
        <w:tc>
          <w:tcPr>
            <w:tcW w:w="1818" w:type="pct"/>
            <w:vMerge w:val="continue"/>
            <w:vAlign w:val="center"/>
          </w:tcPr>
          <w:p w14:paraId="28605F37">
            <w:pPr>
              <w:contextualSpacing/>
              <w:rPr>
                <w:color w:val="auto"/>
                <w:szCs w:val="21"/>
                <w:highlight w:val="none"/>
              </w:rPr>
            </w:pPr>
          </w:p>
        </w:tc>
      </w:tr>
      <w:tr w14:paraId="52164C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0FE648A2">
            <w:pPr>
              <w:contextualSpacing/>
              <w:jc w:val="center"/>
              <w:rPr>
                <w:color w:val="auto"/>
                <w:szCs w:val="21"/>
                <w:highlight w:val="none"/>
              </w:rPr>
            </w:pPr>
          </w:p>
        </w:tc>
        <w:tc>
          <w:tcPr>
            <w:tcW w:w="889" w:type="pct"/>
            <w:shd w:val="clear" w:color="auto" w:fill="auto"/>
            <w:vAlign w:val="center"/>
          </w:tcPr>
          <w:p w14:paraId="24FC0DF5">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东海村</w:t>
            </w:r>
          </w:p>
        </w:tc>
        <w:tc>
          <w:tcPr>
            <w:tcW w:w="398" w:type="pct"/>
            <w:shd w:val="clear" w:color="auto" w:fill="auto"/>
            <w:vAlign w:val="center"/>
          </w:tcPr>
          <w:p w14:paraId="0221F74C">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南</w:t>
            </w:r>
          </w:p>
        </w:tc>
        <w:tc>
          <w:tcPr>
            <w:tcW w:w="482" w:type="pct"/>
            <w:shd w:val="clear" w:color="auto" w:fill="auto"/>
            <w:vAlign w:val="center"/>
          </w:tcPr>
          <w:p w14:paraId="2697E719">
            <w:pPr>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15</w:t>
            </w:r>
          </w:p>
        </w:tc>
        <w:tc>
          <w:tcPr>
            <w:tcW w:w="869" w:type="pct"/>
            <w:vMerge w:val="continue"/>
            <w:vAlign w:val="center"/>
          </w:tcPr>
          <w:p w14:paraId="4FD3C893">
            <w:pPr>
              <w:contextualSpacing/>
              <w:jc w:val="center"/>
              <w:rPr>
                <w:color w:val="auto"/>
                <w:szCs w:val="21"/>
                <w:highlight w:val="none"/>
              </w:rPr>
            </w:pPr>
          </w:p>
        </w:tc>
        <w:tc>
          <w:tcPr>
            <w:tcW w:w="1818" w:type="pct"/>
            <w:vMerge w:val="restart"/>
            <w:vAlign w:val="center"/>
          </w:tcPr>
          <w:p w14:paraId="6D7989D9">
            <w:pPr>
              <w:contextualSpacing/>
              <w:rPr>
                <w:color w:val="auto"/>
                <w:szCs w:val="21"/>
                <w:highlight w:val="none"/>
              </w:rPr>
            </w:pPr>
            <w:r>
              <w:rPr>
                <w:color w:val="auto"/>
                <w:szCs w:val="21"/>
                <w:highlight w:val="none"/>
              </w:rPr>
              <w:t>《声环境质量标准》（GB3096-2008）表1中2类标准</w:t>
            </w:r>
            <w:r>
              <w:rPr>
                <w:rFonts w:hint="eastAsia"/>
                <w:color w:val="auto"/>
                <w:szCs w:val="21"/>
                <w:highlight w:val="none"/>
              </w:rPr>
              <w:t>、《环境空气质量标准》（GB3095-2012）及修改单二级标准</w:t>
            </w:r>
          </w:p>
        </w:tc>
      </w:tr>
      <w:tr w14:paraId="1B445A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2" w:hRule="atLeast"/>
        </w:trPr>
        <w:tc>
          <w:tcPr>
            <w:tcW w:w="542" w:type="pct"/>
            <w:vMerge w:val="continue"/>
            <w:vAlign w:val="center"/>
          </w:tcPr>
          <w:p w14:paraId="1AF99103">
            <w:pPr>
              <w:contextualSpacing/>
              <w:jc w:val="center"/>
              <w:rPr>
                <w:color w:val="auto"/>
                <w:szCs w:val="21"/>
                <w:highlight w:val="none"/>
              </w:rPr>
            </w:pPr>
          </w:p>
        </w:tc>
        <w:tc>
          <w:tcPr>
            <w:tcW w:w="889" w:type="pct"/>
            <w:shd w:val="clear" w:color="auto" w:fill="auto"/>
            <w:vAlign w:val="center"/>
          </w:tcPr>
          <w:p w14:paraId="7012CE0F">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永远村</w:t>
            </w:r>
          </w:p>
        </w:tc>
        <w:tc>
          <w:tcPr>
            <w:tcW w:w="398" w:type="pct"/>
            <w:shd w:val="clear" w:color="auto" w:fill="auto"/>
            <w:vAlign w:val="center"/>
          </w:tcPr>
          <w:p w14:paraId="2121CDBD">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北</w:t>
            </w:r>
          </w:p>
        </w:tc>
        <w:tc>
          <w:tcPr>
            <w:tcW w:w="482" w:type="pct"/>
            <w:shd w:val="clear" w:color="auto" w:fill="auto"/>
            <w:vAlign w:val="center"/>
          </w:tcPr>
          <w:p w14:paraId="299680A6">
            <w:pPr>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w:t>
            </w:r>
          </w:p>
        </w:tc>
        <w:tc>
          <w:tcPr>
            <w:tcW w:w="869" w:type="pct"/>
            <w:vMerge w:val="continue"/>
            <w:vAlign w:val="center"/>
          </w:tcPr>
          <w:p w14:paraId="5C1BA59C">
            <w:pPr>
              <w:contextualSpacing/>
              <w:jc w:val="center"/>
              <w:rPr>
                <w:color w:val="auto"/>
                <w:szCs w:val="21"/>
                <w:highlight w:val="none"/>
              </w:rPr>
            </w:pPr>
          </w:p>
        </w:tc>
        <w:tc>
          <w:tcPr>
            <w:tcW w:w="1818" w:type="pct"/>
            <w:vMerge w:val="continue"/>
            <w:vAlign w:val="center"/>
          </w:tcPr>
          <w:p w14:paraId="298D9DD9">
            <w:pPr>
              <w:contextualSpacing/>
              <w:rPr>
                <w:color w:val="auto"/>
                <w:szCs w:val="21"/>
                <w:highlight w:val="none"/>
              </w:rPr>
            </w:pPr>
          </w:p>
        </w:tc>
      </w:tr>
      <w:tr w14:paraId="330D2F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024C793C">
            <w:pPr>
              <w:contextualSpacing/>
              <w:jc w:val="center"/>
              <w:rPr>
                <w:color w:val="auto"/>
                <w:szCs w:val="21"/>
                <w:highlight w:val="none"/>
              </w:rPr>
            </w:pPr>
          </w:p>
        </w:tc>
        <w:tc>
          <w:tcPr>
            <w:tcW w:w="889" w:type="pct"/>
            <w:shd w:val="clear" w:color="auto" w:fill="auto"/>
            <w:vAlign w:val="center"/>
          </w:tcPr>
          <w:p w14:paraId="25B2AD2B">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永家屯</w:t>
            </w:r>
          </w:p>
        </w:tc>
        <w:tc>
          <w:tcPr>
            <w:tcW w:w="398" w:type="pct"/>
            <w:shd w:val="clear" w:color="auto" w:fill="auto"/>
            <w:vAlign w:val="center"/>
          </w:tcPr>
          <w:p w14:paraId="17F290CC">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北</w:t>
            </w:r>
          </w:p>
        </w:tc>
        <w:tc>
          <w:tcPr>
            <w:tcW w:w="482" w:type="pct"/>
            <w:shd w:val="clear" w:color="auto" w:fill="auto"/>
            <w:vAlign w:val="center"/>
          </w:tcPr>
          <w:p w14:paraId="2D6414C9">
            <w:pPr>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5</w:t>
            </w:r>
          </w:p>
        </w:tc>
        <w:tc>
          <w:tcPr>
            <w:tcW w:w="869" w:type="pct"/>
            <w:vMerge w:val="continue"/>
            <w:vAlign w:val="center"/>
          </w:tcPr>
          <w:p w14:paraId="346DD53E">
            <w:pPr>
              <w:contextualSpacing/>
              <w:jc w:val="center"/>
              <w:rPr>
                <w:color w:val="auto"/>
                <w:szCs w:val="21"/>
                <w:highlight w:val="none"/>
              </w:rPr>
            </w:pPr>
          </w:p>
        </w:tc>
        <w:tc>
          <w:tcPr>
            <w:tcW w:w="1818" w:type="pct"/>
            <w:vMerge w:val="continue"/>
            <w:vAlign w:val="center"/>
          </w:tcPr>
          <w:p w14:paraId="6D6DB2A7">
            <w:pPr>
              <w:contextualSpacing/>
              <w:rPr>
                <w:color w:val="auto"/>
                <w:szCs w:val="21"/>
                <w:highlight w:val="none"/>
              </w:rPr>
            </w:pPr>
          </w:p>
        </w:tc>
      </w:tr>
      <w:tr w14:paraId="4CBD58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7682103A">
            <w:pPr>
              <w:contextualSpacing/>
              <w:jc w:val="center"/>
              <w:rPr>
                <w:color w:val="auto"/>
                <w:szCs w:val="21"/>
                <w:highlight w:val="none"/>
              </w:rPr>
            </w:pPr>
          </w:p>
        </w:tc>
        <w:tc>
          <w:tcPr>
            <w:tcW w:w="889" w:type="pct"/>
            <w:shd w:val="clear" w:color="auto" w:fill="auto"/>
            <w:vAlign w:val="center"/>
          </w:tcPr>
          <w:p w14:paraId="488FCE69">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永中屯</w:t>
            </w:r>
          </w:p>
        </w:tc>
        <w:tc>
          <w:tcPr>
            <w:tcW w:w="398" w:type="pct"/>
            <w:shd w:val="clear" w:color="auto" w:fill="auto"/>
            <w:vAlign w:val="center"/>
          </w:tcPr>
          <w:p w14:paraId="1A48B681">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南</w:t>
            </w:r>
          </w:p>
        </w:tc>
        <w:tc>
          <w:tcPr>
            <w:tcW w:w="482" w:type="pct"/>
            <w:shd w:val="clear" w:color="auto" w:fill="auto"/>
            <w:vAlign w:val="center"/>
          </w:tcPr>
          <w:p w14:paraId="3EAF01F4">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40</w:t>
            </w:r>
          </w:p>
        </w:tc>
        <w:tc>
          <w:tcPr>
            <w:tcW w:w="869" w:type="pct"/>
            <w:vMerge w:val="continue"/>
            <w:vAlign w:val="center"/>
          </w:tcPr>
          <w:p w14:paraId="2755880C">
            <w:pPr>
              <w:contextualSpacing/>
              <w:jc w:val="center"/>
              <w:rPr>
                <w:color w:val="auto"/>
                <w:szCs w:val="21"/>
                <w:highlight w:val="none"/>
              </w:rPr>
            </w:pPr>
          </w:p>
        </w:tc>
        <w:tc>
          <w:tcPr>
            <w:tcW w:w="1818" w:type="pct"/>
            <w:vMerge w:val="continue"/>
            <w:vAlign w:val="center"/>
          </w:tcPr>
          <w:p w14:paraId="12225480">
            <w:pPr>
              <w:contextualSpacing/>
              <w:rPr>
                <w:color w:val="auto"/>
                <w:szCs w:val="21"/>
                <w:highlight w:val="none"/>
              </w:rPr>
            </w:pPr>
          </w:p>
        </w:tc>
      </w:tr>
      <w:tr w14:paraId="4F4624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44ED0409">
            <w:pPr>
              <w:contextualSpacing/>
              <w:jc w:val="center"/>
              <w:rPr>
                <w:color w:val="auto"/>
                <w:szCs w:val="21"/>
                <w:highlight w:val="none"/>
              </w:rPr>
            </w:pPr>
          </w:p>
        </w:tc>
        <w:tc>
          <w:tcPr>
            <w:tcW w:w="889" w:type="pct"/>
            <w:shd w:val="clear" w:color="auto" w:fill="auto"/>
            <w:vAlign w:val="center"/>
          </w:tcPr>
          <w:p w14:paraId="7E41E4AF">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永胜屯</w:t>
            </w:r>
          </w:p>
        </w:tc>
        <w:tc>
          <w:tcPr>
            <w:tcW w:w="398" w:type="pct"/>
            <w:shd w:val="clear" w:color="auto" w:fill="auto"/>
            <w:vAlign w:val="center"/>
          </w:tcPr>
          <w:p w14:paraId="48CA1EBE">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北</w:t>
            </w:r>
          </w:p>
        </w:tc>
        <w:tc>
          <w:tcPr>
            <w:tcW w:w="482" w:type="pct"/>
            <w:shd w:val="clear" w:color="auto" w:fill="auto"/>
            <w:vAlign w:val="center"/>
          </w:tcPr>
          <w:p w14:paraId="6618B42F">
            <w:pPr>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40</w:t>
            </w:r>
          </w:p>
        </w:tc>
        <w:tc>
          <w:tcPr>
            <w:tcW w:w="869" w:type="pct"/>
            <w:vMerge w:val="continue"/>
            <w:vAlign w:val="center"/>
          </w:tcPr>
          <w:p w14:paraId="7D7B0E65">
            <w:pPr>
              <w:contextualSpacing/>
              <w:jc w:val="center"/>
              <w:rPr>
                <w:color w:val="auto"/>
                <w:szCs w:val="21"/>
                <w:highlight w:val="none"/>
              </w:rPr>
            </w:pPr>
          </w:p>
        </w:tc>
        <w:tc>
          <w:tcPr>
            <w:tcW w:w="1818" w:type="pct"/>
            <w:vMerge w:val="continue"/>
            <w:vAlign w:val="center"/>
          </w:tcPr>
          <w:p w14:paraId="5CD3F7E0">
            <w:pPr>
              <w:contextualSpacing/>
              <w:rPr>
                <w:color w:val="auto"/>
                <w:szCs w:val="21"/>
                <w:highlight w:val="none"/>
              </w:rPr>
            </w:pPr>
          </w:p>
        </w:tc>
      </w:tr>
      <w:tr w14:paraId="09D561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7C742095">
            <w:pPr>
              <w:contextualSpacing/>
              <w:jc w:val="center"/>
              <w:rPr>
                <w:color w:val="auto"/>
                <w:szCs w:val="21"/>
                <w:highlight w:val="none"/>
              </w:rPr>
            </w:pPr>
          </w:p>
        </w:tc>
        <w:tc>
          <w:tcPr>
            <w:tcW w:w="889" w:type="pct"/>
            <w:shd w:val="clear" w:color="auto" w:fill="auto"/>
            <w:vAlign w:val="center"/>
          </w:tcPr>
          <w:p w14:paraId="24E822EA">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太阳村</w:t>
            </w:r>
          </w:p>
        </w:tc>
        <w:tc>
          <w:tcPr>
            <w:tcW w:w="398" w:type="pct"/>
            <w:shd w:val="clear" w:color="auto" w:fill="auto"/>
            <w:vAlign w:val="center"/>
          </w:tcPr>
          <w:p w14:paraId="723FB8A5">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N</w:t>
            </w:r>
          </w:p>
        </w:tc>
        <w:tc>
          <w:tcPr>
            <w:tcW w:w="482" w:type="pct"/>
            <w:shd w:val="clear" w:color="auto" w:fill="auto"/>
            <w:vAlign w:val="center"/>
          </w:tcPr>
          <w:p w14:paraId="5313214E">
            <w:pPr>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6</w:t>
            </w:r>
          </w:p>
        </w:tc>
        <w:tc>
          <w:tcPr>
            <w:tcW w:w="869" w:type="pct"/>
            <w:vMerge w:val="continue"/>
            <w:vAlign w:val="center"/>
          </w:tcPr>
          <w:p w14:paraId="3A6AC45B">
            <w:pPr>
              <w:contextualSpacing/>
              <w:jc w:val="center"/>
              <w:rPr>
                <w:color w:val="auto"/>
                <w:szCs w:val="21"/>
                <w:highlight w:val="none"/>
              </w:rPr>
            </w:pPr>
          </w:p>
        </w:tc>
        <w:tc>
          <w:tcPr>
            <w:tcW w:w="1818" w:type="pct"/>
            <w:vMerge w:val="continue"/>
            <w:vAlign w:val="center"/>
          </w:tcPr>
          <w:p w14:paraId="43AD8EFB">
            <w:pPr>
              <w:contextualSpacing/>
              <w:rPr>
                <w:color w:val="auto"/>
                <w:szCs w:val="21"/>
                <w:highlight w:val="none"/>
              </w:rPr>
            </w:pPr>
          </w:p>
        </w:tc>
      </w:tr>
      <w:tr w14:paraId="15FDE3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25" w:hRule="atLeast"/>
        </w:trPr>
        <w:tc>
          <w:tcPr>
            <w:tcW w:w="542" w:type="pct"/>
            <w:vMerge w:val="continue"/>
            <w:vAlign w:val="center"/>
          </w:tcPr>
          <w:p w14:paraId="12FF5BA7">
            <w:pPr>
              <w:contextualSpacing/>
              <w:jc w:val="center"/>
              <w:rPr>
                <w:color w:val="auto"/>
                <w:szCs w:val="21"/>
                <w:highlight w:val="none"/>
              </w:rPr>
            </w:pPr>
          </w:p>
        </w:tc>
        <w:tc>
          <w:tcPr>
            <w:tcW w:w="889" w:type="pct"/>
            <w:shd w:val="clear" w:color="auto" w:fill="auto"/>
            <w:vAlign w:val="center"/>
          </w:tcPr>
          <w:p w14:paraId="130F9B24">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八五一〇农场</w:t>
            </w:r>
          </w:p>
        </w:tc>
        <w:tc>
          <w:tcPr>
            <w:tcW w:w="398" w:type="pct"/>
            <w:shd w:val="clear" w:color="auto" w:fill="auto"/>
            <w:vAlign w:val="center"/>
          </w:tcPr>
          <w:p w14:paraId="3C33DAC9">
            <w:pPr>
              <w:contextualSpacing/>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两侧</w:t>
            </w:r>
          </w:p>
        </w:tc>
        <w:tc>
          <w:tcPr>
            <w:tcW w:w="482" w:type="pct"/>
            <w:shd w:val="clear" w:color="auto" w:fill="auto"/>
            <w:vAlign w:val="center"/>
          </w:tcPr>
          <w:p w14:paraId="78792CDD">
            <w:pPr>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val="en-US" w:eastAsia="zh-CN"/>
              </w:rPr>
              <w:t>10</w:t>
            </w:r>
          </w:p>
        </w:tc>
        <w:tc>
          <w:tcPr>
            <w:tcW w:w="869" w:type="pct"/>
            <w:vAlign w:val="center"/>
          </w:tcPr>
          <w:p w14:paraId="18FE42D8">
            <w:pPr>
              <w:contextualSpacing/>
              <w:jc w:val="center"/>
              <w:rPr>
                <w:rFonts w:hint="eastAsia" w:eastAsia="宋体"/>
                <w:color w:val="auto"/>
                <w:szCs w:val="21"/>
                <w:highlight w:val="none"/>
                <w:lang w:eastAsia="zh-CN"/>
              </w:rPr>
            </w:pPr>
            <w:r>
              <w:rPr>
                <w:rFonts w:hint="eastAsia"/>
                <w:color w:val="auto"/>
                <w:szCs w:val="21"/>
                <w:highlight w:val="none"/>
                <w:lang w:eastAsia="zh-CN"/>
              </w:rPr>
              <w:t>居住区</w:t>
            </w:r>
          </w:p>
        </w:tc>
        <w:tc>
          <w:tcPr>
            <w:tcW w:w="1818" w:type="pct"/>
            <w:vMerge w:val="continue"/>
            <w:vAlign w:val="center"/>
          </w:tcPr>
          <w:p w14:paraId="03685C83">
            <w:pPr>
              <w:contextualSpacing/>
              <w:rPr>
                <w:color w:val="auto"/>
                <w:szCs w:val="21"/>
                <w:highlight w:val="none"/>
              </w:rPr>
            </w:pPr>
          </w:p>
        </w:tc>
      </w:tr>
    </w:tbl>
    <w:p w14:paraId="0F28F893">
      <w:pPr>
        <w:widowControl/>
        <w:adjustRightInd w:val="0"/>
        <w:snapToGrid w:val="0"/>
        <w:spacing w:line="360" w:lineRule="auto"/>
        <w:jc w:val="left"/>
        <w:rPr>
          <w:color w:val="auto"/>
          <w:kern w:val="0"/>
          <w:sz w:val="32"/>
          <w:szCs w:val="32"/>
        </w:rPr>
        <w:sectPr>
          <w:pgSz w:w="11906" w:h="16838"/>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195E3C2C">
      <w:pPr>
        <w:pStyle w:val="759"/>
        <w:rPr>
          <w:color w:val="auto"/>
        </w:rPr>
      </w:pPr>
      <w:bookmarkStart w:id="73" w:name="_Toc119316795"/>
      <w:bookmarkStart w:id="74" w:name="_Toc149054199"/>
      <w:r>
        <w:rPr>
          <w:color w:val="auto"/>
        </w:rPr>
        <w:t>3建设项目工程分析</w:t>
      </w:r>
      <w:bookmarkEnd w:id="73"/>
      <w:bookmarkEnd w:id="74"/>
      <w:r>
        <w:rPr>
          <w:color w:val="auto"/>
        </w:rPr>
        <w:t xml:space="preserve"> </w:t>
      </w:r>
    </w:p>
    <w:p w14:paraId="3EBEFD83">
      <w:pPr>
        <w:pStyle w:val="548"/>
        <w:rPr>
          <w:color w:val="auto"/>
        </w:rPr>
      </w:pPr>
      <w:bookmarkStart w:id="75" w:name="_Toc119316796"/>
      <w:bookmarkStart w:id="76" w:name="_Toc149054200"/>
      <w:r>
        <w:rPr>
          <w:color w:val="auto"/>
        </w:rPr>
        <w:t>3.1项目概况</w:t>
      </w:r>
      <w:bookmarkEnd w:id="75"/>
      <w:bookmarkEnd w:id="76"/>
    </w:p>
    <w:p w14:paraId="3BAD71AD">
      <w:pPr>
        <w:pStyle w:val="137"/>
        <w:rPr>
          <w:color w:val="auto"/>
        </w:rPr>
      </w:pPr>
      <w:bookmarkStart w:id="77" w:name="_Toc118086779"/>
      <w:bookmarkStart w:id="78" w:name="_Toc182022280"/>
      <w:bookmarkStart w:id="79" w:name="_Toc113078920"/>
      <w:bookmarkStart w:id="80" w:name="_Toc112420350"/>
      <w:bookmarkStart w:id="81" w:name="_Toc11758487"/>
      <w:r>
        <w:rPr>
          <w:color w:val="auto"/>
        </w:rPr>
        <w:t>3.1.1</w:t>
      </w:r>
      <w:bookmarkEnd w:id="77"/>
      <w:bookmarkEnd w:id="78"/>
      <w:bookmarkEnd w:id="79"/>
      <w:bookmarkEnd w:id="80"/>
      <w:r>
        <w:rPr>
          <w:color w:val="auto"/>
        </w:rPr>
        <w:t>项目名称及基本组成</w:t>
      </w:r>
      <w:bookmarkEnd w:id="81"/>
    </w:p>
    <w:p w14:paraId="475D7794">
      <w:pPr>
        <w:pStyle w:val="59"/>
        <w:ind w:firstLine="480"/>
        <w:rPr>
          <w:rFonts w:hint="eastAsia" w:eastAsia="宋体"/>
          <w:color w:val="auto"/>
          <w:lang w:eastAsia="zh-CN"/>
        </w:rPr>
      </w:pPr>
      <w:r>
        <w:rPr>
          <w:color w:val="auto"/>
        </w:rPr>
        <w:t>项目名称：</w:t>
      </w:r>
      <w:r>
        <w:rPr>
          <w:rFonts w:hint="eastAsia"/>
          <w:color w:val="auto"/>
          <w:lang w:eastAsia="zh-CN"/>
        </w:rPr>
        <w:t>鸡东县新泉采石场土地复垦项目</w:t>
      </w:r>
    </w:p>
    <w:p w14:paraId="5559FEC7">
      <w:pPr>
        <w:pStyle w:val="59"/>
        <w:ind w:firstLine="480"/>
        <w:rPr>
          <w:color w:val="auto"/>
        </w:rPr>
      </w:pPr>
      <w:r>
        <w:rPr>
          <w:color w:val="auto"/>
        </w:rPr>
        <w:t>项目建设单位：</w:t>
      </w:r>
      <w:r>
        <w:rPr>
          <w:rFonts w:hint="eastAsia"/>
          <w:color w:val="auto"/>
          <w:lang w:eastAsia="zh-CN"/>
        </w:rPr>
        <w:t>鸡东县新泉采石场</w:t>
      </w:r>
    </w:p>
    <w:p w14:paraId="199FB41D">
      <w:pPr>
        <w:pStyle w:val="59"/>
        <w:ind w:firstLine="480"/>
        <w:rPr>
          <w:color w:val="auto"/>
        </w:rPr>
      </w:pPr>
      <w:r>
        <w:rPr>
          <w:color w:val="auto"/>
        </w:rPr>
        <w:t>项目性质：新建</w:t>
      </w:r>
    </w:p>
    <w:p w14:paraId="4F70D3D0">
      <w:pPr>
        <w:pStyle w:val="59"/>
        <w:ind w:firstLine="480"/>
        <w:rPr>
          <w:rFonts w:cs="Times New Roman"/>
          <w:color w:val="auto"/>
          <w:highlight w:val="none"/>
        </w:rPr>
      </w:pPr>
      <w:r>
        <w:rPr>
          <w:rFonts w:cs="Times New Roman"/>
          <w:color w:val="auto"/>
        </w:rPr>
        <w:t>建设地点：</w:t>
      </w:r>
      <w:r>
        <w:rPr>
          <w:bCs/>
          <w:color w:val="auto"/>
        </w:rPr>
        <w:t>鸡西市</w:t>
      </w:r>
      <w:r>
        <w:rPr>
          <w:rFonts w:cs="Times New Roman"/>
          <w:snapToGrid w:val="0"/>
          <w:color w:val="auto"/>
        </w:rPr>
        <w:t>鸡东县</w:t>
      </w:r>
      <w:r>
        <w:rPr>
          <w:rFonts w:hint="eastAsia" w:cs="Times New Roman"/>
          <w:snapToGrid w:val="0"/>
          <w:color w:val="auto"/>
          <w:lang w:val="en-US" w:eastAsia="zh-CN"/>
        </w:rPr>
        <w:t>东海镇新泉村</w:t>
      </w:r>
      <w:r>
        <w:rPr>
          <w:rFonts w:cs="Times New Roman"/>
          <w:color w:val="auto"/>
        </w:rPr>
        <w:t>（</w:t>
      </w:r>
      <w:r>
        <w:rPr>
          <w:rFonts w:hint="eastAsia" w:cs="Times New Roman"/>
          <w:color w:val="auto"/>
        </w:rPr>
        <w:t>项目</w:t>
      </w:r>
      <w:r>
        <w:rPr>
          <w:rFonts w:cs="Times New Roman"/>
          <w:color w:val="auto"/>
        </w:rPr>
        <w:t>中心坐标：E13</w:t>
      </w:r>
      <w:r>
        <w:rPr>
          <w:rFonts w:hint="eastAsia" w:cs="Times New Roman"/>
          <w:color w:val="auto"/>
        </w:rPr>
        <w:t>1</w:t>
      </w:r>
      <w:r>
        <w:rPr>
          <w:rFonts w:cs="Times New Roman"/>
          <w:color w:val="auto"/>
        </w:rPr>
        <w:t>°</w:t>
      </w:r>
      <w:r>
        <w:rPr>
          <w:rFonts w:hint="eastAsia" w:cs="Times New Roman"/>
          <w:color w:val="auto"/>
          <w:lang w:val="en-US" w:eastAsia="zh-CN"/>
        </w:rPr>
        <w:t>16</w:t>
      </w:r>
      <w:r>
        <w:rPr>
          <w:rFonts w:cs="Times New Roman"/>
          <w:color w:val="auto"/>
        </w:rPr>
        <w:t>′</w:t>
      </w:r>
      <w:r>
        <w:rPr>
          <w:rFonts w:hint="eastAsia" w:cs="Times New Roman"/>
          <w:color w:val="auto"/>
          <w:lang w:val="en-US" w:eastAsia="zh-CN"/>
        </w:rPr>
        <w:t>4</w:t>
      </w:r>
      <w:r>
        <w:rPr>
          <w:rFonts w:hint="eastAsia" w:cs="Times New Roman"/>
          <w:color w:val="auto"/>
        </w:rPr>
        <w:t>.</w:t>
      </w:r>
      <w:r>
        <w:rPr>
          <w:rFonts w:hint="eastAsia" w:cs="Times New Roman"/>
          <w:color w:val="auto"/>
          <w:lang w:val="en-US" w:eastAsia="zh-CN"/>
        </w:rPr>
        <w:t>93</w:t>
      </w:r>
      <w:r>
        <w:rPr>
          <w:rFonts w:cs="Times New Roman"/>
          <w:color w:val="auto"/>
        </w:rPr>
        <w:t>″，</w:t>
      </w:r>
      <w:r>
        <w:rPr>
          <w:rFonts w:cs="Times New Roman"/>
          <w:color w:val="auto"/>
          <w:highlight w:val="none"/>
        </w:rPr>
        <w:t>N45°2</w:t>
      </w:r>
      <w:r>
        <w:rPr>
          <w:rFonts w:hint="eastAsia" w:cs="Times New Roman"/>
          <w:color w:val="auto"/>
          <w:highlight w:val="none"/>
          <w:lang w:val="en-US" w:eastAsia="zh-CN"/>
        </w:rPr>
        <w:t>0</w:t>
      </w:r>
      <w:r>
        <w:rPr>
          <w:rFonts w:cs="Times New Roman"/>
          <w:color w:val="auto"/>
          <w:highlight w:val="none"/>
        </w:rPr>
        <w:t>′</w:t>
      </w:r>
      <w:r>
        <w:rPr>
          <w:rFonts w:hint="eastAsia" w:cs="Times New Roman"/>
          <w:color w:val="auto"/>
          <w:highlight w:val="none"/>
        </w:rPr>
        <w:t>4</w:t>
      </w:r>
      <w:r>
        <w:rPr>
          <w:rFonts w:hint="eastAsia" w:cs="Times New Roman"/>
          <w:color w:val="auto"/>
          <w:highlight w:val="none"/>
          <w:lang w:val="en-US" w:eastAsia="zh-CN"/>
        </w:rPr>
        <w:t>7</w:t>
      </w:r>
      <w:r>
        <w:rPr>
          <w:rFonts w:hint="eastAsia" w:cs="Times New Roman"/>
          <w:color w:val="auto"/>
          <w:highlight w:val="none"/>
        </w:rPr>
        <w:t>.</w:t>
      </w:r>
      <w:r>
        <w:rPr>
          <w:rFonts w:hint="eastAsia" w:cs="Times New Roman"/>
          <w:color w:val="auto"/>
          <w:highlight w:val="none"/>
          <w:lang w:val="en-US" w:eastAsia="zh-CN"/>
        </w:rPr>
        <w:t>14</w:t>
      </w:r>
      <w:r>
        <w:rPr>
          <w:rFonts w:cs="Times New Roman"/>
          <w:color w:val="auto"/>
          <w:highlight w:val="none"/>
        </w:rPr>
        <w:t>″）。</w:t>
      </w:r>
    </w:p>
    <w:p w14:paraId="6FD51072">
      <w:pPr>
        <w:pStyle w:val="59"/>
        <w:ind w:firstLine="480"/>
        <w:rPr>
          <w:rFonts w:hint="eastAsia" w:eastAsia="宋体"/>
          <w:snapToGrid w:val="0"/>
          <w:color w:val="auto"/>
          <w:highlight w:val="none"/>
          <w:lang w:eastAsia="zh-CN"/>
        </w:rPr>
      </w:pPr>
      <w:r>
        <w:rPr>
          <w:snapToGrid w:val="0"/>
          <w:color w:val="auto"/>
          <w:highlight w:val="none"/>
        </w:rPr>
        <w:t>工程投资：</w:t>
      </w:r>
      <w:r>
        <w:rPr>
          <w:rFonts w:hint="eastAsia"/>
          <w:snapToGrid w:val="0"/>
          <w:color w:val="auto"/>
          <w:highlight w:val="none"/>
          <w:lang w:eastAsia="zh-CN"/>
        </w:rPr>
        <w:t>766.81万元</w:t>
      </w:r>
    </w:p>
    <w:p w14:paraId="4332F18E">
      <w:pPr>
        <w:pStyle w:val="59"/>
        <w:ind w:firstLine="480"/>
        <w:rPr>
          <w:rFonts w:hint="eastAsia" w:eastAsia="宋体"/>
          <w:snapToGrid w:val="0"/>
          <w:color w:val="auto"/>
          <w:highlight w:val="none"/>
          <w:lang w:eastAsia="zh-CN"/>
        </w:rPr>
      </w:pPr>
      <w:r>
        <w:rPr>
          <w:snapToGrid w:val="0"/>
          <w:color w:val="auto"/>
          <w:highlight w:val="none"/>
        </w:rPr>
        <w:t>占地面积：</w:t>
      </w:r>
      <w:r>
        <w:rPr>
          <w:rFonts w:hint="eastAsia"/>
          <w:snapToGrid w:val="0"/>
          <w:color w:val="auto"/>
          <w:highlight w:val="none"/>
          <w:lang w:val="en-US" w:eastAsia="zh-CN"/>
        </w:rPr>
        <w:t>78594m</w:t>
      </w:r>
      <w:r>
        <w:rPr>
          <w:rFonts w:hint="eastAsia"/>
          <w:snapToGrid w:val="0"/>
          <w:color w:val="auto"/>
          <w:highlight w:val="none"/>
          <w:vertAlign w:val="superscript"/>
          <w:lang w:val="en-US" w:eastAsia="zh-CN"/>
        </w:rPr>
        <w:t>2</w:t>
      </w:r>
    </w:p>
    <w:p w14:paraId="6E15AA29">
      <w:pPr>
        <w:pStyle w:val="59"/>
        <w:ind w:firstLine="480"/>
        <w:rPr>
          <w:rFonts w:hint="default" w:eastAsia="宋体"/>
          <w:snapToGrid w:val="0"/>
          <w:color w:val="auto"/>
          <w:highlight w:val="none"/>
          <w:lang w:val="en-US" w:eastAsia="zh-CN"/>
        </w:rPr>
      </w:pPr>
      <w:r>
        <w:rPr>
          <w:snapToGrid w:val="0"/>
          <w:color w:val="auto"/>
          <w:highlight w:val="none"/>
        </w:rPr>
        <w:t>占地类型：</w:t>
      </w:r>
      <w:r>
        <w:rPr>
          <w:rFonts w:hint="eastAsia"/>
          <w:bCs/>
          <w:color w:val="auto"/>
          <w:highlight w:val="none"/>
        </w:rPr>
        <w:t>采矿用地</w:t>
      </w:r>
      <w:r>
        <w:rPr>
          <w:rFonts w:hint="eastAsia"/>
          <w:bCs/>
          <w:color w:val="auto"/>
          <w:highlight w:val="none"/>
          <w:lang w:eastAsia="zh-CN"/>
        </w:rPr>
        <w:t>、</w:t>
      </w:r>
      <w:r>
        <w:rPr>
          <w:rFonts w:hint="eastAsia"/>
          <w:bCs/>
          <w:color w:val="auto"/>
          <w:highlight w:val="none"/>
          <w:lang w:val="en-US" w:eastAsia="zh-CN"/>
        </w:rPr>
        <w:t>旱地、乔木林地、农村道路</w:t>
      </w:r>
    </w:p>
    <w:p w14:paraId="345C1211">
      <w:pPr>
        <w:pStyle w:val="59"/>
        <w:ind w:firstLine="480"/>
        <w:rPr>
          <w:snapToGrid w:val="0"/>
          <w:color w:val="auto"/>
          <w:highlight w:val="none"/>
        </w:rPr>
      </w:pPr>
      <w:r>
        <w:rPr>
          <w:snapToGrid w:val="0"/>
          <w:color w:val="auto"/>
          <w:highlight w:val="none"/>
        </w:rPr>
        <w:t>劳动定员及工作制度：</w:t>
      </w:r>
      <w:r>
        <w:rPr>
          <w:rFonts w:hint="eastAsia"/>
          <w:snapToGrid w:val="0"/>
          <w:color w:val="auto"/>
          <w:highlight w:val="none"/>
          <w:lang w:val="en-US" w:eastAsia="zh-CN"/>
        </w:rPr>
        <w:t>15</w:t>
      </w:r>
      <w:r>
        <w:rPr>
          <w:snapToGrid w:val="0"/>
          <w:color w:val="auto"/>
          <w:highlight w:val="none"/>
        </w:rPr>
        <w:t>人，</w:t>
      </w:r>
      <w:r>
        <w:rPr>
          <w:color w:val="auto"/>
          <w:highlight w:val="none"/>
        </w:rPr>
        <w:t>食宿均在</w:t>
      </w:r>
      <w:r>
        <w:rPr>
          <w:rFonts w:hint="eastAsia"/>
          <w:color w:val="auto"/>
          <w:highlight w:val="none"/>
          <w:lang w:val="en-US" w:eastAsia="zh-CN"/>
        </w:rPr>
        <w:t>新泉村五队</w:t>
      </w:r>
      <w:r>
        <w:rPr>
          <w:color w:val="auto"/>
          <w:highlight w:val="none"/>
        </w:rPr>
        <w:t>内</w:t>
      </w:r>
      <w:r>
        <w:rPr>
          <w:bCs/>
          <w:color w:val="auto"/>
          <w:highlight w:val="none"/>
        </w:rPr>
        <w:t>，</w:t>
      </w:r>
      <w:r>
        <w:rPr>
          <w:color w:val="auto"/>
          <w:highlight w:val="none"/>
        </w:rPr>
        <w:t>不设生活区。</w:t>
      </w:r>
      <w:r>
        <w:rPr>
          <w:bCs/>
          <w:color w:val="auto"/>
          <w:highlight w:val="none"/>
        </w:rPr>
        <w:t>回填区</w:t>
      </w:r>
      <w:bookmarkStart w:id="82" w:name="_Hlk148534929"/>
      <w:r>
        <w:rPr>
          <w:bCs/>
          <w:color w:val="auto"/>
          <w:highlight w:val="none"/>
        </w:rPr>
        <w:t>每年</w:t>
      </w:r>
      <w:bookmarkEnd w:id="82"/>
      <w:bookmarkStart w:id="83" w:name="_Hlk148099561"/>
      <w:r>
        <w:rPr>
          <w:bCs/>
          <w:color w:val="auto"/>
          <w:highlight w:val="none"/>
        </w:rPr>
        <w:t>工作</w:t>
      </w:r>
      <w:r>
        <w:rPr>
          <w:rFonts w:hint="eastAsia"/>
          <w:bCs/>
          <w:color w:val="auto"/>
          <w:highlight w:val="none"/>
          <w:lang w:val="en-US" w:eastAsia="zh-CN"/>
        </w:rPr>
        <w:t>363</w:t>
      </w:r>
      <w:r>
        <w:rPr>
          <w:bCs/>
          <w:color w:val="auto"/>
          <w:highlight w:val="none"/>
        </w:rPr>
        <w:t>天，</w:t>
      </w:r>
      <w:bookmarkEnd w:id="83"/>
      <w:r>
        <w:rPr>
          <w:rStyle w:val="60"/>
          <w:rFonts w:hint="eastAsia"/>
          <w:color w:val="auto"/>
          <w:highlight w:val="none"/>
        </w:rPr>
        <w:t>每班</w:t>
      </w:r>
      <w:r>
        <w:rPr>
          <w:rStyle w:val="60"/>
          <w:rFonts w:hint="eastAsia"/>
          <w:color w:val="auto"/>
          <w:highlight w:val="none"/>
          <w:lang w:val="en-US" w:eastAsia="zh-CN"/>
        </w:rPr>
        <w:t>12</w:t>
      </w:r>
      <w:r>
        <w:rPr>
          <w:rStyle w:val="60"/>
          <w:color w:val="auto"/>
          <w:highlight w:val="none"/>
        </w:rPr>
        <w:t>小时</w:t>
      </w:r>
      <w:r>
        <w:rPr>
          <w:rStyle w:val="60"/>
          <w:rFonts w:hint="eastAsia"/>
          <w:color w:val="auto"/>
          <w:highlight w:val="none"/>
        </w:rPr>
        <w:t>。</w:t>
      </w:r>
    </w:p>
    <w:p w14:paraId="63D81CC4">
      <w:pPr>
        <w:pStyle w:val="59"/>
        <w:ind w:firstLine="480"/>
        <w:rPr>
          <w:rFonts w:hint="eastAsia"/>
          <w:snapToGrid w:val="0"/>
          <w:color w:val="auto"/>
          <w:highlight w:val="none"/>
          <w:lang w:eastAsia="zh-CN"/>
        </w:rPr>
      </w:pPr>
      <w:r>
        <w:rPr>
          <w:snapToGrid w:val="0"/>
          <w:color w:val="auto"/>
          <w:highlight w:val="none"/>
        </w:rPr>
        <w:t>建设周期：</w:t>
      </w:r>
      <w:r>
        <w:rPr>
          <w:rFonts w:hint="eastAsia"/>
          <w:snapToGrid w:val="0"/>
          <w:color w:val="auto"/>
          <w:highlight w:val="none"/>
          <w:lang w:val="en-US" w:eastAsia="zh-CN"/>
        </w:rPr>
        <w:t>修复治理共需 3年</w:t>
      </w:r>
      <w:r>
        <w:rPr>
          <w:rFonts w:hint="default"/>
          <w:snapToGrid w:val="0"/>
          <w:color w:val="auto"/>
          <w:highlight w:val="none"/>
          <w:lang w:val="en-US" w:eastAsia="zh-CN"/>
        </w:rPr>
        <w:t>1</w:t>
      </w:r>
      <w:r>
        <w:rPr>
          <w:rFonts w:hint="eastAsia"/>
          <w:snapToGrid w:val="0"/>
          <w:color w:val="auto"/>
          <w:highlight w:val="none"/>
          <w:lang w:val="en-US" w:eastAsia="zh-CN"/>
        </w:rPr>
        <w:t>个月，其中施工期</w:t>
      </w:r>
      <w:r>
        <w:rPr>
          <w:rFonts w:hint="default"/>
          <w:snapToGrid w:val="0"/>
          <w:color w:val="auto"/>
          <w:highlight w:val="none"/>
          <w:lang w:val="en-US" w:eastAsia="zh-CN"/>
        </w:rPr>
        <w:t>1</w:t>
      </w:r>
      <w:r>
        <w:rPr>
          <w:rFonts w:hint="eastAsia"/>
          <w:snapToGrid w:val="0"/>
          <w:color w:val="auto"/>
          <w:highlight w:val="none"/>
          <w:lang w:val="en-US" w:eastAsia="zh-CN"/>
        </w:rPr>
        <w:t>个月，回填复垦期3年。</w:t>
      </w:r>
    </w:p>
    <w:p w14:paraId="64570682">
      <w:pPr>
        <w:pStyle w:val="137"/>
        <w:rPr>
          <w:color w:val="auto"/>
        </w:rPr>
      </w:pPr>
      <w:bookmarkStart w:id="84" w:name="_Toc15991641"/>
      <w:r>
        <w:rPr>
          <w:rFonts w:hint="eastAsia"/>
          <w:color w:val="auto"/>
        </w:rPr>
        <w:t>3.1.2现有采坑现状</w:t>
      </w:r>
    </w:p>
    <w:p w14:paraId="2BAF61AF">
      <w:pPr>
        <w:pStyle w:val="59"/>
        <w:ind w:firstLine="480"/>
        <w:rPr>
          <w:rFonts w:hint="eastAsia" w:eastAsia="宋体"/>
          <w:color w:val="auto"/>
          <w:lang w:eastAsia="zh-CN"/>
        </w:rPr>
      </w:pPr>
      <w:r>
        <w:rPr>
          <w:rFonts w:hint="eastAsia"/>
          <w:snapToGrid w:val="0"/>
          <w:color w:val="auto"/>
        </w:rPr>
        <w:t>本次拟回填复垦老坑位于鸡西市鸡东县</w:t>
      </w:r>
      <w:r>
        <w:rPr>
          <w:rFonts w:hint="eastAsia"/>
          <w:snapToGrid w:val="0"/>
          <w:color w:val="auto"/>
          <w:lang w:eastAsia="zh-CN"/>
        </w:rPr>
        <w:t>东海镇新泉村</w:t>
      </w:r>
      <w:r>
        <w:rPr>
          <w:rFonts w:hint="eastAsia"/>
          <w:snapToGrid w:val="0"/>
          <w:color w:val="auto"/>
        </w:rPr>
        <w:t>，行政区属鸡西市鸡东县</w:t>
      </w:r>
      <w:r>
        <w:rPr>
          <w:rFonts w:hint="eastAsia"/>
          <w:snapToGrid w:val="0"/>
          <w:color w:val="auto"/>
          <w:lang w:eastAsia="zh-CN"/>
        </w:rPr>
        <w:t>东海镇管辖</w:t>
      </w:r>
      <w:r>
        <w:rPr>
          <w:rFonts w:hint="eastAsia"/>
          <w:snapToGrid w:val="0"/>
          <w:color w:val="auto"/>
        </w:rPr>
        <w:t>，土地权属为鸡东县</w:t>
      </w:r>
      <w:r>
        <w:rPr>
          <w:rFonts w:hint="eastAsia"/>
          <w:snapToGrid w:val="0"/>
          <w:color w:val="auto"/>
          <w:lang w:eastAsia="zh-CN"/>
        </w:rPr>
        <w:t>新泉采石场</w:t>
      </w:r>
      <w:r>
        <w:rPr>
          <w:rFonts w:hint="eastAsia"/>
          <w:snapToGrid w:val="0"/>
          <w:color w:val="auto"/>
        </w:rPr>
        <w:t>，采坑占地面积</w:t>
      </w:r>
      <w:r>
        <w:rPr>
          <w:rFonts w:hint="eastAsia"/>
          <w:snapToGrid w:val="0"/>
          <w:color w:val="auto"/>
          <w:lang w:val="en-US" w:eastAsia="zh-CN"/>
        </w:rPr>
        <w:t>52320</w:t>
      </w:r>
      <w:r>
        <w:rPr>
          <w:snapToGrid w:val="0"/>
          <w:color w:val="auto"/>
        </w:rPr>
        <w:t>m</w:t>
      </w:r>
      <w:r>
        <w:rPr>
          <w:snapToGrid w:val="0"/>
          <w:color w:val="auto"/>
          <w:vertAlign w:val="superscript"/>
        </w:rPr>
        <w:t>2</w:t>
      </w:r>
      <w:r>
        <w:rPr>
          <w:rFonts w:hint="eastAsia"/>
          <w:snapToGrid w:val="0"/>
          <w:color w:val="auto"/>
          <w:lang w:eastAsia="zh-CN"/>
        </w:rPr>
        <w:t>，</w:t>
      </w:r>
      <w:r>
        <w:rPr>
          <w:rFonts w:hint="default" w:ascii="Times New Roman" w:hAnsi="Times New Roman" w:cs="Times New Roman"/>
          <w:color w:val="auto"/>
        </w:rPr>
        <w:t>工业广场压占面积为</w:t>
      </w:r>
      <w:r>
        <w:rPr>
          <w:rFonts w:hint="eastAsia" w:ascii="Times New Roman" w:hAnsi="Times New Roman" w:cs="Times New Roman"/>
          <w:color w:val="auto"/>
          <w:lang w:val="en-US" w:eastAsia="zh-CN"/>
        </w:rPr>
        <w:t xml:space="preserve">26274 </w:t>
      </w:r>
      <w:r>
        <w:rPr>
          <w:rFonts w:hint="eastAsia" w:cs="Times New Roman"/>
          <w:color w:val="auto"/>
          <w:lang w:val="en-US" w:eastAsia="zh-CN"/>
        </w:rPr>
        <w:t>m</w:t>
      </w:r>
      <w:r>
        <w:rPr>
          <w:rFonts w:hint="eastAsia" w:cs="Times New Roman"/>
          <w:color w:val="auto"/>
          <w:vertAlign w:val="superscript"/>
          <w:lang w:val="en-US" w:eastAsia="zh-CN"/>
        </w:rPr>
        <w:t>2</w:t>
      </w:r>
      <w:r>
        <w:rPr>
          <w:rFonts w:hint="eastAsia" w:cs="Times New Roman"/>
          <w:color w:val="auto"/>
          <w:lang w:val="en-US" w:eastAsia="zh-CN"/>
        </w:rPr>
        <w:t>，</w:t>
      </w:r>
      <w:r>
        <w:rPr>
          <w:rFonts w:hint="eastAsia"/>
          <w:snapToGrid w:val="0"/>
          <w:color w:val="auto"/>
        </w:rPr>
        <w:t>该露天采坑为</w:t>
      </w:r>
      <w:r>
        <w:rPr>
          <w:rFonts w:hint="eastAsia"/>
          <w:color w:val="auto"/>
          <w:spacing w:val="-4"/>
        </w:rPr>
        <w:t>鸡东县</w:t>
      </w:r>
      <w:r>
        <w:rPr>
          <w:rFonts w:hint="eastAsia"/>
          <w:color w:val="auto"/>
          <w:spacing w:val="-4"/>
          <w:lang w:eastAsia="zh-CN"/>
        </w:rPr>
        <w:t>新泉</w:t>
      </w:r>
      <w:r>
        <w:rPr>
          <w:rFonts w:hint="eastAsia"/>
          <w:color w:val="auto"/>
          <w:spacing w:val="-4"/>
        </w:rPr>
        <w:t>采石场</w:t>
      </w:r>
      <w:r>
        <w:rPr>
          <w:color w:val="auto"/>
          <w:spacing w:val="-4"/>
        </w:rPr>
        <w:t>进行</w:t>
      </w:r>
      <w:bookmarkStart w:id="85" w:name="_Hlk148100532"/>
      <w:r>
        <w:rPr>
          <w:color w:val="auto"/>
          <w:spacing w:val="-4"/>
        </w:rPr>
        <w:t>露天开采而形成</w:t>
      </w:r>
      <w:r>
        <w:rPr>
          <w:rFonts w:hint="eastAsia"/>
          <w:snapToGrid w:val="0"/>
          <w:color w:val="auto"/>
        </w:rPr>
        <w:t>，</w:t>
      </w:r>
      <w:r>
        <w:rPr>
          <w:rFonts w:hint="eastAsia"/>
          <w:snapToGrid w:val="0"/>
          <w:color w:val="auto"/>
          <w:lang w:eastAsia="zh-CN"/>
        </w:rPr>
        <w:t>西侧露天</w:t>
      </w:r>
      <w:r>
        <w:rPr>
          <w:rFonts w:hint="eastAsia"/>
          <w:snapToGrid w:val="0"/>
          <w:color w:val="auto"/>
        </w:rPr>
        <w:t>采场长约</w:t>
      </w:r>
      <w:r>
        <w:rPr>
          <w:rFonts w:hint="eastAsia"/>
          <w:snapToGrid w:val="0"/>
          <w:color w:val="auto"/>
          <w:lang w:val="en-US" w:eastAsia="zh-CN"/>
        </w:rPr>
        <w:t>470</w:t>
      </w:r>
      <w:r>
        <w:rPr>
          <w:snapToGrid w:val="0"/>
          <w:color w:val="auto"/>
        </w:rPr>
        <w:t>m</w:t>
      </w:r>
      <w:r>
        <w:rPr>
          <w:rFonts w:hint="eastAsia"/>
          <w:snapToGrid w:val="0"/>
          <w:color w:val="auto"/>
        </w:rPr>
        <w:t>，平均宽约</w:t>
      </w:r>
      <w:r>
        <w:rPr>
          <w:rFonts w:hint="eastAsia"/>
          <w:snapToGrid w:val="0"/>
          <w:color w:val="auto"/>
          <w:lang w:val="en-US" w:eastAsia="zh-CN"/>
        </w:rPr>
        <w:t>78</w:t>
      </w:r>
      <w:r>
        <w:rPr>
          <w:snapToGrid w:val="0"/>
          <w:color w:val="auto"/>
        </w:rPr>
        <w:t>m</w:t>
      </w:r>
      <w:r>
        <w:rPr>
          <w:rFonts w:hint="eastAsia"/>
          <w:snapToGrid w:val="0"/>
          <w:color w:val="auto"/>
        </w:rPr>
        <w:t>，</w:t>
      </w:r>
      <w:r>
        <w:rPr>
          <w:rFonts w:hint="default" w:ascii="Times New Roman" w:hAnsi="Times New Roman" w:cs="Times New Roman"/>
          <w:color w:val="auto"/>
          <w:lang w:eastAsia="zh-CN"/>
        </w:rPr>
        <w:t>面积约</w:t>
      </w:r>
      <w:r>
        <w:rPr>
          <w:rFonts w:hint="eastAsia" w:ascii="Times New Roman" w:hAnsi="Times New Roman" w:cs="Times New Roman"/>
          <w:color w:val="auto"/>
          <w:lang w:val="en-US" w:eastAsia="zh-CN"/>
        </w:rPr>
        <w:t>36400</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2</w:t>
      </w:r>
      <w:r>
        <w:rPr>
          <w:rFonts w:hint="eastAsia" w:cs="Times New Roman"/>
          <w:color w:val="auto"/>
          <w:vertAlign w:val="baseline"/>
          <w:lang w:eastAsia="zh-CN"/>
        </w:rPr>
        <w:t>，</w:t>
      </w:r>
      <w:r>
        <w:rPr>
          <w:rFonts w:hint="eastAsia" w:ascii="Times New Roman" w:hAnsi="Times New Roman" w:cs="Times New Roman"/>
          <w:color w:val="auto"/>
          <w:lang w:val="en-US" w:eastAsia="zh-CN"/>
        </w:rPr>
        <w:t>东侧露天采场长约214</w:t>
      </w:r>
      <w:r>
        <w:rPr>
          <w:rFonts w:hint="default" w:ascii="Times New Roman" w:hAnsi="Times New Roman" w:cs="Times New Roman"/>
          <w:color w:val="auto"/>
          <w:lang w:eastAsia="zh-CN"/>
        </w:rPr>
        <w:t>m，</w:t>
      </w:r>
      <w:r>
        <w:rPr>
          <w:rFonts w:hint="eastAsia" w:cs="Times New Roman"/>
          <w:color w:val="auto"/>
          <w:lang w:eastAsia="zh-CN"/>
        </w:rPr>
        <w:t>平均</w:t>
      </w:r>
      <w:r>
        <w:rPr>
          <w:rFonts w:hint="default" w:ascii="Times New Roman" w:hAnsi="Times New Roman" w:cs="Times New Roman"/>
          <w:color w:val="auto"/>
          <w:lang w:eastAsia="zh-CN"/>
        </w:rPr>
        <w:t>宽约</w:t>
      </w:r>
      <w:r>
        <w:rPr>
          <w:rFonts w:hint="eastAsia" w:ascii="Times New Roman" w:hAnsi="Times New Roman" w:cs="Times New Roman"/>
          <w:color w:val="auto"/>
          <w:lang w:val="en-US" w:eastAsia="zh-CN"/>
        </w:rPr>
        <w:t>99</w:t>
      </w:r>
      <w:r>
        <w:rPr>
          <w:rFonts w:hint="default" w:ascii="Times New Roman" w:hAnsi="Times New Roman" w:cs="Times New Roman"/>
          <w:color w:val="auto"/>
          <w:lang w:eastAsia="zh-CN"/>
        </w:rPr>
        <w:t>m，总破坏面积约</w:t>
      </w:r>
      <w:r>
        <w:rPr>
          <w:rFonts w:hint="eastAsia" w:ascii="Times New Roman" w:hAnsi="Times New Roman" w:cs="Times New Roman"/>
          <w:color w:val="auto"/>
          <w:lang w:val="en-US" w:eastAsia="zh-CN"/>
        </w:rPr>
        <w:t>15920</w:t>
      </w:r>
      <w:r>
        <w:rPr>
          <w:rFonts w:hint="default" w:ascii="Times New Roman" w:hAnsi="Times New Roman" w:cs="Times New Roman"/>
          <w:color w:val="auto"/>
          <w:lang w:eastAsia="zh-CN"/>
        </w:rPr>
        <w:t>m</w:t>
      </w:r>
      <w:r>
        <w:rPr>
          <w:rFonts w:hint="default" w:ascii="Times New Roman" w:hAnsi="Times New Roman" w:cs="Times New Roman"/>
          <w:color w:val="auto"/>
          <w:vertAlign w:val="superscript"/>
          <w:lang w:eastAsia="zh-CN"/>
        </w:rPr>
        <w:t>2</w:t>
      </w:r>
      <w:r>
        <w:rPr>
          <w:rFonts w:hint="default" w:ascii="Times New Roman" w:hAnsi="Times New Roman" w:cs="Times New Roman"/>
          <w:color w:val="auto"/>
          <w:lang w:eastAsia="zh-CN"/>
        </w:rPr>
        <w:t>，</w:t>
      </w:r>
      <w:bookmarkEnd w:id="85"/>
      <w:r>
        <w:rPr>
          <w:rFonts w:hint="default" w:ascii="Times New Roman" w:hAnsi="Times New Roman" w:cs="Times New Roman"/>
          <w:color w:val="auto"/>
          <w:lang w:eastAsia="zh-CN"/>
        </w:rPr>
        <w:t>地势总体北高南低。露天采场由采坑边坡和采坑底盘组成，底盘标高</w:t>
      </w:r>
      <w:r>
        <w:rPr>
          <w:rFonts w:hint="eastAsia" w:ascii="Times New Roman" w:hAnsi="Times New Roman" w:cs="Times New Roman"/>
          <w:color w:val="auto"/>
          <w:lang w:val="en-US" w:eastAsia="zh-CN"/>
        </w:rPr>
        <w:t>258</w:t>
      </w:r>
      <w:r>
        <w:rPr>
          <w:rFonts w:hint="default" w:ascii="Times New Roman" w:hAnsi="Times New Roman" w:cs="Times New Roman"/>
          <w:color w:val="auto"/>
          <w:lang w:eastAsia="zh-CN"/>
        </w:rPr>
        <w:t>～</w:t>
      </w:r>
      <w:r>
        <w:rPr>
          <w:rFonts w:hint="eastAsia" w:ascii="Times New Roman" w:hAnsi="Times New Roman" w:cs="Times New Roman"/>
          <w:color w:val="auto"/>
          <w:lang w:val="en-US" w:eastAsia="zh-CN"/>
        </w:rPr>
        <w:t>286</w:t>
      </w:r>
      <w:r>
        <w:rPr>
          <w:rFonts w:hint="default" w:ascii="Times New Roman" w:hAnsi="Times New Roman" w:cs="Times New Roman"/>
          <w:color w:val="auto"/>
          <w:lang w:eastAsia="zh-CN"/>
        </w:rPr>
        <w:t>m。</w:t>
      </w:r>
      <w:r>
        <w:rPr>
          <w:rFonts w:hint="eastAsia"/>
          <w:snapToGrid w:val="0"/>
          <w:color w:val="auto"/>
        </w:rPr>
        <w:t>经现场勘察</w:t>
      </w:r>
      <w:r>
        <w:rPr>
          <w:rFonts w:hint="eastAsia"/>
          <w:snapToGrid w:val="0"/>
          <w:color w:val="auto"/>
          <w:lang w:eastAsia="zh-CN"/>
        </w:rPr>
        <w:t>，</w:t>
      </w:r>
      <w:r>
        <w:rPr>
          <w:rFonts w:hint="eastAsia"/>
          <w:color w:val="auto"/>
        </w:rPr>
        <w:t>无崩塌、滑坡、地面沉陷等地质环境问题。</w:t>
      </w:r>
      <w:r>
        <w:rPr>
          <w:rFonts w:hint="eastAsia"/>
          <w:snapToGrid w:val="0"/>
          <w:color w:val="auto"/>
        </w:rPr>
        <w:t>目前采坑</w:t>
      </w:r>
      <w:r>
        <w:rPr>
          <w:rFonts w:hint="eastAsia"/>
          <w:snapToGrid w:val="0"/>
          <w:color w:val="auto"/>
          <w:lang w:eastAsia="zh-CN"/>
        </w:rPr>
        <w:t>已于</w:t>
      </w:r>
      <w:r>
        <w:rPr>
          <w:rFonts w:hint="eastAsia"/>
          <w:snapToGrid w:val="0"/>
          <w:color w:val="auto"/>
          <w:lang w:val="en-US" w:eastAsia="zh-CN"/>
        </w:rPr>
        <w:t>2024年11月完成开采，</w:t>
      </w:r>
      <w:r>
        <w:rPr>
          <w:rFonts w:hint="eastAsia"/>
          <w:snapToGrid w:val="0"/>
          <w:color w:val="auto"/>
        </w:rPr>
        <w:t>属于荒废状态，现状坑底存在少量碎石及覆盖有小部分杂草，在场地内没有发现残留化学品以及异常气味、表面金属析出等污染痕迹，该废弃采坑现土地裸露</w:t>
      </w:r>
      <w:r>
        <w:rPr>
          <w:rFonts w:hint="eastAsia"/>
          <w:snapToGrid w:val="0"/>
          <w:color w:val="auto"/>
          <w:lang w:eastAsia="zh-CN"/>
        </w:rPr>
        <w:t>。</w:t>
      </w:r>
    </w:p>
    <w:p w14:paraId="7D792331">
      <w:pPr>
        <w:pStyle w:val="137"/>
        <w:rPr>
          <w:color w:val="auto"/>
        </w:rPr>
      </w:pPr>
      <w:r>
        <w:rPr>
          <w:color w:val="auto"/>
        </w:rPr>
        <w:t>3.</w:t>
      </w:r>
      <w:r>
        <w:rPr>
          <w:rFonts w:hint="eastAsia"/>
          <w:color w:val="auto"/>
        </w:rPr>
        <w:t>1</w:t>
      </w:r>
      <w:r>
        <w:rPr>
          <w:color w:val="auto"/>
        </w:rPr>
        <w:t>.</w:t>
      </w:r>
      <w:r>
        <w:rPr>
          <w:rFonts w:hint="eastAsia"/>
          <w:color w:val="auto"/>
        </w:rPr>
        <w:t>3</w:t>
      </w:r>
      <w:r>
        <w:rPr>
          <w:color w:val="auto"/>
        </w:rPr>
        <w:t>建设规模及建设内容</w:t>
      </w:r>
      <w:bookmarkEnd w:id="84"/>
    </w:p>
    <w:p w14:paraId="2C72B185">
      <w:pPr>
        <w:pStyle w:val="59"/>
        <w:adjustRightInd/>
        <w:snapToGrid/>
        <w:ind w:firstLine="480"/>
        <w:rPr>
          <w:rFonts w:cs="Times New Roman"/>
          <w:color w:val="auto"/>
          <w:highlight w:val="none"/>
        </w:rPr>
      </w:pPr>
      <w:r>
        <w:rPr>
          <w:rFonts w:cs="Times New Roman"/>
          <w:color w:val="auto"/>
        </w:rPr>
        <w:t>本项目利用</w:t>
      </w:r>
      <w:r>
        <w:rPr>
          <w:rFonts w:hint="eastAsia"/>
          <w:snapToGrid w:val="0"/>
          <w:color w:val="auto"/>
          <w:lang w:val="en-US" w:eastAsia="zh-CN"/>
        </w:rPr>
        <w:t>黑龙江醇能热电有限公司</w:t>
      </w:r>
      <w:r>
        <w:rPr>
          <w:rFonts w:cs="Times New Roman"/>
          <w:color w:val="auto"/>
        </w:rPr>
        <w:t>所产生的</w:t>
      </w:r>
      <w:r>
        <w:rPr>
          <w:rFonts w:hint="eastAsia" w:cs="Times New Roman"/>
          <w:color w:val="auto"/>
          <w:lang w:eastAsia="zh-CN"/>
        </w:rPr>
        <w:t>灰渣</w:t>
      </w:r>
      <w:r>
        <w:rPr>
          <w:rFonts w:cs="Times New Roman"/>
          <w:color w:val="auto"/>
        </w:rPr>
        <w:t>对位于鸡西市鸡东县</w:t>
      </w:r>
      <w:r>
        <w:rPr>
          <w:rFonts w:hint="eastAsia"/>
          <w:snapToGrid w:val="0"/>
          <w:color w:val="auto"/>
          <w:lang w:eastAsia="zh-CN"/>
        </w:rPr>
        <w:t>东海镇新泉村</w:t>
      </w:r>
      <w:r>
        <w:rPr>
          <w:rFonts w:cs="Times New Roman"/>
          <w:color w:val="auto"/>
          <w:highlight w:val="none"/>
        </w:rPr>
        <w:t>的</w:t>
      </w:r>
      <w:r>
        <w:rPr>
          <w:rFonts w:cs="Times New Roman"/>
          <w:color w:val="auto"/>
          <w:spacing w:val="-4"/>
          <w:highlight w:val="none"/>
        </w:rPr>
        <w:t>鸡东县</w:t>
      </w:r>
      <w:r>
        <w:rPr>
          <w:rFonts w:hint="eastAsia" w:cs="Times New Roman"/>
          <w:color w:val="auto"/>
          <w:spacing w:val="-4"/>
          <w:highlight w:val="none"/>
          <w:lang w:eastAsia="zh-CN"/>
        </w:rPr>
        <w:t>新泉</w:t>
      </w:r>
      <w:r>
        <w:rPr>
          <w:rFonts w:cs="Times New Roman"/>
          <w:color w:val="auto"/>
          <w:spacing w:val="-4"/>
          <w:highlight w:val="none"/>
        </w:rPr>
        <w:t>采石场废弃采坑进行回填</w:t>
      </w:r>
      <w:r>
        <w:rPr>
          <w:rFonts w:cs="Times New Roman"/>
          <w:color w:val="auto"/>
          <w:highlight w:val="none"/>
        </w:rPr>
        <w:t>，总占地面积</w:t>
      </w:r>
      <w:r>
        <w:rPr>
          <w:rFonts w:hint="eastAsia" w:cs="Times New Roman"/>
          <w:color w:val="auto"/>
          <w:highlight w:val="none"/>
          <w:lang w:val="en-US" w:eastAsia="zh-CN"/>
        </w:rPr>
        <w:t>78594</w:t>
      </w:r>
      <w:r>
        <w:rPr>
          <w:rFonts w:cs="Times New Roman"/>
          <w:color w:val="auto"/>
          <w:highlight w:val="none"/>
        </w:rPr>
        <w:t>m</w:t>
      </w:r>
      <w:r>
        <w:rPr>
          <w:rFonts w:cs="Times New Roman"/>
          <w:color w:val="auto"/>
          <w:highlight w:val="none"/>
          <w:vertAlign w:val="superscript"/>
        </w:rPr>
        <w:t>2</w:t>
      </w:r>
      <w:r>
        <w:rPr>
          <w:rFonts w:cs="Times New Roman"/>
          <w:color w:val="auto"/>
          <w:highlight w:val="none"/>
        </w:rPr>
        <w:t>，其中</w:t>
      </w:r>
      <w:r>
        <w:rPr>
          <w:rFonts w:hint="eastAsia" w:cs="Times New Roman"/>
          <w:color w:val="auto"/>
          <w:highlight w:val="none"/>
        </w:rPr>
        <w:t>修复废弃采坑</w:t>
      </w:r>
      <w:r>
        <w:rPr>
          <w:rFonts w:cs="Times New Roman"/>
          <w:color w:val="auto"/>
          <w:highlight w:val="none"/>
        </w:rPr>
        <w:t>占地面积</w:t>
      </w:r>
      <w:r>
        <w:rPr>
          <w:rFonts w:hint="eastAsia" w:cs="Times New Roman"/>
          <w:color w:val="auto"/>
          <w:highlight w:val="none"/>
          <w:lang w:val="en-US" w:eastAsia="zh-CN"/>
        </w:rPr>
        <w:t>52320</w:t>
      </w:r>
      <w:r>
        <w:rPr>
          <w:rFonts w:cs="Times New Roman"/>
          <w:color w:val="auto"/>
          <w:highlight w:val="none"/>
        </w:rPr>
        <w:t>m</w:t>
      </w:r>
      <w:r>
        <w:rPr>
          <w:rFonts w:cs="Times New Roman"/>
          <w:color w:val="auto"/>
          <w:highlight w:val="none"/>
          <w:vertAlign w:val="superscript"/>
        </w:rPr>
        <w:t>2</w:t>
      </w:r>
      <w:r>
        <w:rPr>
          <w:rFonts w:cs="Times New Roman"/>
          <w:color w:val="auto"/>
          <w:highlight w:val="none"/>
        </w:rPr>
        <w:t>，</w:t>
      </w:r>
      <w:r>
        <w:rPr>
          <w:rFonts w:hint="eastAsia" w:cs="Times New Roman"/>
          <w:color w:val="auto"/>
          <w:highlight w:val="none"/>
          <w:lang w:eastAsia="zh-CN"/>
        </w:rPr>
        <w:t>修复工业广场压占面积</w:t>
      </w:r>
      <w:r>
        <w:rPr>
          <w:rFonts w:hint="eastAsia" w:cs="Times New Roman"/>
          <w:color w:val="auto"/>
          <w:highlight w:val="none"/>
          <w:lang w:val="en-US" w:eastAsia="zh-CN"/>
        </w:rPr>
        <w:t>26274m</w:t>
      </w:r>
      <w:r>
        <w:rPr>
          <w:rFonts w:hint="eastAsia" w:cs="Times New Roman"/>
          <w:color w:val="auto"/>
          <w:highlight w:val="none"/>
          <w:vertAlign w:val="superscript"/>
          <w:lang w:val="en-US" w:eastAsia="zh-CN"/>
        </w:rPr>
        <w:t>2</w:t>
      </w:r>
      <w:r>
        <w:rPr>
          <w:rFonts w:hint="eastAsia" w:cs="Times New Roman"/>
          <w:color w:val="auto"/>
          <w:highlight w:val="none"/>
          <w:lang w:val="en-US" w:eastAsia="zh-CN"/>
        </w:rPr>
        <w:t>，</w:t>
      </w:r>
      <w:r>
        <w:rPr>
          <w:rFonts w:cs="Times New Roman"/>
          <w:color w:val="auto"/>
          <w:highlight w:val="none"/>
        </w:rPr>
        <w:t>本项目总回填</w:t>
      </w:r>
      <w:r>
        <w:rPr>
          <w:rFonts w:hint="eastAsia" w:cs="Times New Roman"/>
          <w:color w:val="auto"/>
          <w:highlight w:val="none"/>
          <w:lang w:eastAsia="zh-CN"/>
        </w:rPr>
        <w:t>灰渣</w:t>
      </w:r>
      <w:r>
        <w:rPr>
          <w:rFonts w:cs="Times New Roman"/>
          <w:color w:val="auto"/>
          <w:highlight w:val="none"/>
        </w:rPr>
        <w:t>量为</w:t>
      </w:r>
      <w:r>
        <w:rPr>
          <w:rFonts w:hint="eastAsia" w:cs="Times New Roman"/>
          <w:color w:val="auto"/>
          <w:highlight w:val="none"/>
          <w:lang w:val="en-US" w:eastAsia="zh-CN"/>
        </w:rPr>
        <w:t>32.76万</w:t>
      </w:r>
      <w:r>
        <w:rPr>
          <w:rFonts w:cs="Times New Roman"/>
          <w:color w:val="auto"/>
          <w:highlight w:val="none"/>
        </w:rPr>
        <w:t>m</w:t>
      </w:r>
      <w:r>
        <w:rPr>
          <w:rFonts w:cs="Times New Roman"/>
          <w:color w:val="auto"/>
          <w:highlight w:val="none"/>
          <w:vertAlign w:val="superscript"/>
        </w:rPr>
        <w:t>3</w:t>
      </w:r>
      <w:r>
        <w:rPr>
          <w:rFonts w:hint="eastAsia" w:cs="Times New Roman"/>
          <w:color w:val="auto"/>
          <w:highlight w:val="none"/>
        </w:rPr>
        <w:t>，回填期</w:t>
      </w:r>
      <w:r>
        <w:rPr>
          <w:rFonts w:hint="eastAsia" w:cs="Times New Roman"/>
          <w:color w:val="auto"/>
          <w:highlight w:val="none"/>
          <w:lang w:val="en-US" w:eastAsia="zh-CN"/>
        </w:rPr>
        <w:t>3</w:t>
      </w:r>
      <w:r>
        <w:rPr>
          <w:rFonts w:hint="eastAsia" w:cs="Times New Roman"/>
          <w:color w:val="auto"/>
          <w:highlight w:val="none"/>
        </w:rPr>
        <w:t>年，回填后</w:t>
      </w:r>
      <w:r>
        <w:rPr>
          <w:rFonts w:cs="Times New Roman"/>
          <w:color w:val="auto"/>
          <w:highlight w:val="none"/>
        </w:rPr>
        <w:t>进行生态恢复治理，回填至与周边环境持平后按标准要求进行土地复垦恢复成</w:t>
      </w:r>
      <w:r>
        <w:rPr>
          <w:rFonts w:hint="eastAsia" w:cs="Times New Roman"/>
          <w:color w:val="auto"/>
          <w:highlight w:val="none"/>
          <w:lang w:eastAsia="zh-CN"/>
        </w:rPr>
        <w:t>乔木林地、旱地</w:t>
      </w:r>
      <w:r>
        <w:rPr>
          <w:rFonts w:cs="Times New Roman"/>
          <w:color w:val="auto"/>
          <w:highlight w:val="none"/>
        </w:rPr>
        <w:t>，</w:t>
      </w:r>
      <w:r>
        <w:rPr>
          <w:rFonts w:hint="eastAsia"/>
          <w:color w:val="auto"/>
          <w:highlight w:val="none"/>
          <w:lang w:val="en-US" w:eastAsia="zh-CN"/>
        </w:rPr>
        <w:t>旱地有效土层厚度不低于80cm，乔木林地有效土层厚度不低于30cm，</w:t>
      </w:r>
      <w:r>
        <w:rPr>
          <w:rFonts w:hint="eastAsia" w:cs="Times New Roman"/>
          <w:color w:val="auto"/>
          <w:highlight w:val="none"/>
        </w:rPr>
        <w:t>土壤质量应满足《土壤环境质量 农用地土壤污染风险管控标准（试行）》（GB15618-2018）要求，土地复垦实施过程应满足《土地复垦质量控制标准》（TD/T1036-2013）规定的相关土地复垦质量控制要求。</w:t>
      </w:r>
    </w:p>
    <w:p w14:paraId="44BA8D9B">
      <w:pPr>
        <w:pStyle w:val="59"/>
        <w:adjustRightInd/>
        <w:snapToGrid/>
        <w:ind w:firstLine="480"/>
        <w:rPr>
          <w:rFonts w:cs="Times New Roman"/>
          <w:color w:val="auto"/>
        </w:rPr>
      </w:pPr>
      <w:r>
        <w:rPr>
          <w:rFonts w:hint="eastAsia" w:cs="Times New Roman"/>
          <w:color w:val="auto"/>
        </w:rPr>
        <w:t>本项目建设内容分为场地平整、防渗系统、淋溶水收集导排系统、地下水监控井、淋溶水暂存池、排水沟等。</w:t>
      </w:r>
    </w:p>
    <w:p w14:paraId="00DE1738">
      <w:pPr>
        <w:pStyle w:val="59"/>
        <w:adjustRightInd/>
        <w:snapToGrid/>
        <w:ind w:firstLine="480"/>
        <w:rPr>
          <w:rFonts w:cs="Times New Roman"/>
          <w:color w:val="auto"/>
        </w:rPr>
      </w:pPr>
      <w:r>
        <w:rPr>
          <w:rFonts w:cs="Times New Roman"/>
          <w:color w:val="auto"/>
        </w:rPr>
        <w:t>具体建设内容见表3-</w:t>
      </w:r>
      <w:r>
        <w:rPr>
          <w:rFonts w:hint="eastAsia" w:cs="Times New Roman"/>
          <w:color w:val="auto"/>
        </w:rPr>
        <w:t>1</w:t>
      </w:r>
      <w:r>
        <w:rPr>
          <w:rFonts w:cs="Times New Roman"/>
          <w:color w:val="auto"/>
        </w:rPr>
        <w:t>-1。</w:t>
      </w:r>
    </w:p>
    <w:p w14:paraId="3E908582">
      <w:pPr>
        <w:pStyle w:val="76"/>
        <w:ind w:firstLine="373"/>
        <w:rPr>
          <w:color w:val="auto"/>
        </w:rPr>
      </w:pPr>
      <w:r>
        <w:rPr>
          <w:color w:val="auto"/>
        </w:rPr>
        <w:t>表3-</w:t>
      </w:r>
      <w:r>
        <w:rPr>
          <w:rFonts w:hint="eastAsia"/>
          <w:color w:val="auto"/>
        </w:rPr>
        <w:t>1</w:t>
      </w:r>
      <w:r>
        <w:rPr>
          <w:color w:val="auto"/>
        </w:rPr>
        <w:t>-1工程组成一览表</w:t>
      </w:r>
    </w:p>
    <w:tbl>
      <w:tblPr>
        <w:tblStyle w:val="45"/>
        <w:tblW w:w="491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9"/>
        <w:gridCol w:w="318"/>
        <w:gridCol w:w="327"/>
        <w:gridCol w:w="770"/>
        <w:gridCol w:w="5593"/>
        <w:gridCol w:w="996"/>
      </w:tblGrid>
      <w:tr w14:paraId="7A7D2C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492" w:type="pct"/>
            <w:gridSpan w:val="3"/>
            <w:tcBorders>
              <w:tl2br w:val="nil"/>
              <w:tr2bl w:val="nil"/>
            </w:tcBorders>
            <w:vAlign w:val="center"/>
          </w:tcPr>
          <w:p w14:paraId="473CE7EB">
            <w:pPr>
              <w:pStyle w:val="84"/>
              <w:spacing w:line="0" w:lineRule="atLeast"/>
              <w:rPr>
                <w:color w:val="auto"/>
                <w:highlight w:val="none"/>
              </w:rPr>
            </w:pPr>
            <w:bookmarkStart w:id="86" w:name="_Hlk527725606"/>
            <w:r>
              <w:rPr>
                <w:color w:val="auto"/>
                <w:highlight w:val="none"/>
              </w:rPr>
              <w:t>工程类别</w:t>
            </w:r>
          </w:p>
        </w:tc>
        <w:tc>
          <w:tcPr>
            <w:tcW w:w="471" w:type="pct"/>
            <w:tcBorders>
              <w:tl2br w:val="nil"/>
              <w:tr2bl w:val="nil"/>
            </w:tcBorders>
            <w:vAlign w:val="center"/>
          </w:tcPr>
          <w:p w14:paraId="67C37935">
            <w:pPr>
              <w:pStyle w:val="84"/>
              <w:spacing w:line="0" w:lineRule="atLeast"/>
              <w:rPr>
                <w:color w:val="auto"/>
                <w:highlight w:val="none"/>
              </w:rPr>
            </w:pPr>
            <w:r>
              <w:rPr>
                <w:color w:val="auto"/>
                <w:highlight w:val="none"/>
              </w:rPr>
              <w:t>工程名称</w:t>
            </w:r>
          </w:p>
        </w:tc>
        <w:tc>
          <w:tcPr>
            <w:tcW w:w="3426" w:type="pct"/>
            <w:tcBorders>
              <w:tl2br w:val="nil"/>
              <w:tr2bl w:val="nil"/>
            </w:tcBorders>
            <w:vAlign w:val="center"/>
          </w:tcPr>
          <w:p w14:paraId="67114115">
            <w:pPr>
              <w:pStyle w:val="84"/>
              <w:spacing w:line="0" w:lineRule="atLeast"/>
              <w:rPr>
                <w:color w:val="auto"/>
                <w:highlight w:val="none"/>
              </w:rPr>
            </w:pPr>
            <w:r>
              <w:rPr>
                <w:color w:val="auto"/>
                <w:highlight w:val="none"/>
              </w:rPr>
              <w:t>主要建设内容</w:t>
            </w:r>
          </w:p>
        </w:tc>
        <w:tc>
          <w:tcPr>
            <w:tcW w:w="609" w:type="pct"/>
            <w:tcBorders>
              <w:tl2br w:val="nil"/>
              <w:tr2bl w:val="nil"/>
            </w:tcBorders>
            <w:vAlign w:val="center"/>
          </w:tcPr>
          <w:p w14:paraId="3A15BB02">
            <w:pPr>
              <w:pStyle w:val="84"/>
              <w:spacing w:line="0" w:lineRule="atLeast"/>
              <w:rPr>
                <w:color w:val="auto"/>
                <w:highlight w:val="none"/>
              </w:rPr>
            </w:pPr>
            <w:r>
              <w:rPr>
                <w:color w:val="auto"/>
                <w:highlight w:val="none"/>
              </w:rPr>
              <w:t>备注</w:t>
            </w:r>
          </w:p>
        </w:tc>
      </w:tr>
      <w:tr w14:paraId="420FFB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480" w:hRule="atLeast"/>
          <w:jc w:val="center"/>
        </w:trPr>
        <w:tc>
          <w:tcPr>
            <w:tcW w:w="395" w:type="pct"/>
            <w:gridSpan w:val="2"/>
            <w:vMerge w:val="restart"/>
            <w:tcBorders>
              <w:tl2br w:val="nil"/>
              <w:tr2bl w:val="nil"/>
            </w:tcBorders>
            <w:vAlign w:val="center"/>
          </w:tcPr>
          <w:p w14:paraId="752A0B51">
            <w:pPr>
              <w:pStyle w:val="84"/>
              <w:spacing w:line="0" w:lineRule="atLeast"/>
              <w:rPr>
                <w:color w:val="auto"/>
                <w:highlight w:val="none"/>
              </w:rPr>
            </w:pPr>
            <w:r>
              <w:rPr>
                <w:color w:val="auto"/>
                <w:highlight w:val="none"/>
              </w:rPr>
              <w:t>主体工程</w:t>
            </w:r>
          </w:p>
        </w:tc>
        <w:tc>
          <w:tcPr>
            <w:tcW w:w="471" w:type="pct"/>
            <w:tcBorders>
              <w:tl2br w:val="nil"/>
              <w:tr2bl w:val="nil"/>
            </w:tcBorders>
            <w:vAlign w:val="center"/>
          </w:tcPr>
          <w:p w14:paraId="613FA8D9">
            <w:pPr>
              <w:pStyle w:val="84"/>
              <w:spacing w:line="0" w:lineRule="atLeast"/>
              <w:rPr>
                <w:color w:val="auto"/>
                <w:highlight w:val="none"/>
              </w:rPr>
            </w:pPr>
            <w:r>
              <w:rPr>
                <w:color w:val="auto"/>
                <w:highlight w:val="none"/>
              </w:rPr>
              <w:t>场地平整</w:t>
            </w:r>
          </w:p>
        </w:tc>
        <w:tc>
          <w:tcPr>
            <w:tcW w:w="3426" w:type="pct"/>
            <w:tcBorders>
              <w:tl2br w:val="nil"/>
              <w:tr2bl w:val="nil"/>
            </w:tcBorders>
            <w:vAlign w:val="center"/>
          </w:tcPr>
          <w:p w14:paraId="6DAB65D3">
            <w:pPr>
              <w:pStyle w:val="84"/>
              <w:spacing w:line="0" w:lineRule="atLeast"/>
              <w:jc w:val="both"/>
              <w:rPr>
                <w:color w:val="auto"/>
                <w:highlight w:val="none"/>
              </w:rPr>
            </w:pPr>
            <w:r>
              <w:rPr>
                <w:rFonts w:hint="eastAsia"/>
                <w:color w:val="auto"/>
                <w:highlight w:val="none"/>
              </w:rPr>
              <w:t>本项目主要为废弃的采矿用地</w:t>
            </w:r>
            <w:r>
              <w:rPr>
                <w:rFonts w:hint="eastAsia"/>
                <w:color w:val="auto"/>
                <w:highlight w:val="none"/>
                <w:lang w:eastAsia="zh-CN"/>
              </w:rPr>
              <w:t>、</w:t>
            </w:r>
            <w:r>
              <w:rPr>
                <w:rFonts w:hint="eastAsia"/>
                <w:color w:val="auto"/>
                <w:highlight w:val="none"/>
                <w:lang w:val="en-US" w:eastAsia="zh-CN"/>
              </w:rPr>
              <w:t>工业场地</w:t>
            </w:r>
            <w:r>
              <w:rPr>
                <w:rFonts w:hint="eastAsia"/>
                <w:color w:val="auto"/>
                <w:highlight w:val="none"/>
              </w:rPr>
              <w:t>，矿坑内均为岩石层，不存在能够用于剥离回填的表土，因此，本次不进行表土剥离。</w:t>
            </w:r>
          </w:p>
          <w:p w14:paraId="4461BBEC">
            <w:pPr>
              <w:pStyle w:val="84"/>
              <w:spacing w:line="0" w:lineRule="atLeast"/>
              <w:jc w:val="both"/>
              <w:rPr>
                <w:color w:val="auto"/>
                <w:highlight w:val="none"/>
              </w:rPr>
            </w:pPr>
            <w:r>
              <w:rPr>
                <w:rFonts w:hint="eastAsia"/>
                <w:color w:val="auto"/>
                <w:highlight w:val="none"/>
              </w:rPr>
              <w:t>项目基底清理主要为清理</w:t>
            </w:r>
            <w:r>
              <w:rPr>
                <w:rFonts w:hint="eastAsia"/>
                <w:color w:val="auto"/>
                <w:highlight w:val="none"/>
                <w:lang w:val="en-US" w:eastAsia="zh-CN"/>
              </w:rPr>
              <w:t>工业场地、</w:t>
            </w:r>
            <w:r>
              <w:rPr>
                <w:rFonts w:hint="eastAsia"/>
                <w:color w:val="auto"/>
                <w:highlight w:val="none"/>
              </w:rPr>
              <w:t>矿坑内的所有杂草、草木根茎、杂物等</w:t>
            </w:r>
            <w:r>
              <w:rPr>
                <w:rFonts w:hint="eastAsia"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利用矿区内现有采矿剥离物21.50万m</w:t>
            </w:r>
            <w:r>
              <w:rPr>
                <w:rFonts w:hint="eastAsia" w:ascii="Times New Roman" w:hAnsi="Times New Roman" w:eastAsia="宋体" w:cs="Times New Roman"/>
                <w:color w:val="auto"/>
                <w:highlight w:val="none"/>
                <w:vertAlign w:val="superscript"/>
                <w:lang w:val="en-US" w:eastAsia="zh-CN"/>
              </w:rPr>
              <w:t>3</w:t>
            </w:r>
            <w:r>
              <w:rPr>
                <w:rFonts w:hint="eastAsia" w:ascii="Times New Roman" w:hAnsi="Times New Roman" w:eastAsia="宋体" w:cs="Times New Roman"/>
                <w:color w:val="auto"/>
                <w:highlight w:val="none"/>
                <w:lang w:val="en-US" w:eastAsia="zh-CN"/>
              </w:rPr>
              <w:t>对</w:t>
            </w:r>
            <w:r>
              <w:rPr>
                <w:rFonts w:hint="eastAsia" w:ascii="Times New Roman" w:hAnsi="Times New Roman" w:eastAsia="宋体" w:cs="Times New Roman"/>
                <w:color w:val="auto"/>
                <w:highlight w:val="none"/>
              </w:rPr>
              <w:t>场</w:t>
            </w:r>
            <w:r>
              <w:rPr>
                <w:rFonts w:hint="eastAsia"/>
                <w:color w:val="auto"/>
                <w:highlight w:val="none"/>
              </w:rPr>
              <w:t>底基础</w:t>
            </w:r>
            <w:r>
              <w:rPr>
                <w:rFonts w:hint="eastAsia"/>
                <w:color w:val="auto"/>
                <w:highlight w:val="none"/>
                <w:lang w:val="en-US" w:eastAsia="zh-CN"/>
              </w:rPr>
              <w:t>进行平整，达到</w:t>
            </w:r>
            <w:r>
              <w:rPr>
                <w:rFonts w:hint="eastAsia"/>
                <w:color w:val="auto"/>
                <w:highlight w:val="none"/>
              </w:rPr>
              <w:t>坚实、无裂缝、无松土，坡面稳定，过渡平缓。</w:t>
            </w:r>
          </w:p>
        </w:tc>
        <w:tc>
          <w:tcPr>
            <w:tcW w:w="609" w:type="pct"/>
            <w:vMerge w:val="restart"/>
            <w:tcBorders>
              <w:tl2br w:val="nil"/>
              <w:tr2bl w:val="nil"/>
            </w:tcBorders>
            <w:vAlign w:val="center"/>
          </w:tcPr>
          <w:p w14:paraId="07526554">
            <w:pPr>
              <w:pStyle w:val="84"/>
              <w:spacing w:line="0" w:lineRule="atLeast"/>
              <w:rPr>
                <w:color w:val="auto"/>
                <w:highlight w:val="none"/>
              </w:rPr>
            </w:pPr>
            <w:r>
              <w:rPr>
                <w:color w:val="auto"/>
                <w:highlight w:val="none"/>
              </w:rPr>
              <w:t>新建</w:t>
            </w:r>
          </w:p>
        </w:tc>
      </w:tr>
      <w:tr w14:paraId="4B8BEA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833" w:hRule="atLeast"/>
          <w:jc w:val="center"/>
        </w:trPr>
        <w:tc>
          <w:tcPr>
            <w:tcW w:w="395" w:type="pct"/>
            <w:gridSpan w:val="2"/>
            <w:vMerge w:val="continue"/>
            <w:tcBorders>
              <w:tl2br w:val="nil"/>
              <w:tr2bl w:val="nil"/>
            </w:tcBorders>
            <w:vAlign w:val="center"/>
          </w:tcPr>
          <w:p w14:paraId="226882A3">
            <w:pPr>
              <w:pStyle w:val="84"/>
              <w:spacing w:line="0" w:lineRule="atLeast"/>
              <w:rPr>
                <w:color w:val="auto"/>
                <w:highlight w:val="cyan"/>
              </w:rPr>
            </w:pPr>
            <w:bookmarkStart w:id="87" w:name="_Hlk148452466"/>
          </w:p>
        </w:tc>
        <w:tc>
          <w:tcPr>
            <w:tcW w:w="471" w:type="pct"/>
            <w:tcBorders>
              <w:tl2br w:val="nil"/>
              <w:tr2bl w:val="nil"/>
            </w:tcBorders>
            <w:vAlign w:val="center"/>
          </w:tcPr>
          <w:p w14:paraId="2FB1EF0F">
            <w:pPr>
              <w:pStyle w:val="84"/>
              <w:spacing w:line="0" w:lineRule="atLeast"/>
              <w:rPr>
                <w:color w:val="auto"/>
                <w:highlight w:val="none"/>
              </w:rPr>
            </w:pPr>
            <w:r>
              <w:rPr>
                <w:rFonts w:hint="eastAsia"/>
                <w:color w:val="auto"/>
                <w:highlight w:val="none"/>
              </w:rPr>
              <w:t>防渗系统</w:t>
            </w:r>
          </w:p>
        </w:tc>
        <w:tc>
          <w:tcPr>
            <w:tcW w:w="3426" w:type="pct"/>
            <w:tcBorders>
              <w:tl2br w:val="nil"/>
              <w:tr2bl w:val="nil"/>
            </w:tcBorders>
            <w:vAlign w:val="center"/>
          </w:tcPr>
          <w:p w14:paraId="128DF3FF">
            <w:pPr>
              <w:keepNext w:val="0"/>
              <w:keepLines w:val="0"/>
              <w:widowControl/>
              <w:suppressLineNumbers w:val="0"/>
              <w:jc w:val="left"/>
              <w:rPr>
                <w:color w:val="auto"/>
                <w:highlight w:val="none"/>
              </w:rPr>
            </w:pPr>
            <w:r>
              <w:rPr>
                <w:rFonts w:hint="eastAsia" w:ascii="宋体" w:hAnsi="宋体" w:cs="宋体"/>
                <w:color w:val="auto"/>
                <w:kern w:val="0"/>
                <w:sz w:val="21"/>
                <w:szCs w:val="21"/>
                <w:highlight w:val="none"/>
                <w:lang w:val="en-US" w:eastAsia="zh-CN" w:bidi="ar"/>
              </w:rPr>
              <w:t>回填区</w:t>
            </w:r>
            <w:r>
              <w:rPr>
                <w:rFonts w:hint="eastAsia" w:ascii="宋体" w:hAnsi="宋体" w:eastAsia="宋体" w:cs="宋体"/>
                <w:color w:val="auto"/>
                <w:kern w:val="0"/>
                <w:sz w:val="21"/>
                <w:szCs w:val="21"/>
                <w:highlight w:val="none"/>
                <w:lang w:val="en-US" w:eastAsia="zh-CN" w:bidi="ar"/>
              </w:rPr>
              <w:t>场</w:t>
            </w:r>
            <w:r>
              <w:rPr>
                <w:rFonts w:hint="eastAsia" w:ascii="Times New Roman" w:hAnsi="Times New Roman" w:eastAsia="宋体" w:cs="Times New Roman"/>
                <w:color w:val="auto"/>
                <w:kern w:val="2"/>
                <w:sz w:val="21"/>
                <w:szCs w:val="21"/>
                <w:highlight w:val="none"/>
                <w:lang w:val="en-US" w:eastAsia="zh-CN" w:bidi="ar-SA"/>
              </w:rPr>
              <w:t>地平整后在场底铺设</w:t>
            </w:r>
            <w:r>
              <w:rPr>
                <w:rFonts w:hint="default" w:ascii="Times New Roman" w:hAnsi="Times New Roman" w:eastAsia="宋体" w:cs="Times New Roman"/>
                <w:color w:val="auto"/>
                <w:kern w:val="2"/>
                <w:sz w:val="21"/>
                <w:szCs w:val="21"/>
                <w:highlight w:val="none"/>
                <w:lang w:val="en-US" w:eastAsia="zh-CN" w:bidi="ar-SA"/>
              </w:rPr>
              <w:t>0.3 m</w:t>
            </w:r>
            <w:r>
              <w:rPr>
                <w:rFonts w:hint="eastAsia" w:ascii="Times New Roman" w:hAnsi="Times New Roman" w:eastAsia="宋体" w:cs="Times New Roman"/>
                <w:color w:val="auto"/>
                <w:kern w:val="2"/>
                <w:sz w:val="21"/>
                <w:szCs w:val="21"/>
                <w:highlight w:val="none"/>
                <w:lang w:val="en-US" w:eastAsia="zh-CN" w:bidi="ar-SA"/>
              </w:rPr>
              <w:t>厚的改性压实粘土压实作为基础层，并对其检测，其防渗性能需满足渗透系数为</w:t>
            </w:r>
            <w:r>
              <w:rPr>
                <w:rFonts w:hint="default" w:ascii="Times New Roman" w:hAnsi="Times New Roman" w:eastAsia="宋体" w:cs="Times New Roman"/>
                <w:color w:val="auto"/>
                <w:kern w:val="2"/>
                <w:sz w:val="21"/>
                <w:szCs w:val="21"/>
                <w:highlight w:val="none"/>
                <w:lang w:val="en-US" w:eastAsia="zh-CN" w:bidi="ar-SA"/>
              </w:rPr>
              <w:t>1.0×10</w:t>
            </w:r>
            <w:r>
              <w:rPr>
                <w:rFonts w:hint="default" w:ascii="Times New Roman" w:hAnsi="Times New Roman" w:eastAsia="宋体" w:cs="Times New Roman"/>
                <w:color w:val="auto"/>
                <w:kern w:val="2"/>
                <w:sz w:val="21"/>
                <w:szCs w:val="21"/>
                <w:highlight w:val="none"/>
                <w:vertAlign w:val="super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 xml:space="preserve"> cm/s</w:t>
            </w:r>
            <w:r>
              <w:rPr>
                <w:rFonts w:hint="eastAsia" w:ascii="Times New Roman" w:hAnsi="Times New Roman" w:eastAsia="宋体" w:cs="Times New Roman"/>
                <w:color w:val="auto"/>
                <w:kern w:val="2"/>
                <w:sz w:val="21"/>
                <w:szCs w:val="21"/>
                <w:highlight w:val="none"/>
                <w:lang w:val="en-US" w:eastAsia="zh-CN" w:bidi="ar-SA"/>
              </w:rPr>
              <w:t>且厚度为</w:t>
            </w:r>
            <w:r>
              <w:rPr>
                <w:rFonts w:hint="default" w:ascii="Times New Roman" w:hAnsi="Times New Roman" w:eastAsia="宋体" w:cs="Times New Roman"/>
                <w:color w:val="auto"/>
                <w:kern w:val="2"/>
                <w:sz w:val="21"/>
                <w:szCs w:val="21"/>
                <w:highlight w:val="none"/>
                <w:lang w:val="en-US" w:eastAsia="zh-CN" w:bidi="ar-SA"/>
              </w:rPr>
              <w:t>0.75 m</w:t>
            </w:r>
            <w:r>
              <w:rPr>
                <w:rFonts w:hint="eastAsia" w:ascii="Times New Roman" w:hAnsi="Times New Roman" w:eastAsia="宋体" w:cs="Times New Roman"/>
                <w:color w:val="auto"/>
                <w:kern w:val="2"/>
                <w:sz w:val="21"/>
                <w:szCs w:val="21"/>
                <w:highlight w:val="none"/>
                <w:lang w:val="en-US" w:eastAsia="zh-CN" w:bidi="ar-SA"/>
              </w:rPr>
              <w:t>的天然基础层后方可回填。淋溶水暂存池要求防渗技术为等效黏土防渗层</w:t>
            </w:r>
            <w:r>
              <w:rPr>
                <w:rFonts w:hint="default" w:ascii="Times New Roman" w:hAnsi="Times New Roman" w:eastAsia="宋体" w:cs="Times New Roman"/>
                <w:color w:val="auto"/>
                <w:kern w:val="2"/>
                <w:sz w:val="21"/>
                <w:szCs w:val="21"/>
                <w:highlight w:val="none"/>
                <w:lang w:val="en-US" w:eastAsia="zh-CN" w:bidi="ar-SA"/>
              </w:rPr>
              <w:t>Mb</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6.0 m</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K</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-7</w:t>
            </w:r>
            <w:r>
              <w:rPr>
                <w:rFonts w:hint="default" w:ascii="Times New Roman" w:hAnsi="Times New Roman" w:eastAsia="宋体" w:cs="Times New Roman"/>
                <w:color w:val="auto"/>
                <w:kern w:val="2"/>
                <w:sz w:val="21"/>
                <w:szCs w:val="21"/>
                <w:highlight w:val="none"/>
                <w:lang w:val="en-US" w:eastAsia="zh-CN" w:bidi="ar-SA"/>
              </w:rPr>
              <w:t xml:space="preserve"> cm/s</w:t>
            </w:r>
            <w:r>
              <w:rPr>
                <w:rFonts w:hint="eastAsia" w:ascii="Times New Roman" w:hAnsi="Times New Roman" w:eastAsia="宋体" w:cs="Times New Roman"/>
                <w:color w:val="auto"/>
                <w:kern w:val="2"/>
                <w:sz w:val="21"/>
                <w:szCs w:val="21"/>
                <w:highlight w:val="none"/>
                <w:lang w:val="en-US" w:eastAsia="zh-CN" w:bidi="ar-SA"/>
              </w:rPr>
              <w:t>，边坡防渗采用粘土填筑压实，防渗材料采用</w:t>
            </w:r>
            <w:r>
              <w:rPr>
                <w:rFonts w:hint="default" w:ascii="Times New Roman" w:hAnsi="Times New Roman" w:eastAsia="宋体" w:cs="Times New Roman"/>
                <w:color w:val="auto"/>
                <w:kern w:val="2"/>
                <w:sz w:val="21"/>
                <w:szCs w:val="21"/>
                <w:highlight w:val="none"/>
                <w:lang w:val="en-US" w:eastAsia="zh-CN" w:bidi="ar-SA"/>
              </w:rPr>
              <w:t>600g/m</w:t>
            </w:r>
            <w:r>
              <w:rPr>
                <w:rFonts w:hint="default" w:ascii="Times New Roman" w:hAnsi="Times New Roman" w:eastAsia="宋体" w:cs="Times New Roman"/>
                <w:color w:val="auto"/>
                <w:kern w:val="2"/>
                <w:sz w:val="21"/>
                <w:szCs w:val="21"/>
                <w:highlight w:val="none"/>
                <w:vertAlign w:val="superscript"/>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长纤无纺土工布</w:t>
            </w:r>
            <w:r>
              <w:rPr>
                <w:rFonts w:hint="default" w:ascii="Times New Roman" w:hAnsi="Times New Roman" w:eastAsia="宋体" w:cs="Times New Roman"/>
                <w:color w:val="auto"/>
                <w:kern w:val="2"/>
                <w:sz w:val="21"/>
                <w:szCs w:val="21"/>
                <w:highlight w:val="none"/>
                <w:lang w:val="en-US" w:eastAsia="zh-CN" w:bidi="ar-SA"/>
              </w:rPr>
              <w:t>+1.5mm</w:t>
            </w:r>
            <w:r>
              <w:rPr>
                <w:rFonts w:hint="eastAsia" w:ascii="Times New Roman" w:hAnsi="Times New Roman" w:eastAsia="宋体" w:cs="Times New Roman"/>
                <w:color w:val="auto"/>
                <w:kern w:val="2"/>
                <w:sz w:val="21"/>
                <w:szCs w:val="21"/>
                <w:highlight w:val="none"/>
                <w:lang w:val="en-US" w:eastAsia="zh-CN" w:bidi="ar-SA"/>
              </w:rPr>
              <w:t>厚</w:t>
            </w:r>
            <w:r>
              <w:rPr>
                <w:rFonts w:hint="default" w:ascii="Times New Roman" w:hAnsi="Times New Roman" w:eastAsia="宋体" w:cs="Times New Roman"/>
                <w:color w:val="auto"/>
                <w:kern w:val="2"/>
                <w:sz w:val="21"/>
                <w:szCs w:val="21"/>
                <w:highlight w:val="none"/>
                <w:lang w:val="en-US" w:eastAsia="zh-CN" w:bidi="ar-SA"/>
              </w:rPr>
              <w:t>HDPE</w:t>
            </w:r>
            <w:r>
              <w:rPr>
                <w:rFonts w:hint="eastAsia" w:ascii="Times New Roman" w:hAnsi="Times New Roman" w:eastAsia="宋体" w:cs="Times New Roman"/>
                <w:color w:val="auto"/>
                <w:kern w:val="2"/>
                <w:sz w:val="21"/>
                <w:szCs w:val="21"/>
                <w:highlight w:val="none"/>
                <w:lang w:val="en-US" w:eastAsia="zh-CN" w:bidi="ar-SA"/>
              </w:rPr>
              <w:t>防渗膜作为人工合成衬层。需保证防渗要求满足《一般工业固体废物贮存和填埋污染控制标准》（</w:t>
            </w:r>
            <w:r>
              <w:rPr>
                <w:rFonts w:hint="default" w:ascii="Times New Roman" w:hAnsi="Times New Roman" w:eastAsia="宋体" w:cs="Times New Roman"/>
                <w:color w:val="auto"/>
                <w:kern w:val="2"/>
                <w:sz w:val="21"/>
                <w:szCs w:val="21"/>
                <w:highlight w:val="none"/>
                <w:lang w:val="en-US" w:eastAsia="zh-CN" w:bidi="ar-SA"/>
              </w:rPr>
              <w:t>GB 18599-2020</w:t>
            </w:r>
            <w:r>
              <w:rPr>
                <w:rFonts w:hint="eastAsia" w:ascii="Times New Roman" w:hAnsi="Times New Roman" w:eastAsia="宋体" w:cs="Times New Roman"/>
                <w:color w:val="auto"/>
                <w:kern w:val="2"/>
                <w:sz w:val="21"/>
                <w:szCs w:val="21"/>
                <w:highlight w:val="none"/>
                <w:lang w:val="en-US" w:eastAsia="zh-CN" w:bidi="ar-SA"/>
              </w:rPr>
              <w:t>）</w:t>
            </w:r>
          </w:p>
        </w:tc>
        <w:tc>
          <w:tcPr>
            <w:tcW w:w="609" w:type="pct"/>
            <w:vMerge w:val="continue"/>
            <w:tcBorders>
              <w:tl2br w:val="nil"/>
              <w:tr2bl w:val="nil"/>
            </w:tcBorders>
            <w:vAlign w:val="center"/>
          </w:tcPr>
          <w:p w14:paraId="108A6913">
            <w:pPr>
              <w:pStyle w:val="84"/>
              <w:spacing w:line="0" w:lineRule="atLeast"/>
              <w:rPr>
                <w:color w:val="auto"/>
                <w:highlight w:val="cyan"/>
              </w:rPr>
            </w:pPr>
          </w:p>
        </w:tc>
      </w:tr>
      <w:bookmarkEnd w:id="87"/>
      <w:tr w14:paraId="0252F6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833" w:hRule="atLeast"/>
          <w:jc w:val="center"/>
        </w:trPr>
        <w:tc>
          <w:tcPr>
            <w:tcW w:w="395" w:type="pct"/>
            <w:gridSpan w:val="2"/>
            <w:vMerge w:val="continue"/>
            <w:tcBorders>
              <w:tl2br w:val="nil"/>
              <w:tr2bl w:val="nil"/>
            </w:tcBorders>
            <w:vAlign w:val="center"/>
          </w:tcPr>
          <w:p w14:paraId="65C44332">
            <w:pPr>
              <w:pStyle w:val="84"/>
              <w:spacing w:line="0" w:lineRule="atLeast"/>
              <w:rPr>
                <w:color w:val="auto"/>
                <w:highlight w:val="cyan"/>
              </w:rPr>
            </w:pPr>
          </w:p>
        </w:tc>
        <w:tc>
          <w:tcPr>
            <w:tcW w:w="471" w:type="pct"/>
            <w:tcBorders>
              <w:tl2br w:val="nil"/>
              <w:tr2bl w:val="nil"/>
            </w:tcBorders>
            <w:vAlign w:val="center"/>
          </w:tcPr>
          <w:p w14:paraId="0E176EDA">
            <w:pPr>
              <w:pStyle w:val="84"/>
              <w:spacing w:line="0" w:lineRule="atLeast"/>
              <w:rPr>
                <w:color w:val="auto"/>
                <w:highlight w:val="none"/>
              </w:rPr>
            </w:pPr>
            <w:r>
              <w:rPr>
                <w:rFonts w:hint="eastAsia"/>
                <w:color w:val="auto"/>
                <w:highlight w:val="none"/>
              </w:rPr>
              <w:t>淋溶水收集</w:t>
            </w:r>
            <w:r>
              <w:rPr>
                <w:color w:val="auto"/>
                <w:highlight w:val="none"/>
              </w:rPr>
              <w:t>导排系统</w:t>
            </w:r>
          </w:p>
        </w:tc>
        <w:tc>
          <w:tcPr>
            <w:tcW w:w="3426" w:type="pct"/>
            <w:tcBorders>
              <w:tl2br w:val="nil"/>
              <w:tr2bl w:val="nil"/>
            </w:tcBorders>
            <w:vAlign w:val="center"/>
          </w:tcPr>
          <w:p w14:paraId="73646667">
            <w:pPr>
              <w:pStyle w:val="84"/>
              <w:spacing w:line="0" w:lineRule="atLeast"/>
              <w:jc w:val="both"/>
              <w:rPr>
                <w:color w:val="auto"/>
                <w:highlight w:val="none"/>
              </w:rPr>
            </w:pPr>
            <w:r>
              <w:rPr>
                <w:rFonts w:hint="eastAsia"/>
                <w:color w:val="auto"/>
                <w:highlight w:val="none"/>
                <w:lang w:eastAsia="zh-CN"/>
              </w:rPr>
              <w:t>东侧</w:t>
            </w:r>
            <w:r>
              <w:rPr>
                <w:rFonts w:hint="eastAsia"/>
                <w:color w:val="auto"/>
                <w:highlight w:val="none"/>
              </w:rPr>
              <w:t>回填</w:t>
            </w:r>
            <w:r>
              <w:rPr>
                <w:color w:val="auto"/>
                <w:highlight w:val="none"/>
              </w:rPr>
              <w:t>区库底</w:t>
            </w:r>
            <w:r>
              <w:rPr>
                <w:rFonts w:hint="eastAsia"/>
                <w:color w:val="auto"/>
                <w:highlight w:val="none"/>
                <w:lang w:eastAsia="zh-CN"/>
              </w:rPr>
              <w:t>西北</w:t>
            </w:r>
            <w:r>
              <w:rPr>
                <w:rFonts w:hint="eastAsia"/>
                <w:color w:val="auto"/>
                <w:highlight w:val="none"/>
              </w:rPr>
              <w:t>至</w:t>
            </w:r>
            <w:r>
              <w:rPr>
                <w:rFonts w:hint="eastAsia"/>
                <w:color w:val="auto"/>
                <w:highlight w:val="none"/>
                <w:lang w:eastAsia="zh-CN"/>
              </w:rPr>
              <w:t>东南</w:t>
            </w:r>
            <w:r>
              <w:rPr>
                <w:color w:val="auto"/>
                <w:highlight w:val="none"/>
              </w:rPr>
              <w:t>方向设置1条</w:t>
            </w:r>
            <w:r>
              <w:rPr>
                <w:rFonts w:hint="eastAsia"/>
                <w:color w:val="auto"/>
                <w:highlight w:val="none"/>
              </w:rPr>
              <w:t>淋溶水</w:t>
            </w:r>
            <w:r>
              <w:rPr>
                <w:color w:val="auto"/>
                <w:highlight w:val="none"/>
              </w:rPr>
              <w:t>导排沟，</w:t>
            </w:r>
            <w:r>
              <w:rPr>
                <w:rFonts w:hint="eastAsia"/>
                <w:color w:val="auto"/>
                <w:highlight w:val="none"/>
                <w:lang w:eastAsia="zh-CN"/>
              </w:rPr>
              <w:t>西侧回填区库底北至南方向</w:t>
            </w:r>
            <w:r>
              <w:rPr>
                <w:color w:val="auto"/>
                <w:highlight w:val="none"/>
              </w:rPr>
              <w:t>设置1条</w:t>
            </w:r>
            <w:r>
              <w:rPr>
                <w:rFonts w:hint="eastAsia"/>
                <w:color w:val="auto"/>
                <w:highlight w:val="none"/>
              </w:rPr>
              <w:t>淋溶水</w:t>
            </w:r>
            <w:r>
              <w:rPr>
                <w:color w:val="auto"/>
                <w:highlight w:val="none"/>
              </w:rPr>
              <w:t>导排</w:t>
            </w:r>
            <w:r>
              <w:rPr>
                <w:rFonts w:hint="eastAsia"/>
                <w:color w:val="auto"/>
                <w:highlight w:val="none"/>
                <w:lang w:eastAsia="zh-CN"/>
              </w:rPr>
              <w:t>，</w:t>
            </w:r>
            <w:r>
              <w:rPr>
                <w:color w:val="auto"/>
                <w:highlight w:val="none"/>
              </w:rPr>
              <w:t>位于</w:t>
            </w:r>
            <w:r>
              <w:rPr>
                <w:rFonts w:hint="eastAsia"/>
                <w:color w:val="auto"/>
                <w:highlight w:val="none"/>
              </w:rPr>
              <w:t>回填区底部</w:t>
            </w:r>
            <w:r>
              <w:rPr>
                <w:color w:val="auto"/>
                <w:highlight w:val="none"/>
              </w:rPr>
              <w:t>，断面采用梯形断面，在沿主</w:t>
            </w:r>
            <w:r>
              <w:rPr>
                <w:rFonts w:hint="eastAsia"/>
                <w:color w:val="auto"/>
                <w:highlight w:val="none"/>
              </w:rPr>
              <w:t>导排</w:t>
            </w:r>
            <w:r>
              <w:rPr>
                <w:color w:val="auto"/>
                <w:highlight w:val="none"/>
              </w:rPr>
              <w:t>沟纵线上，依照场地整平实际地形情况，敷设</w:t>
            </w:r>
            <w:r>
              <w:rPr>
                <w:rFonts w:hint="eastAsia"/>
                <w:color w:val="auto"/>
                <w:highlight w:val="none"/>
              </w:rPr>
              <w:t>淋溶水</w:t>
            </w:r>
            <w:r>
              <w:rPr>
                <w:color w:val="auto"/>
                <w:highlight w:val="none"/>
              </w:rPr>
              <w:t>导排支沟，支沟以45度斜角插入导排主沟，将</w:t>
            </w:r>
            <w:r>
              <w:rPr>
                <w:rFonts w:hint="eastAsia"/>
                <w:color w:val="auto"/>
                <w:highlight w:val="none"/>
              </w:rPr>
              <w:t>极端天气强降雨时期</w:t>
            </w:r>
            <w:r>
              <w:rPr>
                <w:color w:val="auto"/>
                <w:highlight w:val="none"/>
              </w:rPr>
              <w:t>产生的淋</w:t>
            </w:r>
            <w:r>
              <w:rPr>
                <w:rFonts w:hint="eastAsia"/>
                <w:color w:val="auto"/>
                <w:highlight w:val="none"/>
              </w:rPr>
              <w:t>溶</w:t>
            </w:r>
            <w:r>
              <w:rPr>
                <w:color w:val="auto"/>
                <w:highlight w:val="none"/>
              </w:rPr>
              <w:t>水经淋</w:t>
            </w:r>
            <w:r>
              <w:rPr>
                <w:rFonts w:hint="eastAsia"/>
                <w:color w:val="auto"/>
                <w:highlight w:val="none"/>
              </w:rPr>
              <w:t>溶</w:t>
            </w:r>
            <w:r>
              <w:rPr>
                <w:color w:val="auto"/>
                <w:highlight w:val="none"/>
              </w:rPr>
              <w:t>水导排系统收集后</w:t>
            </w:r>
            <w:r>
              <w:rPr>
                <w:rFonts w:hint="eastAsia"/>
                <w:color w:val="auto"/>
                <w:highlight w:val="none"/>
                <w:lang w:eastAsia="zh-CN"/>
              </w:rPr>
              <w:t>分别</w:t>
            </w:r>
            <w:r>
              <w:rPr>
                <w:color w:val="auto"/>
                <w:highlight w:val="none"/>
              </w:rPr>
              <w:t>排入</w:t>
            </w:r>
            <w:r>
              <w:rPr>
                <w:rFonts w:hint="eastAsia"/>
                <w:color w:val="auto"/>
                <w:highlight w:val="none"/>
                <w:lang w:val="en-US" w:eastAsia="zh-CN"/>
              </w:rPr>
              <w:t>80</w:t>
            </w:r>
            <w:r>
              <w:rPr>
                <w:rFonts w:hint="eastAsia"/>
                <w:color w:val="auto"/>
                <w:highlight w:val="none"/>
              </w:rPr>
              <w:t>m</w:t>
            </w:r>
            <w:r>
              <w:rPr>
                <w:rFonts w:hint="eastAsia"/>
                <w:color w:val="auto"/>
                <w:highlight w:val="none"/>
                <w:vertAlign w:val="superscript"/>
              </w:rPr>
              <w:t>3</w:t>
            </w:r>
            <w:r>
              <w:rPr>
                <w:rFonts w:hint="eastAsia"/>
                <w:color w:val="auto"/>
                <w:highlight w:val="none"/>
                <w:vertAlign w:val="baseline"/>
                <w:lang w:eastAsia="zh-CN"/>
              </w:rPr>
              <w:t>、</w:t>
            </w:r>
            <w:r>
              <w:rPr>
                <w:rFonts w:hint="eastAsia"/>
                <w:color w:val="auto"/>
                <w:highlight w:val="none"/>
                <w:vertAlign w:val="baseline"/>
                <w:lang w:val="en-US" w:eastAsia="zh-CN"/>
              </w:rPr>
              <w:t>150m</w:t>
            </w:r>
            <w:r>
              <w:rPr>
                <w:rFonts w:hint="eastAsia"/>
                <w:color w:val="auto"/>
                <w:highlight w:val="none"/>
                <w:vertAlign w:val="superscript"/>
                <w:lang w:val="en-US" w:eastAsia="zh-CN"/>
              </w:rPr>
              <w:t>3</w:t>
            </w:r>
            <w:r>
              <w:rPr>
                <w:rFonts w:hint="eastAsia"/>
                <w:color w:val="auto"/>
                <w:highlight w:val="none"/>
                <w:vertAlign w:val="baseline"/>
                <w:lang w:val="en-US" w:eastAsia="zh-CN"/>
              </w:rPr>
              <w:t>，</w:t>
            </w:r>
            <w:r>
              <w:rPr>
                <w:rFonts w:hint="eastAsia"/>
                <w:color w:val="auto"/>
                <w:highlight w:val="none"/>
              </w:rPr>
              <w:t>暂存池，沉淀后回用于项目区洒水抑尘使用</w:t>
            </w:r>
            <w:r>
              <w:rPr>
                <w:color w:val="auto"/>
                <w:highlight w:val="none"/>
              </w:rPr>
              <w:t>，不外排</w:t>
            </w:r>
            <w:r>
              <w:rPr>
                <w:rFonts w:hint="eastAsia"/>
                <w:color w:val="auto"/>
                <w:highlight w:val="none"/>
              </w:rPr>
              <w:t>。</w:t>
            </w:r>
          </w:p>
        </w:tc>
        <w:tc>
          <w:tcPr>
            <w:tcW w:w="609" w:type="pct"/>
            <w:vMerge w:val="continue"/>
            <w:tcBorders>
              <w:tl2br w:val="nil"/>
              <w:tr2bl w:val="nil"/>
            </w:tcBorders>
            <w:vAlign w:val="center"/>
          </w:tcPr>
          <w:p w14:paraId="3A937219">
            <w:pPr>
              <w:pStyle w:val="84"/>
              <w:spacing w:line="0" w:lineRule="atLeast"/>
              <w:rPr>
                <w:color w:val="auto"/>
                <w:highlight w:val="cyan"/>
              </w:rPr>
            </w:pPr>
          </w:p>
        </w:tc>
      </w:tr>
      <w:tr w14:paraId="4E219F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70" w:hRule="atLeast"/>
          <w:jc w:val="center"/>
        </w:trPr>
        <w:tc>
          <w:tcPr>
            <w:tcW w:w="395" w:type="pct"/>
            <w:gridSpan w:val="2"/>
            <w:vMerge w:val="continue"/>
            <w:tcBorders>
              <w:tl2br w:val="nil"/>
              <w:tr2bl w:val="nil"/>
            </w:tcBorders>
            <w:vAlign w:val="center"/>
          </w:tcPr>
          <w:p w14:paraId="4B574360">
            <w:pPr>
              <w:pStyle w:val="84"/>
              <w:spacing w:line="0" w:lineRule="atLeast"/>
              <w:rPr>
                <w:color w:val="auto"/>
                <w:highlight w:val="cyan"/>
              </w:rPr>
            </w:pPr>
          </w:p>
        </w:tc>
        <w:tc>
          <w:tcPr>
            <w:tcW w:w="471" w:type="pct"/>
            <w:tcBorders>
              <w:tl2br w:val="nil"/>
              <w:tr2bl w:val="nil"/>
            </w:tcBorders>
            <w:vAlign w:val="center"/>
          </w:tcPr>
          <w:p w14:paraId="7BBEC961">
            <w:pPr>
              <w:pStyle w:val="84"/>
              <w:spacing w:line="0" w:lineRule="atLeast"/>
              <w:rPr>
                <w:color w:val="auto"/>
                <w:highlight w:val="none"/>
              </w:rPr>
            </w:pPr>
            <w:r>
              <w:rPr>
                <w:rFonts w:hint="eastAsia"/>
                <w:color w:val="auto"/>
                <w:highlight w:val="none"/>
              </w:rPr>
              <w:t>回填工程</w:t>
            </w:r>
          </w:p>
        </w:tc>
        <w:tc>
          <w:tcPr>
            <w:tcW w:w="3426" w:type="pct"/>
            <w:tcBorders>
              <w:tl2br w:val="nil"/>
              <w:tr2bl w:val="nil"/>
            </w:tcBorders>
            <w:vAlign w:val="center"/>
          </w:tcPr>
          <w:p w14:paraId="0A4B395C">
            <w:pPr>
              <w:pStyle w:val="84"/>
              <w:spacing w:line="0" w:lineRule="atLeast"/>
              <w:jc w:val="both"/>
              <w:rPr>
                <w:color w:val="auto"/>
                <w:highlight w:val="none"/>
              </w:rPr>
            </w:pPr>
            <w:r>
              <w:rPr>
                <w:rFonts w:hint="eastAsia"/>
                <w:color w:val="auto"/>
                <w:highlight w:val="none"/>
              </w:rPr>
              <w:t>回填区</w:t>
            </w:r>
            <w:r>
              <w:rPr>
                <w:color w:val="auto"/>
                <w:highlight w:val="none"/>
              </w:rPr>
              <w:t>面积为</w:t>
            </w:r>
            <w:r>
              <w:rPr>
                <w:rFonts w:hint="eastAsia"/>
                <w:color w:val="auto"/>
                <w:highlight w:val="none"/>
                <w:lang w:val="en-US" w:eastAsia="zh-CN"/>
              </w:rPr>
              <w:t>52320</w:t>
            </w:r>
            <w:r>
              <w:rPr>
                <w:color w:val="auto"/>
                <w:highlight w:val="none"/>
              </w:rPr>
              <w:t>m</w:t>
            </w:r>
            <w:r>
              <w:rPr>
                <w:color w:val="auto"/>
                <w:highlight w:val="none"/>
                <w:vertAlign w:val="superscript"/>
              </w:rPr>
              <w:t>2</w:t>
            </w:r>
            <w:r>
              <w:rPr>
                <w:color w:val="auto"/>
                <w:highlight w:val="none"/>
              </w:rPr>
              <w:t>，</w:t>
            </w:r>
            <w:r>
              <w:rPr>
                <w:rFonts w:hint="eastAsia"/>
                <w:color w:val="auto"/>
                <w:highlight w:val="none"/>
                <w:lang w:eastAsia="zh-CN"/>
              </w:rPr>
              <w:t>灰渣</w:t>
            </w:r>
            <w:r>
              <w:rPr>
                <w:rFonts w:hint="eastAsia"/>
                <w:color w:val="auto"/>
                <w:highlight w:val="none"/>
              </w:rPr>
              <w:t>回填</w:t>
            </w:r>
            <w:r>
              <w:rPr>
                <w:color w:val="auto"/>
                <w:highlight w:val="none"/>
              </w:rPr>
              <w:t>总</w:t>
            </w:r>
            <w:r>
              <w:rPr>
                <w:rFonts w:hint="eastAsia"/>
                <w:color w:val="auto"/>
                <w:highlight w:val="none"/>
              </w:rPr>
              <w:t>量</w:t>
            </w:r>
            <w:r>
              <w:rPr>
                <w:color w:val="auto"/>
                <w:highlight w:val="none"/>
              </w:rPr>
              <w:t>为</w:t>
            </w:r>
            <w:r>
              <w:rPr>
                <w:rFonts w:hint="eastAsia"/>
                <w:color w:val="auto"/>
                <w:highlight w:val="none"/>
                <w:lang w:val="en-US" w:eastAsia="zh-CN"/>
              </w:rPr>
              <w:t>32.76万</w:t>
            </w:r>
            <w:r>
              <w:rPr>
                <w:color w:val="auto"/>
                <w:highlight w:val="none"/>
              </w:rPr>
              <w:t>m</w:t>
            </w:r>
            <w:r>
              <w:rPr>
                <w:color w:val="auto"/>
                <w:highlight w:val="none"/>
                <w:vertAlign w:val="superscript"/>
              </w:rPr>
              <w:t>3</w:t>
            </w:r>
            <w:r>
              <w:rPr>
                <w:color w:val="auto"/>
                <w:highlight w:val="none"/>
              </w:rPr>
              <w:t>，处理规模为</w:t>
            </w:r>
            <w:r>
              <w:rPr>
                <w:rFonts w:hint="eastAsia"/>
                <w:color w:val="auto"/>
                <w:highlight w:val="none"/>
                <w:lang w:val="en-US" w:eastAsia="zh-CN"/>
              </w:rPr>
              <w:t>300m</w:t>
            </w:r>
            <w:r>
              <w:rPr>
                <w:rFonts w:hint="eastAsia"/>
                <w:color w:val="auto"/>
                <w:highlight w:val="none"/>
                <w:vertAlign w:val="superscript"/>
                <w:lang w:val="en-US" w:eastAsia="zh-CN"/>
              </w:rPr>
              <w:t>3</w:t>
            </w:r>
            <w:r>
              <w:rPr>
                <w:color w:val="auto"/>
                <w:highlight w:val="none"/>
              </w:rPr>
              <w:t>/d</w:t>
            </w:r>
            <w:r>
              <w:rPr>
                <w:rFonts w:hint="eastAsia"/>
                <w:color w:val="auto"/>
                <w:highlight w:val="none"/>
              </w:rPr>
              <w:t>。</w:t>
            </w:r>
            <w:r>
              <w:rPr>
                <w:rFonts w:hint="eastAsia"/>
                <w:color w:val="auto"/>
                <w:kern w:val="0"/>
                <w:szCs w:val="24"/>
                <w:highlight w:val="none"/>
                <w:lang w:bidi="ar"/>
              </w:rPr>
              <w:t>本次回填</w:t>
            </w:r>
            <w:r>
              <w:rPr>
                <w:rFonts w:hint="eastAsia"/>
                <w:color w:val="auto"/>
                <w:highlight w:val="none"/>
              </w:rPr>
              <w:t>采</w:t>
            </w:r>
            <w:r>
              <w:rPr>
                <w:rFonts w:hint="eastAsia" w:ascii="宋体" w:hAnsi="宋体" w:eastAsia="宋体" w:cs="宋体"/>
                <w:color w:val="auto"/>
                <w:highlight w:val="none"/>
              </w:rPr>
              <w:t>用“分层摊铺、往返碾压、分单元作业”</w:t>
            </w:r>
            <w:r>
              <w:rPr>
                <w:color w:val="auto"/>
                <w:highlight w:val="none"/>
              </w:rPr>
              <w:t>的回填处理工艺</w:t>
            </w:r>
            <w:r>
              <w:rPr>
                <w:rFonts w:hint="eastAsia"/>
                <w:color w:val="auto"/>
                <w:highlight w:val="none"/>
              </w:rPr>
              <w:t>，单元作业面积1</w:t>
            </w:r>
            <w:r>
              <w:rPr>
                <w:color w:val="auto"/>
                <w:highlight w:val="none"/>
              </w:rPr>
              <w:t>200</w:t>
            </w:r>
            <w:r>
              <w:rPr>
                <w:rFonts w:hint="eastAsia"/>
                <w:color w:val="auto"/>
                <w:highlight w:val="none"/>
              </w:rPr>
              <w:t>m</w:t>
            </w:r>
            <w:r>
              <w:rPr>
                <w:color w:val="auto"/>
                <w:highlight w:val="none"/>
                <w:vertAlign w:val="superscript"/>
              </w:rPr>
              <w:t>2</w:t>
            </w:r>
            <w:r>
              <w:rPr>
                <w:rFonts w:hint="eastAsia"/>
                <w:color w:val="auto"/>
                <w:highlight w:val="none"/>
              </w:rPr>
              <w:t>，</w:t>
            </w:r>
            <w:r>
              <w:rPr>
                <w:color w:val="auto"/>
                <w:highlight w:val="none"/>
              </w:rPr>
              <w:t>每层摊铺厚度不大于1m，</w:t>
            </w:r>
            <w:r>
              <w:rPr>
                <w:rFonts w:hint="eastAsia"/>
                <w:color w:val="auto"/>
                <w:highlight w:val="none"/>
              </w:rPr>
              <w:t>压实系数不小于</w:t>
            </w:r>
            <w:r>
              <w:rPr>
                <w:color w:val="auto"/>
                <w:highlight w:val="none"/>
              </w:rPr>
              <w:t>0.9</w:t>
            </w:r>
            <w:r>
              <w:rPr>
                <w:rFonts w:hint="eastAsia"/>
                <w:color w:val="auto"/>
                <w:highlight w:val="none"/>
              </w:rPr>
              <w:t>。作业时周边设置围挡，高度不小于</w:t>
            </w:r>
            <w:r>
              <w:rPr>
                <w:color w:val="auto"/>
                <w:highlight w:val="none"/>
              </w:rPr>
              <w:t>1.8m，</w:t>
            </w:r>
            <w:r>
              <w:rPr>
                <w:rFonts w:hint="eastAsia"/>
                <w:color w:val="auto"/>
                <w:highlight w:val="none"/>
              </w:rPr>
              <w:t>每日作业后对表面进行苫布覆盖，非作业面以及已碾实的</w:t>
            </w:r>
            <w:r>
              <w:rPr>
                <w:rFonts w:hint="eastAsia"/>
                <w:color w:val="auto"/>
                <w:highlight w:val="none"/>
                <w:lang w:eastAsia="zh-CN"/>
              </w:rPr>
              <w:t>灰渣</w:t>
            </w:r>
            <w:r>
              <w:rPr>
                <w:rFonts w:hint="eastAsia"/>
                <w:color w:val="auto"/>
                <w:highlight w:val="none"/>
              </w:rPr>
              <w:t>表面采用苫布覆盖。</w:t>
            </w:r>
          </w:p>
        </w:tc>
        <w:tc>
          <w:tcPr>
            <w:tcW w:w="609" w:type="pct"/>
            <w:vMerge w:val="continue"/>
            <w:tcBorders>
              <w:tl2br w:val="nil"/>
              <w:tr2bl w:val="nil"/>
            </w:tcBorders>
            <w:vAlign w:val="center"/>
          </w:tcPr>
          <w:p w14:paraId="7001748D">
            <w:pPr>
              <w:pStyle w:val="59"/>
              <w:spacing w:line="0" w:lineRule="atLeast"/>
              <w:ind w:firstLine="480"/>
              <w:jc w:val="center"/>
              <w:rPr>
                <w:rFonts w:cs="Times New Roman"/>
                <w:color w:val="auto"/>
                <w:highlight w:val="cyan"/>
              </w:rPr>
            </w:pPr>
          </w:p>
        </w:tc>
      </w:tr>
      <w:tr w14:paraId="4E45EB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70" w:hRule="atLeast"/>
          <w:jc w:val="center"/>
        </w:trPr>
        <w:tc>
          <w:tcPr>
            <w:tcW w:w="395" w:type="pct"/>
            <w:gridSpan w:val="2"/>
            <w:vMerge w:val="continue"/>
            <w:tcBorders>
              <w:tl2br w:val="nil"/>
              <w:tr2bl w:val="nil"/>
            </w:tcBorders>
            <w:vAlign w:val="center"/>
          </w:tcPr>
          <w:p w14:paraId="09A73471">
            <w:pPr>
              <w:pStyle w:val="84"/>
              <w:spacing w:line="0" w:lineRule="atLeast"/>
              <w:rPr>
                <w:color w:val="auto"/>
                <w:highlight w:val="cyan"/>
              </w:rPr>
            </w:pPr>
          </w:p>
        </w:tc>
        <w:tc>
          <w:tcPr>
            <w:tcW w:w="471" w:type="pct"/>
            <w:tcBorders>
              <w:tl2br w:val="nil"/>
              <w:tr2bl w:val="nil"/>
            </w:tcBorders>
            <w:vAlign w:val="center"/>
          </w:tcPr>
          <w:p w14:paraId="54D76556">
            <w:pPr>
              <w:pStyle w:val="84"/>
              <w:spacing w:line="0" w:lineRule="atLeast"/>
              <w:rPr>
                <w:color w:val="auto"/>
                <w:highlight w:val="none"/>
              </w:rPr>
            </w:pPr>
            <w:r>
              <w:rPr>
                <w:rFonts w:hint="eastAsia"/>
                <w:color w:val="auto"/>
                <w:highlight w:val="none"/>
              </w:rPr>
              <w:t>土地复垦</w:t>
            </w:r>
            <w:r>
              <w:rPr>
                <w:color w:val="auto"/>
                <w:highlight w:val="none"/>
              </w:rPr>
              <w:t>工程</w:t>
            </w:r>
          </w:p>
        </w:tc>
        <w:tc>
          <w:tcPr>
            <w:tcW w:w="3426" w:type="pct"/>
            <w:vAlign w:val="center"/>
          </w:tcPr>
          <w:p w14:paraId="51B21D7A">
            <w:pPr>
              <w:snapToGrid w:val="0"/>
              <w:rPr>
                <w:color w:val="auto"/>
                <w:highlight w:val="none"/>
              </w:rPr>
            </w:pPr>
            <w:r>
              <w:rPr>
                <w:rFonts w:hint="eastAsia"/>
                <w:color w:val="auto"/>
                <w:szCs w:val="21"/>
                <w:highlight w:val="none"/>
                <w:lang w:val="en-US" w:eastAsia="zh-CN" w:bidi="ar"/>
              </w:rPr>
              <w:t>本次修复面积合计78594m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，其中矿坑面积52320m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，工业场地面积26274m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，矿坑区域</w:t>
            </w:r>
            <w:r>
              <w:rPr>
                <w:rFonts w:hint="eastAsia"/>
                <w:color w:val="auto"/>
                <w:szCs w:val="21"/>
                <w:highlight w:val="none"/>
                <w:lang w:bidi="ar"/>
              </w:rPr>
              <w:t>在回填至</w:t>
            </w:r>
            <w:r>
              <w:rPr>
                <w:rFonts w:hint="eastAsia"/>
                <w:color w:val="auto"/>
                <w:szCs w:val="21"/>
                <w:highlight w:val="none"/>
                <w:lang w:val="en-US" w:eastAsia="zh-CN" w:bidi="ar"/>
              </w:rPr>
              <w:t>原有地貌标高</w:t>
            </w:r>
            <w:r>
              <w:rPr>
                <w:rFonts w:hint="eastAsia"/>
                <w:color w:val="auto"/>
                <w:szCs w:val="21"/>
                <w:highlight w:val="none"/>
                <w:lang w:bidi="ar"/>
              </w:rPr>
              <w:t>后统一进行覆土</w:t>
            </w:r>
            <w:r>
              <w:rPr>
                <w:color w:val="auto"/>
                <w:szCs w:val="21"/>
                <w:highlight w:val="none"/>
                <w:lang w:bidi="ar"/>
              </w:rPr>
              <w:t>，</w:t>
            </w:r>
            <w:r>
              <w:rPr>
                <w:rFonts w:hint="eastAsia"/>
                <w:color w:val="auto"/>
                <w:szCs w:val="21"/>
                <w:highlight w:val="none"/>
                <w:lang w:val="en-US" w:eastAsia="zh-CN" w:bidi="ar"/>
              </w:rPr>
              <w:t>工业场地在平整后进行覆土，复垦乔木林地69134m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，旱地9460m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，乔木林地</w:t>
            </w:r>
            <w:r>
              <w:rPr>
                <w:rFonts w:hint="eastAsia"/>
                <w:bCs/>
                <w:color w:val="auto"/>
                <w:szCs w:val="21"/>
                <w:highlight w:val="none"/>
              </w:rPr>
              <w:t>有效土层厚度不低于</w:t>
            </w:r>
            <w:r>
              <w:rPr>
                <w:rFonts w:hint="eastAsia"/>
                <w:bCs/>
                <w:color w:val="auto"/>
                <w:szCs w:val="21"/>
                <w:highlight w:val="none"/>
                <w:lang w:val="en-US" w:eastAsia="zh-CN"/>
              </w:rPr>
              <w:t>30</w:t>
            </w:r>
            <w:r>
              <w:rPr>
                <w:rFonts w:hint="eastAsia"/>
                <w:bCs/>
                <w:color w:val="auto"/>
                <w:szCs w:val="21"/>
                <w:highlight w:val="none"/>
              </w:rPr>
              <w:t>cm，</w:t>
            </w:r>
            <w:r>
              <w:rPr>
                <w:rFonts w:hint="eastAsia"/>
                <w:color w:val="auto"/>
                <w:szCs w:val="21"/>
                <w:highlight w:val="none"/>
                <w:lang w:val="en-US" w:eastAsia="zh-CN" w:bidi="ar"/>
              </w:rPr>
              <w:t>旱地</w:t>
            </w:r>
            <w:r>
              <w:rPr>
                <w:rFonts w:hint="eastAsia"/>
                <w:bCs/>
                <w:color w:val="auto"/>
                <w:szCs w:val="21"/>
                <w:highlight w:val="none"/>
              </w:rPr>
              <w:t>有效土层厚度不低于</w:t>
            </w:r>
            <w:r>
              <w:rPr>
                <w:rFonts w:hint="eastAsia"/>
                <w:bCs/>
                <w:color w:val="auto"/>
                <w:szCs w:val="21"/>
                <w:highlight w:val="none"/>
                <w:lang w:val="en-US" w:eastAsia="zh-CN"/>
              </w:rPr>
              <w:t>80</w:t>
            </w:r>
            <w:r>
              <w:rPr>
                <w:rFonts w:hint="eastAsia"/>
                <w:bCs/>
                <w:color w:val="auto"/>
                <w:szCs w:val="21"/>
                <w:highlight w:val="none"/>
              </w:rPr>
              <w:t>cm</w:t>
            </w:r>
            <w:r>
              <w:rPr>
                <w:rFonts w:hint="eastAsia"/>
                <w:bCs/>
                <w:color w:val="auto"/>
                <w:szCs w:val="21"/>
                <w:highlight w:val="none"/>
                <w:lang w:eastAsia="zh-CN"/>
              </w:rPr>
              <w:t>，</w:t>
            </w:r>
            <w:r>
              <w:rPr>
                <w:rFonts w:hint="eastAsia"/>
                <w:bCs/>
                <w:color w:val="auto"/>
                <w:szCs w:val="21"/>
                <w:highlight w:val="none"/>
              </w:rPr>
              <w:t>土壤质量应满足《土壤环境质量 农用地土壤污染风险管控标准（试行）》（GB15618-2018）要求，土地复垦实施过程应满足《土地复垦质量控制标准》（TD/T1036-2013）规定的相关土地复垦质量控制要求。</w:t>
            </w:r>
          </w:p>
        </w:tc>
        <w:tc>
          <w:tcPr>
            <w:tcW w:w="609" w:type="pct"/>
            <w:vMerge w:val="continue"/>
            <w:tcBorders>
              <w:tl2br w:val="nil"/>
              <w:tr2bl w:val="nil"/>
            </w:tcBorders>
            <w:vAlign w:val="center"/>
          </w:tcPr>
          <w:p w14:paraId="7B7C9192">
            <w:pPr>
              <w:pStyle w:val="59"/>
              <w:spacing w:line="0" w:lineRule="atLeast"/>
              <w:ind w:firstLine="480"/>
              <w:jc w:val="center"/>
              <w:rPr>
                <w:rFonts w:cs="Times New Roman"/>
                <w:color w:val="auto"/>
                <w:highlight w:val="cyan"/>
              </w:rPr>
            </w:pPr>
          </w:p>
        </w:tc>
      </w:tr>
      <w:tr w14:paraId="2C00BE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32" w:hRule="atLeast"/>
          <w:jc w:val="center"/>
        </w:trPr>
        <w:tc>
          <w:tcPr>
            <w:tcW w:w="395" w:type="pct"/>
            <w:gridSpan w:val="2"/>
            <w:vMerge w:val="restart"/>
            <w:tcBorders>
              <w:tl2br w:val="nil"/>
              <w:tr2bl w:val="nil"/>
            </w:tcBorders>
            <w:vAlign w:val="center"/>
          </w:tcPr>
          <w:p w14:paraId="45568B4B">
            <w:pPr>
              <w:pStyle w:val="84"/>
              <w:spacing w:line="0" w:lineRule="atLeast"/>
              <w:rPr>
                <w:color w:val="auto"/>
                <w:highlight w:val="none"/>
              </w:rPr>
            </w:pPr>
            <w:r>
              <w:rPr>
                <w:rFonts w:hint="eastAsia"/>
                <w:color w:val="auto"/>
                <w:highlight w:val="none"/>
              </w:rPr>
              <w:t>辅助工程</w:t>
            </w:r>
          </w:p>
        </w:tc>
        <w:tc>
          <w:tcPr>
            <w:tcW w:w="471" w:type="pct"/>
            <w:tcBorders>
              <w:tl2br w:val="nil"/>
              <w:tr2bl w:val="nil"/>
            </w:tcBorders>
            <w:vAlign w:val="center"/>
          </w:tcPr>
          <w:p w14:paraId="05AB8AAD">
            <w:pPr>
              <w:pStyle w:val="84"/>
              <w:spacing w:line="0" w:lineRule="atLeast"/>
              <w:rPr>
                <w:color w:val="auto"/>
                <w:highlight w:val="none"/>
              </w:rPr>
            </w:pPr>
            <w:r>
              <w:rPr>
                <w:rFonts w:hint="eastAsia"/>
                <w:color w:val="auto"/>
                <w:kern w:val="0"/>
                <w:highlight w:val="none"/>
              </w:rPr>
              <w:t>场外</w:t>
            </w:r>
            <w:r>
              <w:rPr>
                <w:color w:val="auto"/>
                <w:kern w:val="0"/>
                <w:highlight w:val="none"/>
              </w:rPr>
              <w:t>排水</w:t>
            </w:r>
            <w:r>
              <w:rPr>
                <w:rFonts w:hint="eastAsia"/>
                <w:color w:val="auto"/>
                <w:kern w:val="0"/>
                <w:highlight w:val="none"/>
              </w:rPr>
              <w:t>沟</w:t>
            </w:r>
          </w:p>
        </w:tc>
        <w:tc>
          <w:tcPr>
            <w:tcW w:w="3426" w:type="pct"/>
            <w:tcBorders>
              <w:tl2br w:val="nil"/>
              <w:tr2bl w:val="nil"/>
            </w:tcBorders>
            <w:vAlign w:val="center"/>
          </w:tcPr>
          <w:p w14:paraId="2EF3ACFD">
            <w:pPr>
              <w:pStyle w:val="84"/>
              <w:spacing w:line="0" w:lineRule="atLeast"/>
              <w:jc w:val="both"/>
              <w:rPr>
                <w:color w:val="auto"/>
                <w:highlight w:val="none"/>
              </w:rPr>
            </w:pPr>
            <w:r>
              <w:rPr>
                <w:color w:val="auto"/>
                <w:highlight w:val="none"/>
              </w:rPr>
              <w:t>本工程在</w:t>
            </w:r>
            <w:r>
              <w:rPr>
                <w:rFonts w:hint="eastAsia"/>
                <w:color w:val="auto"/>
                <w:highlight w:val="none"/>
                <w:lang w:val="en-US" w:eastAsia="zh-CN"/>
              </w:rPr>
              <w:t>修复区域</w:t>
            </w:r>
            <w:r>
              <w:rPr>
                <w:rFonts w:hint="eastAsia"/>
                <w:color w:val="auto"/>
                <w:highlight w:val="none"/>
              </w:rPr>
              <w:t>四周</w:t>
            </w:r>
            <w:r>
              <w:rPr>
                <w:color w:val="auto"/>
                <w:highlight w:val="none"/>
              </w:rPr>
              <w:t>设置排水沟，将整个</w:t>
            </w:r>
            <w:r>
              <w:rPr>
                <w:rFonts w:hint="eastAsia"/>
                <w:color w:val="auto"/>
                <w:highlight w:val="none"/>
              </w:rPr>
              <w:t>回填</w:t>
            </w:r>
            <w:r>
              <w:rPr>
                <w:color w:val="auto"/>
                <w:highlight w:val="none"/>
              </w:rPr>
              <w:t>场地与场外其他区域分开，未受污染的雨水沿防坡面排入排水沟内，最终排入厂区</w:t>
            </w:r>
            <w:r>
              <w:rPr>
                <w:rFonts w:hint="eastAsia"/>
                <w:color w:val="auto"/>
                <w:highlight w:val="none"/>
                <w:lang w:val="en-US" w:eastAsia="zh-CN"/>
              </w:rPr>
              <w:t>西南</w:t>
            </w:r>
            <w:r>
              <w:rPr>
                <w:rFonts w:hint="eastAsia"/>
                <w:color w:val="auto"/>
                <w:highlight w:val="none"/>
              </w:rPr>
              <w:t>侧</w:t>
            </w:r>
            <w:r>
              <w:rPr>
                <w:rFonts w:hint="eastAsia"/>
                <w:color w:val="auto"/>
                <w:kern w:val="0"/>
                <w:highlight w:val="none"/>
              </w:rPr>
              <w:t>自然冲沟内。</w:t>
            </w:r>
          </w:p>
        </w:tc>
        <w:tc>
          <w:tcPr>
            <w:tcW w:w="609" w:type="pct"/>
            <w:tcBorders>
              <w:tl2br w:val="nil"/>
              <w:tr2bl w:val="nil"/>
            </w:tcBorders>
            <w:vAlign w:val="center"/>
          </w:tcPr>
          <w:p w14:paraId="2C7B1FA2">
            <w:pPr>
              <w:pStyle w:val="59"/>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新建</w:t>
            </w:r>
          </w:p>
        </w:tc>
      </w:tr>
      <w:tr w14:paraId="05D91E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32" w:hRule="atLeast"/>
          <w:jc w:val="center"/>
        </w:trPr>
        <w:tc>
          <w:tcPr>
            <w:tcW w:w="395" w:type="pct"/>
            <w:gridSpan w:val="2"/>
            <w:vMerge w:val="continue"/>
            <w:tcBorders>
              <w:tl2br w:val="nil"/>
              <w:tr2bl w:val="nil"/>
            </w:tcBorders>
            <w:vAlign w:val="center"/>
          </w:tcPr>
          <w:p w14:paraId="4CC76606">
            <w:pPr>
              <w:pStyle w:val="84"/>
              <w:spacing w:line="0" w:lineRule="atLeast"/>
              <w:rPr>
                <w:color w:val="auto"/>
                <w:highlight w:val="cyan"/>
              </w:rPr>
            </w:pPr>
          </w:p>
        </w:tc>
        <w:tc>
          <w:tcPr>
            <w:tcW w:w="471" w:type="pct"/>
            <w:tcBorders>
              <w:tl2br w:val="nil"/>
              <w:tr2bl w:val="nil"/>
            </w:tcBorders>
            <w:vAlign w:val="center"/>
          </w:tcPr>
          <w:p w14:paraId="5C4259E9">
            <w:pPr>
              <w:pStyle w:val="84"/>
              <w:spacing w:line="0" w:lineRule="atLeast"/>
              <w:rPr>
                <w:color w:val="auto"/>
                <w:kern w:val="0"/>
                <w:highlight w:val="none"/>
              </w:rPr>
            </w:pPr>
            <w:r>
              <w:rPr>
                <w:rFonts w:hint="eastAsia"/>
                <w:color w:val="auto"/>
                <w:kern w:val="0"/>
                <w:highlight w:val="none"/>
              </w:rPr>
              <w:t>办公生活区</w:t>
            </w:r>
          </w:p>
        </w:tc>
        <w:tc>
          <w:tcPr>
            <w:tcW w:w="3426" w:type="pct"/>
            <w:tcBorders>
              <w:tl2br w:val="nil"/>
              <w:tr2bl w:val="nil"/>
            </w:tcBorders>
            <w:vAlign w:val="center"/>
          </w:tcPr>
          <w:p w14:paraId="78F4071E">
            <w:pPr>
              <w:pStyle w:val="84"/>
              <w:spacing w:line="0" w:lineRule="atLeast"/>
              <w:jc w:val="both"/>
              <w:rPr>
                <w:color w:val="auto"/>
                <w:highlight w:val="none"/>
              </w:rPr>
            </w:pPr>
            <w:r>
              <w:rPr>
                <w:rFonts w:hint="eastAsia"/>
                <w:color w:val="auto"/>
                <w:highlight w:val="none"/>
              </w:rPr>
              <w:t>回填区不设置办公生活区，办公生活区依托</w:t>
            </w:r>
            <w:r>
              <w:rPr>
                <w:rFonts w:hint="eastAsia"/>
                <w:color w:val="auto"/>
                <w:highlight w:val="none"/>
                <w:lang w:val="en-US" w:eastAsia="zh-CN"/>
              </w:rPr>
              <w:t>新泉村五队</w:t>
            </w:r>
            <w:r>
              <w:rPr>
                <w:rFonts w:hint="eastAsia"/>
                <w:color w:val="auto"/>
                <w:highlight w:val="none"/>
              </w:rPr>
              <w:t>租赁的民房。</w:t>
            </w:r>
          </w:p>
        </w:tc>
        <w:tc>
          <w:tcPr>
            <w:tcW w:w="609" w:type="pct"/>
            <w:tcBorders>
              <w:tl2br w:val="nil"/>
              <w:tr2bl w:val="nil"/>
            </w:tcBorders>
            <w:vAlign w:val="center"/>
          </w:tcPr>
          <w:p w14:paraId="07B09C7D">
            <w:pPr>
              <w:pStyle w:val="59"/>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依托</w:t>
            </w:r>
          </w:p>
        </w:tc>
      </w:tr>
      <w:tr w14:paraId="12F05F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32" w:hRule="atLeast"/>
          <w:jc w:val="center"/>
        </w:trPr>
        <w:tc>
          <w:tcPr>
            <w:tcW w:w="395" w:type="pct"/>
            <w:gridSpan w:val="2"/>
            <w:vMerge w:val="continue"/>
            <w:tcBorders>
              <w:tl2br w:val="nil"/>
              <w:tr2bl w:val="nil"/>
            </w:tcBorders>
            <w:vAlign w:val="center"/>
          </w:tcPr>
          <w:p w14:paraId="222116DE">
            <w:pPr>
              <w:pStyle w:val="84"/>
              <w:spacing w:line="0" w:lineRule="atLeast"/>
              <w:rPr>
                <w:color w:val="auto"/>
                <w:highlight w:val="cyan"/>
              </w:rPr>
            </w:pPr>
          </w:p>
        </w:tc>
        <w:tc>
          <w:tcPr>
            <w:tcW w:w="471" w:type="pct"/>
            <w:tcBorders>
              <w:tl2br w:val="nil"/>
              <w:tr2bl w:val="nil"/>
            </w:tcBorders>
            <w:vAlign w:val="center"/>
          </w:tcPr>
          <w:p w14:paraId="46722D46">
            <w:pPr>
              <w:pStyle w:val="84"/>
              <w:spacing w:line="0" w:lineRule="atLeast"/>
              <w:rPr>
                <w:rFonts w:hint="default" w:eastAsia="宋体"/>
                <w:color w:val="auto"/>
                <w:kern w:val="0"/>
                <w:highlight w:val="none"/>
                <w:lang w:val="en-US" w:eastAsia="zh-CN"/>
              </w:rPr>
            </w:pPr>
            <w:r>
              <w:rPr>
                <w:rFonts w:hint="eastAsia"/>
                <w:color w:val="auto"/>
                <w:kern w:val="0"/>
                <w:highlight w:val="none"/>
                <w:lang w:val="en-US" w:eastAsia="zh-CN"/>
              </w:rPr>
              <w:t>车辆清洗</w:t>
            </w:r>
          </w:p>
        </w:tc>
        <w:tc>
          <w:tcPr>
            <w:tcW w:w="3426" w:type="pct"/>
            <w:tcBorders>
              <w:tl2br w:val="nil"/>
              <w:tr2bl w:val="nil"/>
            </w:tcBorders>
            <w:vAlign w:val="center"/>
          </w:tcPr>
          <w:p w14:paraId="60929226">
            <w:pPr>
              <w:pStyle w:val="84"/>
              <w:keepNext w:val="0"/>
              <w:keepLines w:val="0"/>
              <w:pageBreakBefore w:val="0"/>
              <w:widowControl w:val="0"/>
              <w:kinsoku/>
              <w:wordWrap/>
              <w:overflowPunct/>
              <w:topLinePunct w:val="0"/>
              <w:autoSpaceDE/>
              <w:autoSpaceDN/>
              <w:bidi w:val="0"/>
              <w:adjustRightInd w:val="0"/>
              <w:snapToGrid w:val="0"/>
              <w:spacing w:line="240" w:lineRule="auto"/>
              <w:jc w:val="both"/>
              <w:textAlignment w:val="auto"/>
              <w:rPr>
                <w:rFonts w:hint="eastAsia" w:eastAsia="宋体"/>
                <w:color w:val="auto"/>
                <w:highlight w:val="none"/>
                <w:lang w:eastAsia="zh-CN"/>
              </w:rPr>
            </w:pPr>
            <w:r>
              <w:rPr>
                <w:rFonts w:hint="eastAsia"/>
                <w:color w:val="auto"/>
                <w:highlight w:val="none"/>
                <w:lang w:eastAsia="zh-CN"/>
              </w:rPr>
              <w:t>本项目灰渣运输车辆均为密闭式，厂区内不设置洗车区域，车辆定期在厂外清洗。</w:t>
            </w:r>
          </w:p>
        </w:tc>
        <w:tc>
          <w:tcPr>
            <w:tcW w:w="609" w:type="pct"/>
            <w:tcBorders>
              <w:tl2br w:val="nil"/>
              <w:tr2bl w:val="nil"/>
            </w:tcBorders>
            <w:vAlign w:val="center"/>
          </w:tcPr>
          <w:p w14:paraId="6A52FC40">
            <w:pPr>
              <w:pStyle w:val="59"/>
              <w:spacing w:line="0" w:lineRule="atLeast"/>
              <w:ind w:firstLine="0" w:firstLineChars="0"/>
              <w:jc w:val="center"/>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r>
      <w:tr w14:paraId="46DDAB8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406" w:hRule="atLeast"/>
          <w:jc w:val="center"/>
        </w:trPr>
        <w:tc>
          <w:tcPr>
            <w:tcW w:w="395" w:type="pct"/>
            <w:gridSpan w:val="2"/>
            <w:vMerge w:val="restart"/>
            <w:tcBorders>
              <w:tl2br w:val="nil"/>
              <w:tr2bl w:val="nil"/>
            </w:tcBorders>
            <w:vAlign w:val="center"/>
          </w:tcPr>
          <w:p w14:paraId="7328C77D">
            <w:pPr>
              <w:pStyle w:val="84"/>
              <w:spacing w:line="0" w:lineRule="atLeast"/>
              <w:rPr>
                <w:color w:val="auto"/>
                <w:highlight w:val="none"/>
              </w:rPr>
            </w:pPr>
            <w:r>
              <w:rPr>
                <w:color w:val="auto"/>
                <w:highlight w:val="none"/>
              </w:rPr>
              <w:t>储运工程</w:t>
            </w:r>
          </w:p>
        </w:tc>
        <w:tc>
          <w:tcPr>
            <w:tcW w:w="471" w:type="pct"/>
            <w:tcBorders>
              <w:tl2br w:val="nil"/>
              <w:tr2bl w:val="nil"/>
            </w:tcBorders>
            <w:vAlign w:val="center"/>
          </w:tcPr>
          <w:p w14:paraId="69453179">
            <w:pPr>
              <w:pStyle w:val="84"/>
              <w:spacing w:line="0" w:lineRule="atLeast"/>
              <w:rPr>
                <w:color w:val="auto"/>
                <w:highlight w:val="none"/>
              </w:rPr>
            </w:pPr>
            <w:r>
              <w:rPr>
                <w:rFonts w:hint="eastAsia"/>
                <w:color w:val="auto"/>
                <w:highlight w:val="none"/>
                <w:lang w:eastAsia="zh-CN"/>
              </w:rPr>
              <w:t>灰渣</w:t>
            </w:r>
            <w:r>
              <w:rPr>
                <w:rFonts w:hint="eastAsia"/>
                <w:color w:val="auto"/>
                <w:highlight w:val="none"/>
              </w:rPr>
              <w:t>运输车辆及运输路线</w:t>
            </w:r>
          </w:p>
        </w:tc>
        <w:tc>
          <w:tcPr>
            <w:tcW w:w="3426" w:type="pct"/>
            <w:tcBorders>
              <w:tl2br w:val="nil"/>
              <w:tr2bl w:val="nil"/>
            </w:tcBorders>
            <w:vAlign w:val="center"/>
          </w:tcPr>
          <w:p w14:paraId="15A694D4">
            <w:pPr>
              <w:pStyle w:val="84"/>
              <w:spacing w:line="0" w:lineRule="atLeast"/>
              <w:jc w:val="both"/>
              <w:rPr>
                <w:color w:val="auto"/>
                <w:highlight w:val="none"/>
              </w:rPr>
            </w:pPr>
            <w:r>
              <w:rPr>
                <w:rFonts w:hint="eastAsia"/>
                <w:color w:val="auto"/>
                <w:kern w:val="0"/>
                <w:highlight w:val="none"/>
              </w:rPr>
              <w:t>本项目回填</w:t>
            </w:r>
            <w:r>
              <w:rPr>
                <w:rFonts w:hint="eastAsia"/>
                <w:color w:val="auto"/>
                <w:kern w:val="0"/>
                <w:highlight w:val="none"/>
                <w:lang w:eastAsia="zh-CN"/>
              </w:rPr>
              <w:t>灰渣</w:t>
            </w:r>
            <w:r>
              <w:rPr>
                <w:rFonts w:hint="eastAsia"/>
                <w:color w:val="auto"/>
                <w:kern w:val="0"/>
                <w:highlight w:val="none"/>
              </w:rPr>
              <w:t>由</w:t>
            </w:r>
            <w:r>
              <w:rPr>
                <w:rFonts w:hint="eastAsia"/>
                <w:snapToGrid w:val="0"/>
                <w:color w:val="auto"/>
                <w:highlight w:val="none"/>
                <w:lang w:val="en-US" w:eastAsia="zh-CN"/>
              </w:rPr>
              <w:t>鸡东县嘉翼商贸有限公司</w:t>
            </w:r>
            <w:r>
              <w:rPr>
                <w:rFonts w:hint="eastAsia"/>
                <w:color w:val="auto"/>
                <w:kern w:val="0"/>
                <w:highlight w:val="none"/>
              </w:rPr>
              <w:t>负责运输至项目场地，每次运输量</w:t>
            </w:r>
            <w:r>
              <w:rPr>
                <w:color w:val="auto"/>
                <w:kern w:val="0"/>
                <w:highlight w:val="none"/>
              </w:rPr>
              <w:t>50</w:t>
            </w:r>
            <w:r>
              <w:rPr>
                <w:rFonts w:hint="eastAsia"/>
                <w:color w:val="auto"/>
                <w:kern w:val="0"/>
                <w:highlight w:val="none"/>
              </w:rPr>
              <w:t>t，每天运输</w:t>
            </w:r>
            <w:r>
              <w:rPr>
                <w:rFonts w:hint="eastAsia"/>
                <w:color w:val="auto"/>
                <w:kern w:val="0"/>
                <w:highlight w:val="none"/>
                <w:lang w:val="en-US" w:eastAsia="zh-CN"/>
              </w:rPr>
              <w:t>6</w:t>
            </w:r>
            <w:r>
              <w:rPr>
                <w:rFonts w:hint="eastAsia"/>
                <w:color w:val="auto"/>
                <w:kern w:val="0"/>
                <w:highlight w:val="none"/>
              </w:rPr>
              <w:t>车。运输路线由</w:t>
            </w:r>
            <w:r>
              <w:rPr>
                <w:rFonts w:hint="eastAsia"/>
                <w:snapToGrid w:val="0"/>
                <w:color w:val="auto"/>
                <w:highlight w:val="none"/>
                <w:lang w:val="en-US" w:eastAsia="zh-CN"/>
              </w:rPr>
              <w:t>黑龙江醇能热电有限公司</w:t>
            </w:r>
            <w:r>
              <w:rPr>
                <w:rFonts w:hint="eastAsia"/>
                <w:color w:val="auto"/>
                <w:kern w:val="0"/>
                <w:highlight w:val="none"/>
              </w:rPr>
              <w:t>向</w:t>
            </w:r>
            <w:r>
              <w:rPr>
                <w:rFonts w:hint="eastAsia"/>
                <w:color w:val="auto"/>
                <w:kern w:val="0"/>
                <w:highlight w:val="none"/>
                <w:lang w:val="en-US" w:eastAsia="zh-CN"/>
              </w:rPr>
              <w:t>西经G331国道、村路</w:t>
            </w:r>
            <w:r>
              <w:rPr>
                <w:rFonts w:hint="eastAsia"/>
                <w:color w:val="auto"/>
                <w:kern w:val="0"/>
                <w:highlight w:val="none"/>
              </w:rPr>
              <w:t>进入回填区。运输路线总长约</w:t>
            </w:r>
            <w:r>
              <w:rPr>
                <w:rFonts w:hint="eastAsia"/>
                <w:color w:val="auto"/>
                <w:kern w:val="0"/>
                <w:highlight w:val="none"/>
                <w:lang w:val="en-US" w:eastAsia="zh-CN"/>
              </w:rPr>
              <w:t>20</w:t>
            </w:r>
            <w:r>
              <w:rPr>
                <w:rFonts w:hint="eastAsia"/>
                <w:color w:val="auto"/>
                <w:kern w:val="0"/>
                <w:highlight w:val="none"/>
              </w:rPr>
              <w:t>公里，到达废弃采坑后，直接拉运至分区回填单元。</w:t>
            </w:r>
          </w:p>
        </w:tc>
        <w:tc>
          <w:tcPr>
            <w:tcW w:w="609" w:type="pct"/>
            <w:tcBorders>
              <w:tl2br w:val="nil"/>
              <w:tr2bl w:val="nil"/>
            </w:tcBorders>
            <w:vAlign w:val="center"/>
          </w:tcPr>
          <w:p w14:paraId="18EF5A03">
            <w:pPr>
              <w:pStyle w:val="59"/>
              <w:spacing w:line="0" w:lineRule="atLeast"/>
              <w:ind w:firstLine="0" w:firstLineChars="0"/>
              <w:jc w:val="center"/>
              <w:rPr>
                <w:rFonts w:cs="Times New Roman"/>
                <w:color w:val="auto"/>
                <w:sz w:val="21"/>
                <w:szCs w:val="21"/>
                <w:highlight w:val="none"/>
              </w:rPr>
            </w:pPr>
            <w:r>
              <w:rPr>
                <w:color w:val="auto"/>
                <w:sz w:val="21"/>
                <w:szCs w:val="21"/>
                <w:highlight w:val="none"/>
              </w:rPr>
              <w:t>新建</w:t>
            </w:r>
          </w:p>
        </w:tc>
      </w:tr>
      <w:tr w14:paraId="3C2CBD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406" w:hRule="atLeast"/>
          <w:jc w:val="center"/>
        </w:trPr>
        <w:tc>
          <w:tcPr>
            <w:tcW w:w="395" w:type="pct"/>
            <w:gridSpan w:val="2"/>
            <w:vMerge w:val="continue"/>
            <w:tcBorders>
              <w:tl2br w:val="nil"/>
              <w:tr2bl w:val="nil"/>
            </w:tcBorders>
            <w:vAlign w:val="center"/>
          </w:tcPr>
          <w:p w14:paraId="1334E75A">
            <w:pPr>
              <w:pStyle w:val="84"/>
              <w:spacing w:line="0" w:lineRule="atLeast"/>
              <w:rPr>
                <w:color w:val="auto"/>
                <w:highlight w:val="none"/>
              </w:rPr>
            </w:pPr>
          </w:p>
        </w:tc>
        <w:tc>
          <w:tcPr>
            <w:tcW w:w="471" w:type="pct"/>
            <w:tcBorders>
              <w:tl2br w:val="nil"/>
              <w:tr2bl w:val="nil"/>
            </w:tcBorders>
            <w:vAlign w:val="center"/>
          </w:tcPr>
          <w:p w14:paraId="7C4816F4">
            <w:pPr>
              <w:pStyle w:val="84"/>
              <w:spacing w:line="0" w:lineRule="atLeast"/>
              <w:rPr>
                <w:color w:val="auto"/>
                <w:highlight w:val="none"/>
              </w:rPr>
            </w:pPr>
            <w:r>
              <w:rPr>
                <w:rFonts w:hint="eastAsia"/>
                <w:color w:val="auto"/>
                <w:highlight w:val="none"/>
              </w:rPr>
              <w:t>进场道路</w:t>
            </w:r>
          </w:p>
        </w:tc>
        <w:tc>
          <w:tcPr>
            <w:tcW w:w="3426" w:type="pct"/>
            <w:tcBorders>
              <w:tl2br w:val="nil"/>
              <w:tr2bl w:val="nil"/>
            </w:tcBorders>
            <w:vAlign w:val="center"/>
          </w:tcPr>
          <w:p w14:paraId="54B78FFA">
            <w:pPr>
              <w:pStyle w:val="84"/>
              <w:spacing w:line="0" w:lineRule="atLeast"/>
              <w:rPr>
                <w:color w:val="auto"/>
                <w:highlight w:val="none"/>
              </w:rPr>
            </w:pPr>
            <w:r>
              <w:rPr>
                <w:rFonts w:hint="eastAsia"/>
                <w:color w:val="auto"/>
                <w:highlight w:val="none"/>
                <w:lang w:val="en-US" w:eastAsia="zh-CN"/>
              </w:rPr>
              <w:t>依托现有</w:t>
            </w:r>
            <w:r>
              <w:rPr>
                <w:rFonts w:hint="eastAsia"/>
                <w:color w:val="auto"/>
                <w:highlight w:val="none"/>
              </w:rPr>
              <w:t>建成进场道路</w:t>
            </w:r>
            <w:r>
              <w:rPr>
                <w:rFonts w:hint="eastAsia"/>
                <w:color w:val="auto"/>
                <w:highlight w:val="none"/>
                <w:lang w:val="en-US" w:eastAsia="zh-CN"/>
              </w:rPr>
              <w:t>600</w:t>
            </w:r>
            <w:r>
              <w:rPr>
                <w:color w:val="auto"/>
                <w:highlight w:val="none"/>
              </w:rPr>
              <w:t>m</w:t>
            </w:r>
            <w:r>
              <w:rPr>
                <w:rFonts w:hint="eastAsia"/>
                <w:color w:val="auto"/>
                <w:highlight w:val="none"/>
              </w:rPr>
              <w:t>，道路宽</w:t>
            </w:r>
            <w:r>
              <w:rPr>
                <w:rFonts w:hint="eastAsia"/>
                <w:color w:val="auto"/>
                <w:highlight w:val="none"/>
                <w:lang w:val="en-US" w:eastAsia="zh-CN"/>
              </w:rPr>
              <w:t>6</w:t>
            </w:r>
            <w:r>
              <w:rPr>
                <w:rFonts w:hint="eastAsia"/>
                <w:color w:val="auto"/>
                <w:highlight w:val="none"/>
              </w:rPr>
              <w:t>m，可满足要求</w:t>
            </w:r>
          </w:p>
        </w:tc>
        <w:tc>
          <w:tcPr>
            <w:tcW w:w="609" w:type="pct"/>
            <w:tcBorders>
              <w:tl2br w:val="nil"/>
              <w:tr2bl w:val="nil"/>
            </w:tcBorders>
            <w:vAlign w:val="center"/>
          </w:tcPr>
          <w:p w14:paraId="5C34A984">
            <w:pPr>
              <w:pStyle w:val="59"/>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依托</w:t>
            </w:r>
          </w:p>
        </w:tc>
      </w:tr>
      <w:tr w14:paraId="2FF55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406" w:hRule="atLeast"/>
          <w:jc w:val="center"/>
        </w:trPr>
        <w:tc>
          <w:tcPr>
            <w:tcW w:w="395" w:type="pct"/>
            <w:gridSpan w:val="2"/>
            <w:vMerge w:val="continue"/>
            <w:tcBorders>
              <w:tl2br w:val="nil"/>
              <w:tr2bl w:val="nil"/>
            </w:tcBorders>
            <w:vAlign w:val="center"/>
          </w:tcPr>
          <w:p w14:paraId="438E7929">
            <w:pPr>
              <w:pStyle w:val="84"/>
              <w:spacing w:line="0" w:lineRule="atLeast"/>
              <w:rPr>
                <w:color w:val="auto"/>
                <w:highlight w:val="none"/>
              </w:rPr>
            </w:pPr>
          </w:p>
        </w:tc>
        <w:tc>
          <w:tcPr>
            <w:tcW w:w="471" w:type="pct"/>
            <w:tcBorders>
              <w:tl2br w:val="nil"/>
              <w:tr2bl w:val="nil"/>
            </w:tcBorders>
            <w:vAlign w:val="center"/>
          </w:tcPr>
          <w:p w14:paraId="2DD8D0B5">
            <w:pPr>
              <w:pStyle w:val="84"/>
              <w:spacing w:line="0" w:lineRule="atLeast"/>
              <w:rPr>
                <w:color w:val="auto"/>
                <w:highlight w:val="none"/>
              </w:rPr>
            </w:pPr>
            <w:r>
              <w:rPr>
                <w:rFonts w:hint="eastAsia"/>
                <w:color w:val="auto"/>
                <w:highlight w:val="none"/>
              </w:rPr>
              <w:t>覆土堆场</w:t>
            </w:r>
          </w:p>
        </w:tc>
        <w:tc>
          <w:tcPr>
            <w:tcW w:w="3426" w:type="pct"/>
            <w:tcBorders>
              <w:tl2br w:val="nil"/>
              <w:tr2bl w:val="nil"/>
            </w:tcBorders>
            <w:vAlign w:val="center"/>
          </w:tcPr>
          <w:p w14:paraId="014C892D">
            <w:pPr>
              <w:pStyle w:val="84"/>
              <w:spacing w:line="0" w:lineRule="atLeast"/>
              <w:jc w:val="both"/>
              <w:rPr>
                <w:color w:val="auto"/>
                <w:highlight w:val="none"/>
              </w:rPr>
            </w:pPr>
            <w:r>
              <w:rPr>
                <w:rFonts w:hint="eastAsia"/>
                <w:color w:val="auto"/>
                <w:highlight w:val="none"/>
              </w:rPr>
              <w:t>复垦用土来自于外购。回填区内首个回填单元达到设计标高后作为覆土堆场，后期用于复垦用土。堆场采取苫布覆盖水土流失防治措施。</w:t>
            </w:r>
          </w:p>
        </w:tc>
        <w:tc>
          <w:tcPr>
            <w:tcW w:w="609" w:type="pct"/>
            <w:tcBorders>
              <w:tl2br w:val="nil"/>
              <w:tr2bl w:val="nil"/>
            </w:tcBorders>
            <w:vAlign w:val="center"/>
          </w:tcPr>
          <w:p w14:paraId="649BC249">
            <w:pPr>
              <w:pStyle w:val="59"/>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新建</w:t>
            </w:r>
          </w:p>
        </w:tc>
      </w:tr>
      <w:tr w14:paraId="22636E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406" w:hRule="atLeast"/>
          <w:jc w:val="center"/>
        </w:trPr>
        <w:tc>
          <w:tcPr>
            <w:tcW w:w="395" w:type="pct"/>
            <w:gridSpan w:val="2"/>
            <w:vMerge w:val="continue"/>
            <w:tcBorders>
              <w:tl2br w:val="nil"/>
              <w:tr2bl w:val="nil"/>
            </w:tcBorders>
            <w:vAlign w:val="center"/>
          </w:tcPr>
          <w:p w14:paraId="1095A937">
            <w:pPr>
              <w:pStyle w:val="84"/>
              <w:spacing w:line="0" w:lineRule="atLeast"/>
              <w:rPr>
                <w:color w:val="auto"/>
                <w:highlight w:val="none"/>
              </w:rPr>
            </w:pPr>
          </w:p>
        </w:tc>
        <w:tc>
          <w:tcPr>
            <w:tcW w:w="471" w:type="pct"/>
            <w:vAlign w:val="center"/>
          </w:tcPr>
          <w:p w14:paraId="2747818A">
            <w:pPr>
              <w:pStyle w:val="84"/>
              <w:spacing w:line="0" w:lineRule="atLeast"/>
              <w:rPr>
                <w:color w:val="auto"/>
                <w:highlight w:val="none"/>
              </w:rPr>
            </w:pPr>
            <w:r>
              <w:rPr>
                <w:rFonts w:hint="eastAsia" w:ascii="宋体" w:hAnsi="宋体" w:cs="宋体"/>
                <w:color w:val="auto"/>
                <w:highlight w:val="none"/>
              </w:rPr>
              <w:t>淋溶水暂存池</w:t>
            </w:r>
          </w:p>
        </w:tc>
        <w:tc>
          <w:tcPr>
            <w:tcW w:w="3426" w:type="pct"/>
            <w:vAlign w:val="center"/>
          </w:tcPr>
          <w:p w14:paraId="185FF2C5">
            <w:pPr>
              <w:pStyle w:val="84"/>
              <w:spacing w:line="0" w:lineRule="atLeast"/>
              <w:jc w:val="both"/>
              <w:rPr>
                <w:color w:val="auto"/>
                <w:highlight w:val="none"/>
              </w:rPr>
            </w:pPr>
            <w:r>
              <w:rPr>
                <w:rFonts w:hint="eastAsia"/>
                <w:color w:val="auto"/>
                <w:highlight w:val="none"/>
                <w:lang w:eastAsia="zh-CN"/>
              </w:rPr>
              <w:t>东侧回填区在东南侧</w:t>
            </w:r>
            <w:r>
              <w:rPr>
                <w:rFonts w:hint="eastAsia"/>
                <w:color w:val="auto"/>
                <w:highlight w:val="none"/>
              </w:rPr>
              <w:t>低洼处建设1座容积为</w:t>
            </w:r>
            <w:r>
              <w:rPr>
                <w:rFonts w:hint="eastAsia"/>
                <w:color w:val="auto"/>
                <w:highlight w:val="none"/>
                <w:lang w:val="en-US" w:eastAsia="zh-CN"/>
              </w:rPr>
              <w:t>80</w:t>
            </w:r>
            <w:r>
              <w:rPr>
                <w:rFonts w:hint="eastAsia"/>
                <w:color w:val="auto"/>
                <w:highlight w:val="none"/>
              </w:rPr>
              <w:t>m</w:t>
            </w:r>
            <w:r>
              <w:rPr>
                <w:rFonts w:hint="eastAsia"/>
                <w:color w:val="auto"/>
                <w:highlight w:val="none"/>
                <w:vertAlign w:val="superscript"/>
              </w:rPr>
              <w:t>3</w:t>
            </w:r>
            <w:r>
              <w:rPr>
                <w:rFonts w:hint="eastAsia"/>
                <w:color w:val="auto"/>
                <w:highlight w:val="none"/>
              </w:rPr>
              <w:t>的淋溶水暂存池</w:t>
            </w:r>
            <w:r>
              <w:rPr>
                <w:rFonts w:hint="eastAsia"/>
                <w:color w:val="auto"/>
                <w:highlight w:val="none"/>
                <w:lang w:eastAsia="zh-CN"/>
              </w:rPr>
              <w:t>，西侧回填区在南侧低洼处建设</w:t>
            </w:r>
            <w:r>
              <w:rPr>
                <w:rFonts w:hint="eastAsia"/>
                <w:color w:val="auto"/>
                <w:highlight w:val="none"/>
                <w:lang w:val="en-US" w:eastAsia="zh-CN"/>
              </w:rPr>
              <w:t>1座容积为150m</w:t>
            </w:r>
            <w:r>
              <w:rPr>
                <w:rFonts w:hint="eastAsia"/>
                <w:color w:val="auto"/>
                <w:highlight w:val="none"/>
                <w:vertAlign w:val="superscript"/>
                <w:lang w:val="en-US" w:eastAsia="zh-CN"/>
              </w:rPr>
              <w:t>3</w:t>
            </w:r>
            <w:r>
              <w:rPr>
                <w:rFonts w:hint="eastAsia"/>
                <w:color w:val="auto"/>
                <w:highlight w:val="none"/>
                <w:lang w:val="en-US" w:eastAsia="zh-CN"/>
              </w:rPr>
              <w:t>的淋溶水暂存池</w:t>
            </w:r>
            <w:r>
              <w:rPr>
                <w:rFonts w:hint="eastAsia"/>
                <w:color w:val="auto"/>
                <w:highlight w:val="none"/>
              </w:rPr>
              <w:t>，淋溶水经导排系统收集后排入暂存池，用于场区洒水降尘。</w:t>
            </w:r>
          </w:p>
        </w:tc>
        <w:tc>
          <w:tcPr>
            <w:tcW w:w="609" w:type="pct"/>
            <w:vAlign w:val="center"/>
          </w:tcPr>
          <w:p w14:paraId="7A13984B">
            <w:pPr>
              <w:pStyle w:val="59"/>
              <w:spacing w:line="0" w:lineRule="atLeast"/>
              <w:ind w:firstLine="0" w:firstLineChars="0"/>
              <w:jc w:val="center"/>
              <w:rPr>
                <w:rFonts w:cs="Times New Roman"/>
                <w:color w:val="auto"/>
                <w:sz w:val="21"/>
                <w:szCs w:val="21"/>
                <w:highlight w:val="none"/>
              </w:rPr>
            </w:pPr>
            <w:r>
              <w:rPr>
                <w:rFonts w:hint="eastAsia"/>
                <w:color w:val="auto"/>
                <w:sz w:val="21"/>
                <w:szCs w:val="21"/>
                <w:highlight w:val="none"/>
              </w:rPr>
              <w:t>新建</w:t>
            </w:r>
          </w:p>
        </w:tc>
      </w:tr>
      <w:tr w14:paraId="3E7F82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397" w:hRule="atLeast"/>
          <w:jc w:val="center"/>
        </w:trPr>
        <w:tc>
          <w:tcPr>
            <w:tcW w:w="395" w:type="pct"/>
            <w:gridSpan w:val="2"/>
            <w:vMerge w:val="restart"/>
            <w:tcBorders>
              <w:tl2br w:val="nil"/>
              <w:tr2bl w:val="nil"/>
            </w:tcBorders>
            <w:vAlign w:val="center"/>
          </w:tcPr>
          <w:p w14:paraId="58C75D7B">
            <w:pPr>
              <w:pStyle w:val="84"/>
              <w:spacing w:line="0" w:lineRule="atLeast"/>
              <w:rPr>
                <w:color w:val="auto"/>
                <w:highlight w:val="none"/>
              </w:rPr>
            </w:pPr>
            <w:r>
              <w:rPr>
                <w:color w:val="auto"/>
                <w:highlight w:val="none"/>
              </w:rPr>
              <w:t>公用工程</w:t>
            </w:r>
          </w:p>
        </w:tc>
        <w:tc>
          <w:tcPr>
            <w:tcW w:w="471" w:type="pct"/>
            <w:tcBorders>
              <w:tl2br w:val="nil"/>
              <w:tr2bl w:val="nil"/>
            </w:tcBorders>
            <w:vAlign w:val="center"/>
          </w:tcPr>
          <w:p w14:paraId="4BD96268">
            <w:pPr>
              <w:pStyle w:val="84"/>
              <w:spacing w:line="0" w:lineRule="atLeast"/>
              <w:rPr>
                <w:color w:val="auto"/>
                <w:highlight w:val="none"/>
              </w:rPr>
            </w:pPr>
            <w:r>
              <w:rPr>
                <w:color w:val="auto"/>
                <w:highlight w:val="none"/>
              </w:rPr>
              <w:t>供电</w:t>
            </w:r>
          </w:p>
        </w:tc>
        <w:tc>
          <w:tcPr>
            <w:tcW w:w="3426" w:type="pct"/>
            <w:tcBorders>
              <w:tl2br w:val="nil"/>
              <w:tr2bl w:val="nil"/>
            </w:tcBorders>
            <w:vAlign w:val="center"/>
          </w:tcPr>
          <w:p w14:paraId="2CB2D305">
            <w:pPr>
              <w:pStyle w:val="84"/>
              <w:spacing w:line="0" w:lineRule="atLeast"/>
              <w:rPr>
                <w:color w:val="auto"/>
                <w:highlight w:val="none"/>
              </w:rPr>
            </w:pPr>
            <w:r>
              <w:rPr>
                <w:color w:val="auto"/>
                <w:highlight w:val="none"/>
              </w:rPr>
              <w:t>由当地电业局提供</w:t>
            </w:r>
            <w:r>
              <w:rPr>
                <w:rFonts w:hint="eastAsia"/>
                <w:color w:val="auto"/>
                <w:highlight w:val="none"/>
              </w:rPr>
              <w:t>。</w:t>
            </w:r>
          </w:p>
        </w:tc>
        <w:tc>
          <w:tcPr>
            <w:tcW w:w="609" w:type="pct"/>
            <w:vMerge w:val="restart"/>
            <w:tcBorders>
              <w:tl2br w:val="nil"/>
              <w:tr2bl w:val="nil"/>
            </w:tcBorders>
            <w:vAlign w:val="center"/>
          </w:tcPr>
          <w:p w14:paraId="4E927366">
            <w:pPr>
              <w:pStyle w:val="84"/>
              <w:spacing w:line="0" w:lineRule="atLeast"/>
              <w:rPr>
                <w:color w:val="auto"/>
                <w:highlight w:val="cyan"/>
              </w:rPr>
            </w:pPr>
            <w:r>
              <w:rPr>
                <w:rFonts w:hint="eastAsia"/>
                <w:color w:val="auto"/>
                <w:highlight w:val="cyan"/>
              </w:rPr>
              <w:t>/</w:t>
            </w:r>
          </w:p>
        </w:tc>
      </w:tr>
      <w:tr w14:paraId="61C47F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759" w:hRule="atLeast"/>
          <w:jc w:val="center"/>
        </w:trPr>
        <w:tc>
          <w:tcPr>
            <w:tcW w:w="395" w:type="pct"/>
            <w:gridSpan w:val="2"/>
            <w:vMerge w:val="continue"/>
            <w:tcBorders>
              <w:tl2br w:val="nil"/>
              <w:tr2bl w:val="nil"/>
            </w:tcBorders>
            <w:vAlign w:val="center"/>
          </w:tcPr>
          <w:p w14:paraId="2D25D6E2">
            <w:pPr>
              <w:pStyle w:val="84"/>
              <w:spacing w:line="0" w:lineRule="atLeast"/>
              <w:rPr>
                <w:color w:val="auto"/>
                <w:highlight w:val="none"/>
              </w:rPr>
            </w:pPr>
          </w:p>
        </w:tc>
        <w:tc>
          <w:tcPr>
            <w:tcW w:w="471" w:type="pct"/>
            <w:tcBorders>
              <w:tl2br w:val="nil"/>
              <w:tr2bl w:val="nil"/>
            </w:tcBorders>
            <w:vAlign w:val="center"/>
          </w:tcPr>
          <w:p w14:paraId="26C1BBCE">
            <w:pPr>
              <w:pStyle w:val="84"/>
              <w:spacing w:line="0" w:lineRule="atLeast"/>
              <w:rPr>
                <w:color w:val="auto"/>
                <w:highlight w:val="none"/>
              </w:rPr>
            </w:pPr>
            <w:r>
              <w:rPr>
                <w:color w:val="auto"/>
                <w:highlight w:val="none"/>
              </w:rPr>
              <w:t>给水</w:t>
            </w:r>
          </w:p>
        </w:tc>
        <w:tc>
          <w:tcPr>
            <w:tcW w:w="3426" w:type="pct"/>
            <w:tcBorders>
              <w:tl2br w:val="nil"/>
              <w:tr2bl w:val="nil"/>
            </w:tcBorders>
            <w:vAlign w:val="center"/>
          </w:tcPr>
          <w:p w14:paraId="4C4A65EA">
            <w:pPr>
              <w:pStyle w:val="84"/>
              <w:spacing w:line="0" w:lineRule="atLeast"/>
              <w:jc w:val="both"/>
              <w:rPr>
                <w:color w:val="auto"/>
                <w:highlight w:val="none"/>
              </w:rPr>
            </w:pPr>
            <w:r>
              <w:rPr>
                <w:rFonts w:hint="eastAsia"/>
                <w:color w:val="auto"/>
                <w:highlight w:val="none"/>
              </w:rPr>
              <w:t>生产用水优先利用暂存池收集的雨水和淋溶水，不足部分依托附近村屯，用自备洒水车拉运至厂区；员工生活用水主要为饮用水，购买瓶装饮用水。</w:t>
            </w:r>
          </w:p>
        </w:tc>
        <w:tc>
          <w:tcPr>
            <w:tcW w:w="609" w:type="pct"/>
            <w:vMerge w:val="continue"/>
            <w:tcBorders>
              <w:tl2br w:val="nil"/>
              <w:tr2bl w:val="nil"/>
            </w:tcBorders>
            <w:vAlign w:val="center"/>
          </w:tcPr>
          <w:p w14:paraId="14A7D8F6">
            <w:pPr>
              <w:pStyle w:val="84"/>
              <w:spacing w:line="0" w:lineRule="atLeast"/>
              <w:rPr>
                <w:color w:val="auto"/>
                <w:highlight w:val="cyan"/>
              </w:rPr>
            </w:pPr>
          </w:p>
        </w:tc>
      </w:tr>
      <w:tr w14:paraId="516F9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340" w:hRule="atLeast"/>
          <w:jc w:val="center"/>
        </w:trPr>
        <w:tc>
          <w:tcPr>
            <w:tcW w:w="395" w:type="pct"/>
            <w:gridSpan w:val="2"/>
            <w:vMerge w:val="continue"/>
            <w:tcBorders>
              <w:tl2br w:val="nil"/>
              <w:tr2bl w:val="nil"/>
            </w:tcBorders>
            <w:vAlign w:val="center"/>
          </w:tcPr>
          <w:p w14:paraId="200F7422">
            <w:pPr>
              <w:pStyle w:val="84"/>
              <w:spacing w:line="0" w:lineRule="atLeast"/>
              <w:rPr>
                <w:color w:val="auto"/>
                <w:highlight w:val="none"/>
              </w:rPr>
            </w:pPr>
          </w:p>
        </w:tc>
        <w:tc>
          <w:tcPr>
            <w:tcW w:w="471" w:type="pct"/>
            <w:tcBorders>
              <w:tl2br w:val="nil"/>
              <w:tr2bl w:val="nil"/>
            </w:tcBorders>
            <w:vAlign w:val="center"/>
          </w:tcPr>
          <w:p w14:paraId="37FCF524">
            <w:pPr>
              <w:pStyle w:val="84"/>
              <w:spacing w:line="0" w:lineRule="atLeast"/>
              <w:rPr>
                <w:color w:val="auto"/>
                <w:highlight w:val="none"/>
              </w:rPr>
            </w:pPr>
            <w:r>
              <w:rPr>
                <w:color w:val="auto"/>
                <w:highlight w:val="none"/>
              </w:rPr>
              <w:t>排水</w:t>
            </w:r>
          </w:p>
        </w:tc>
        <w:tc>
          <w:tcPr>
            <w:tcW w:w="3426" w:type="pct"/>
            <w:tcBorders>
              <w:tl2br w:val="nil"/>
              <w:tr2bl w:val="nil"/>
            </w:tcBorders>
            <w:vAlign w:val="center"/>
          </w:tcPr>
          <w:p w14:paraId="7E7F83CB">
            <w:pPr>
              <w:pStyle w:val="84"/>
              <w:spacing w:line="0" w:lineRule="atLeast"/>
              <w:jc w:val="both"/>
              <w:rPr>
                <w:color w:val="auto"/>
                <w:highlight w:val="none"/>
              </w:rPr>
            </w:pPr>
            <w:r>
              <w:rPr>
                <w:rFonts w:hAnsi="宋体"/>
                <w:color w:val="auto"/>
                <w:highlight w:val="none"/>
              </w:rPr>
              <w:t>本项目</w:t>
            </w:r>
            <w:r>
              <w:rPr>
                <w:rFonts w:hint="eastAsia"/>
                <w:color w:val="auto"/>
                <w:highlight w:val="none"/>
              </w:rPr>
              <w:t>回填复垦期</w:t>
            </w:r>
            <w:r>
              <w:rPr>
                <w:color w:val="auto"/>
                <w:highlight w:val="none"/>
              </w:rPr>
              <w:t>产生废水为</w:t>
            </w:r>
            <w:r>
              <w:rPr>
                <w:rFonts w:hint="eastAsia"/>
                <w:bCs/>
                <w:color w:val="auto"/>
                <w:highlight w:val="none"/>
              </w:rPr>
              <w:t>生活污水、</w:t>
            </w:r>
            <w:r>
              <w:rPr>
                <w:color w:val="auto"/>
                <w:kern w:val="0"/>
                <w:highlight w:val="none"/>
              </w:rPr>
              <w:t>淋溶</w:t>
            </w:r>
            <w:r>
              <w:rPr>
                <w:rFonts w:hint="eastAsia"/>
                <w:color w:val="auto"/>
                <w:kern w:val="0"/>
                <w:highlight w:val="none"/>
              </w:rPr>
              <w:t>水</w:t>
            </w:r>
            <w:r>
              <w:rPr>
                <w:snapToGrid w:val="0"/>
                <w:color w:val="auto"/>
                <w:highlight w:val="none"/>
              </w:rPr>
              <w:t>、</w:t>
            </w:r>
            <w:r>
              <w:rPr>
                <w:rFonts w:hAnsi="宋体"/>
                <w:color w:val="auto"/>
                <w:highlight w:val="none"/>
              </w:rPr>
              <w:t>径流</w:t>
            </w:r>
            <w:r>
              <w:rPr>
                <w:rFonts w:hint="eastAsia" w:hAnsi="宋体"/>
                <w:color w:val="auto"/>
                <w:highlight w:val="none"/>
              </w:rPr>
              <w:t>雨</w:t>
            </w:r>
            <w:r>
              <w:rPr>
                <w:rFonts w:hAnsi="宋体"/>
                <w:color w:val="auto"/>
                <w:highlight w:val="none"/>
              </w:rPr>
              <w:t>水</w:t>
            </w:r>
            <w:r>
              <w:rPr>
                <w:color w:val="auto"/>
                <w:highlight w:val="none"/>
              </w:rPr>
              <w:t>。</w:t>
            </w:r>
            <w:r>
              <w:rPr>
                <w:rFonts w:hint="eastAsia"/>
                <w:color w:val="auto"/>
                <w:highlight w:val="none"/>
              </w:rPr>
              <w:t>当有持续强降雨的情况下，才会有部分的淋溶水渗漏到底部，在正常工况条件下，不会产生淋溶水。</w:t>
            </w:r>
          </w:p>
          <w:p w14:paraId="36AB405C">
            <w:pPr>
              <w:pStyle w:val="84"/>
              <w:spacing w:line="0" w:lineRule="atLeast"/>
              <w:jc w:val="both"/>
              <w:rPr>
                <w:bCs/>
                <w:color w:val="auto"/>
                <w:highlight w:val="none"/>
              </w:rPr>
            </w:pPr>
            <w:r>
              <w:rPr>
                <w:rFonts w:hint="eastAsia"/>
                <w:bCs/>
                <w:color w:val="auto"/>
                <w:highlight w:val="none"/>
              </w:rPr>
              <w:t>（1）生活污水</w:t>
            </w:r>
            <w:r>
              <w:rPr>
                <w:bCs/>
                <w:color w:val="auto"/>
                <w:highlight w:val="none"/>
              </w:rPr>
              <w:t>排入依托租赁的民房配套的防渗旱厕，定期清掏，外运堆肥；</w:t>
            </w:r>
          </w:p>
          <w:p w14:paraId="45316C71">
            <w:pPr>
              <w:pStyle w:val="84"/>
              <w:spacing w:line="0" w:lineRule="atLeast"/>
              <w:jc w:val="both"/>
              <w:rPr>
                <w:color w:val="auto"/>
                <w:kern w:val="0"/>
                <w:highlight w:val="none"/>
              </w:rPr>
            </w:pPr>
            <w:r>
              <w:rPr>
                <w:rFonts w:hint="eastAsia"/>
                <w:color w:val="auto"/>
                <w:highlight w:val="none"/>
              </w:rPr>
              <w:t>（2）</w:t>
            </w:r>
            <w:r>
              <w:rPr>
                <w:color w:val="auto"/>
                <w:highlight w:val="none"/>
              </w:rPr>
              <w:t>在</w:t>
            </w:r>
            <w:r>
              <w:rPr>
                <w:rFonts w:hint="eastAsia"/>
                <w:color w:val="auto"/>
                <w:highlight w:val="none"/>
              </w:rPr>
              <w:t>回填</w:t>
            </w:r>
            <w:r>
              <w:rPr>
                <w:color w:val="auto"/>
                <w:highlight w:val="none"/>
              </w:rPr>
              <w:t>区</w:t>
            </w:r>
            <w:r>
              <w:rPr>
                <w:rFonts w:hint="eastAsia"/>
                <w:color w:val="auto"/>
                <w:highlight w:val="none"/>
              </w:rPr>
              <w:t>四周</w:t>
            </w:r>
            <w:r>
              <w:rPr>
                <w:color w:val="auto"/>
                <w:highlight w:val="none"/>
              </w:rPr>
              <w:t>设置排水沟，将整个</w:t>
            </w:r>
            <w:r>
              <w:rPr>
                <w:rFonts w:hint="eastAsia"/>
                <w:color w:val="auto"/>
                <w:highlight w:val="none"/>
              </w:rPr>
              <w:t>回填</w:t>
            </w:r>
            <w:r>
              <w:rPr>
                <w:color w:val="auto"/>
                <w:highlight w:val="none"/>
              </w:rPr>
              <w:t>场地与场外其他区域分开，未受污染的雨水沿防坡面排入排水沟内，最终排入厂区</w:t>
            </w:r>
            <w:r>
              <w:rPr>
                <w:rFonts w:hint="eastAsia"/>
                <w:color w:val="auto"/>
                <w:highlight w:val="none"/>
                <w:lang w:val="en-US" w:eastAsia="zh-CN"/>
              </w:rPr>
              <w:t>西南</w:t>
            </w:r>
            <w:r>
              <w:rPr>
                <w:color w:val="auto"/>
                <w:highlight w:val="none"/>
              </w:rPr>
              <w:t>侧</w:t>
            </w:r>
            <w:r>
              <w:rPr>
                <w:rFonts w:hint="eastAsia"/>
                <w:color w:val="auto"/>
                <w:kern w:val="0"/>
                <w:highlight w:val="none"/>
              </w:rPr>
              <w:t>自然冲沟内。</w:t>
            </w:r>
          </w:p>
          <w:p w14:paraId="19CA6829">
            <w:pPr>
              <w:pStyle w:val="84"/>
              <w:spacing w:line="0" w:lineRule="atLeast"/>
              <w:jc w:val="both"/>
              <w:rPr>
                <w:color w:val="auto"/>
                <w:highlight w:val="none"/>
              </w:rPr>
            </w:pPr>
            <w:r>
              <w:rPr>
                <w:rFonts w:hint="eastAsia"/>
                <w:color w:val="auto"/>
                <w:kern w:val="0"/>
                <w:highlight w:val="none"/>
              </w:rPr>
              <w:t>（3）</w:t>
            </w:r>
            <w:r>
              <w:rPr>
                <w:rFonts w:hint="eastAsia"/>
                <w:color w:val="auto"/>
                <w:highlight w:val="none"/>
                <w:lang w:eastAsia="zh-CN"/>
              </w:rPr>
              <w:t>东侧回填区在东南侧</w:t>
            </w:r>
            <w:r>
              <w:rPr>
                <w:rFonts w:hint="eastAsia"/>
                <w:color w:val="auto"/>
                <w:highlight w:val="none"/>
              </w:rPr>
              <w:t>低洼处建设1座容积为</w:t>
            </w:r>
            <w:r>
              <w:rPr>
                <w:rFonts w:hint="eastAsia"/>
                <w:color w:val="auto"/>
                <w:highlight w:val="none"/>
                <w:lang w:val="en-US" w:eastAsia="zh-CN"/>
              </w:rPr>
              <w:t>80</w:t>
            </w:r>
            <w:r>
              <w:rPr>
                <w:rFonts w:hint="eastAsia"/>
                <w:color w:val="auto"/>
                <w:highlight w:val="none"/>
              </w:rPr>
              <w:t>m</w:t>
            </w:r>
            <w:r>
              <w:rPr>
                <w:rFonts w:hint="eastAsia"/>
                <w:color w:val="auto"/>
                <w:highlight w:val="none"/>
                <w:vertAlign w:val="superscript"/>
              </w:rPr>
              <w:t>3</w:t>
            </w:r>
            <w:r>
              <w:rPr>
                <w:rFonts w:hint="eastAsia"/>
                <w:color w:val="auto"/>
                <w:highlight w:val="none"/>
              </w:rPr>
              <w:t>的淋溶水暂存池</w:t>
            </w:r>
            <w:r>
              <w:rPr>
                <w:rFonts w:hint="eastAsia"/>
                <w:color w:val="auto"/>
                <w:highlight w:val="none"/>
                <w:lang w:eastAsia="zh-CN"/>
              </w:rPr>
              <w:t>，西侧回填区在南侧低洼处建设</w:t>
            </w:r>
            <w:r>
              <w:rPr>
                <w:rFonts w:hint="eastAsia"/>
                <w:color w:val="auto"/>
                <w:highlight w:val="none"/>
                <w:lang w:val="en-US" w:eastAsia="zh-CN"/>
              </w:rPr>
              <w:t>1座容积为150m</w:t>
            </w:r>
            <w:r>
              <w:rPr>
                <w:rFonts w:hint="eastAsia"/>
                <w:color w:val="auto"/>
                <w:highlight w:val="none"/>
                <w:vertAlign w:val="superscript"/>
                <w:lang w:val="en-US" w:eastAsia="zh-CN"/>
              </w:rPr>
              <w:t>3</w:t>
            </w:r>
            <w:r>
              <w:rPr>
                <w:rFonts w:hint="eastAsia"/>
                <w:color w:val="auto"/>
                <w:highlight w:val="none"/>
                <w:lang w:val="en-US" w:eastAsia="zh-CN"/>
              </w:rPr>
              <w:t>的淋溶水暂存池</w:t>
            </w:r>
            <w:r>
              <w:rPr>
                <w:rFonts w:hint="eastAsia"/>
                <w:color w:val="auto"/>
                <w:highlight w:val="none"/>
              </w:rPr>
              <w:t>，</w:t>
            </w:r>
            <w:r>
              <w:rPr>
                <w:color w:val="auto"/>
                <w:kern w:val="0"/>
                <w:highlight w:val="none"/>
              </w:rPr>
              <w:t>用于收集</w:t>
            </w:r>
            <w:r>
              <w:rPr>
                <w:rFonts w:hint="eastAsia"/>
                <w:color w:val="auto"/>
                <w:kern w:val="0"/>
                <w:highlight w:val="none"/>
              </w:rPr>
              <w:t>回填区</w:t>
            </w:r>
            <w:r>
              <w:rPr>
                <w:color w:val="auto"/>
                <w:kern w:val="0"/>
                <w:highlight w:val="none"/>
              </w:rPr>
              <w:t>淋</w:t>
            </w:r>
            <w:r>
              <w:rPr>
                <w:rFonts w:hint="eastAsia"/>
                <w:color w:val="auto"/>
                <w:kern w:val="0"/>
                <w:highlight w:val="none"/>
              </w:rPr>
              <w:t>溶</w:t>
            </w:r>
            <w:r>
              <w:rPr>
                <w:color w:val="auto"/>
                <w:kern w:val="0"/>
                <w:highlight w:val="none"/>
              </w:rPr>
              <w:t>水，项目</w:t>
            </w:r>
            <w:r>
              <w:rPr>
                <w:rFonts w:hint="eastAsia"/>
                <w:color w:val="auto"/>
                <w:kern w:val="0"/>
                <w:highlight w:val="none"/>
              </w:rPr>
              <w:t>极端天气强降雨时期</w:t>
            </w:r>
            <w:r>
              <w:rPr>
                <w:color w:val="auto"/>
                <w:kern w:val="0"/>
                <w:highlight w:val="none"/>
              </w:rPr>
              <w:t>产生的淋</w:t>
            </w:r>
            <w:r>
              <w:rPr>
                <w:rFonts w:hint="eastAsia"/>
                <w:color w:val="auto"/>
                <w:kern w:val="0"/>
                <w:highlight w:val="none"/>
              </w:rPr>
              <w:t>溶</w:t>
            </w:r>
            <w:r>
              <w:rPr>
                <w:color w:val="auto"/>
                <w:kern w:val="0"/>
                <w:highlight w:val="none"/>
              </w:rPr>
              <w:t>水经矿坑底部粘土层阻隔，经淋</w:t>
            </w:r>
            <w:r>
              <w:rPr>
                <w:rFonts w:hint="eastAsia"/>
                <w:color w:val="auto"/>
                <w:kern w:val="0"/>
                <w:highlight w:val="none"/>
              </w:rPr>
              <w:t>溶</w:t>
            </w:r>
            <w:r>
              <w:rPr>
                <w:color w:val="auto"/>
                <w:kern w:val="0"/>
                <w:highlight w:val="none"/>
              </w:rPr>
              <w:t>水导排系统收集后排入</w:t>
            </w:r>
            <w:r>
              <w:rPr>
                <w:rFonts w:hint="eastAsia"/>
                <w:color w:val="auto"/>
                <w:kern w:val="0"/>
                <w:highlight w:val="none"/>
              </w:rPr>
              <w:t>暂存池，沉淀后回用于项目区洒水抑尘使用</w:t>
            </w:r>
            <w:r>
              <w:rPr>
                <w:color w:val="auto"/>
                <w:kern w:val="0"/>
                <w:highlight w:val="none"/>
              </w:rPr>
              <w:t>，不外排</w:t>
            </w:r>
            <w:r>
              <w:rPr>
                <w:rFonts w:hint="eastAsia"/>
                <w:color w:val="auto"/>
                <w:kern w:val="0"/>
                <w:highlight w:val="none"/>
              </w:rPr>
              <w:t>。</w:t>
            </w:r>
          </w:p>
        </w:tc>
        <w:tc>
          <w:tcPr>
            <w:tcW w:w="609" w:type="pct"/>
            <w:vMerge w:val="continue"/>
            <w:tcBorders>
              <w:tl2br w:val="nil"/>
              <w:tr2bl w:val="nil"/>
            </w:tcBorders>
            <w:vAlign w:val="center"/>
          </w:tcPr>
          <w:p w14:paraId="40E89CCF">
            <w:pPr>
              <w:pStyle w:val="84"/>
              <w:spacing w:line="0" w:lineRule="atLeast"/>
              <w:rPr>
                <w:color w:val="auto"/>
                <w:highlight w:val="cyan"/>
              </w:rPr>
            </w:pPr>
          </w:p>
        </w:tc>
      </w:tr>
      <w:tr w14:paraId="1BEEB0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427" w:hRule="atLeast"/>
          <w:jc w:val="center"/>
        </w:trPr>
        <w:tc>
          <w:tcPr>
            <w:tcW w:w="395" w:type="pct"/>
            <w:gridSpan w:val="2"/>
            <w:vMerge w:val="continue"/>
            <w:tcBorders>
              <w:tl2br w:val="nil"/>
              <w:tr2bl w:val="nil"/>
            </w:tcBorders>
            <w:vAlign w:val="center"/>
          </w:tcPr>
          <w:p w14:paraId="0504E9C1">
            <w:pPr>
              <w:pStyle w:val="84"/>
              <w:spacing w:line="0" w:lineRule="atLeast"/>
              <w:rPr>
                <w:color w:val="auto"/>
                <w:highlight w:val="cyan"/>
              </w:rPr>
            </w:pPr>
          </w:p>
        </w:tc>
        <w:tc>
          <w:tcPr>
            <w:tcW w:w="471" w:type="pct"/>
            <w:tcBorders>
              <w:tl2br w:val="nil"/>
              <w:tr2bl w:val="nil"/>
            </w:tcBorders>
            <w:vAlign w:val="center"/>
          </w:tcPr>
          <w:p w14:paraId="1A65DD03">
            <w:pPr>
              <w:pStyle w:val="84"/>
              <w:spacing w:line="0" w:lineRule="atLeast"/>
              <w:rPr>
                <w:color w:val="auto"/>
                <w:highlight w:val="none"/>
              </w:rPr>
            </w:pPr>
            <w:bookmarkStart w:id="88" w:name="_Hlk527725718"/>
            <w:r>
              <w:rPr>
                <w:color w:val="auto"/>
                <w:highlight w:val="none"/>
              </w:rPr>
              <w:t>供热</w:t>
            </w:r>
            <w:bookmarkEnd w:id="88"/>
          </w:p>
        </w:tc>
        <w:tc>
          <w:tcPr>
            <w:tcW w:w="3426" w:type="pct"/>
            <w:tcBorders>
              <w:tl2br w:val="nil"/>
              <w:tr2bl w:val="nil"/>
            </w:tcBorders>
            <w:vAlign w:val="center"/>
          </w:tcPr>
          <w:p w14:paraId="00636030">
            <w:pPr>
              <w:pStyle w:val="84"/>
              <w:spacing w:line="0" w:lineRule="atLeast"/>
              <w:rPr>
                <w:color w:val="auto"/>
                <w:highlight w:val="none"/>
              </w:rPr>
            </w:pPr>
            <w:r>
              <w:rPr>
                <w:color w:val="auto"/>
                <w:highlight w:val="none"/>
              </w:rPr>
              <w:t>本项目无办公室等构筑物，无需采暖</w:t>
            </w:r>
            <w:r>
              <w:rPr>
                <w:rFonts w:hint="eastAsia"/>
                <w:color w:val="auto"/>
                <w:highlight w:val="none"/>
              </w:rPr>
              <w:t>。</w:t>
            </w:r>
          </w:p>
        </w:tc>
        <w:tc>
          <w:tcPr>
            <w:tcW w:w="609" w:type="pct"/>
            <w:vMerge w:val="continue"/>
            <w:tcBorders>
              <w:tl2br w:val="nil"/>
              <w:tr2bl w:val="nil"/>
            </w:tcBorders>
            <w:vAlign w:val="center"/>
          </w:tcPr>
          <w:p w14:paraId="4E356F2C">
            <w:pPr>
              <w:pStyle w:val="84"/>
              <w:spacing w:line="0" w:lineRule="atLeast"/>
              <w:jc w:val="both"/>
              <w:rPr>
                <w:color w:val="auto"/>
                <w:highlight w:val="cyan"/>
              </w:rPr>
            </w:pPr>
          </w:p>
        </w:tc>
      </w:tr>
      <w:tr w14:paraId="1A555F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91" w:hRule="atLeast"/>
          <w:jc w:val="center"/>
        </w:trPr>
        <w:tc>
          <w:tcPr>
            <w:tcW w:w="194" w:type="pct"/>
            <w:vMerge w:val="restart"/>
            <w:vAlign w:val="center"/>
          </w:tcPr>
          <w:p w14:paraId="306E6DCC">
            <w:pPr>
              <w:pStyle w:val="84"/>
              <w:spacing w:line="0" w:lineRule="atLeast"/>
              <w:rPr>
                <w:color w:val="auto"/>
                <w:highlight w:val="none"/>
              </w:rPr>
            </w:pPr>
            <w:r>
              <w:rPr>
                <w:color w:val="auto"/>
                <w:highlight w:val="none"/>
              </w:rPr>
              <w:t>环保工程</w:t>
            </w:r>
          </w:p>
        </w:tc>
        <w:tc>
          <w:tcPr>
            <w:tcW w:w="200" w:type="pct"/>
            <w:vMerge w:val="restart"/>
            <w:vAlign w:val="center"/>
          </w:tcPr>
          <w:p w14:paraId="4E351F5C">
            <w:pPr>
              <w:pStyle w:val="84"/>
              <w:spacing w:line="0" w:lineRule="atLeast"/>
              <w:rPr>
                <w:color w:val="auto"/>
                <w:highlight w:val="none"/>
              </w:rPr>
            </w:pPr>
            <w:r>
              <w:rPr>
                <w:color w:val="auto"/>
                <w:highlight w:val="none"/>
              </w:rPr>
              <w:t>施工期</w:t>
            </w:r>
          </w:p>
        </w:tc>
        <w:tc>
          <w:tcPr>
            <w:tcW w:w="471" w:type="pct"/>
            <w:vAlign w:val="center"/>
          </w:tcPr>
          <w:p w14:paraId="6500CBD4">
            <w:pPr>
              <w:pStyle w:val="84"/>
              <w:spacing w:line="0" w:lineRule="atLeast"/>
              <w:rPr>
                <w:color w:val="auto"/>
                <w:highlight w:val="none"/>
              </w:rPr>
            </w:pPr>
            <w:r>
              <w:rPr>
                <w:color w:val="auto"/>
                <w:highlight w:val="none"/>
              </w:rPr>
              <w:t>废气</w:t>
            </w:r>
          </w:p>
        </w:tc>
        <w:tc>
          <w:tcPr>
            <w:tcW w:w="3426" w:type="pct"/>
            <w:tcBorders>
              <w:right w:val="single" w:color="auto" w:sz="2" w:space="0"/>
            </w:tcBorders>
            <w:vAlign w:val="center"/>
          </w:tcPr>
          <w:p w14:paraId="33EA0A82">
            <w:pPr>
              <w:pStyle w:val="84"/>
              <w:spacing w:line="0" w:lineRule="atLeast"/>
              <w:jc w:val="both"/>
              <w:rPr>
                <w:b/>
                <w:color w:val="auto"/>
                <w:highlight w:val="none"/>
              </w:rPr>
            </w:pPr>
            <w:r>
              <w:rPr>
                <w:rFonts w:hAnsi="宋体"/>
                <w:color w:val="auto"/>
                <w:highlight w:val="none"/>
              </w:rPr>
              <w:t>本项目施工期产生废气为施工扬尘、燃油废气</w:t>
            </w:r>
            <w:r>
              <w:rPr>
                <w:rFonts w:hint="eastAsia"/>
                <w:color w:val="auto"/>
                <w:highlight w:val="none"/>
              </w:rPr>
              <w:t>。</w:t>
            </w:r>
            <w:r>
              <w:rPr>
                <w:color w:val="auto"/>
                <w:highlight w:val="none"/>
              </w:rPr>
              <w:t>施工场地、道路采取</w:t>
            </w:r>
            <w:r>
              <w:rPr>
                <w:rFonts w:hint="eastAsia"/>
                <w:color w:val="auto"/>
                <w:highlight w:val="none"/>
              </w:rPr>
              <w:t>洒</w:t>
            </w:r>
            <w:r>
              <w:rPr>
                <w:color w:val="auto"/>
                <w:highlight w:val="none"/>
              </w:rPr>
              <w:t>水和清扫措施抑尘，土方采用苫布苫盖，运输车加盖篷布</w:t>
            </w:r>
            <w:r>
              <w:rPr>
                <w:rFonts w:hint="eastAsia"/>
                <w:color w:val="auto"/>
                <w:highlight w:val="none"/>
              </w:rPr>
              <w:t>；</w:t>
            </w:r>
            <w:r>
              <w:rPr>
                <w:color w:val="auto"/>
                <w:highlight w:val="none"/>
              </w:rPr>
              <w:t>定期对车辆设备进行维护保养，禁止以柴油为燃料的施工机械超负荷工作</w:t>
            </w:r>
            <w:r>
              <w:rPr>
                <w:bCs/>
                <w:color w:val="auto"/>
                <w:highlight w:val="none"/>
              </w:rPr>
              <w:t>，减小燃</w:t>
            </w:r>
            <w:r>
              <w:rPr>
                <w:rFonts w:hAnsi="宋体"/>
                <w:color w:val="auto"/>
                <w:highlight w:val="none"/>
              </w:rPr>
              <w:t>油废气影响</w:t>
            </w:r>
            <w:r>
              <w:rPr>
                <w:rFonts w:hint="eastAsia" w:hAnsi="宋体"/>
                <w:color w:val="auto"/>
                <w:highlight w:val="none"/>
              </w:rPr>
              <w:t>。</w:t>
            </w:r>
          </w:p>
        </w:tc>
        <w:tc>
          <w:tcPr>
            <w:tcW w:w="609" w:type="pct"/>
            <w:vMerge w:val="restart"/>
            <w:tcBorders>
              <w:left w:val="single" w:color="auto" w:sz="2" w:space="0"/>
            </w:tcBorders>
            <w:vAlign w:val="center"/>
          </w:tcPr>
          <w:p w14:paraId="168AACC3">
            <w:pPr>
              <w:pStyle w:val="84"/>
              <w:spacing w:line="0" w:lineRule="atLeast"/>
              <w:rPr>
                <w:color w:val="auto"/>
                <w:highlight w:val="none"/>
              </w:rPr>
            </w:pPr>
            <w:r>
              <w:rPr>
                <w:color w:val="auto"/>
                <w:highlight w:val="none"/>
              </w:rPr>
              <w:t>新建</w:t>
            </w:r>
          </w:p>
        </w:tc>
      </w:tr>
      <w:tr w14:paraId="2A5F37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91" w:hRule="atLeast"/>
          <w:jc w:val="center"/>
        </w:trPr>
        <w:tc>
          <w:tcPr>
            <w:tcW w:w="194" w:type="pct"/>
            <w:vMerge w:val="continue"/>
            <w:vAlign w:val="center"/>
          </w:tcPr>
          <w:p w14:paraId="575C6917">
            <w:pPr>
              <w:pStyle w:val="84"/>
              <w:spacing w:line="0" w:lineRule="atLeast"/>
              <w:rPr>
                <w:color w:val="auto"/>
                <w:highlight w:val="none"/>
              </w:rPr>
            </w:pPr>
          </w:p>
        </w:tc>
        <w:tc>
          <w:tcPr>
            <w:tcW w:w="200" w:type="pct"/>
            <w:vMerge w:val="continue"/>
            <w:vAlign w:val="center"/>
          </w:tcPr>
          <w:p w14:paraId="56646039">
            <w:pPr>
              <w:pStyle w:val="84"/>
              <w:spacing w:line="0" w:lineRule="atLeast"/>
              <w:rPr>
                <w:color w:val="auto"/>
                <w:highlight w:val="none"/>
              </w:rPr>
            </w:pPr>
          </w:p>
        </w:tc>
        <w:tc>
          <w:tcPr>
            <w:tcW w:w="471" w:type="pct"/>
            <w:vAlign w:val="center"/>
          </w:tcPr>
          <w:p w14:paraId="3C6BC063">
            <w:pPr>
              <w:pStyle w:val="84"/>
              <w:spacing w:line="0" w:lineRule="atLeast"/>
              <w:rPr>
                <w:color w:val="auto"/>
                <w:highlight w:val="none"/>
              </w:rPr>
            </w:pPr>
            <w:r>
              <w:rPr>
                <w:color w:val="auto"/>
                <w:highlight w:val="none"/>
              </w:rPr>
              <w:t>废水</w:t>
            </w:r>
          </w:p>
        </w:tc>
        <w:tc>
          <w:tcPr>
            <w:tcW w:w="3426" w:type="pct"/>
            <w:tcBorders>
              <w:right w:val="single" w:color="auto" w:sz="2" w:space="0"/>
            </w:tcBorders>
            <w:vAlign w:val="center"/>
          </w:tcPr>
          <w:p w14:paraId="2DB1038C">
            <w:pPr>
              <w:pStyle w:val="84"/>
              <w:spacing w:line="0" w:lineRule="atLeast"/>
              <w:jc w:val="both"/>
              <w:rPr>
                <w:color w:val="auto"/>
                <w:highlight w:val="none"/>
              </w:rPr>
            </w:pPr>
            <w:r>
              <w:rPr>
                <w:rFonts w:hAnsi="宋体"/>
                <w:color w:val="auto"/>
                <w:highlight w:val="none"/>
              </w:rPr>
              <w:t>本项目</w:t>
            </w:r>
            <w:r>
              <w:rPr>
                <w:rFonts w:hint="eastAsia"/>
                <w:color w:val="auto"/>
                <w:highlight w:val="none"/>
              </w:rPr>
              <w:t>施工期</w:t>
            </w:r>
            <w:r>
              <w:rPr>
                <w:color w:val="auto"/>
                <w:highlight w:val="none"/>
              </w:rPr>
              <w:t>产生废水为</w:t>
            </w:r>
            <w:r>
              <w:rPr>
                <w:rFonts w:hint="eastAsia"/>
                <w:bCs/>
                <w:color w:val="auto"/>
                <w:highlight w:val="none"/>
              </w:rPr>
              <w:t>生活污水</w:t>
            </w:r>
            <w:r>
              <w:rPr>
                <w:rFonts w:hAnsi="宋体"/>
                <w:color w:val="auto"/>
                <w:highlight w:val="none"/>
              </w:rPr>
              <w:t>、</w:t>
            </w:r>
            <w:r>
              <w:rPr>
                <w:rFonts w:hint="eastAsia" w:hAnsi="宋体"/>
                <w:color w:val="auto"/>
                <w:highlight w:val="none"/>
              </w:rPr>
              <w:t>施工</w:t>
            </w:r>
            <w:r>
              <w:rPr>
                <w:rFonts w:hAnsi="宋体"/>
                <w:color w:val="auto"/>
                <w:highlight w:val="none"/>
              </w:rPr>
              <w:t>废水</w:t>
            </w:r>
            <w:r>
              <w:rPr>
                <w:color w:val="auto"/>
                <w:highlight w:val="none"/>
              </w:rPr>
              <w:t>。本项目</w:t>
            </w:r>
            <w:r>
              <w:rPr>
                <w:bCs/>
                <w:color w:val="auto"/>
                <w:highlight w:val="none"/>
              </w:rPr>
              <w:t>员工</w:t>
            </w:r>
            <w:r>
              <w:rPr>
                <w:rFonts w:hint="eastAsia"/>
                <w:bCs/>
                <w:color w:val="auto"/>
                <w:highlight w:val="none"/>
              </w:rPr>
              <w:t>生活污水</w:t>
            </w:r>
            <w:r>
              <w:rPr>
                <w:bCs/>
                <w:color w:val="auto"/>
                <w:highlight w:val="none"/>
              </w:rPr>
              <w:t>排入依托租赁的民房配套的防渗旱厕，定期清掏，外运堆肥；</w:t>
            </w:r>
            <w:r>
              <w:rPr>
                <w:snapToGrid w:val="0"/>
                <w:color w:val="auto"/>
                <w:highlight w:val="none"/>
                <w:lang w:val="zh-CN"/>
              </w:rPr>
              <w:t>本项目不设</w:t>
            </w:r>
            <w:r>
              <w:rPr>
                <w:snapToGrid w:val="0"/>
                <w:color w:val="auto"/>
                <w:kern w:val="0"/>
                <w:highlight w:val="none"/>
              </w:rPr>
              <w:t>预制场和拌合场</w:t>
            </w:r>
            <w:r>
              <w:rPr>
                <w:snapToGrid w:val="0"/>
                <w:color w:val="auto"/>
                <w:highlight w:val="none"/>
                <w:lang w:val="zh-CN"/>
              </w:rPr>
              <w:t>，</w:t>
            </w:r>
            <w:r>
              <w:rPr>
                <w:rFonts w:hint="eastAsia"/>
                <w:snapToGrid w:val="0"/>
                <w:color w:val="auto"/>
                <w:highlight w:val="none"/>
                <w:lang w:val="zh-CN"/>
              </w:rPr>
              <w:t>施工</w:t>
            </w:r>
            <w:r>
              <w:rPr>
                <w:snapToGrid w:val="0"/>
                <w:color w:val="auto"/>
                <w:highlight w:val="none"/>
                <w:lang w:val="zh-CN"/>
              </w:rPr>
              <w:t>废水</w:t>
            </w:r>
            <w:r>
              <w:rPr>
                <w:rFonts w:hint="eastAsia"/>
                <w:snapToGrid w:val="0"/>
                <w:color w:val="auto"/>
                <w:highlight w:val="none"/>
                <w:lang w:val="zh-CN"/>
              </w:rPr>
              <w:t>经沉淀池收集后</w:t>
            </w:r>
            <w:r>
              <w:rPr>
                <w:snapToGrid w:val="0"/>
                <w:color w:val="auto"/>
                <w:highlight w:val="none"/>
                <w:lang w:val="zh-CN"/>
              </w:rPr>
              <w:t>用于厂区内洒水降尘，不外排</w:t>
            </w:r>
            <w:r>
              <w:rPr>
                <w:rFonts w:hint="eastAsia"/>
                <w:snapToGrid w:val="0"/>
                <w:color w:val="auto"/>
                <w:highlight w:val="none"/>
                <w:lang w:val="zh-CN"/>
              </w:rPr>
              <w:t>。</w:t>
            </w:r>
          </w:p>
        </w:tc>
        <w:tc>
          <w:tcPr>
            <w:tcW w:w="609" w:type="pct"/>
            <w:vMerge w:val="continue"/>
            <w:tcBorders>
              <w:left w:val="single" w:color="auto" w:sz="2" w:space="0"/>
            </w:tcBorders>
            <w:vAlign w:val="center"/>
          </w:tcPr>
          <w:p w14:paraId="1FA42ED1">
            <w:pPr>
              <w:pStyle w:val="84"/>
              <w:spacing w:line="0" w:lineRule="atLeast"/>
              <w:rPr>
                <w:color w:val="auto"/>
                <w:highlight w:val="cyan"/>
              </w:rPr>
            </w:pPr>
          </w:p>
        </w:tc>
      </w:tr>
      <w:tr w14:paraId="45AD33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91" w:hRule="atLeast"/>
          <w:jc w:val="center"/>
        </w:trPr>
        <w:tc>
          <w:tcPr>
            <w:tcW w:w="194" w:type="pct"/>
            <w:vMerge w:val="continue"/>
            <w:vAlign w:val="center"/>
          </w:tcPr>
          <w:p w14:paraId="2FA084C3">
            <w:pPr>
              <w:pStyle w:val="84"/>
              <w:spacing w:line="0" w:lineRule="atLeast"/>
              <w:rPr>
                <w:color w:val="auto"/>
                <w:highlight w:val="none"/>
              </w:rPr>
            </w:pPr>
          </w:p>
        </w:tc>
        <w:tc>
          <w:tcPr>
            <w:tcW w:w="200" w:type="pct"/>
            <w:vMerge w:val="continue"/>
            <w:vAlign w:val="center"/>
          </w:tcPr>
          <w:p w14:paraId="3FE08642">
            <w:pPr>
              <w:pStyle w:val="84"/>
              <w:spacing w:line="0" w:lineRule="atLeast"/>
              <w:rPr>
                <w:color w:val="auto"/>
                <w:highlight w:val="none"/>
              </w:rPr>
            </w:pPr>
          </w:p>
        </w:tc>
        <w:tc>
          <w:tcPr>
            <w:tcW w:w="471" w:type="pct"/>
            <w:vAlign w:val="center"/>
          </w:tcPr>
          <w:p w14:paraId="3566E020">
            <w:pPr>
              <w:pStyle w:val="84"/>
              <w:spacing w:line="0" w:lineRule="atLeast"/>
              <w:rPr>
                <w:color w:val="auto"/>
                <w:highlight w:val="none"/>
              </w:rPr>
            </w:pPr>
            <w:r>
              <w:rPr>
                <w:color w:val="auto"/>
                <w:highlight w:val="none"/>
              </w:rPr>
              <w:t>噪声</w:t>
            </w:r>
          </w:p>
        </w:tc>
        <w:tc>
          <w:tcPr>
            <w:tcW w:w="3426" w:type="pct"/>
            <w:tcBorders>
              <w:right w:val="single" w:color="auto" w:sz="2" w:space="0"/>
            </w:tcBorders>
            <w:vAlign w:val="center"/>
          </w:tcPr>
          <w:p w14:paraId="63511A4B">
            <w:pPr>
              <w:pStyle w:val="84"/>
              <w:spacing w:line="0" w:lineRule="atLeast"/>
              <w:jc w:val="both"/>
              <w:rPr>
                <w:color w:val="auto"/>
                <w:highlight w:val="none"/>
              </w:rPr>
            </w:pPr>
            <w:r>
              <w:rPr>
                <w:rFonts w:hAnsi="宋体"/>
                <w:color w:val="auto"/>
                <w:highlight w:val="none"/>
              </w:rPr>
              <w:t>本项目施工期产生</w:t>
            </w:r>
            <w:r>
              <w:rPr>
                <w:rFonts w:hint="eastAsia" w:hAnsi="宋体"/>
                <w:color w:val="auto"/>
                <w:highlight w:val="none"/>
              </w:rPr>
              <w:t>施工机械</w:t>
            </w:r>
            <w:r>
              <w:rPr>
                <w:rFonts w:hAnsi="宋体"/>
                <w:color w:val="auto"/>
                <w:highlight w:val="none"/>
              </w:rPr>
              <w:t>噪声、运输噪声。</w:t>
            </w:r>
            <w:r>
              <w:rPr>
                <w:color w:val="auto"/>
                <w:highlight w:val="none"/>
              </w:rPr>
              <w:t>合理安排施工时间（晚间22:00-6:00）严禁高噪声设备施工，尽量避免高噪声设备同时运行。优先选用低噪声设备，做好施工机械的维护和保养，减小</w:t>
            </w:r>
            <w:r>
              <w:rPr>
                <w:rFonts w:hint="eastAsia" w:hAnsi="宋体"/>
                <w:color w:val="auto"/>
                <w:highlight w:val="none"/>
              </w:rPr>
              <w:t>施工</w:t>
            </w:r>
            <w:r>
              <w:rPr>
                <w:snapToGrid w:val="0"/>
                <w:color w:val="auto"/>
                <w:highlight w:val="none"/>
                <w:lang w:val="zh-CN"/>
              </w:rPr>
              <w:t>机械</w:t>
            </w:r>
            <w:r>
              <w:rPr>
                <w:rFonts w:hAnsi="宋体"/>
                <w:color w:val="auto"/>
                <w:highlight w:val="none"/>
              </w:rPr>
              <w:t>噪声影响</w:t>
            </w:r>
            <w:r>
              <w:rPr>
                <w:color w:val="auto"/>
                <w:highlight w:val="none"/>
              </w:rPr>
              <w:t>。加强运输车辆管理，严禁超速超载，减小</w:t>
            </w:r>
            <w:r>
              <w:rPr>
                <w:rFonts w:hint="eastAsia" w:hAnsi="宋体"/>
                <w:color w:val="auto"/>
                <w:highlight w:val="none"/>
              </w:rPr>
              <w:t>运输</w:t>
            </w:r>
            <w:r>
              <w:rPr>
                <w:rFonts w:hAnsi="宋体"/>
                <w:color w:val="auto"/>
                <w:highlight w:val="none"/>
              </w:rPr>
              <w:t>噪声影响</w:t>
            </w:r>
            <w:r>
              <w:rPr>
                <w:rFonts w:hint="eastAsia" w:hAnsi="宋体"/>
                <w:color w:val="auto"/>
                <w:highlight w:val="none"/>
              </w:rPr>
              <w:t>。</w:t>
            </w:r>
          </w:p>
        </w:tc>
        <w:tc>
          <w:tcPr>
            <w:tcW w:w="609" w:type="pct"/>
            <w:vMerge w:val="continue"/>
            <w:tcBorders>
              <w:left w:val="single" w:color="auto" w:sz="2" w:space="0"/>
            </w:tcBorders>
            <w:vAlign w:val="center"/>
          </w:tcPr>
          <w:p w14:paraId="2785F54F">
            <w:pPr>
              <w:pStyle w:val="84"/>
              <w:spacing w:line="0" w:lineRule="atLeast"/>
              <w:rPr>
                <w:color w:val="auto"/>
                <w:highlight w:val="cyan"/>
              </w:rPr>
            </w:pPr>
          </w:p>
        </w:tc>
      </w:tr>
      <w:tr w14:paraId="0A3659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91" w:hRule="atLeast"/>
          <w:jc w:val="center"/>
        </w:trPr>
        <w:tc>
          <w:tcPr>
            <w:tcW w:w="194" w:type="pct"/>
            <w:vMerge w:val="continue"/>
            <w:vAlign w:val="center"/>
          </w:tcPr>
          <w:p w14:paraId="357F558E">
            <w:pPr>
              <w:pStyle w:val="84"/>
              <w:spacing w:line="0" w:lineRule="atLeast"/>
              <w:rPr>
                <w:color w:val="auto"/>
                <w:highlight w:val="none"/>
              </w:rPr>
            </w:pPr>
          </w:p>
        </w:tc>
        <w:tc>
          <w:tcPr>
            <w:tcW w:w="200" w:type="pct"/>
            <w:vMerge w:val="continue"/>
            <w:vAlign w:val="center"/>
          </w:tcPr>
          <w:p w14:paraId="2D8F94BF">
            <w:pPr>
              <w:pStyle w:val="84"/>
              <w:spacing w:line="0" w:lineRule="atLeast"/>
              <w:rPr>
                <w:color w:val="auto"/>
                <w:highlight w:val="none"/>
              </w:rPr>
            </w:pPr>
          </w:p>
        </w:tc>
        <w:tc>
          <w:tcPr>
            <w:tcW w:w="471" w:type="pct"/>
            <w:vAlign w:val="center"/>
          </w:tcPr>
          <w:p w14:paraId="3ACF0B13">
            <w:pPr>
              <w:pStyle w:val="84"/>
              <w:spacing w:line="0" w:lineRule="atLeast"/>
              <w:rPr>
                <w:color w:val="auto"/>
                <w:highlight w:val="none"/>
              </w:rPr>
            </w:pPr>
            <w:r>
              <w:rPr>
                <w:color w:val="auto"/>
                <w:highlight w:val="none"/>
              </w:rPr>
              <w:t>固废</w:t>
            </w:r>
          </w:p>
        </w:tc>
        <w:tc>
          <w:tcPr>
            <w:tcW w:w="3426" w:type="pct"/>
            <w:tcBorders>
              <w:right w:val="single" w:color="auto" w:sz="2" w:space="0"/>
            </w:tcBorders>
            <w:vAlign w:val="center"/>
          </w:tcPr>
          <w:p w14:paraId="363312B8">
            <w:pPr>
              <w:pStyle w:val="84"/>
              <w:spacing w:line="0" w:lineRule="atLeast"/>
              <w:jc w:val="both"/>
              <w:rPr>
                <w:color w:val="auto"/>
                <w:highlight w:val="none"/>
              </w:rPr>
            </w:pPr>
            <w:r>
              <w:rPr>
                <w:rFonts w:hAnsi="宋体"/>
                <w:color w:val="auto"/>
                <w:highlight w:val="none"/>
              </w:rPr>
              <w:t>本项目施工期产生固废为</w:t>
            </w:r>
            <w:r>
              <w:rPr>
                <w:bCs/>
                <w:color w:val="auto"/>
                <w:highlight w:val="none"/>
              </w:rPr>
              <w:t>建筑</w:t>
            </w:r>
            <w:r>
              <w:rPr>
                <w:rFonts w:hint="eastAsia"/>
                <w:bCs/>
                <w:color w:val="auto"/>
                <w:highlight w:val="none"/>
              </w:rPr>
              <w:t>垃圾</w:t>
            </w:r>
            <w:r>
              <w:rPr>
                <w:rFonts w:hAnsi="宋体"/>
                <w:bCs/>
                <w:color w:val="auto"/>
                <w:highlight w:val="none"/>
              </w:rPr>
              <w:t>、生活垃圾、</w:t>
            </w:r>
            <w:r>
              <w:rPr>
                <w:rFonts w:hint="eastAsia"/>
                <w:bCs/>
                <w:color w:val="auto"/>
                <w:highlight w:val="none"/>
              </w:rPr>
              <w:t>场地清理废物</w:t>
            </w:r>
            <w:r>
              <w:rPr>
                <w:rFonts w:hint="eastAsia" w:hAnsi="宋体"/>
                <w:color w:val="auto"/>
                <w:highlight w:val="none"/>
              </w:rPr>
              <w:t>。</w:t>
            </w:r>
            <w:r>
              <w:rPr>
                <w:bCs/>
                <w:color w:val="auto"/>
                <w:highlight w:val="none"/>
              </w:rPr>
              <w:t>建筑材料下脚料、包装袋等建筑废弃物，外售废品回收部门；生活垃圾集中收集后</w:t>
            </w:r>
            <w:r>
              <w:rPr>
                <w:color w:val="auto"/>
                <w:kern w:val="0"/>
                <w:szCs w:val="24"/>
                <w:highlight w:val="none"/>
                <w:lang w:bidi="ar"/>
              </w:rPr>
              <w:t>定期就近交由当地村屯生活垃圾收集系统进行</w:t>
            </w:r>
            <w:r>
              <w:rPr>
                <w:rFonts w:hint="eastAsia"/>
                <w:color w:val="auto"/>
                <w:kern w:val="0"/>
                <w:szCs w:val="24"/>
                <w:highlight w:val="none"/>
                <w:lang w:bidi="ar"/>
              </w:rPr>
              <w:t>分类</w:t>
            </w:r>
            <w:r>
              <w:rPr>
                <w:color w:val="auto"/>
                <w:kern w:val="0"/>
                <w:szCs w:val="24"/>
                <w:highlight w:val="none"/>
                <w:lang w:bidi="ar"/>
              </w:rPr>
              <w:t>处置</w:t>
            </w:r>
            <w:r>
              <w:rPr>
                <w:rFonts w:hint="eastAsia"/>
                <w:bCs/>
                <w:color w:val="auto"/>
                <w:highlight w:val="none"/>
              </w:rPr>
              <w:t>；场地清理废物包含杂草、草木根茎、杂物等，集中收集后交由市政部门统一处理。</w:t>
            </w:r>
          </w:p>
        </w:tc>
        <w:tc>
          <w:tcPr>
            <w:tcW w:w="609" w:type="pct"/>
            <w:vMerge w:val="continue"/>
            <w:tcBorders>
              <w:left w:val="single" w:color="auto" w:sz="2" w:space="0"/>
            </w:tcBorders>
            <w:vAlign w:val="center"/>
          </w:tcPr>
          <w:p w14:paraId="04F92540">
            <w:pPr>
              <w:pStyle w:val="84"/>
              <w:spacing w:line="0" w:lineRule="atLeast"/>
              <w:rPr>
                <w:color w:val="auto"/>
                <w:highlight w:val="cyan"/>
              </w:rPr>
            </w:pPr>
          </w:p>
        </w:tc>
      </w:tr>
      <w:tr w14:paraId="74472D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612" w:hRule="atLeast"/>
          <w:jc w:val="center"/>
        </w:trPr>
        <w:tc>
          <w:tcPr>
            <w:tcW w:w="194" w:type="pct"/>
            <w:vMerge w:val="continue"/>
            <w:vAlign w:val="center"/>
          </w:tcPr>
          <w:p w14:paraId="77F0A602">
            <w:pPr>
              <w:pStyle w:val="84"/>
              <w:spacing w:line="0" w:lineRule="atLeast"/>
              <w:rPr>
                <w:color w:val="auto"/>
                <w:highlight w:val="none"/>
              </w:rPr>
            </w:pPr>
          </w:p>
        </w:tc>
        <w:tc>
          <w:tcPr>
            <w:tcW w:w="200" w:type="pct"/>
            <w:vMerge w:val="continue"/>
            <w:vAlign w:val="center"/>
          </w:tcPr>
          <w:p w14:paraId="67C3AE19">
            <w:pPr>
              <w:pStyle w:val="84"/>
              <w:spacing w:line="0" w:lineRule="atLeast"/>
              <w:rPr>
                <w:color w:val="auto"/>
                <w:highlight w:val="none"/>
              </w:rPr>
            </w:pPr>
          </w:p>
        </w:tc>
        <w:tc>
          <w:tcPr>
            <w:tcW w:w="471" w:type="pct"/>
            <w:vAlign w:val="center"/>
          </w:tcPr>
          <w:p w14:paraId="673A76EE">
            <w:pPr>
              <w:pStyle w:val="84"/>
              <w:spacing w:line="0" w:lineRule="atLeast"/>
              <w:rPr>
                <w:color w:val="auto"/>
                <w:highlight w:val="none"/>
              </w:rPr>
            </w:pPr>
            <w:r>
              <w:rPr>
                <w:color w:val="auto"/>
                <w:highlight w:val="none"/>
              </w:rPr>
              <w:t>生态</w:t>
            </w:r>
          </w:p>
        </w:tc>
        <w:tc>
          <w:tcPr>
            <w:tcW w:w="3426" w:type="pct"/>
            <w:tcBorders>
              <w:right w:val="single" w:color="auto" w:sz="2" w:space="0"/>
            </w:tcBorders>
            <w:vAlign w:val="center"/>
          </w:tcPr>
          <w:p w14:paraId="7538D41F">
            <w:pPr>
              <w:pStyle w:val="84"/>
              <w:spacing w:line="0" w:lineRule="atLeast"/>
              <w:jc w:val="both"/>
              <w:rPr>
                <w:bCs/>
                <w:color w:val="auto"/>
                <w:highlight w:val="none"/>
              </w:rPr>
            </w:pPr>
            <w:r>
              <w:rPr>
                <w:bCs/>
                <w:color w:val="auto"/>
                <w:highlight w:val="none"/>
              </w:rPr>
              <w:t>本项目</w:t>
            </w:r>
            <w:r>
              <w:rPr>
                <w:rFonts w:hint="eastAsia"/>
                <w:bCs/>
                <w:color w:val="auto"/>
                <w:highlight w:val="none"/>
              </w:rPr>
              <w:t>施工期</w:t>
            </w:r>
            <w:r>
              <w:rPr>
                <w:bCs/>
                <w:color w:val="auto"/>
                <w:highlight w:val="none"/>
              </w:rPr>
              <w:t>会对自然景观、水土流失、土地利用功能等产生影响。严格控制施工范围，</w:t>
            </w:r>
            <w:r>
              <w:rPr>
                <w:rFonts w:hint="eastAsia"/>
                <w:bCs/>
                <w:color w:val="auto"/>
                <w:highlight w:val="none"/>
              </w:rPr>
              <w:t>严禁捕杀野生动物，加强</w:t>
            </w:r>
            <w:r>
              <w:rPr>
                <w:bCs/>
                <w:color w:val="auto"/>
                <w:szCs w:val="28"/>
                <w:highlight w:val="none"/>
              </w:rPr>
              <w:t>对施工人员的教育</w:t>
            </w:r>
            <w:r>
              <w:rPr>
                <w:rFonts w:hint="eastAsia"/>
                <w:bCs/>
                <w:color w:val="auto"/>
                <w:szCs w:val="28"/>
                <w:highlight w:val="none"/>
              </w:rPr>
              <w:t>，土方开挖后及时回填，</w:t>
            </w:r>
            <w:r>
              <w:rPr>
                <w:bCs/>
                <w:color w:val="auto"/>
                <w:highlight w:val="none"/>
              </w:rPr>
              <w:t>减少水土流失</w:t>
            </w:r>
            <w:r>
              <w:rPr>
                <w:rFonts w:hint="eastAsia"/>
                <w:bCs/>
                <w:color w:val="auto"/>
                <w:highlight w:val="none"/>
              </w:rPr>
              <w:t>。</w:t>
            </w:r>
          </w:p>
        </w:tc>
        <w:tc>
          <w:tcPr>
            <w:tcW w:w="609" w:type="pct"/>
            <w:vMerge w:val="continue"/>
            <w:tcBorders>
              <w:left w:val="single" w:color="auto" w:sz="2" w:space="0"/>
            </w:tcBorders>
            <w:vAlign w:val="center"/>
          </w:tcPr>
          <w:p w14:paraId="3DED5E91">
            <w:pPr>
              <w:pStyle w:val="84"/>
              <w:spacing w:line="0" w:lineRule="atLeast"/>
              <w:rPr>
                <w:color w:val="auto"/>
                <w:highlight w:val="cyan"/>
              </w:rPr>
            </w:pPr>
          </w:p>
        </w:tc>
      </w:tr>
      <w:tr w14:paraId="2EA69F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304" w:hRule="atLeast"/>
          <w:jc w:val="center"/>
        </w:trPr>
        <w:tc>
          <w:tcPr>
            <w:tcW w:w="194" w:type="pct"/>
            <w:vMerge w:val="continue"/>
            <w:vAlign w:val="center"/>
          </w:tcPr>
          <w:p w14:paraId="3BC305F0">
            <w:pPr>
              <w:pStyle w:val="84"/>
              <w:spacing w:line="0" w:lineRule="atLeast"/>
              <w:rPr>
                <w:color w:val="auto"/>
                <w:highlight w:val="cyan"/>
              </w:rPr>
            </w:pPr>
          </w:p>
        </w:tc>
        <w:tc>
          <w:tcPr>
            <w:tcW w:w="200" w:type="pct"/>
            <w:vMerge w:val="restart"/>
            <w:vAlign w:val="center"/>
          </w:tcPr>
          <w:p w14:paraId="76639E47">
            <w:pPr>
              <w:pStyle w:val="84"/>
              <w:spacing w:line="0" w:lineRule="atLeast"/>
              <w:rPr>
                <w:color w:val="auto"/>
                <w:highlight w:val="none"/>
              </w:rPr>
            </w:pPr>
            <w:r>
              <w:rPr>
                <w:rFonts w:hint="eastAsia"/>
                <w:color w:val="auto"/>
                <w:highlight w:val="none"/>
              </w:rPr>
              <w:t>回填复垦期</w:t>
            </w:r>
          </w:p>
        </w:tc>
        <w:tc>
          <w:tcPr>
            <w:tcW w:w="471" w:type="pct"/>
            <w:vAlign w:val="center"/>
          </w:tcPr>
          <w:p w14:paraId="5C453AF0">
            <w:pPr>
              <w:pStyle w:val="84"/>
              <w:spacing w:line="0" w:lineRule="atLeast"/>
              <w:rPr>
                <w:color w:val="auto"/>
                <w:highlight w:val="none"/>
              </w:rPr>
            </w:pPr>
            <w:r>
              <w:rPr>
                <w:color w:val="auto"/>
                <w:highlight w:val="none"/>
              </w:rPr>
              <w:t>废气</w:t>
            </w:r>
          </w:p>
        </w:tc>
        <w:tc>
          <w:tcPr>
            <w:tcW w:w="3426" w:type="pct"/>
            <w:vAlign w:val="center"/>
          </w:tcPr>
          <w:p w14:paraId="6282F7E5">
            <w:pPr>
              <w:adjustRightInd w:val="0"/>
              <w:snapToGrid w:val="0"/>
              <w:rPr>
                <w:color w:val="auto"/>
                <w:highlight w:val="none"/>
              </w:rPr>
            </w:pPr>
            <w:r>
              <w:rPr>
                <w:color w:val="auto"/>
                <w:szCs w:val="21"/>
                <w:highlight w:val="none"/>
              </w:rPr>
              <w:t>运输车辆采取加盖篷布、密封仓等措施，</w:t>
            </w:r>
            <w:r>
              <w:rPr>
                <w:rFonts w:hint="eastAsia"/>
                <w:color w:val="auto"/>
                <w:szCs w:val="21"/>
                <w:highlight w:val="none"/>
              </w:rPr>
              <w:t>运输道路及时洒水降尘，</w:t>
            </w:r>
            <w:r>
              <w:rPr>
                <w:rFonts w:hint="eastAsia"/>
                <w:color w:val="auto"/>
                <w:szCs w:val="21"/>
                <w:highlight w:val="none"/>
                <w:lang w:eastAsia="zh-CN"/>
              </w:rPr>
              <w:t>灰渣</w:t>
            </w:r>
            <w:r>
              <w:rPr>
                <w:color w:val="auto"/>
                <w:szCs w:val="21"/>
                <w:highlight w:val="none"/>
              </w:rPr>
              <w:t>到场后按照指定点卸车，且做到随卸随填</w:t>
            </w:r>
            <w:r>
              <w:rPr>
                <w:rFonts w:hint="eastAsia"/>
                <w:color w:val="auto"/>
                <w:szCs w:val="21"/>
                <w:highlight w:val="none"/>
              </w:rPr>
              <w:t>，控制自卸汽车卸料高度</w:t>
            </w:r>
            <w:r>
              <w:rPr>
                <w:color w:val="auto"/>
                <w:szCs w:val="21"/>
                <w:highlight w:val="none"/>
              </w:rPr>
              <w:t>；根据项目地区实际天气情况制定合理的洒水制度，并严格执行；</w:t>
            </w:r>
            <w:r>
              <w:rPr>
                <w:rFonts w:hint="eastAsia"/>
                <w:color w:val="auto"/>
                <w:szCs w:val="21"/>
                <w:highlight w:val="none"/>
              </w:rPr>
              <w:t>分区分单元作业，作业时周边设置1</w:t>
            </w:r>
            <w:r>
              <w:rPr>
                <w:color w:val="auto"/>
                <w:szCs w:val="21"/>
                <w:highlight w:val="none"/>
              </w:rPr>
              <w:t>.8</w:t>
            </w:r>
            <w:r>
              <w:rPr>
                <w:rFonts w:hint="eastAsia"/>
                <w:color w:val="auto"/>
                <w:szCs w:val="21"/>
                <w:highlight w:val="none"/>
              </w:rPr>
              <w:t>m围挡，</w:t>
            </w:r>
            <w:r>
              <w:rPr>
                <w:color w:val="auto"/>
                <w:szCs w:val="21"/>
                <w:highlight w:val="none"/>
              </w:rPr>
              <w:t>每日作业后对表面及时</w:t>
            </w:r>
            <w:r>
              <w:rPr>
                <w:rFonts w:hint="eastAsia"/>
                <w:color w:val="auto"/>
                <w:szCs w:val="21"/>
                <w:highlight w:val="none"/>
              </w:rPr>
              <w:t>采用苫布</w:t>
            </w:r>
            <w:r>
              <w:rPr>
                <w:color w:val="auto"/>
                <w:szCs w:val="21"/>
                <w:highlight w:val="none"/>
              </w:rPr>
              <w:t>覆盖</w:t>
            </w:r>
            <w:r>
              <w:rPr>
                <w:rFonts w:hint="eastAsia"/>
                <w:color w:val="auto"/>
                <w:szCs w:val="21"/>
                <w:highlight w:val="none"/>
              </w:rPr>
              <w:t>，非作业面以及已碾实的</w:t>
            </w:r>
            <w:r>
              <w:rPr>
                <w:rFonts w:hint="eastAsia"/>
                <w:color w:val="auto"/>
                <w:szCs w:val="21"/>
                <w:highlight w:val="none"/>
                <w:lang w:eastAsia="zh-CN"/>
              </w:rPr>
              <w:t>灰渣</w:t>
            </w:r>
            <w:r>
              <w:rPr>
                <w:rFonts w:hint="eastAsia"/>
                <w:color w:val="auto"/>
                <w:szCs w:val="21"/>
                <w:highlight w:val="none"/>
              </w:rPr>
              <w:t>表面采用苫布覆盖</w:t>
            </w:r>
            <w:r>
              <w:rPr>
                <w:color w:val="auto"/>
                <w:szCs w:val="21"/>
                <w:highlight w:val="none"/>
              </w:rPr>
              <w:t>；对大风等特殊气象条件，停止作业，并加大洒水强度。在采取上述措施后，场界颗粒物浓度可达到《大气污染物综合排放标准》（GB16297-1996）中的表2无组织排放监控浓度限值。</w:t>
            </w:r>
          </w:p>
        </w:tc>
        <w:tc>
          <w:tcPr>
            <w:tcW w:w="609" w:type="pct"/>
            <w:vMerge w:val="continue"/>
            <w:tcBorders>
              <w:left w:val="single" w:color="auto" w:sz="2" w:space="0"/>
            </w:tcBorders>
            <w:vAlign w:val="center"/>
          </w:tcPr>
          <w:p w14:paraId="1FB9E2B0">
            <w:pPr>
              <w:pStyle w:val="84"/>
              <w:spacing w:line="0" w:lineRule="atLeast"/>
              <w:rPr>
                <w:color w:val="auto"/>
                <w:highlight w:val="cyan"/>
              </w:rPr>
            </w:pPr>
          </w:p>
        </w:tc>
      </w:tr>
      <w:tr w14:paraId="0B0437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1426" w:hRule="atLeast"/>
          <w:jc w:val="center"/>
        </w:trPr>
        <w:tc>
          <w:tcPr>
            <w:tcW w:w="194" w:type="pct"/>
            <w:vMerge w:val="continue"/>
            <w:vAlign w:val="center"/>
          </w:tcPr>
          <w:p w14:paraId="2FE0EEA5">
            <w:pPr>
              <w:pStyle w:val="84"/>
              <w:spacing w:line="0" w:lineRule="atLeast"/>
              <w:jc w:val="both"/>
              <w:rPr>
                <w:color w:val="auto"/>
                <w:highlight w:val="cyan"/>
              </w:rPr>
            </w:pPr>
          </w:p>
        </w:tc>
        <w:tc>
          <w:tcPr>
            <w:tcW w:w="200" w:type="pct"/>
            <w:vMerge w:val="continue"/>
            <w:vAlign w:val="center"/>
          </w:tcPr>
          <w:p w14:paraId="3F88D338">
            <w:pPr>
              <w:pStyle w:val="84"/>
              <w:spacing w:line="0" w:lineRule="atLeast"/>
              <w:rPr>
                <w:color w:val="auto"/>
                <w:highlight w:val="cyan"/>
              </w:rPr>
            </w:pPr>
          </w:p>
        </w:tc>
        <w:tc>
          <w:tcPr>
            <w:tcW w:w="471" w:type="pct"/>
            <w:vAlign w:val="center"/>
          </w:tcPr>
          <w:p w14:paraId="63A7C318">
            <w:pPr>
              <w:pStyle w:val="84"/>
              <w:spacing w:line="0" w:lineRule="atLeast"/>
              <w:rPr>
                <w:color w:val="auto"/>
                <w:highlight w:val="none"/>
              </w:rPr>
            </w:pPr>
            <w:r>
              <w:rPr>
                <w:color w:val="auto"/>
                <w:highlight w:val="none"/>
              </w:rPr>
              <w:t>废水</w:t>
            </w:r>
          </w:p>
        </w:tc>
        <w:tc>
          <w:tcPr>
            <w:tcW w:w="3426" w:type="pct"/>
            <w:tcBorders>
              <w:tl2br w:val="nil"/>
              <w:tr2bl w:val="nil"/>
            </w:tcBorders>
            <w:vAlign w:val="center"/>
          </w:tcPr>
          <w:p w14:paraId="3E4EF3A0">
            <w:pPr>
              <w:pStyle w:val="84"/>
              <w:spacing w:line="0" w:lineRule="atLeast"/>
              <w:jc w:val="both"/>
              <w:rPr>
                <w:color w:val="auto"/>
                <w:highlight w:val="none"/>
              </w:rPr>
            </w:pPr>
            <w:r>
              <w:rPr>
                <w:color w:val="auto"/>
                <w:highlight w:val="none"/>
              </w:rPr>
              <w:t>产生废水为</w:t>
            </w:r>
            <w:r>
              <w:rPr>
                <w:rFonts w:hint="eastAsia"/>
                <w:bCs/>
                <w:color w:val="auto"/>
                <w:highlight w:val="none"/>
              </w:rPr>
              <w:t>生活污水、</w:t>
            </w:r>
            <w:r>
              <w:rPr>
                <w:color w:val="auto"/>
                <w:kern w:val="0"/>
                <w:highlight w:val="none"/>
              </w:rPr>
              <w:t>淋溶</w:t>
            </w:r>
            <w:r>
              <w:rPr>
                <w:rFonts w:hint="eastAsia"/>
                <w:color w:val="auto"/>
                <w:kern w:val="0"/>
                <w:highlight w:val="none"/>
              </w:rPr>
              <w:t>水</w:t>
            </w:r>
            <w:r>
              <w:rPr>
                <w:color w:val="auto"/>
                <w:highlight w:val="none"/>
              </w:rPr>
              <w:t>。</w:t>
            </w:r>
            <w:r>
              <w:rPr>
                <w:rFonts w:hint="eastAsia"/>
                <w:color w:val="auto"/>
                <w:highlight w:val="none"/>
              </w:rPr>
              <w:t>当有持续强降雨的情况下，才会有部分的淋溶水渗漏到底部，在正常工况条件下，不会产生淋溶水。</w:t>
            </w:r>
          </w:p>
          <w:p w14:paraId="6D535F17">
            <w:pPr>
              <w:pStyle w:val="84"/>
              <w:spacing w:line="0" w:lineRule="atLeast"/>
              <w:jc w:val="both"/>
              <w:rPr>
                <w:bCs/>
                <w:color w:val="auto"/>
                <w:highlight w:val="none"/>
              </w:rPr>
            </w:pPr>
            <w:r>
              <w:rPr>
                <w:rFonts w:hint="eastAsia"/>
                <w:bCs/>
                <w:color w:val="auto"/>
                <w:highlight w:val="none"/>
              </w:rPr>
              <w:t>（1）生活污水</w:t>
            </w:r>
            <w:r>
              <w:rPr>
                <w:bCs/>
                <w:color w:val="auto"/>
                <w:highlight w:val="none"/>
              </w:rPr>
              <w:t>排入依托租赁的民房配套的防渗旱厕，定期清掏，外运堆肥；</w:t>
            </w:r>
          </w:p>
          <w:p w14:paraId="5D10619C">
            <w:pPr>
              <w:pStyle w:val="84"/>
              <w:spacing w:line="0" w:lineRule="atLeast"/>
              <w:jc w:val="both"/>
              <w:rPr>
                <w:color w:val="auto"/>
                <w:highlight w:val="none"/>
              </w:rPr>
            </w:pPr>
            <w:r>
              <w:rPr>
                <w:rFonts w:hint="eastAsia"/>
                <w:color w:val="auto"/>
                <w:kern w:val="0"/>
                <w:highlight w:val="none"/>
              </w:rPr>
              <w:t>（</w:t>
            </w:r>
            <w:r>
              <w:rPr>
                <w:color w:val="auto"/>
                <w:kern w:val="0"/>
                <w:highlight w:val="none"/>
              </w:rPr>
              <w:t>2</w:t>
            </w:r>
            <w:r>
              <w:rPr>
                <w:rFonts w:hint="eastAsia"/>
                <w:color w:val="auto"/>
                <w:kern w:val="0"/>
                <w:highlight w:val="none"/>
              </w:rPr>
              <w:t>）</w:t>
            </w:r>
            <w:r>
              <w:rPr>
                <w:rFonts w:hint="eastAsia"/>
                <w:color w:val="auto"/>
                <w:highlight w:val="none"/>
                <w:lang w:eastAsia="zh-CN"/>
              </w:rPr>
              <w:t>东侧回填区在东南侧</w:t>
            </w:r>
            <w:r>
              <w:rPr>
                <w:rFonts w:hint="eastAsia"/>
                <w:color w:val="auto"/>
                <w:highlight w:val="none"/>
              </w:rPr>
              <w:t>低洼处建设1座容积为</w:t>
            </w:r>
            <w:r>
              <w:rPr>
                <w:rFonts w:hint="eastAsia"/>
                <w:color w:val="auto"/>
                <w:highlight w:val="none"/>
                <w:lang w:val="en-US" w:eastAsia="zh-CN"/>
              </w:rPr>
              <w:t>80</w:t>
            </w:r>
            <w:r>
              <w:rPr>
                <w:rFonts w:hint="eastAsia"/>
                <w:color w:val="auto"/>
                <w:highlight w:val="none"/>
              </w:rPr>
              <w:t>m</w:t>
            </w:r>
            <w:r>
              <w:rPr>
                <w:rFonts w:hint="eastAsia"/>
                <w:color w:val="auto"/>
                <w:highlight w:val="none"/>
                <w:vertAlign w:val="superscript"/>
              </w:rPr>
              <w:t>3</w:t>
            </w:r>
            <w:r>
              <w:rPr>
                <w:rFonts w:hint="eastAsia"/>
                <w:color w:val="auto"/>
                <w:highlight w:val="none"/>
              </w:rPr>
              <w:t>的淋溶水暂存池</w:t>
            </w:r>
            <w:r>
              <w:rPr>
                <w:rFonts w:hint="eastAsia"/>
                <w:color w:val="auto"/>
                <w:highlight w:val="none"/>
                <w:lang w:eastAsia="zh-CN"/>
              </w:rPr>
              <w:t>，西侧回填区在南侧低洼处建设</w:t>
            </w:r>
            <w:r>
              <w:rPr>
                <w:rFonts w:hint="eastAsia"/>
                <w:color w:val="auto"/>
                <w:highlight w:val="none"/>
                <w:lang w:val="en-US" w:eastAsia="zh-CN"/>
              </w:rPr>
              <w:t>1座容积为150m</w:t>
            </w:r>
            <w:r>
              <w:rPr>
                <w:rFonts w:hint="eastAsia"/>
                <w:color w:val="auto"/>
                <w:highlight w:val="none"/>
                <w:vertAlign w:val="superscript"/>
                <w:lang w:val="en-US" w:eastAsia="zh-CN"/>
              </w:rPr>
              <w:t>3</w:t>
            </w:r>
            <w:r>
              <w:rPr>
                <w:rFonts w:hint="eastAsia"/>
                <w:color w:val="auto"/>
                <w:highlight w:val="none"/>
                <w:lang w:val="en-US" w:eastAsia="zh-CN"/>
              </w:rPr>
              <w:t>的淋溶水暂存池</w:t>
            </w:r>
            <w:r>
              <w:rPr>
                <w:rFonts w:hint="eastAsia"/>
                <w:color w:val="auto"/>
                <w:highlight w:val="none"/>
              </w:rPr>
              <w:t>，</w:t>
            </w:r>
            <w:r>
              <w:rPr>
                <w:color w:val="auto"/>
                <w:kern w:val="0"/>
                <w:highlight w:val="none"/>
              </w:rPr>
              <w:t>用于收集</w:t>
            </w:r>
            <w:r>
              <w:rPr>
                <w:rFonts w:hint="eastAsia"/>
                <w:color w:val="auto"/>
                <w:kern w:val="0"/>
                <w:highlight w:val="none"/>
              </w:rPr>
              <w:t>回填区</w:t>
            </w:r>
            <w:r>
              <w:rPr>
                <w:color w:val="auto"/>
                <w:kern w:val="0"/>
                <w:highlight w:val="none"/>
              </w:rPr>
              <w:t>淋</w:t>
            </w:r>
            <w:r>
              <w:rPr>
                <w:rFonts w:hint="eastAsia"/>
                <w:color w:val="auto"/>
                <w:kern w:val="0"/>
                <w:highlight w:val="none"/>
              </w:rPr>
              <w:t>溶</w:t>
            </w:r>
            <w:r>
              <w:rPr>
                <w:color w:val="auto"/>
                <w:kern w:val="0"/>
                <w:highlight w:val="none"/>
              </w:rPr>
              <w:t>水，项目</w:t>
            </w:r>
            <w:r>
              <w:rPr>
                <w:rFonts w:hint="eastAsia"/>
                <w:color w:val="auto"/>
                <w:kern w:val="0"/>
                <w:highlight w:val="none"/>
              </w:rPr>
              <w:t>极端天气强降雨时期</w:t>
            </w:r>
            <w:r>
              <w:rPr>
                <w:color w:val="auto"/>
                <w:kern w:val="0"/>
                <w:highlight w:val="none"/>
              </w:rPr>
              <w:t>产生的淋</w:t>
            </w:r>
            <w:r>
              <w:rPr>
                <w:rFonts w:hint="eastAsia"/>
                <w:color w:val="auto"/>
                <w:kern w:val="0"/>
                <w:highlight w:val="none"/>
              </w:rPr>
              <w:t>溶</w:t>
            </w:r>
            <w:r>
              <w:rPr>
                <w:color w:val="auto"/>
                <w:kern w:val="0"/>
                <w:highlight w:val="none"/>
              </w:rPr>
              <w:t>水经矿坑底部粘土层阻隔，经淋</w:t>
            </w:r>
            <w:r>
              <w:rPr>
                <w:rFonts w:hint="eastAsia"/>
                <w:color w:val="auto"/>
                <w:kern w:val="0"/>
                <w:highlight w:val="none"/>
              </w:rPr>
              <w:t>溶</w:t>
            </w:r>
            <w:r>
              <w:rPr>
                <w:color w:val="auto"/>
                <w:kern w:val="0"/>
                <w:highlight w:val="none"/>
              </w:rPr>
              <w:t>水导排系统收集后排入</w:t>
            </w:r>
            <w:r>
              <w:rPr>
                <w:rFonts w:hint="eastAsia"/>
                <w:color w:val="auto"/>
                <w:kern w:val="0"/>
                <w:highlight w:val="none"/>
              </w:rPr>
              <w:t>暂存池，沉淀后回用于项目区洒水抑尘使用</w:t>
            </w:r>
            <w:r>
              <w:rPr>
                <w:color w:val="auto"/>
                <w:kern w:val="0"/>
                <w:highlight w:val="none"/>
              </w:rPr>
              <w:t>，不外排</w:t>
            </w:r>
            <w:r>
              <w:rPr>
                <w:rFonts w:hint="eastAsia"/>
                <w:color w:val="auto"/>
                <w:kern w:val="0"/>
                <w:highlight w:val="none"/>
              </w:rPr>
              <w:t>。</w:t>
            </w:r>
          </w:p>
        </w:tc>
        <w:tc>
          <w:tcPr>
            <w:tcW w:w="609" w:type="pct"/>
            <w:vMerge w:val="continue"/>
            <w:tcBorders>
              <w:left w:val="single" w:color="auto" w:sz="2" w:space="0"/>
            </w:tcBorders>
            <w:vAlign w:val="center"/>
          </w:tcPr>
          <w:p w14:paraId="525B0885">
            <w:pPr>
              <w:pStyle w:val="84"/>
              <w:spacing w:line="0" w:lineRule="atLeast"/>
              <w:jc w:val="both"/>
              <w:rPr>
                <w:color w:val="auto"/>
                <w:highlight w:val="cyan"/>
              </w:rPr>
            </w:pPr>
          </w:p>
        </w:tc>
      </w:tr>
      <w:tr w14:paraId="559E28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257" w:hRule="atLeast"/>
          <w:jc w:val="center"/>
        </w:trPr>
        <w:tc>
          <w:tcPr>
            <w:tcW w:w="194" w:type="pct"/>
            <w:vMerge w:val="continue"/>
            <w:vAlign w:val="center"/>
          </w:tcPr>
          <w:p w14:paraId="795F1B84">
            <w:pPr>
              <w:pStyle w:val="84"/>
              <w:spacing w:line="0" w:lineRule="atLeast"/>
              <w:jc w:val="both"/>
              <w:rPr>
                <w:color w:val="auto"/>
                <w:highlight w:val="cyan"/>
              </w:rPr>
            </w:pPr>
          </w:p>
        </w:tc>
        <w:tc>
          <w:tcPr>
            <w:tcW w:w="200" w:type="pct"/>
            <w:vMerge w:val="continue"/>
            <w:vAlign w:val="center"/>
          </w:tcPr>
          <w:p w14:paraId="5D675A97">
            <w:pPr>
              <w:pStyle w:val="84"/>
              <w:spacing w:line="0" w:lineRule="atLeast"/>
              <w:rPr>
                <w:color w:val="auto"/>
                <w:highlight w:val="cyan"/>
              </w:rPr>
            </w:pPr>
          </w:p>
        </w:tc>
        <w:tc>
          <w:tcPr>
            <w:tcW w:w="471" w:type="pct"/>
            <w:vAlign w:val="center"/>
          </w:tcPr>
          <w:p w14:paraId="7DE21654">
            <w:pPr>
              <w:pStyle w:val="84"/>
              <w:spacing w:line="0" w:lineRule="atLeast"/>
              <w:rPr>
                <w:color w:val="auto"/>
                <w:highlight w:val="none"/>
              </w:rPr>
            </w:pPr>
            <w:r>
              <w:rPr>
                <w:color w:val="auto"/>
                <w:highlight w:val="none"/>
              </w:rPr>
              <w:t>噪声</w:t>
            </w:r>
          </w:p>
        </w:tc>
        <w:tc>
          <w:tcPr>
            <w:tcW w:w="3426" w:type="pct"/>
            <w:tcBorders>
              <w:right w:val="single" w:color="auto" w:sz="2" w:space="0"/>
            </w:tcBorders>
            <w:vAlign w:val="center"/>
          </w:tcPr>
          <w:p w14:paraId="1E1C6DFF">
            <w:pPr>
              <w:pStyle w:val="84"/>
              <w:spacing w:line="0" w:lineRule="atLeast"/>
              <w:jc w:val="both"/>
              <w:rPr>
                <w:color w:val="auto"/>
                <w:highlight w:val="none"/>
              </w:rPr>
            </w:pPr>
            <w:r>
              <w:rPr>
                <w:rFonts w:hint="eastAsia" w:hAnsi="宋体"/>
                <w:color w:val="auto"/>
                <w:highlight w:val="none"/>
              </w:rPr>
              <w:t>噪声源主要为机械</w:t>
            </w:r>
            <w:r>
              <w:rPr>
                <w:rFonts w:hAnsi="宋体"/>
                <w:color w:val="auto"/>
                <w:highlight w:val="none"/>
              </w:rPr>
              <w:t>设备、运输</w:t>
            </w:r>
            <w:r>
              <w:rPr>
                <w:rFonts w:hint="eastAsia" w:hAnsi="宋体"/>
                <w:color w:val="auto"/>
                <w:highlight w:val="none"/>
              </w:rPr>
              <w:t>车辆</w:t>
            </w:r>
            <w:r>
              <w:rPr>
                <w:rFonts w:hAnsi="宋体"/>
                <w:color w:val="auto"/>
                <w:highlight w:val="none"/>
              </w:rPr>
              <w:t>。</w:t>
            </w:r>
            <w:r>
              <w:rPr>
                <w:rFonts w:hint="eastAsia"/>
                <w:color w:val="auto"/>
                <w:highlight w:val="none"/>
              </w:rPr>
              <w:t>选用低噪声的运输车辆、作业设备，加强生产管理，在严格履行上述措施后，本项目厂界噪声能够满足《工业企业厂界环境噪声排放标准》（GB12348-2008）中表1的</w:t>
            </w:r>
            <w:r>
              <w:rPr>
                <w:rFonts w:hint="eastAsia"/>
                <w:color w:val="auto"/>
                <w:highlight w:val="none"/>
                <w:lang w:val="en-US" w:eastAsia="zh-CN"/>
              </w:rPr>
              <w:t>2</w:t>
            </w:r>
            <w:r>
              <w:rPr>
                <w:rFonts w:hint="eastAsia"/>
                <w:color w:val="auto"/>
                <w:highlight w:val="none"/>
              </w:rPr>
              <w:t>类标准。</w:t>
            </w:r>
            <w:r>
              <w:rPr>
                <w:rFonts w:hAnsi="宋体"/>
                <w:color w:val="auto"/>
                <w:highlight w:val="none"/>
              </w:rPr>
              <w:t>机动车辆必须加强维修和保养，保持技术性能良好，运输车辆经过沿线村庄时将车速控制在20km/h以下、禁止鸣笛，减少交通噪声影响</w:t>
            </w:r>
            <w:r>
              <w:rPr>
                <w:rFonts w:hint="eastAsia" w:hAnsi="宋体"/>
                <w:color w:val="auto"/>
                <w:highlight w:val="none"/>
              </w:rPr>
              <w:t>。</w:t>
            </w:r>
          </w:p>
        </w:tc>
        <w:tc>
          <w:tcPr>
            <w:tcW w:w="609" w:type="pct"/>
            <w:vMerge w:val="continue"/>
            <w:tcBorders>
              <w:left w:val="single" w:color="auto" w:sz="2" w:space="0"/>
            </w:tcBorders>
            <w:vAlign w:val="center"/>
          </w:tcPr>
          <w:p w14:paraId="07B30D40">
            <w:pPr>
              <w:pStyle w:val="84"/>
              <w:spacing w:line="0" w:lineRule="atLeast"/>
              <w:jc w:val="both"/>
              <w:rPr>
                <w:color w:val="auto"/>
                <w:highlight w:val="cyan"/>
              </w:rPr>
            </w:pPr>
          </w:p>
        </w:tc>
      </w:tr>
      <w:tr w14:paraId="002BB3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194" w:type="pct"/>
            <w:vMerge w:val="continue"/>
            <w:vAlign w:val="center"/>
          </w:tcPr>
          <w:p w14:paraId="1D148544">
            <w:pPr>
              <w:pStyle w:val="84"/>
              <w:spacing w:line="0" w:lineRule="atLeast"/>
              <w:rPr>
                <w:color w:val="auto"/>
                <w:highlight w:val="cyan"/>
              </w:rPr>
            </w:pPr>
            <w:bookmarkStart w:id="89" w:name="_Hlk149051588"/>
          </w:p>
        </w:tc>
        <w:tc>
          <w:tcPr>
            <w:tcW w:w="200" w:type="pct"/>
            <w:vMerge w:val="continue"/>
            <w:vAlign w:val="center"/>
          </w:tcPr>
          <w:p w14:paraId="61A90FF1">
            <w:pPr>
              <w:pStyle w:val="84"/>
              <w:spacing w:line="0" w:lineRule="atLeast"/>
              <w:rPr>
                <w:color w:val="auto"/>
                <w:highlight w:val="cyan"/>
              </w:rPr>
            </w:pPr>
          </w:p>
        </w:tc>
        <w:tc>
          <w:tcPr>
            <w:tcW w:w="471" w:type="pct"/>
            <w:tcBorders>
              <w:tl2br w:val="nil"/>
              <w:tr2bl w:val="nil"/>
            </w:tcBorders>
            <w:vAlign w:val="center"/>
          </w:tcPr>
          <w:p w14:paraId="4113AF5E">
            <w:pPr>
              <w:pStyle w:val="84"/>
              <w:spacing w:line="0" w:lineRule="atLeast"/>
              <w:rPr>
                <w:color w:val="auto"/>
                <w:highlight w:val="none"/>
              </w:rPr>
            </w:pPr>
            <w:r>
              <w:rPr>
                <w:color w:val="auto"/>
                <w:highlight w:val="none"/>
              </w:rPr>
              <w:t>固废</w:t>
            </w:r>
          </w:p>
        </w:tc>
        <w:tc>
          <w:tcPr>
            <w:tcW w:w="3426" w:type="pct"/>
            <w:tcBorders>
              <w:right w:val="single" w:color="auto" w:sz="2" w:space="0"/>
              <w:tl2br w:val="nil"/>
              <w:tr2bl w:val="nil"/>
            </w:tcBorders>
            <w:vAlign w:val="center"/>
          </w:tcPr>
          <w:p w14:paraId="49CF2CB1">
            <w:pPr>
              <w:pStyle w:val="84"/>
              <w:spacing w:line="0" w:lineRule="atLeast"/>
              <w:jc w:val="both"/>
              <w:rPr>
                <w:color w:val="auto"/>
                <w:highlight w:val="none"/>
              </w:rPr>
            </w:pPr>
            <w:r>
              <w:rPr>
                <w:color w:val="auto"/>
                <w:highlight w:val="none"/>
              </w:rPr>
              <w:t>固体废物为</w:t>
            </w:r>
            <w:r>
              <w:rPr>
                <w:color w:val="auto"/>
                <w:kern w:val="0"/>
                <w:highlight w:val="none"/>
              </w:rPr>
              <w:t>淋溶</w:t>
            </w:r>
            <w:r>
              <w:rPr>
                <w:rFonts w:hint="eastAsia"/>
                <w:color w:val="auto"/>
                <w:kern w:val="0"/>
                <w:highlight w:val="none"/>
              </w:rPr>
              <w:t>水</w:t>
            </w:r>
            <w:r>
              <w:rPr>
                <w:rFonts w:hint="eastAsia"/>
                <w:color w:val="auto"/>
                <w:highlight w:val="none"/>
              </w:rPr>
              <w:t>暂存</w:t>
            </w:r>
            <w:r>
              <w:rPr>
                <w:color w:val="auto"/>
                <w:highlight w:val="none"/>
              </w:rPr>
              <w:t>池</w:t>
            </w:r>
            <w:r>
              <w:rPr>
                <w:rFonts w:hint="eastAsia"/>
                <w:color w:val="auto"/>
                <w:highlight w:val="none"/>
              </w:rPr>
              <w:t>沉渣、生活垃圾。回填区设置生活垃圾箱，生活垃圾集中收集，交由市政部门统一处理；</w:t>
            </w:r>
            <w:r>
              <w:rPr>
                <w:color w:val="auto"/>
                <w:kern w:val="0"/>
                <w:highlight w:val="none"/>
              </w:rPr>
              <w:t>淋溶</w:t>
            </w:r>
            <w:r>
              <w:rPr>
                <w:rFonts w:hint="eastAsia"/>
                <w:color w:val="auto"/>
                <w:kern w:val="0"/>
                <w:highlight w:val="none"/>
              </w:rPr>
              <w:t>水</w:t>
            </w:r>
            <w:r>
              <w:rPr>
                <w:rFonts w:hint="eastAsia"/>
                <w:color w:val="auto"/>
                <w:highlight w:val="none"/>
              </w:rPr>
              <w:t>暂存</w:t>
            </w:r>
            <w:r>
              <w:rPr>
                <w:color w:val="auto"/>
                <w:highlight w:val="none"/>
              </w:rPr>
              <w:t>池</w:t>
            </w:r>
            <w:r>
              <w:rPr>
                <w:rFonts w:hint="eastAsia"/>
                <w:color w:val="auto"/>
                <w:highlight w:val="none"/>
              </w:rPr>
              <w:t>沉渣</w:t>
            </w:r>
            <w:r>
              <w:rPr>
                <w:color w:val="auto"/>
                <w:highlight w:val="none"/>
              </w:rPr>
              <w:t>成分与</w:t>
            </w:r>
            <w:r>
              <w:rPr>
                <w:rFonts w:hint="eastAsia"/>
                <w:color w:val="auto"/>
                <w:highlight w:val="none"/>
              </w:rPr>
              <w:t>淋溶水</w:t>
            </w:r>
            <w:r>
              <w:rPr>
                <w:color w:val="auto"/>
                <w:highlight w:val="none"/>
              </w:rPr>
              <w:t>相同，</w:t>
            </w:r>
            <w:r>
              <w:rPr>
                <w:rFonts w:hint="eastAsia"/>
                <w:color w:val="auto"/>
                <w:highlight w:val="none"/>
              </w:rPr>
              <w:t>低于《危险废物鉴别标准 浸出毒性鉴别》（GB5085.3-2007）中表1浸出液污染物浓度限值，不属于危险废物，淋溶水暂存</w:t>
            </w:r>
            <w:r>
              <w:rPr>
                <w:color w:val="auto"/>
                <w:highlight w:val="none"/>
              </w:rPr>
              <w:t>池</w:t>
            </w:r>
            <w:r>
              <w:rPr>
                <w:rFonts w:hint="eastAsia"/>
                <w:color w:val="auto"/>
                <w:highlight w:val="none"/>
              </w:rPr>
              <w:t>沉渣直接回填至项目区。</w:t>
            </w:r>
          </w:p>
        </w:tc>
        <w:tc>
          <w:tcPr>
            <w:tcW w:w="609" w:type="pct"/>
            <w:vMerge w:val="continue"/>
            <w:tcBorders>
              <w:left w:val="single" w:color="auto" w:sz="2" w:space="0"/>
            </w:tcBorders>
            <w:vAlign w:val="center"/>
          </w:tcPr>
          <w:p w14:paraId="11290867">
            <w:pPr>
              <w:pStyle w:val="84"/>
              <w:spacing w:line="0" w:lineRule="atLeast"/>
              <w:jc w:val="both"/>
              <w:rPr>
                <w:color w:val="auto"/>
                <w:highlight w:val="cyan"/>
              </w:rPr>
            </w:pPr>
          </w:p>
        </w:tc>
      </w:tr>
      <w:bookmarkEnd w:id="89"/>
      <w:tr w14:paraId="68317E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194" w:type="pct"/>
            <w:vMerge w:val="continue"/>
            <w:vAlign w:val="center"/>
          </w:tcPr>
          <w:p w14:paraId="7A77F35C">
            <w:pPr>
              <w:pStyle w:val="84"/>
              <w:spacing w:line="0" w:lineRule="atLeast"/>
              <w:rPr>
                <w:color w:val="auto"/>
                <w:highlight w:val="cyan"/>
              </w:rPr>
            </w:pPr>
            <w:bookmarkStart w:id="90" w:name="_Hlk149051605"/>
          </w:p>
        </w:tc>
        <w:tc>
          <w:tcPr>
            <w:tcW w:w="200" w:type="pct"/>
            <w:vMerge w:val="continue"/>
            <w:vAlign w:val="center"/>
          </w:tcPr>
          <w:p w14:paraId="5679E5F8">
            <w:pPr>
              <w:pStyle w:val="84"/>
              <w:spacing w:line="0" w:lineRule="atLeast"/>
              <w:rPr>
                <w:color w:val="auto"/>
                <w:highlight w:val="cyan"/>
              </w:rPr>
            </w:pPr>
          </w:p>
        </w:tc>
        <w:tc>
          <w:tcPr>
            <w:tcW w:w="471" w:type="pct"/>
            <w:tcBorders>
              <w:tl2br w:val="nil"/>
              <w:tr2bl w:val="nil"/>
            </w:tcBorders>
            <w:vAlign w:val="center"/>
          </w:tcPr>
          <w:p w14:paraId="5254BF64">
            <w:pPr>
              <w:pStyle w:val="84"/>
              <w:spacing w:line="0" w:lineRule="atLeast"/>
              <w:rPr>
                <w:color w:val="auto"/>
                <w:highlight w:val="none"/>
              </w:rPr>
            </w:pPr>
            <w:r>
              <w:rPr>
                <w:color w:val="auto"/>
                <w:highlight w:val="none"/>
              </w:rPr>
              <w:t>生态</w:t>
            </w:r>
          </w:p>
        </w:tc>
        <w:tc>
          <w:tcPr>
            <w:tcW w:w="3426" w:type="pct"/>
            <w:tcBorders>
              <w:tl2br w:val="nil"/>
              <w:tr2bl w:val="nil"/>
            </w:tcBorders>
            <w:vAlign w:val="center"/>
          </w:tcPr>
          <w:p w14:paraId="0F540A83">
            <w:pPr>
              <w:pStyle w:val="84"/>
              <w:spacing w:line="0" w:lineRule="atLeast"/>
              <w:jc w:val="both"/>
              <w:rPr>
                <w:color w:val="auto"/>
                <w:highlight w:val="none"/>
              </w:rPr>
            </w:pPr>
            <w:r>
              <w:rPr>
                <w:rFonts w:hint="eastAsia"/>
                <w:color w:val="auto"/>
                <w:highlight w:val="none"/>
              </w:rPr>
              <w:t>回填区四周</w:t>
            </w:r>
            <w:r>
              <w:rPr>
                <w:color w:val="auto"/>
                <w:highlight w:val="none"/>
              </w:rPr>
              <w:t>设置排水沟，减少水土流失；分区</w:t>
            </w:r>
            <w:r>
              <w:rPr>
                <w:rFonts w:hint="eastAsia"/>
                <w:color w:val="auto"/>
                <w:highlight w:val="none"/>
              </w:rPr>
              <w:t>回填</w:t>
            </w:r>
            <w:r>
              <w:rPr>
                <w:color w:val="auto"/>
                <w:highlight w:val="none"/>
              </w:rPr>
              <w:t>，分区覆盖，采取阶段性生态恢复措施</w:t>
            </w:r>
            <w:r>
              <w:rPr>
                <w:rFonts w:hint="eastAsia"/>
                <w:color w:val="auto"/>
                <w:highlight w:val="none"/>
              </w:rPr>
              <w:t>；</w:t>
            </w:r>
            <w:r>
              <w:rPr>
                <w:color w:val="auto"/>
                <w:highlight w:val="none"/>
              </w:rPr>
              <w:t>严格控制</w:t>
            </w:r>
            <w:r>
              <w:rPr>
                <w:rFonts w:hint="eastAsia"/>
                <w:color w:val="auto"/>
                <w:highlight w:val="none"/>
              </w:rPr>
              <w:t>回填</w:t>
            </w:r>
            <w:r>
              <w:rPr>
                <w:color w:val="auto"/>
                <w:highlight w:val="none"/>
              </w:rPr>
              <w:t>范围，避免对用地周围的植被产生破坏</w:t>
            </w:r>
            <w:r>
              <w:rPr>
                <w:rFonts w:hint="eastAsia"/>
                <w:color w:val="auto"/>
                <w:highlight w:val="none"/>
              </w:rPr>
              <w:t>。</w:t>
            </w:r>
          </w:p>
        </w:tc>
        <w:tc>
          <w:tcPr>
            <w:tcW w:w="609" w:type="pct"/>
            <w:vMerge w:val="restart"/>
            <w:tcBorders>
              <w:tl2br w:val="nil"/>
              <w:tr2bl w:val="nil"/>
            </w:tcBorders>
            <w:vAlign w:val="center"/>
          </w:tcPr>
          <w:p w14:paraId="5F7F44AB">
            <w:pPr>
              <w:pStyle w:val="84"/>
              <w:spacing w:line="0" w:lineRule="atLeast"/>
              <w:jc w:val="both"/>
              <w:rPr>
                <w:color w:val="auto"/>
                <w:highlight w:val="none"/>
              </w:rPr>
            </w:pPr>
            <w:r>
              <w:rPr>
                <w:color w:val="auto"/>
                <w:highlight w:val="none"/>
              </w:rPr>
              <w:t>新建</w:t>
            </w:r>
          </w:p>
        </w:tc>
      </w:tr>
      <w:bookmarkEnd w:id="90"/>
      <w:tr w14:paraId="58107F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194" w:type="pct"/>
            <w:vMerge w:val="continue"/>
            <w:vAlign w:val="center"/>
          </w:tcPr>
          <w:p w14:paraId="3F47CD03">
            <w:pPr>
              <w:pStyle w:val="84"/>
              <w:spacing w:line="0" w:lineRule="atLeast"/>
              <w:rPr>
                <w:color w:val="auto"/>
                <w:highlight w:val="cyan"/>
              </w:rPr>
            </w:pPr>
          </w:p>
        </w:tc>
        <w:tc>
          <w:tcPr>
            <w:tcW w:w="200" w:type="pct"/>
            <w:vMerge w:val="continue"/>
            <w:vAlign w:val="center"/>
          </w:tcPr>
          <w:p w14:paraId="3715D31C">
            <w:pPr>
              <w:pStyle w:val="84"/>
              <w:spacing w:line="0" w:lineRule="atLeast"/>
              <w:rPr>
                <w:color w:val="auto"/>
                <w:highlight w:val="cyan"/>
              </w:rPr>
            </w:pPr>
          </w:p>
        </w:tc>
        <w:tc>
          <w:tcPr>
            <w:tcW w:w="471" w:type="pct"/>
            <w:tcBorders>
              <w:tl2br w:val="nil"/>
              <w:tr2bl w:val="nil"/>
            </w:tcBorders>
            <w:vAlign w:val="center"/>
          </w:tcPr>
          <w:p w14:paraId="60521249">
            <w:pPr>
              <w:pStyle w:val="84"/>
              <w:spacing w:line="0" w:lineRule="atLeast"/>
              <w:rPr>
                <w:color w:val="auto"/>
                <w:highlight w:val="none"/>
              </w:rPr>
            </w:pPr>
            <w:r>
              <w:rPr>
                <w:color w:val="auto"/>
                <w:highlight w:val="none"/>
              </w:rPr>
              <w:t>防渗</w:t>
            </w:r>
          </w:p>
        </w:tc>
        <w:tc>
          <w:tcPr>
            <w:tcW w:w="3426" w:type="pct"/>
            <w:tcBorders>
              <w:tl2br w:val="nil"/>
              <w:tr2bl w:val="nil"/>
            </w:tcBorders>
            <w:vAlign w:val="center"/>
          </w:tcPr>
          <w:p w14:paraId="2AFED6D1">
            <w:pPr>
              <w:pStyle w:val="84"/>
              <w:spacing w:line="0" w:lineRule="atLeast"/>
              <w:jc w:val="both"/>
              <w:rPr>
                <w:color w:val="auto"/>
                <w:szCs w:val="22"/>
                <w:highlight w:val="cyan"/>
              </w:rPr>
            </w:pPr>
            <w:r>
              <w:rPr>
                <w:rFonts w:hint="eastAsia" w:ascii="宋体" w:hAnsi="宋体" w:cs="宋体"/>
                <w:color w:val="auto"/>
                <w:kern w:val="0"/>
                <w:sz w:val="21"/>
                <w:szCs w:val="21"/>
                <w:lang w:val="en-US" w:eastAsia="zh-CN" w:bidi="ar"/>
              </w:rPr>
              <w:t>回填取</w:t>
            </w:r>
            <w:r>
              <w:rPr>
                <w:rFonts w:hint="eastAsia" w:ascii="宋体" w:hAnsi="宋体" w:eastAsia="宋体" w:cs="宋体"/>
                <w:color w:val="auto"/>
                <w:kern w:val="0"/>
                <w:sz w:val="21"/>
                <w:szCs w:val="21"/>
                <w:lang w:val="en-US" w:eastAsia="zh-CN" w:bidi="ar"/>
              </w:rPr>
              <w:t>场</w:t>
            </w:r>
            <w:r>
              <w:rPr>
                <w:rFonts w:hint="eastAsia" w:ascii="Times New Roman" w:hAnsi="Times New Roman" w:eastAsia="宋体" w:cs="Times New Roman"/>
                <w:color w:val="auto"/>
                <w:kern w:val="2"/>
                <w:sz w:val="21"/>
                <w:szCs w:val="21"/>
                <w:highlight w:val="none"/>
                <w:lang w:val="en-US" w:eastAsia="zh-CN" w:bidi="ar-SA"/>
              </w:rPr>
              <w:t>地平整后在场底铺设</w:t>
            </w:r>
            <w:r>
              <w:rPr>
                <w:rFonts w:hint="default" w:ascii="Times New Roman" w:hAnsi="Times New Roman" w:eastAsia="宋体" w:cs="Times New Roman"/>
                <w:color w:val="auto"/>
                <w:kern w:val="2"/>
                <w:sz w:val="21"/>
                <w:szCs w:val="21"/>
                <w:highlight w:val="none"/>
                <w:lang w:val="en-US" w:eastAsia="zh-CN" w:bidi="ar-SA"/>
              </w:rPr>
              <w:t>0.3 m</w:t>
            </w:r>
            <w:r>
              <w:rPr>
                <w:rFonts w:hint="eastAsia" w:ascii="Times New Roman" w:hAnsi="Times New Roman" w:eastAsia="宋体" w:cs="Times New Roman"/>
                <w:color w:val="auto"/>
                <w:kern w:val="2"/>
                <w:sz w:val="21"/>
                <w:szCs w:val="21"/>
                <w:highlight w:val="none"/>
                <w:lang w:val="en-US" w:eastAsia="zh-CN" w:bidi="ar-SA"/>
              </w:rPr>
              <w:t>厚的改性压实粘土压实作为基础层，并对其检测，其防渗性能需满足渗透系数为</w:t>
            </w:r>
            <w:r>
              <w:rPr>
                <w:rFonts w:hint="default" w:ascii="Times New Roman" w:hAnsi="Times New Roman" w:eastAsia="宋体" w:cs="Times New Roman"/>
                <w:color w:val="auto"/>
                <w:kern w:val="2"/>
                <w:sz w:val="21"/>
                <w:szCs w:val="21"/>
                <w:highlight w:val="none"/>
                <w:lang w:val="en-US" w:eastAsia="zh-CN" w:bidi="ar-SA"/>
              </w:rPr>
              <w:t>1.0×10</w:t>
            </w:r>
            <w:r>
              <w:rPr>
                <w:rFonts w:hint="default" w:ascii="Times New Roman" w:hAnsi="Times New Roman" w:eastAsia="宋体" w:cs="Times New Roman"/>
                <w:color w:val="auto"/>
                <w:kern w:val="2"/>
                <w:sz w:val="21"/>
                <w:szCs w:val="21"/>
                <w:highlight w:val="none"/>
                <w:vertAlign w:val="superscript"/>
                <w:lang w:val="en-US" w:eastAsia="zh-CN" w:bidi="ar-SA"/>
              </w:rPr>
              <w:t>-5</w:t>
            </w:r>
            <w:r>
              <w:rPr>
                <w:rFonts w:hint="default" w:ascii="Times New Roman" w:hAnsi="Times New Roman" w:eastAsia="宋体" w:cs="Times New Roman"/>
                <w:color w:val="auto"/>
                <w:kern w:val="2"/>
                <w:sz w:val="21"/>
                <w:szCs w:val="21"/>
                <w:highlight w:val="none"/>
                <w:lang w:val="en-US" w:eastAsia="zh-CN" w:bidi="ar-SA"/>
              </w:rPr>
              <w:t xml:space="preserve"> cm/s</w:t>
            </w:r>
            <w:r>
              <w:rPr>
                <w:rFonts w:hint="eastAsia" w:ascii="Times New Roman" w:hAnsi="Times New Roman" w:eastAsia="宋体" w:cs="Times New Roman"/>
                <w:color w:val="auto"/>
                <w:kern w:val="2"/>
                <w:sz w:val="21"/>
                <w:szCs w:val="21"/>
                <w:highlight w:val="none"/>
                <w:lang w:val="en-US" w:eastAsia="zh-CN" w:bidi="ar-SA"/>
              </w:rPr>
              <w:t>且厚度为</w:t>
            </w:r>
            <w:r>
              <w:rPr>
                <w:rFonts w:hint="default" w:ascii="Times New Roman" w:hAnsi="Times New Roman" w:eastAsia="宋体" w:cs="Times New Roman"/>
                <w:color w:val="auto"/>
                <w:kern w:val="2"/>
                <w:sz w:val="21"/>
                <w:szCs w:val="21"/>
                <w:highlight w:val="none"/>
                <w:lang w:val="en-US" w:eastAsia="zh-CN" w:bidi="ar-SA"/>
              </w:rPr>
              <w:t>0.75 m</w:t>
            </w:r>
            <w:r>
              <w:rPr>
                <w:rFonts w:hint="eastAsia" w:ascii="Times New Roman" w:hAnsi="Times New Roman" w:eastAsia="宋体" w:cs="Times New Roman"/>
                <w:color w:val="auto"/>
                <w:kern w:val="2"/>
                <w:sz w:val="21"/>
                <w:szCs w:val="21"/>
                <w:highlight w:val="none"/>
                <w:lang w:val="en-US" w:eastAsia="zh-CN" w:bidi="ar-SA"/>
              </w:rPr>
              <w:t>的天然基础层后方可回填。淋溶水暂存池要求防渗技术为等效黏土防渗层</w:t>
            </w:r>
            <w:r>
              <w:rPr>
                <w:rFonts w:hint="default" w:ascii="Times New Roman" w:hAnsi="Times New Roman" w:eastAsia="宋体" w:cs="Times New Roman"/>
                <w:color w:val="auto"/>
                <w:kern w:val="2"/>
                <w:sz w:val="21"/>
                <w:szCs w:val="21"/>
                <w:highlight w:val="none"/>
                <w:lang w:val="en-US" w:eastAsia="zh-CN" w:bidi="ar-SA"/>
              </w:rPr>
              <w:t>Mb</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6.0 m</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K</w:t>
            </w:r>
            <w:r>
              <w:rPr>
                <w:rFonts w:hint="eastAsia" w:ascii="Times New Roman" w:hAnsi="Times New Roman" w:eastAsia="宋体" w:cs="Times New Roman"/>
                <w:color w:val="auto"/>
                <w:kern w:val="2"/>
                <w:sz w:val="21"/>
                <w:szCs w:val="21"/>
                <w:highlight w:val="none"/>
                <w:lang w:val="en-US" w:eastAsia="zh-CN" w:bidi="ar-SA"/>
              </w:rPr>
              <w:t>≤</w:t>
            </w:r>
            <w:r>
              <w:rPr>
                <w:rFonts w:hint="default" w:ascii="Times New Roman" w:hAnsi="Times New Roman" w:eastAsia="宋体" w:cs="Times New Roman"/>
                <w:color w:val="auto"/>
                <w:kern w:val="2"/>
                <w:sz w:val="21"/>
                <w:szCs w:val="21"/>
                <w:highlight w:val="none"/>
                <w:lang w:val="en-US" w:eastAsia="zh-CN" w:bidi="ar-SA"/>
              </w:rPr>
              <w:t>1×10</w:t>
            </w:r>
            <w:r>
              <w:rPr>
                <w:rFonts w:hint="default" w:ascii="Times New Roman" w:hAnsi="Times New Roman" w:eastAsia="宋体" w:cs="Times New Roman"/>
                <w:color w:val="auto"/>
                <w:kern w:val="2"/>
                <w:sz w:val="21"/>
                <w:szCs w:val="21"/>
                <w:highlight w:val="none"/>
                <w:vertAlign w:val="superscript"/>
                <w:lang w:val="en-US" w:eastAsia="zh-CN" w:bidi="ar-SA"/>
              </w:rPr>
              <w:t>-7</w:t>
            </w:r>
            <w:r>
              <w:rPr>
                <w:rFonts w:hint="default" w:ascii="Times New Roman" w:hAnsi="Times New Roman" w:eastAsia="宋体" w:cs="Times New Roman"/>
                <w:color w:val="auto"/>
                <w:kern w:val="2"/>
                <w:sz w:val="21"/>
                <w:szCs w:val="21"/>
                <w:highlight w:val="none"/>
                <w:lang w:val="en-US" w:eastAsia="zh-CN" w:bidi="ar-SA"/>
              </w:rPr>
              <w:t xml:space="preserve"> cm/s</w:t>
            </w:r>
            <w:r>
              <w:rPr>
                <w:rFonts w:hint="eastAsia" w:ascii="Times New Roman" w:hAnsi="Times New Roman" w:eastAsia="宋体" w:cs="Times New Roman"/>
                <w:color w:val="auto"/>
                <w:kern w:val="2"/>
                <w:sz w:val="21"/>
                <w:szCs w:val="21"/>
                <w:highlight w:val="none"/>
                <w:lang w:val="en-US" w:eastAsia="zh-CN" w:bidi="ar-SA"/>
              </w:rPr>
              <w:t>，边坡防渗采用粘土填筑压实，防渗材料采用</w:t>
            </w:r>
            <w:r>
              <w:rPr>
                <w:rFonts w:hint="default" w:ascii="Times New Roman" w:hAnsi="Times New Roman" w:eastAsia="宋体" w:cs="Times New Roman"/>
                <w:color w:val="auto"/>
                <w:kern w:val="2"/>
                <w:sz w:val="21"/>
                <w:szCs w:val="21"/>
                <w:highlight w:val="none"/>
                <w:lang w:val="en-US" w:eastAsia="zh-CN" w:bidi="ar-SA"/>
              </w:rPr>
              <w:t>600g/m</w:t>
            </w:r>
            <w:r>
              <w:rPr>
                <w:rFonts w:hint="default" w:ascii="Times New Roman" w:hAnsi="Times New Roman" w:eastAsia="宋体" w:cs="Times New Roman"/>
                <w:color w:val="auto"/>
                <w:kern w:val="2"/>
                <w:sz w:val="21"/>
                <w:szCs w:val="21"/>
                <w:highlight w:val="none"/>
                <w:vertAlign w:val="superscript"/>
                <w:lang w:val="en-US" w:eastAsia="zh-CN" w:bidi="ar-SA"/>
              </w:rPr>
              <w:t>2</w:t>
            </w:r>
            <w:r>
              <w:rPr>
                <w:rFonts w:hint="eastAsia" w:ascii="Times New Roman" w:hAnsi="Times New Roman" w:eastAsia="宋体" w:cs="Times New Roman"/>
                <w:color w:val="auto"/>
                <w:kern w:val="2"/>
                <w:sz w:val="21"/>
                <w:szCs w:val="21"/>
                <w:highlight w:val="none"/>
                <w:lang w:val="en-US" w:eastAsia="zh-CN" w:bidi="ar-SA"/>
              </w:rPr>
              <w:t>长纤无纺土工布</w:t>
            </w:r>
            <w:r>
              <w:rPr>
                <w:rFonts w:hint="default" w:ascii="Times New Roman" w:hAnsi="Times New Roman" w:eastAsia="宋体" w:cs="Times New Roman"/>
                <w:color w:val="auto"/>
                <w:kern w:val="2"/>
                <w:sz w:val="21"/>
                <w:szCs w:val="21"/>
                <w:highlight w:val="none"/>
                <w:lang w:val="en-US" w:eastAsia="zh-CN" w:bidi="ar-SA"/>
              </w:rPr>
              <w:t>+1.5mm</w:t>
            </w:r>
            <w:r>
              <w:rPr>
                <w:rFonts w:hint="eastAsia" w:ascii="Times New Roman" w:hAnsi="Times New Roman" w:eastAsia="宋体" w:cs="Times New Roman"/>
                <w:color w:val="auto"/>
                <w:kern w:val="2"/>
                <w:sz w:val="21"/>
                <w:szCs w:val="21"/>
                <w:highlight w:val="none"/>
                <w:lang w:val="en-US" w:eastAsia="zh-CN" w:bidi="ar-SA"/>
              </w:rPr>
              <w:t>厚</w:t>
            </w:r>
            <w:r>
              <w:rPr>
                <w:rFonts w:hint="default" w:ascii="Times New Roman" w:hAnsi="Times New Roman" w:eastAsia="宋体" w:cs="Times New Roman"/>
                <w:color w:val="auto"/>
                <w:kern w:val="2"/>
                <w:sz w:val="21"/>
                <w:szCs w:val="21"/>
                <w:highlight w:val="none"/>
                <w:lang w:val="en-US" w:eastAsia="zh-CN" w:bidi="ar-SA"/>
              </w:rPr>
              <w:t>HDPE</w:t>
            </w:r>
            <w:r>
              <w:rPr>
                <w:rFonts w:hint="eastAsia" w:ascii="Times New Roman" w:hAnsi="Times New Roman" w:eastAsia="宋体" w:cs="Times New Roman"/>
                <w:color w:val="auto"/>
                <w:kern w:val="2"/>
                <w:sz w:val="21"/>
                <w:szCs w:val="21"/>
                <w:highlight w:val="none"/>
                <w:lang w:val="en-US" w:eastAsia="zh-CN" w:bidi="ar-SA"/>
              </w:rPr>
              <w:t>防渗膜作为人工合成衬层。需保证防渗要求满足《一般工业固体废物贮存和填埋污染控制标准》（</w:t>
            </w:r>
            <w:r>
              <w:rPr>
                <w:rFonts w:hint="default" w:ascii="Times New Roman" w:hAnsi="Times New Roman" w:eastAsia="宋体" w:cs="Times New Roman"/>
                <w:color w:val="auto"/>
                <w:kern w:val="2"/>
                <w:sz w:val="21"/>
                <w:szCs w:val="21"/>
                <w:highlight w:val="none"/>
                <w:lang w:val="en-US" w:eastAsia="zh-CN" w:bidi="ar-SA"/>
              </w:rPr>
              <w:t>GB 18599-2020</w:t>
            </w:r>
            <w:r>
              <w:rPr>
                <w:rFonts w:hint="eastAsia" w:ascii="Times New Roman" w:hAnsi="Times New Roman" w:eastAsia="宋体" w:cs="Times New Roman"/>
                <w:color w:val="auto"/>
                <w:kern w:val="2"/>
                <w:sz w:val="21"/>
                <w:szCs w:val="21"/>
                <w:highlight w:val="none"/>
                <w:lang w:val="en-US" w:eastAsia="zh-CN" w:bidi="ar-SA"/>
              </w:rPr>
              <w:t>）</w:t>
            </w:r>
          </w:p>
        </w:tc>
        <w:tc>
          <w:tcPr>
            <w:tcW w:w="609" w:type="pct"/>
            <w:vMerge w:val="continue"/>
            <w:tcBorders>
              <w:tl2br w:val="nil"/>
              <w:tr2bl w:val="nil"/>
            </w:tcBorders>
            <w:vAlign w:val="center"/>
          </w:tcPr>
          <w:p w14:paraId="5795D4BA">
            <w:pPr>
              <w:pStyle w:val="84"/>
              <w:spacing w:line="0" w:lineRule="atLeast"/>
              <w:jc w:val="both"/>
              <w:rPr>
                <w:color w:val="auto"/>
                <w:highlight w:val="cyan"/>
              </w:rPr>
            </w:pPr>
          </w:p>
        </w:tc>
      </w:tr>
      <w:tr w14:paraId="15E8E1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194" w:type="pct"/>
            <w:vMerge w:val="continue"/>
            <w:vAlign w:val="center"/>
          </w:tcPr>
          <w:p w14:paraId="44D9E3F4">
            <w:pPr>
              <w:pStyle w:val="84"/>
              <w:spacing w:line="0" w:lineRule="atLeast"/>
              <w:rPr>
                <w:color w:val="auto"/>
                <w:highlight w:val="cyan"/>
              </w:rPr>
            </w:pPr>
          </w:p>
        </w:tc>
        <w:tc>
          <w:tcPr>
            <w:tcW w:w="200" w:type="pct"/>
            <w:vMerge w:val="continue"/>
            <w:vAlign w:val="center"/>
          </w:tcPr>
          <w:p w14:paraId="6C17F35B">
            <w:pPr>
              <w:pStyle w:val="84"/>
              <w:spacing w:line="0" w:lineRule="atLeast"/>
              <w:rPr>
                <w:color w:val="auto"/>
                <w:highlight w:val="cyan"/>
              </w:rPr>
            </w:pPr>
          </w:p>
        </w:tc>
        <w:tc>
          <w:tcPr>
            <w:tcW w:w="471" w:type="pct"/>
            <w:tcBorders>
              <w:tl2br w:val="nil"/>
              <w:tr2bl w:val="nil"/>
            </w:tcBorders>
            <w:vAlign w:val="center"/>
          </w:tcPr>
          <w:p w14:paraId="05BEAD3D">
            <w:pPr>
              <w:pStyle w:val="84"/>
              <w:spacing w:line="0" w:lineRule="atLeast"/>
              <w:rPr>
                <w:color w:val="auto"/>
                <w:highlight w:val="none"/>
              </w:rPr>
            </w:pPr>
            <w:r>
              <w:rPr>
                <w:color w:val="auto"/>
                <w:highlight w:val="none"/>
              </w:rPr>
              <w:t>地下水污染监控</w:t>
            </w:r>
          </w:p>
        </w:tc>
        <w:tc>
          <w:tcPr>
            <w:tcW w:w="3426" w:type="pct"/>
            <w:vAlign w:val="center"/>
          </w:tcPr>
          <w:p w14:paraId="1AD80AC4">
            <w:pPr>
              <w:keepNext w:val="0"/>
              <w:keepLines w:val="0"/>
              <w:widowControl/>
              <w:suppressLineNumbers w:val="0"/>
              <w:jc w:val="left"/>
              <w:rPr>
                <w:color w:val="auto"/>
                <w:szCs w:val="22"/>
                <w:highlight w:val="none"/>
              </w:rPr>
            </w:pPr>
            <w:r>
              <w:rPr>
                <w:rFonts w:hint="eastAsia" w:ascii="宋体" w:hAnsi="宋体" w:eastAsia="宋体" w:cs="宋体"/>
                <w:color w:val="auto"/>
                <w:kern w:val="0"/>
                <w:sz w:val="21"/>
                <w:szCs w:val="21"/>
                <w:highlight w:val="none"/>
                <w:lang w:val="en-US" w:eastAsia="zh-CN" w:bidi="ar"/>
              </w:rPr>
              <w:t>在回填区、上游、下游处设置</w:t>
            </w:r>
            <w:r>
              <w:rPr>
                <w:rFonts w:hint="default" w:ascii="Times New Roman" w:hAnsi="Times New Roman" w:eastAsia="宋体" w:cs="Times New Roman"/>
                <w:color w:val="auto"/>
                <w:kern w:val="0"/>
                <w:sz w:val="21"/>
                <w:szCs w:val="21"/>
                <w:highlight w:val="none"/>
                <w:lang w:val="en-US" w:eastAsia="zh-CN" w:bidi="ar"/>
              </w:rPr>
              <w:t>3</w:t>
            </w:r>
            <w:r>
              <w:rPr>
                <w:rFonts w:hint="eastAsia" w:ascii="宋体" w:hAnsi="宋体" w:eastAsia="宋体" w:cs="宋体"/>
                <w:color w:val="auto"/>
                <w:kern w:val="0"/>
                <w:sz w:val="21"/>
                <w:szCs w:val="21"/>
                <w:highlight w:val="none"/>
                <w:lang w:val="en-US" w:eastAsia="zh-CN" w:bidi="ar"/>
              </w:rPr>
              <w:t>处地下水水质观测监测井，即回填区（上游）对照井、回填区污染控制井和回填区（下游）的污染监测井，满足《一般工业固体废物贮存和填埋污染控制标准》（</w:t>
            </w:r>
            <w:r>
              <w:rPr>
                <w:rFonts w:hint="default" w:ascii="Times New Roman" w:hAnsi="Times New Roman" w:eastAsia="宋体" w:cs="Times New Roman"/>
                <w:color w:val="auto"/>
                <w:kern w:val="0"/>
                <w:sz w:val="21"/>
                <w:szCs w:val="21"/>
                <w:highlight w:val="none"/>
                <w:lang w:val="en-US" w:eastAsia="zh-CN" w:bidi="ar"/>
              </w:rPr>
              <w:t>GB18599-2020</w:t>
            </w:r>
            <w:r>
              <w:rPr>
                <w:rFonts w:hint="eastAsia" w:ascii="宋体" w:hAnsi="宋体" w:eastAsia="宋体" w:cs="宋体"/>
                <w:color w:val="auto"/>
                <w:kern w:val="0"/>
                <w:sz w:val="21"/>
                <w:szCs w:val="21"/>
                <w:highlight w:val="none"/>
                <w:lang w:val="en-US" w:eastAsia="zh-CN" w:bidi="ar"/>
              </w:rPr>
              <w:t>）对监测井设置的要求。</w:t>
            </w:r>
          </w:p>
        </w:tc>
        <w:tc>
          <w:tcPr>
            <w:tcW w:w="609" w:type="pct"/>
            <w:vMerge w:val="continue"/>
            <w:tcBorders>
              <w:tl2br w:val="nil"/>
              <w:tr2bl w:val="nil"/>
            </w:tcBorders>
            <w:vAlign w:val="center"/>
          </w:tcPr>
          <w:p w14:paraId="5F28BF83">
            <w:pPr>
              <w:pStyle w:val="84"/>
              <w:spacing w:line="0" w:lineRule="atLeast"/>
              <w:jc w:val="both"/>
              <w:rPr>
                <w:color w:val="auto"/>
                <w:highlight w:val="cyan"/>
              </w:rPr>
            </w:pPr>
          </w:p>
        </w:tc>
      </w:tr>
      <w:tr w14:paraId="701479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194" w:type="pct"/>
            <w:vMerge w:val="continue"/>
            <w:vAlign w:val="center"/>
          </w:tcPr>
          <w:p w14:paraId="488A91AC">
            <w:pPr>
              <w:pStyle w:val="84"/>
              <w:spacing w:line="0" w:lineRule="atLeast"/>
              <w:rPr>
                <w:color w:val="auto"/>
                <w:highlight w:val="cyan"/>
              </w:rPr>
            </w:pPr>
          </w:p>
        </w:tc>
        <w:tc>
          <w:tcPr>
            <w:tcW w:w="200" w:type="pct"/>
            <w:vMerge w:val="continue"/>
            <w:vAlign w:val="center"/>
          </w:tcPr>
          <w:p w14:paraId="17B0CA0C">
            <w:pPr>
              <w:pStyle w:val="84"/>
              <w:spacing w:line="0" w:lineRule="atLeast"/>
              <w:rPr>
                <w:color w:val="auto"/>
                <w:highlight w:val="cyan"/>
              </w:rPr>
            </w:pPr>
          </w:p>
        </w:tc>
        <w:tc>
          <w:tcPr>
            <w:tcW w:w="471" w:type="pct"/>
            <w:tcBorders>
              <w:tl2br w:val="nil"/>
              <w:tr2bl w:val="nil"/>
            </w:tcBorders>
            <w:vAlign w:val="center"/>
          </w:tcPr>
          <w:p w14:paraId="68D447D0">
            <w:pPr>
              <w:pStyle w:val="84"/>
              <w:spacing w:line="0" w:lineRule="atLeast"/>
              <w:rPr>
                <w:color w:val="auto"/>
                <w:highlight w:val="none"/>
              </w:rPr>
            </w:pPr>
            <w:r>
              <w:rPr>
                <w:color w:val="auto"/>
                <w:highlight w:val="none"/>
              </w:rPr>
              <w:t>风险防范措施</w:t>
            </w:r>
          </w:p>
        </w:tc>
        <w:tc>
          <w:tcPr>
            <w:tcW w:w="3426" w:type="pct"/>
            <w:tcBorders>
              <w:tl2br w:val="nil"/>
              <w:tr2bl w:val="nil"/>
            </w:tcBorders>
            <w:vAlign w:val="center"/>
          </w:tcPr>
          <w:p w14:paraId="11985242">
            <w:pPr>
              <w:pStyle w:val="84"/>
              <w:spacing w:line="0" w:lineRule="atLeast"/>
              <w:jc w:val="both"/>
              <w:rPr>
                <w:b/>
                <w:color w:val="auto"/>
                <w:szCs w:val="22"/>
                <w:highlight w:val="none"/>
              </w:rPr>
            </w:pPr>
            <w:r>
              <w:rPr>
                <w:rFonts w:hint="eastAsia"/>
                <w:color w:val="auto"/>
                <w:highlight w:val="none"/>
              </w:rPr>
              <w:t>设置</w:t>
            </w:r>
            <w:r>
              <w:rPr>
                <w:color w:val="auto"/>
                <w:highlight w:val="none"/>
              </w:rPr>
              <w:t>3</w:t>
            </w:r>
            <w:r>
              <w:rPr>
                <w:rFonts w:hint="eastAsia"/>
                <w:color w:val="auto"/>
                <w:highlight w:val="none"/>
              </w:rPr>
              <w:t>口地下水监测井，定期检查维护淋溶水收集导排系统等</w:t>
            </w:r>
            <w:r>
              <w:rPr>
                <w:color w:val="auto"/>
                <w:szCs w:val="22"/>
                <w:highlight w:val="none"/>
              </w:rPr>
              <w:t>，</w:t>
            </w:r>
            <w:r>
              <w:rPr>
                <w:rFonts w:hint="eastAsia"/>
                <w:color w:val="auto"/>
                <w:highlight w:val="none"/>
              </w:rPr>
              <w:t>投入运行之前制定突发环境事件应急预案，说明各种可能发生的突发环境事件情景及应急处置措施。</w:t>
            </w:r>
          </w:p>
        </w:tc>
        <w:tc>
          <w:tcPr>
            <w:tcW w:w="609" w:type="pct"/>
            <w:vMerge w:val="continue"/>
            <w:tcBorders>
              <w:tl2br w:val="nil"/>
              <w:tr2bl w:val="nil"/>
            </w:tcBorders>
            <w:vAlign w:val="center"/>
          </w:tcPr>
          <w:p w14:paraId="385998BA">
            <w:pPr>
              <w:pStyle w:val="84"/>
              <w:spacing w:line="0" w:lineRule="atLeast"/>
              <w:jc w:val="both"/>
              <w:rPr>
                <w:color w:val="auto"/>
                <w:highlight w:val="cyan"/>
              </w:rPr>
            </w:pPr>
          </w:p>
        </w:tc>
      </w:tr>
      <w:tr w14:paraId="1746A3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194" w:type="pct"/>
            <w:vMerge w:val="continue"/>
            <w:vAlign w:val="center"/>
          </w:tcPr>
          <w:p w14:paraId="69DCC472">
            <w:pPr>
              <w:pStyle w:val="84"/>
              <w:spacing w:line="0" w:lineRule="atLeast"/>
              <w:rPr>
                <w:color w:val="auto"/>
                <w:highlight w:val="cyan"/>
              </w:rPr>
            </w:pPr>
          </w:p>
        </w:tc>
        <w:tc>
          <w:tcPr>
            <w:tcW w:w="200" w:type="pct"/>
            <w:vMerge w:val="continue"/>
            <w:tcBorders>
              <w:tl2br w:val="nil"/>
              <w:tr2bl w:val="nil"/>
            </w:tcBorders>
            <w:vAlign w:val="center"/>
          </w:tcPr>
          <w:p w14:paraId="541E73EA">
            <w:pPr>
              <w:pStyle w:val="84"/>
              <w:spacing w:line="0" w:lineRule="atLeast"/>
              <w:rPr>
                <w:color w:val="auto"/>
                <w:highlight w:val="cyan"/>
              </w:rPr>
            </w:pPr>
          </w:p>
        </w:tc>
        <w:tc>
          <w:tcPr>
            <w:tcW w:w="471" w:type="pct"/>
            <w:tcBorders>
              <w:tl2br w:val="nil"/>
              <w:tr2bl w:val="nil"/>
            </w:tcBorders>
            <w:vAlign w:val="center"/>
          </w:tcPr>
          <w:p w14:paraId="62C13849">
            <w:pPr>
              <w:pStyle w:val="84"/>
              <w:spacing w:line="0" w:lineRule="atLeast"/>
              <w:rPr>
                <w:color w:val="auto"/>
                <w:highlight w:val="none"/>
              </w:rPr>
            </w:pPr>
            <w:r>
              <w:rPr>
                <w:rFonts w:hint="eastAsia"/>
                <w:color w:val="auto"/>
                <w:highlight w:val="none"/>
              </w:rPr>
              <w:t>土地复垦</w:t>
            </w:r>
          </w:p>
        </w:tc>
        <w:tc>
          <w:tcPr>
            <w:tcW w:w="3426" w:type="pct"/>
            <w:tcBorders>
              <w:tl2br w:val="nil"/>
              <w:tr2bl w:val="nil"/>
            </w:tcBorders>
            <w:vAlign w:val="center"/>
          </w:tcPr>
          <w:p w14:paraId="770FFB70">
            <w:pPr>
              <w:pStyle w:val="84"/>
              <w:spacing w:line="0" w:lineRule="atLeast"/>
              <w:jc w:val="both"/>
              <w:rPr>
                <w:color w:val="auto"/>
                <w:szCs w:val="22"/>
                <w:highlight w:val="cyan"/>
              </w:rPr>
            </w:pPr>
            <w:r>
              <w:rPr>
                <w:rFonts w:hint="eastAsia"/>
                <w:color w:val="auto"/>
                <w:szCs w:val="21"/>
                <w:highlight w:val="none"/>
                <w:lang w:val="en-US" w:eastAsia="zh-CN" w:bidi="ar"/>
              </w:rPr>
              <w:t>矿坑区域</w:t>
            </w:r>
            <w:r>
              <w:rPr>
                <w:rFonts w:hint="eastAsia"/>
                <w:color w:val="auto"/>
                <w:szCs w:val="21"/>
                <w:highlight w:val="none"/>
                <w:lang w:bidi="ar"/>
              </w:rPr>
              <w:t>在回填至</w:t>
            </w:r>
            <w:r>
              <w:rPr>
                <w:rFonts w:hint="eastAsia"/>
                <w:color w:val="auto"/>
                <w:szCs w:val="21"/>
                <w:highlight w:val="none"/>
                <w:lang w:val="en-US" w:eastAsia="zh-CN" w:bidi="ar"/>
              </w:rPr>
              <w:t>原有地貌标高</w:t>
            </w:r>
            <w:r>
              <w:rPr>
                <w:rFonts w:hint="eastAsia"/>
                <w:color w:val="auto"/>
                <w:szCs w:val="21"/>
                <w:highlight w:val="none"/>
                <w:lang w:bidi="ar"/>
              </w:rPr>
              <w:t>后统一进行覆土</w:t>
            </w:r>
            <w:r>
              <w:rPr>
                <w:color w:val="auto"/>
                <w:szCs w:val="21"/>
                <w:highlight w:val="none"/>
                <w:lang w:bidi="ar"/>
              </w:rPr>
              <w:t>，</w:t>
            </w:r>
            <w:r>
              <w:rPr>
                <w:rFonts w:hint="eastAsia"/>
                <w:color w:val="auto"/>
                <w:szCs w:val="21"/>
                <w:highlight w:val="none"/>
                <w:lang w:val="en-US" w:eastAsia="zh-CN" w:bidi="ar"/>
              </w:rPr>
              <w:t>工业场地在平整后进行覆土，复垦乔木林地69134m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，旱地9460m</w:t>
            </w:r>
            <w:r>
              <w:rPr>
                <w:rFonts w:hint="eastAsia"/>
                <w:color w:val="auto"/>
                <w:szCs w:val="21"/>
                <w:highlight w:val="none"/>
                <w:vertAlign w:val="superscript"/>
                <w:lang w:val="en-US" w:eastAsia="zh-CN" w:bidi="ar"/>
              </w:rPr>
              <w:t>2</w:t>
            </w:r>
            <w:r>
              <w:rPr>
                <w:rFonts w:hint="eastAsia"/>
                <w:color w:val="auto"/>
                <w:szCs w:val="21"/>
                <w:highlight w:val="none"/>
                <w:lang w:val="en-US" w:eastAsia="zh-CN" w:bidi="ar"/>
              </w:rPr>
              <w:t>，乔木林地</w:t>
            </w:r>
            <w:r>
              <w:rPr>
                <w:rFonts w:hint="eastAsia"/>
                <w:bCs/>
                <w:color w:val="auto"/>
                <w:szCs w:val="21"/>
                <w:highlight w:val="none"/>
              </w:rPr>
              <w:t>有效土层厚度不低于</w:t>
            </w:r>
            <w:r>
              <w:rPr>
                <w:rFonts w:hint="eastAsia"/>
                <w:bCs/>
                <w:color w:val="auto"/>
                <w:szCs w:val="21"/>
                <w:highlight w:val="none"/>
                <w:lang w:val="en-US" w:eastAsia="zh-CN"/>
              </w:rPr>
              <w:t>30</w:t>
            </w:r>
            <w:r>
              <w:rPr>
                <w:rFonts w:hint="eastAsia"/>
                <w:bCs/>
                <w:color w:val="auto"/>
                <w:szCs w:val="21"/>
                <w:highlight w:val="none"/>
              </w:rPr>
              <w:t>cm，</w:t>
            </w:r>
            <w:r>
              <w:rPr>
                <w:rFonts w:hint="eastAsia"/>
                <w:color w:val="auto"/>
                <w:szCs w:val="21"/>
                <w:highlight w:val="none"/>
                <w:lang w:val="en-US" w:eastAsia="zh-CN" w:bidi="ar"/>
              </w:rPr>
              <w:t>旱地</w:t>
            </w:r>
            <w:r>
              <w:rPr>
                <w:rFonts w:hint="eastAsia"/>
                <w:bCs/>
                <w:color w:val="auto"/>
                <w:szCs w:val="21"/>
                <w:highlight w:val="none"/>
              </w:rPr>
              <w:t>有效土层厚度不低于</w:t>
            </w:r>
            <w:r>
              <w:rPr>
                <w:rFonts w:hint="eastAsia"/>
                <w:bCs/>
                <w:color w:val="auto"/>
                <w:szCs w:val="21"/>
                <w:highlight w:val="none"/>
                <w:lang w:val="en-US" w:eastAsia="zh-CN"/>
              </w:rPr>
              <w:t>50</w:t>
            </w:r>
            <w:r>
              <w:rPr>
                <w:rFonts w:hint="eastAsia"/>
                <w:bCs/>
                <w:color w:val="auto"/>
                <w:szCs w:val="21"/>
                <w:highlight w:val="none"/>
              </w:rPr>
              <w:t>cm，土壤质量应满足《土壤环境质量 农用地土壤污染风险管控标准（试行）》（GB15618-2018）要求，土地复垦实施过程应满足《土地复垦质量控制标准》（TD/T1036-2013）规定的相关土地复垦质量控制要求</w:t>
            </w:r>
          </w:p>
        </w:tc>
        <w:tc>
          <w:tcPr>
            <w:tcW w:w="609" w:type="pct"/>
            <w:vMerge w:val="continue"/>
            <w:tcBorders>
              <w:tl2br w:val="nil"/>
              <w:tr2bl w:val="nil"/>
            </w:tcBorders>
            <w:vAlign w:val="center"/>
          </w:tcPr>
          <w:p w14:paraId="2A4A499D">
            <w:pPr>
              <w:pStyle w:val="84"/>
              <w:spacing w:line="0" w:lineRule="atLeast"/>
              <w:jc w:val="both"/>
              <w:rPr>
                <w:color w:val="auto"/>
                <w:highlight w:val="cyan"/>
              </w:rPr>
            </w:pPr>
          </w:p>
        </w:tc>
      </w:tr>
      <w:tr w14:paraId="6E6F85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Before w:val="1"/>
          <w:wBefore w:w="97" w:type="pct"/>
          <w:trHeight w:val="56" w:hRule="atLeast"/>
          <w:jc w:val="center"/>
        </w:trPr>
        <w:tc>
          <w:tcPr>
            <w:tcW w:w="395" w:type="pct"/>
            <w:gridSpan w:val="2"/>
            <w:vAlign w:val="center"/>
          </w:tcPr>
          <w:p w14:paraId="0294A6D6">
            <w:pPr>
              <w:pStyle w:val="84"/>
              <w:spacing w:line="0" w:lineRule="atLeast"/>
              <w:rPr>
                <w:rFonts w:hint="default" w:eastAsia="宋体"/>
                <w:color w:val="auto"/>
                <w:highlight w:val="none"/>
                <w:lang w:val="en-US" w:eastAsia="zh-CN"/>
              </w:rPr>
            </w:pPr>
            <w:r>
              <w:rPr>
                <w:rFonts w:hint="eastAsia"/>
                <w:color w:val="auto"/>
                <w:highlight w:val="none"/>
                <w:lang w:val="en-US" w:eastAsia="zh-CN"/>
              </w:rPr>
              <w:t>依托工程</w:t>
            </w:r>
          </w:p>
        </w:tc>
        <w:tc>
          <w:tcPr>
            <w:tcW w:w="471" w:type="pct"/>
            <w:tcBorders>
              <w:tl2br w:val="nil"/>
              <w:tr2bl w:val="nil"/>
            </w:tcBorders>
            <w:vAlign w:val="center"/>
          </w:tcPr>
          <w:p w14:paraId="7793B21B">
            <w:pPr>
              <w:keepNext w:val="0"/>
              <w:keepLines w:val="0"/>
              <w:widowControl/>
              <w:suppressLineNumbers w:val="0"/>
              <w:jc w:val="center"/>
              <w:rPr>
                <w:rFonts w:hint="eastAsia"/>
                <w:color w:val="auto"/>
                <w:highlight w:val="none"/>
              </w:rPr>
            </w:pPr>
            <w:r>
              <w:rPr>
                <w:rFonts w:hint="eastAsia" w:ascii="宋体" w:hAnsi="宋体" w:eastAsia="宋体" w:cs="宋体"/>
                <w:color w:val="auto"/>
                <w:kern w:val="0"/>
                <w:sz w:val="21"/>
                <w:szCs w:val="21"/>
                <w:highlight w:val="none"/>
                <w:lang w:val="en-US" w:eastAsia="zh-CN" w:bidi="ar"/>
              </w:rPr>
              <w:t>回填物来源单位</w:t>
            </w:r>
          </w:p>
        </w:tc>
        <w:tc>
          <w:tcPr>
            <w:tcW w:w="3426" w:type="pct"/>
            <w:tcBorders>
              <w:tl2br w:val="nil"/>
              <w:tr2bl w:val="nil"/>
            </w:tcBorders>
            <w:vAlign w:val="center"/>
          </w:tcPr>
          <w:p w14:paraId="473DEB57">
            <w:pPr>
              <w:pStyle w:val="59"/>
              <w:keepNext w:val="0"/>
              <w:keepLines w:val="0"/>
              <w:pageBreakBefore w:val="0"/>
              <w:widowControl/>
              <w:kinsoku/>
              <w:wordWrap/>
              <w:overflowPunct/>
              <w:topLinePunct w:val="0"/>
              <w:autoSpaceDE/>
              <w:autoSpaceDN/>
              <w:bidi w:val="0"/>
              <w:adjustRightInd w:val="0"/>
              <w:snapToGrid w:val="0"/>
              <w:spacing w:line="240" w:lineRule="auto"/>
              <w:ind w:left="0" w:leftChars="0" w:firstLine="0" w:firstLineChars="0"/>
              <w:textAlignment w:val="auto"/>
              <w:rPr>
                <w:rFonts w:hint="eastAsia" w:eastAsia="宋体"/>
                <w:color w:val="auto"/>
                <w:szCs w:val="21"/>
                <w:highlight w:val="none"/>
                <w:lang w:val="en-US" w:eastAsia="zh-CN" w:bidi="ar"/>
              </w:rPr>
            </w:pPr>
            <w:r>
              <w:rPr>
                <w:rFonts w:hint="eastAsia" w:ascii="宋体" w:hAnsi="宋体" w:eastAsia="宋体" w:cs="宋体"/>
                <w:color w:val="auto"/>
                <w:kern w:val="0"/>
                <w:sz w:val="21"/>
                <w:szCs w:val="21"/>
                <w:highlight w:val="none"/>
                <w:lang w:val="en-US" w:eastAsia="zh-CN" w:bidi="ar"/>
              </w:rPr>
              <w:t>本项目回填材料为</w:t>
            </w:r>
            <w:r>
              <w:rPr>
                <w:rFonts w:hint="eastAsia"/>
                <w:snapToGrid w:val="0"/>
                <w:color w:val="auto"/>
                <w:sz w:val="21"/>
                <w:szCs w:val="21"/>
                <w:highlight w:val="none"/>
                <w:lang w:val="en-US" w:eastAsia="zh-CN"/>
              </w:rPr>
              <w:t>黑龙江醇能热电有限公司</w:t>
            </w:r>
            <w:r>
              <w:rPr>
                <w:rFonts w:hint="eastAsia" w:ascii="宋体" w:hAnsi="宋体" w:eastAsia="宋体" w:cs="宋体"/>
                <w:color w:val="auto"/>
                <w:kern w:val="0"/>
                <w:sz w:val="21"/>
                <w:szCs w:val="21"/>
                <w:highlight w:val="none"/>
                <w:lang w:val="en-US" w:eastAsia="zh-CN" w:bidi="ar"/>
              </w:rPr>
              <w:t>的</w:t>
            </w:r>
            <w:r>
              <w:rPr>
                <w:rFonts w:hint="eastAsia" w:ascii="宋体" w:hAnsi="宋体" w:cs="宋体"/>
                <w:color w:val="auto"/>
                <w:kern w:val="0"/>
                <w:sz w:val="21"/>
                <w:szCs w:val="21"/>
                <w:highlight w:val="none"/>
                <w:lang w:val="en-US" w:eastAsia="zh-CN" w:bidi="ar"/>
              </w:rPr>
              <w:t>灰渣，</w:t>
            </w:r>
            <w:r>
              <w:rPr>
                <w:rFonts w:hint="eastAsia"/>
                <w:color w:val="auto"/>
                <w:sz w:val="21"/>
                <w:szCs w:val="21"/>
                <w:lang w:val="en-US" w:eastAsia="zh-CN"/>
              </w:rPr>
              <w:t>根据企业环境信息依法披露系统（黑龙江）公开信息，黑龙江醇能热电有限公司年产灰渣量约为109715.935t/a，</w:t>
            </w:r>
            <w:r>
              <w:rPr>
                <w:rFonts w:hint="default" w:ascii="Times New Roman" w:hAnsi="Times New Roman" w:eastAsia="宋体" w:cs="Times New Roman"/>
                <w:color w:val="auto"/>
                <w:kern w:val="0"/>
                <w:sz w:val="21"/>
                <w:szCs w:val="21"/>
                <w:highlight w:val="none"/>
                <w:lang w:val="en-US" w:eastAsia="zh-CN" w:bidi="ar"/>
              </w:rPr>
              <w:t>根据鸡东县新泉采石场矿山生态修复设计方案，回填灰渣量为32.76万m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default" w:ascii="Times New Roman" w:hAnsi="Times New Roman" w:eastAsia="宋体" w:cs="Times New Roman"/>
                <w:color w:val="auto"/>
                <w:kern w:val="0"/>
                <w:sz w:val="21"/>
                <w:szCs w:val="21"/>
                <w:highlight w:val="none"/>
                <w:lang w:val="en-US" w:eastAsia="zh-CN" w:bidi="ar"/>
              </w:rPr>
              <w:t>/3a，电厂产渣能力可满足本项目回填物料需求。</w:t>
            </w:r>
          </w:p>
        </w:tc>
        <w:tc>
          <w:tcPr>
            <w:tcW w:w="609" w:type="pct"/>
            <w:tcBorders>
              <w:tl2br w:val="nil"/>
              <w:tr2bl w:val="nil"/>
            </w:tcBorders>
            <w:vAlign w:val="center"/>
          </w:tcPr>
          <w:p w14:paraId="5DEA090E">
            <w:pPr>
              <w:pStyle w:val="84"/>
              <w:spacing w:line="0" w:lineRule="atLeast"/>
              <w:jc w:val="center"/>
              <w:rPr>
                <w:rFonts w:hint="eastAsia" w:eastAsia="宋体"/>
                <w:color w:val="auto"/>
                <w:highlight w:val="cyan"/>
                <w:lang w:val="en-US" w:eastAsia="zh-CN"/>
              </w:rPr>
            </w:pPr>
            <w:r>
              <w:rPr>
                <w:rFonts w:hint="eastAsia"/>
                <w:color w:val="auto"/>
                <w:highlight w:val="none"/>
                <w:lang w:val="en-US" w:eastAsia="zh-CN"/>
              </w:rPr>
              <w:t>/</w:t>
            </w:r>
          </w:p>
        </w:tc>
      </w:tr>
      <w:bookmarkEnd w:id="86"/>
    </w:tbl>
    <w:p w14:paraId="76821906">
      <w:pPr>
        <w:pStyle w:val="137"/>
        <w:rPr>
          <w:color w:val="auto"/>
        </w:rPr>
      </w:pPr>
      <w:r>
        <w:rPr>
          <w:rFonts w:hint="eastAsia"/>
          <w:color w:val="auto"/>
        </w:rPr>
        <w:t>3.1.4主体工程</w:t>
      </w:r>
    </w:p>
    <w:p w14:paraId="6C2168C9">
      <w:pPr>
        <w:pStyle w:val="135"/>
        <w:ind w:firstLine="480" w:firstLineChars="200"/>
        <w:rPr>
          <w:rFonts w:hint="default" w:eastAsia="宋体"/>
          <w:color w:val="auto"/>
          <w:lang w:val="en-US" w:eastAsia="zh-CN"/>
        </w:rPr>
      </w:pPr>
      <w:r>
        <w:rPr>
          <w:rFonts w:hint="eastAsia"/>
          <w:color w:val="auto"/>
          <w:lang w:val="en-US" w:eastAsia="zh-CN"/>
        </w:rPr>
        <w:t>施工时序及建设周期</w:t>
      </w:r>
    </w:p>
    <w:p w14:paraId="24281620">
      <w:pPr>
        <w:pStyle w:val="59"/>
        <w:ind w:firstLine="480"/>
        <w:rPr>
          <w:rFonts w:hint="default"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 xml:space="preserve">）施工时序 </w:t>
      </w:r>
    </w:p>
    <w:p w14:paraId="74A046C2">
      <w:pPr>
        <w:pStyle w:val="59"/>
        <w:ind w:left="0" w:leftChars="0" w:firstLine="480" w:firstLineChars="200"/>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项目为废弃矿坑回填工程，施工时序为先进行场地清理，然后进行防渗系统、淋溶水收集导排系统的建设。当场地回填至设计标高后统一进行修复，与周边环境持平。修复目标为景观协调；地形基本平整。</w:t>
      </w:r>
    </w:p>
    <w:p w14:paraId="63A28DAD">
      <w:pPr>
        <w:pStyle w:val="59"/>
        <w:ind w:left="0" w:leftChars="0" w:firstLine="480" w:firstLineChars="200"/>
        <w:rPr>
          <w:rFonts w:hint="default"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en-US" w:eastAsia="zh-CN"/>
        </w:rPr>
        <w:t>2</w:t>
      </w:r>
      <w:r>
        <w:rPr>
          <w:rFonts w:hint="eastAsia" w:ascii="Times New Roman" w:hAnsi="Times New Roman" w:eastAsia="宋体" w:cs="Times New Roman"/>
          <w:color w:val="auto"/>
          <w:highlight w:val="none"/>
          <w:lang w:val="en-US" w:eastAsia="zh-CN"/>
        </w:rPr>
        <w:t>）建设周期</w:t>
      </w:r>
    </w:p>
    <w:p w14:paraId="06A03930">
      <w:pPr>
        <w:pStyle w:val="59"/>
        <w:ind w:firstLine="480"/>
        <w:rPr>
          <w:rFonts w:hint="eastAsia"/>
          <w:color w:val="auto"/>
        </w:rPr>
      </w:pPr>
      <w:r>
        <w:rPr>
          <w:rFonts w:hint="eastAsia" w:ascii="Times New Roman" w:hAnsi="Times New Roman" w:eastAsia="宋体" w:cs="Times New Roman"/>
          <w:color w:val="auto"/>
          <w:highlight w:val="none"/>
          <w:lang w:val="en-US" w:eastAsia="zh-CN"/>
        </w:rPr>
        <w:t>项目计划施工期为</w:t>
      </w:r>
      <w:r>
        <w:rPr>
          <w:rFonts w:hint="default" w:ascii="Times New Roman" w:hAnsi="Times New Roman" w:eastAsia="宋体" w:cs="Times New Roman"/>
          <w:color w:val="auto"/>
          <w:highlight w:val="none"/>
          <w:lang w:val="en-US" w:eastAsia="zh-CN"/>
        </w:rPr>
        <w:t>202</w:t>
      </w:r>
      <w:r>
        <w:rPr>
          <w:rFonts w:hint="eastAsia" w:ascii="Times New Roman" w:hAnsi="Times New Roman" w:eastAsia="宋体" w:cs="Times New Roman"/>
          <w:color w:val="auto"/>
          <w:highlight w:val="none"/>
          <w:lang w:val="en-US" w:eastAsia="zh-CN"/>
        </w:rPr>
        <w:t>7年9月至</w:t>
      </w:r>
      <w:r>
        <w:rPr>
          <w:rFonts w:hint="default" w:ascii="Times New Roman" w:hAnsi="Times New Roman" w:eastAsia="宋体" w:cs="Times New Roman"/>
          <w:color w:val="auto"/>
          <w:highlight w:val="none"/>
          <w:lang w:val="en-US" w:eastAsia="zh-CN"/>
        </w:rPr>
        <w:t>20</w:t>
      </w:r>
      <w:r>
        <w:rPr>
          <w:rFonts w:hint="eastAsia" w:ascii="Times New Roman" w:hAnsi="Times New Roman" w:eastAsia="宋体" w:cs="Times New Roman"/>
          <w:color w:val="auto"/>
          <w:highlight w:val="none"/>
          <w:lang w:val="en-US" w:eastAsia="zh-CN"/>
        </w:rPr>
        <w:t>30年10月，共</w:t>
      </w:r>
      <w:r>
        <w:rPr>
          <w:rFonts w:hint="default" w:ascii="Times New Roman" w:hAnsi="Times New Roman" w:eastAsia="宋体" w:cs="Times New Roman"/>
          <w:color w:val="auto"/>
          <w:highlight w:val="none"/>
          <w:lang w:val="en-US" w:eastAsia="zh-CN"/>
        </w:rPr>
        <w:t>1</w:t>
      </w:r>
      <w:r>
        <w:rPr>
          <w:rFonts w:hint="eastAsia" w:ascii="Times New Roman" w:hAnsi="Times New Roman" w:eastAsia="宋体" w:cs="Times New Roman"/>
          <w:color w:val="auto"/>
          <w:highlight w:val="none"/>
          <w:lang w:val="en-US" w:eastAsia="zh-CN"/>
        </w:rPr>
        <w:t>个月；修复期回填期为</w:t>
      </w:r>
      <w:r>
        <w:rPr>
          <w:rFonts w:hint="default" w:ascii="Times New Roman" w:hAnsi="Times New Roman" w:eastAsia="宋体" w:cs="Times New Roman"/>
          <w:color w:val="auto"/>
          <w:highlight w:val="none"/>
          <w:lang w:val="en-US" w:eastAsia="zh-CN"/>
        </w:rPr>
        <w:t>202</w:t>
      </w:r>
      <w:r>
        <w:rPr>
          <w:rFonts w:hint="eastAsia" w:ascii="Times New Roman" w:hAnsi="Times New Roman" w:eastAsia="宋体" w:cs="Times New Roman"/>
          <w:color w:val="auto"/>
          <w:highlight w:val="none"/>
          <w:lang w:val="en-US" w:eastAsia="zh-CN"/>
        </w:rPr>
        <w:t>7年10月至</w:t>
      </w:r>
      <w:r>
        <w:rPr>
          <w:rFonts w:hint="default" w:ascii="Times New Roman" w:hAnsi="Times New Roman" w:eastAsia="宋体" w:cs="Times New Roman"/>
          <w:color w:val="auto"/>
          <w:highlight w:val="none"/>
          <w:lang w:val="en-US" w:eastAsia="zh-CN"/>
        </w:rPr>
        <w:t>20</w:t>
      </w:r>
      <w:r>
        <w:rPr>
          <w:rFonts w:hint="eastAsia" w:ascii="Times New Roman" w:hAnsi="Times New Roman" w:eastAsia="宋体" w:cs="Times New Roman"/>
          <w:color w:val="auto"/>
          <w:highlight w:val="none"/>
          <w:lang w:val="en-US" w:eastAsia="zh-CN"/>
        </w:rPr>
        <w:t>30年10月，共</w:t>
      </w:r>
      <w:r>
        <w:rPr>
          <w:rFonts w:hint="default" w:ascii="Times New Roman" w:hAnsi="Times New Roman" w:eastAsia="宋体" w:cs="Times New Roman"/>
          <w:color w:val="auto"/>
          <w:highlight w:val="none"/>
          <w:lang w:val="en-US" w:eastAsia="zh-CN"/>
        </w:rPr>
        <w:t>36</w:t>
      </w:r>
      <w:r>
        <w:rPr>
          <w:rFonts w:hint="eastAsia" w:ascii="Times New Roman" w:hAnsi="Times New Roman" w:eastAsia="宋体" w:cs="Times New Roman"/>
          <w:color w:val="auto"/>
          <w:highlight w:val="none"/>
          <w:lang w:val="en-US" w:eastAsia="zh-CN"/>
        </w:rPr>
        <w:t>个月。</w:t>
      </w:r>
    </w:p>
    <w:p w14:paraId="028C2A44">
      <w:pPr>
        <w:pStyle w:val="135"/>
        <w:rPr>
          <w:color w:val="auto"/>
        </w:rPr>
      </w:pPr>
      <w:r>
        <w:rPr>
          <w:rFonts w:hint="eastAsia"/>
          <w:color w:val="auto"/>
        </w:rPr>
        <w:t>3</w:t>
      </w:r>
      <w:r>
        <w:rPr>
          <w:color w:val="auto"/>
        </w:rPr>
        <w:t>.1.4.1</w:t>
      </w:r>
      <w:r>
        <w:rPr>
          <w:rFonts w:hint="eastAsia"/>
          <w:color w:val="auto"/>
        </w:rPr>
        <w:t>场地平整</w:t>
      </w:r>
    </w:p>
    <w:p w14:paraId="7E0DBD84">
      <w:pPr>
        <w:pStyle w:val="59"/>
        <w:ind w:firstLine="480"/>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t>项目基底清理主要为清理</w:t>
      </w:r>
      <w:r>
        <w:rPr>
          <w:rFonts w:hint="default" w:ascii="Times New Roman" w:hAnsi="Times New Roman" w:eastAsia="宋体" w:cs="Times New Roman"/>
          <w:color w:val="auto"/>
          <w:highlight w:val="none"/>
          <w:lang w:val="en-US" w:eastAsia="zh-CN"/>
        </w:rPr>
        <w:t>工业场地、</w:t>
      </w:r>
      <w:r>
        <w:rPr>
          <w:rFonts w:hint="default" w:ascii="Times New Roman" w:hAnsi="Times New Roman" w:eastAsia="宋体" w:cs="Times New Roman"/>
          <w:color w:val="auto"/>
          <w:highlight w:val="none"/>
          <w:lang w:eastAsia="zh-CN"/>
        </w:rPr>
        <w:t>矿坑内的所有杂草、草木根茎、杂物等，</w:t>
      </w:r>
      <w:r>
        <w:rPr>
          <w:rFonts w:hint="default" w:ascii="Times New Roman" w:hAnsi="Times New Roman" w:eastAsia="宋体" w:cs="Times New Roman"/>
          <w:color w:val="auto"/>
          <w:highlight w:val="none"/>
          <w:lang w:val="en-US" w:eastAsia="zh-CN"/>
        </w:rPr>
        <w:t>利用矿区内现有采矿剥离物21.50万m</w:t>
      </w:r>
      <w:r>
        <w:rPr>
          <w:rFonts w:hint="default" w:ascii="Times New Roman" w:hAnsi="Times New Roman" w:eastAsia="宋体" w:cs="Times New Roman"/>
          <w:color w:val="auto"/>
          <w:highlight w:val="none"/>
          <w:vertAlign w:val="superscript"/>
          <w:lang w:val="en-US" w:eastAsia="zh-CN"/>
        </w:rPr>
        <w:t>3</w:t>
      </w:r>
      <w:r>
        <w:rPr>
          <w:rFonts w:hint="default" w:ascii="Times New Roman" w:hAnsi="Times New Roman" w:eastAsia="宋体" w:cs="Times New Roman"/>
          <w:color w:val="auto"/>
          <w:highlight w:val="none"/>
          <w:lang w:val="en-US" w:eastAsia="zh-CN"/>
        </w:rPr>
        <w:t>对</w:t>
      </w:r>
      <w:r>
        <w:rPr>
          <w:rFonts w:hint="default" w:ascii="Times New Roman" w:hAnsi="Times New Roman" w:eastAsia="宋体" w:cs="Times New Roman"/>
          <w:color w:val="auto"/>
          <w:highlight w:val="none"/>
          <w:lang w:eastAsia="zh-CN"/>
        </w:rPr>
        <w:t>场底基础</w:t>
      </w:r>
      <w:r>
        <w:rPr>
          <w:rFonts w:hint="default" w:ascii="Times New Roman" w:hAnsi="Times New Roman" w:eastAsia="宋体" w:cs="Times New Roman"/>
          <w:color w:val="auto"/>
          <w:highlight w:val="none"/>
          <w:lang w:val="en-US" w:eastAsia="zh-CN"/>
        </w:rPr>
        <w:t>进行平整，达到</w:t>
      </w:r>
      <w:r>
        <w:rPr>
          <w:rFonts w:hint="default" w:ascii="Times New Roman" w:hAnsi="Times New Roman" w:eastAsia="宋体" w:cs="Times New Roman"/>
          <w:color w:val="auto"/>
          <w:highlight w:val="none"/>
          <w:lang w:eastAsia="zh-CN"/>
        </w:rPr>
        <w:t>坚实、无裂缝、无松土，坡面稳定，过渡平缓。</w:t>
      </w:r>
    </w:p>
    <w:p w14:paraId="11D5F127">
      <w:pPr>
        <w:pStyle w:val="135"/>
        <w:rPr>
          <w:color w:val="auto"/>
        </w:rPr>
      </w:pPr>
      <w:r>
        <w:rPr>
          <w:rFonts w:hint="eastAsia"/>
          <w:color w:val="auto"/>
        </w:rPr>
        <w:t>3</w:t>
      </w:r>
      <w:r>
        <w:rPr>
          <w:color w:val="auto"/>
        </w:rPr>
        <w:t>.1.4.2</w:t>
      </w:r>
      <w:r>
        <w:rPr>
          <w:rFonts w:hint="eastAsia"/>
          <w:color w:val="auto"/>
        </w:rPr>
        <w:t>防渗系统</w:t>
      </w:r>
    </w:p>
    <w:p w14:paraId="73C48F76">
      <w:pPr>
        <w:pStyle w:val="59"/>
        <w:ind w:firstLine="480"/>
        <w:rPr>
          <w:rFonts w:hint="eastAsia" w:cs="Times New Roman"/>
          <w:color w:val="auto"/>
          <w:kern w:val="2"/>
          <w:sz w:val="24"/>
          <w:szCs w:val="24"/>
          <w:highlight w:val="none"/>
          <w:lang w:val="en-US" w:eastAsia="zh-CN" w:bidi="ar-SA"/>
        </w:rPr>
      </w:pPr>
      <w:r>
        <w:rPr>
          <w:rFonts w:hint="eastAsia" w:ascii="宋体" w:hAnsi="宋体" w:cs="宋体"/>
          <w:color w:val="auto"/>
          <w:kern w:val="0"/>
          <w:sz w:val="24"/>
          <w:szCs w:val="24"/>
          <w:lang w:val="en-US" w:eastAsia="zh-CN" w:bidi="ar"/>
        </w:rPr>
        <w:t>回填区</w:t>
      </w:r>
      <w:r>
        <w:rPr>
          <w:rFonts w:hint="eastAsia" w:ascii="宋体" w:hAnsi="宋体" w:eastAsia="宋体" w:cs="宋体"/>
          <w:color w:val="auto"/>
          <w:kern w:val="0"/>
          <w:sz w:val="24"/>
          <w:szCs w:val="24"/>
          <w:lang w:val="en-US" w:eastAsia="zh-CN" w:bidi="ar"/>
        </w:rPr>
        <w:t>场</w:t>
      </w:r>
      <w:r>
        <w:rPr>
          <w:rFonts w:hint="eastAsia" w:ascii="Times New Roman" w:hAnsi="Times New Roman" w:eastAsia="宋体" w:cs="Times New Roman"/>
          <w:color w:val="auto"/>
          <w:kern w:val="2"/>
          <w:sz w:val="24"/>
          <w:szCs w:val="24"/>
          <w:highlight w:val="none"/>
          <w:lang w:val="en-US" w:eastAsia="zh-CN" w:bidi="ar-SA"/>
        </w:rPr>
        <w:t>地平整后在场底铺设</w:t>
      </w:r>
      <w:r>
        <w:rPr>
          <w:rFonts w:hint="default" w:ascii="Times New Roman" w:hAnsi="Times New Roman" w:eastAsia="宋体" w:cs="Times New Roman"/>
          <w:color w:val="auto"/>
          <w:kern w:val="2"/>
          <w:sz w:val="24"/>
          <w:szCs w:val="24"/>
          <w:highlight w:val="none"/>
          <w:lang w:val="en-US" w:eastAsia="zh-CN" w:bidi="ar-SA"/>
        </w:rPr>
        <w:t>0.3 m</w:t>
      </w:r>
      <w:r>
        <w:rPr>
          <w:rFonts w:hint="eastAsia" w:ascii="Times New Roman" w:hAnsi="Times New Roman" w:eastAsia="宋体" w:cs="Times New Roman"/>
          <w:color w:val="auto"/>
          <w:kern w:val="2"/>
          <w:sz w:val="24"/>
          <w:szCs w:val="24"/>
          <w:highlight w:val="none"/>
          <w:lang w:val="en-US" w:eastAsia="zh-CN" w:bidi="ar-SA"/>
        </w:rPr>
        <w:t>厚的改性压实粘土压实作为基础层，并对其检测，其防渗性能需满足渗透系数为</w:t>
      </w:r>
      <w:r>
        <w:rPr>
          <w:rFonts w:hint="default" w:ascii="Times New Roman" w:hAnsi="Times New Roman" w:eastAsia="宋体" w:cs="Times New Roman"/>
          <w:color w:val="auto"/>
          <w:kern w:val="2"/>
          <w:sz w:val="24"/>
          <w:szCs w:val="24"/>
          <w:highlight w:val="none"/>
          <w:lang w:val="en-US" w:eastAsia="zh-CN" w:bidi="ar-SA"/>
        </w:rPr>
        <w:t>1.0×10</w:t>
      </w:r>
      <w:r>
        <w:rPr>
          <w:rFonts w:hint="default" w:ascii="Times New Roman" w:hAnsi="Times New Roman" w:eastAsia="宋体" w:cs="Times New Roman"/>
          <w:color w:val="auto"/>
          <w:kern w:val="2"/>
          <w:sz w:val="24"/>
          <w:szCs w:val="24"/>
          <w:highlight w:val="none"/>
          <w:vertAlign w:val="superscript"/>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 xml:space="preserve"> cm/s</w:t>
      </w:r>
      <w:r>
        <w:rPr>
          <w:rFonts w:hint="eastAsia" w:ascii="Times New Roman" w:hAnsi="Times New Roman" w:eastAsia="宋体" w:cs="Times New Roman"/>
          <w:color w:val="auto"/>
          <w:kern w:val="2"/>
          <w:sz w:val="24"/>
          <w:szCs w:val="24"/>
          <w:highlight w:val="none"/>
          <w:lang w:val="en-US" w:eastAsia="zh-CN" w:bidi="ar-SA"/>
        </w:rPr>
        <w:t>且厚度为</w:t>
      </w:r>
      <w:r>
        <w:rPr>
          <w:rFonts w:hint="default" w:ascii="Times New Roman" w:hAnsi="Times New Roman" w:eastAsia="宋体" w:cs="Times New Roman"/>
          <w:color w:val="auto"/>
          <w:kern w:val="2"/>
          <w:sz w:val="24"/>
          <w:szCs w:val="24"/>
          <w:highlight w:val="none"/>
          <w:lang w:val="en-US" w:eastAsia="zh-CN" w:bidi="ar-SA"/>
        </w:rPr>
        <w:t>0.75 m</w:t>
      </w:r>
      <w:r>
        <w:rPr>
          <w:rFonts w:hint="eastAsia" w:ascii="Times New Roman" w:hAnsi="Times New Roman" w:eastAsia="宋体" w:cs="Times New Roman"/>
          <w:color w:val="auto"/>
          <w:kern w:val="2"/>
          <w:sz w:val="24"/>
          <w:szCs w:val="24"/>
          <w:highlight w:val="none"/>
          <w:lang w:val="en-US" w:eastAsia="zh-CN" w:bidi="ar-SA"/>
        </w:rPr>
        <w:t>的天然基础层后方可回填。淋溶水暂存池要求防渗技术为等效黏土防渗层</w:t>
      </w:r>
      <w:r>
        <w:rPr>
          <w:rFonts w:hint="default" w:ascii="Times New Roman" w:hAnsi="Times New Roman" w:eastAsia="宋体" w:cs="Times New Roman"/>
          <w:color w:val="auto"/>
          <w:kern w:val="2"/>
          <w:sz w:val="24"/>
          <w:szCs w:val="24"/>
          <w:highlight w:val="none"/>
          <w:lang w:val="en-US" w:eastAsia="zh-CN" w:bidi="ar-SA"/>
        </w:rPr>
        <w:t>Mb</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6.0 m</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K</w:t>
      </w:r>
      <w:r>
        <w:rPr>
          <w:rFonts w:hint="eastAsia" w:ascii="Times New Roman" w:hAnsi="Times New Roman" w:eastAsia="宋体" w:cs="Times New Roman"/>
          <w:color w:val="auto"/>
          <w:kern w:val="2"/>
          <w:sz w:val="24"/>
          <w:szCs w:val="24"/>
          <w:highlight w:val="none"/>
          <w:lang w:val="en-US" w:eastAsia="zh-CN" w:bidi="ar-SA"/>
        </w:rPr>
        <w:t>≤</w:t>
      </w:r>
      <w:r>
        <w:rPr>
          <w:rFonts w:hint="default" w:ascii="Times New Roman" w:hAnsi="Times New Roman" w:eastAsia="宋体" w:cs="Times New Roman"/>
          <w:color w:val="auto"/>
          <w:kern w:val="2"/>
          <w:sz w:val="24"/>
          <w:szCs w:val="24"/>
          <w:highlight w:val="none"/>
          <w:lang w:val="en-US" w:eastAsia="zh-CN" w:bidi="ar-SA"/>
        </w:rPr>
        <w:t>1×10</w:t>
      </w:r>
      <w:r>
        <w:rPr>
          <w:rFonts w:hint="default" w:ascii="Times New Roman" w:hAnsi="Times New Roman" w:eastAsia="宋体" w:cs="Times New Roman"/>
          <w:color w:val="auto"/>
          <w:kern w:val="2"/>
          <w:sz w:val="24"/>
          <w:szCs w:val="24"/>
          <w:highlight w:val="none"/>
          <w:vertAlign w:val="superscript"/>
          <w:lang w:val="en-US" w:eastAsia="zh-CN" w:bidi="ar-SA"/>
        </w:rPr>
        <w:t>-7</w:t>
      </w:r>
      <w:r>
        <w:rPr>
          <w:rFonts w:hint="default" w:ascii="Times New Roman" w:hAnsi="Times New Roman" w:eastAsia="宋体" w:cs="Times New Roman"/>
          <w:color w:val="auto"/>
          <w:kern w:val="2"/>
          <w:sz w:val="24"/>
          <w:szCs w:val="24"/>
          <w:highlight w:val="none"/>
          <w:lang w:val="en-US" w:eastAsia="zh-CN" w:bidi="ar-SA"/>
        </w:rPr>
        <w:t xml:space="preserve"> cm/s</w:t>
      </w:r>
      <w:r>
        <w:rPr>
          <w:rFonts w:hint="eastAsia" w:ascii="Times New Roman" w:hAnsi="Times New Roman" w:eastAsia="宋体" w:cs="Times New Roman"/>
          <w:color w:val="auto"/>
          <w:kern w:val="2"/>
          <w:sz w:val="24"/>
          <w:szCs w:val="24"/>
          <w:highlight w:val="none"/>
          <w:lang w:val="en-US" w:eastAsia="zh-CN" w:bidi="ar-SA"/>
        </w:rPr>
        <w:t>，边坡防渗采用粘土填筑压实，防渗材料采用</w:t>
      </w:r>
      <w:r>
        <w:rPr>
          <w:rFonts w:hint="default" w:ascii="Times New Roman" w:hAnsi="Times New Roman" w:eastAsia="宋体" w:cs="Times New Roman"/>
          <w:color w:val="auto"/>
          <w:kern w:val="2"/>
          <w:sz w:val="24"/>
          <w:szCs w:val="24"/>
          <w:highlight w:val="none"/>
          <w:lang w:val="en-US" w:eastAsia="zh-CN" w:bidi="ar-SA"/>
        </w:rPr>
        <w:t>600g/m</w:t>
      </w:r>
      <w:r>
        <w:rPr>
          <w:rFonts w:hint="default" w:ascii="Times New Roman" w:hAnsi="Times New Roman" w:eastAsia="宋体" w:cs="Times New Roman"/>
          <w:color w:val="auto"/>
          <w:kern w:val="2"/>
          <w:sz w:val="24"/>
          <w:szCs w:val="24"/>
          <w:highlight w:val="none"/>
          <w:vertAlign w:val="superscript"/>
          <w:lang w:val="en-US" w:eastAsia="zh-CN" w:bidi="ar-SA"/>
        </w:rPr>
        <w:t>2</w:t>
      </w:r>
      <w:r>
        <w:rPr>
          <w:rFonts w:hint="eastAsia" w:ascii="Times New Roman" w:hAnsi="Times New Roman" w:eastAsia="宋体" w:cs="Times New Roman"/>
          <w:color w:val="auto"/>
          <w:kern w:val="2"/>
          <w:sz w:val="24"/>
          <w:szCs w:val="24"/>
          <w:highlight w:val="none"/>
          <w:lang w:val="en-US" w:eastAsia="zh-CN" w:bidi="ar-SA"/>
        </w:rPr>
        <w:t>长纤无纺土工布</w:t>
      </w:r>
      <w:r>
        <w:rPr>
          <w:rFonts w:hint="default" w:ascii="Times New Roman" w:hAnsi="Times New Roman" w:eastAsia="宋体" w:cs="Times New Roman"/>
          <w:color w:val="auto"/>
          <w:kern w:val="2"/>
          <w:sz w:val="24"/>
          <w:szCs w:val="24"/>
          <w:highlight w:val="none"/>
          <w:lang w:val="en-US" w:eastAsia="zh-CN" w:bidi="ar-SA"/>
        </w:rPr>
        <w:t>+1.5mm</w:t>
      </w:r>
      <w:r>
        <w:rPr>
          <w:rFonts w:hint="eastAsia" w:ascii="Times New Roman" w:hAnsi="Times New Roman" w:eastAsia="宋体" w:cs="Times New Roman"/>
          <w:color w:val="auto"/>
          <w:kern w:val="2"/>
          <w:sz w:val="24"/>
          <w:szCs w:val="24"/>
          <w:highlight w:val="none"/>
          <w:lang w:val="en-US" w:eastAsia="zh-CN" w:bidi="ar-SA"/>
        </w:rPr>
        <w:t>厚</w:t>
      </w:r>
      <w:r>
        <w:rPr>
          <w:rFonts w:hint="default" w:ascii="Times New Roman" w:hAnsi="Times New Roman" w:eastAsia="宋体" w:cs="Times New Roman"/>
          <w:color w:val="auto"/>
          <w:kern w:val="2"/>
          <w:sz w:val="24"/>
          <w:szCs w:val="24"/>
          <w:highlight w:val="none"/>
          <w:lang w:val="en-US" w:eastAsia="zh-CN" w:bidi="ar-SA"/>
        </w:rPr>
        <w:t>HDPE</w:t>
      </w:r>
      <w:r>
        <w:rPr>
          <w:rFonts w:hint="eastAsia" w:ascii="Times New Roman" w:hAnsi="Times New Roman" w:eastAsia="宋体" w:cs="Times New Roman"/>
          <w:color w:val="auto"/>
          <w:kern w:val="2"/>
          <w:sz w:val="24"/>
          <w:szCs w:val="24"/>
          <w:highlight w:val="none"/>
          <w:lang w:val="en-US" w:eastAsia="zh-CN" w:bidi="ar-SA"/>
        </w:rPr>
        <w:t>防渗膜作为人工合成衬层</w:t>
      </w:r>
      <w:r>
        <w:rPr>
          <w:rFonts w:hint="eastAsia" w:cs="Times New Roman"/>
          <w:color w:val="auto"/>
          <w:kern w:val="2"/>
          <w:sz w:val="24"/>
          <w:szCs w:val="24"/>
          <w:highlight w:val="none"/>
          <w:lang w:val="en-US" w:eastAsia="zh-CN" w:bidi="ar-SA"/>
        </w:rPr>
        <w:t>。</w:t>
      </w:r>
    </w:p>
    <w:p w14:paraId="3F3BA052">
      <w:pPr>
        <w:pStyle w:val="59"/>
        <w:ind w:firstLine="480"/>
        <w:rPr>
          <w:rFonts w:hint="eastAsia" w:ascii="宋体" w:hAnsi="宋体" w:eastAsia="宋体" w:cs="宋体"/>
          <w:color w:val="auto"/>
          <w:kern w:val="0"/>
          <w:sz w:val="24"/>
          <w:szCs w:val="24"/>
          <w:lang w:val="en-US" w:eastAsia="zh-CN" w:bidi="ar"/>
        </w:rPr>
      </w:pPr>
      <w:r>
        <w:rPr>
          <w:rFonts w:hint="eastAsia" w:ascii="宋体" w:hAnsi="宋体" w:eastAsia="宋体" w:cs="宋体"/>
          <w:color w:val="auto"/>
          <w:kern w:val="0"/>
          <w:sz w:val="24"/>
          <w:szCs w:val="24"/>
          <w:lang w:val="en-US" w:eastAsia="zh-CN" w:bidi="ar"/>
        </w:rPr>
        <w:t xml:space="preserve">项目所用改性压实粘土来源于外购灵寿县强东矿产品加工厂，该厂是集生 </w:t>
      </w:r>
    </w:p>
    <w:p w14:paraId="4A8C964E">
      <w:pPr>
        <w:pStyle w:val="59"/>
        <w:ind w:left="0" w:leftChars="0" w:firstLine="0" w:firstLineChars="0"/>
        <w:rPr>
          <w:rFonts w:hint="eastAsia" w:cs="Times New Roman"/>
          <w:color w:val="auto"/>
          <w:kern w:val="2"/>
          <w:sz w:val="24"/>
          <w:szCs w:val="24"/>
          <w:highlight w:val="none"/>
          <w:lang w:val="en-US" w:eastAsia="zh-CN" w:bidi="ar-SA"/>
        </w:rPr>
      </w:pPr>
      <w:r>
        <w:rPr>
          <w:rFonts w:hint="eastAsia" w:ascii="宋体" w:hAnsi="宋体" w:eastAsia="宋体" w:cs="宋体"/>
          <w:color w:val="auto"/>
          <w:kern w:val="0"/>
          <w:sz w:val="24"/>
          <w:szCs w:val="24"/>
          <w:lang w:val="en-US" w:eastAsia="zh-CN" w:bidi="ar"/>
        </w:rPr>
        <w:t>产、加工、销售于一体的综合型企业，是生产经营非金属矿产品的专业单位。 该厂拥有现代化的生产和化验检测设备，并聘有行业的专家实行科学管理，对 产品质量严格把关，绝对保证交货期和发货相关服务。灵寿县强东矿产品加工厂可以提供项目所需数量及技术要求的改性压实粘土，故项目所用改性压实粘土外购灵寿县强东矿产品加工厂可靠可行。</w:t>
      </w:r>
    </w:p>
    <w:p w14:paraId="2207258F">
      <w:pPr>
        <w:pStyle w:val="135"/>
        <w:rPr>
          <w:color w:val="auto"/>
          <w:highlight w:val="none"/>
        </w:rPr>
      </w:pPr>
      <w:r>
        <w:rPr>
          <w:rFonts w:hint="eastAsia"/>
          <w:color w:val="auto"/>
          <w:highlight w:val="none"/>
        </w:rPr>
        <w:t>3</w:t>
      </w:r>
      <w:r>
        <w:rPr>
          <w:color w:val="auto"/>
          <w:highlight w:val="none"/>
        </w:rPr>
        <w:t>.1.4.3</w:t>
      </w:r>
      <w:r>
        <w:rPr>
          <w:rFonts w:hint="eastAsia"/>
          <w:color w:val="auto"/>
          <w:highlight w:val="none"/>
        </w:rPr>
        <w:t>淋溶水收集导排系统</w:t>
      </w:r>
    </w:p>
    <w:p w14:paraId="78276AC1">
      <w:pPr>
        <w:pStyle w:val="59"/>
        <w:ind w:firstLine="480"/>
        <w:rPr>
          <w:color w:val="auto"/>
          <w:highlight w:val="none"/>
        </w:rPr>
      </w:pPr>
      <w:r>
        <w:rPr>
          <w:color w:val="auto"/>
          <w:highlight w:val="none"/>
        </w:rPr>
        <w:t>（1）</w:t>
      </w:r>
      <w:r>
        <w:rPr>
          <w:rFonts w:hint="eastAsia"/>
          <w:color w:val="auto"/>
          <w:highlight w:val="none"/>
        </w:rPr>
        <w:t>淋溶水</w:t>
      </w:r>
      <w:r>
        <w:rPr>
          <w:color w:val="auto"/>
          <w:highlight w:val="none"/>
        </w:rPr>
        <w:t>收集导排系统</w:t>
      </w:r>
    </w:p>
    <w:p w14:paraId="4D7CEEBE">
      <w:pPr>
        <w:pStyle w:val="59"/>
        <w:ind w:firstLine="480"/>
        <w:rPr>
          <w:color w:val="auto"/>
          <w:highlight w:val="none"/>
        </w:rPr>
      </w:pPr>
      <w:r>
        <w:rPr>
          <w:rFonts w:hint="eastAsia"/>
          <w:color w:val="auto"/>
          <w:highlight w:val="none"/>
        </w:rPr>
        <w:t>淋溶水</w:t>
      </w:r>
      <w:r>
        <w:rPr>
          <w:color w:val="auto"/>
          <w:highlight w:val="none"/>
        </w:rPr>
        <w:t>收集导排系统设置于整个场地，包括</w:t>
      </w:r>
      <w:r>
        <w:rPr>
          <w:rFonts w:hint="eastAsia"/>
          <w:color w:val="auto"/>
          <w:highlight w:val="none"/>
        </w:rPr>
        <w:t>导</w:t>
      </w:r>
      <w:r>
        <w:rPr>
          <w:color w:val="auto"/>
          <w:highlight w:val="none"/>
        </w:rPr>
        <w:t>排管</w:t>
      </w:r>
      <w:r>
        <w:rPr>
          <w:rFonts w:hint="eastAsia"/>
          <w:color w:val="auto"/>
          <w:highlight w:val="none"/>
        </w:rPr>
        <w:t>和</w:t>
      </w:r>
      <w:r>
        <w:rPr>
          <w:color w:val="auto"/>
          <w:highlight w:val="none"/>
        </w:rPr>
        <w:t>暂存池组成。</w:t>
      </w:r>
    </w:p>
    <w:p w14:paraId="25032116">
      <w:pPr>
        <w:pStyle w:val="59"/>
        <w:ind w:firstLine="480"/>
        <w:rPr>
          <w:color w:val="auto"/>
          <w:highlight w:val="none"/>
        </w:rPr>
      </w:pPr>
      <w:r>
        <w:rPr>
          <w:rFonts w:hint="eastAsia"/>
          <w:color w:val="auto"/>
          <w:highlight w:val="none"/>
          <w:lang w:eastAsia="zh-CN"/>
        </w:rPr>
        <w:t>东侧</w:t>
      </w:r>
      <w:r>
        <w:rPr>
          <w:rFonts w:hint="eastAsia"/>
          <w:color w:val="auto"/>
          <w:highlight w:val="none"/>
        </w:rPr>
        <w:t>回填</w:t>
      </w:r>
      <w:r>
        <w:rPr>
          <w:color w:val="auto"/>
          <w:highlight w:val="none"/>
        </w:rPr>
        <w:t>区库底</w:t>
      </w:r>
      <w:r>
        <w:rPr>
          <w:rFonts w:hint="eastAsia"/>
          <w:color w:val="auto"/>
          <w:highlight w:val="none"/>
          <w:lang w:eastAsia="zh-CN"/>
        </w:rPr>
        <w:t>西北</w:t>
      </w:r>
      <w:r>
        <w:rPr>
          <w:rFonts w:hint="eastAsia"/>
          <w:color w:val="auto"/>
          <w:highlight w:val="none"/>
        </w:rPr>
        <w:t>至</w:t>
      </w:r>
      <w:r>
        <w:rPr>
          <w:rFonts w:hint="eastAsia"/>
          <w:color w:val="auto"/>
          <w:highlight w:val="none"/>
          <w:lang w:eastAsia="zh-CN"/>
        </w:rPr>
        <w:t>东南</w:t>
      </w:r>
      <w:r>
        <w:rPr>
          <w:color w:val="auto"/>
          <w:highlight w:val="none"/>
        </w:rPr>
        <w:t>方向设置1条</w:t>
      </w:r>
      <w:r>
        <w:rPr>
          <w:rFonts w:hint="eastAsia"/>
          <w:color w:val="auto"/>
          <w:highlight w:val="none"/>
        </w:rPr>
        <w:t>淋溶水</w:t>
      </w:r>
      <w:r>
        <w:rPr>
          <w:color w:val="auto"/>
          <w:highlight w:val="none"/>
        </w:rPr>
        <w:t>导排沟，</w:t>
      </w:r>
      <w:r>
        <w:rPr>
          <w:rFonts w:hint="eastAsia"/>
          <w:color w:val="auto"/>
          <w:highlight w:val="none"/>
          <w:lang w:eastAsia="zh-CN"/>
        </w:rPr>
        <w:t>西侧回填区库底北至南方向</w:t>
      </w:r>
      <w:r>
        <w:rPr>
          <w:color w:val="auto"/>
          <w:highlight w:val="none"/>
        </w:rPr>
        <w:t>设置1条</w:t>
      </w:r>
      <w:r>
        <w:rPr>
          <w:rFonts w:hint="eastAsia"/>
          <w:color w:val="auto"/>
          <w:highlight w:val="none"/>
        </w:rPr>
        <w:t>淋溶水</w:t>
      </w:r>
      <w:r>
        <w:rPr>
          <w:color w:val="auto"/>
          <w:highlight w:val="none"/>
        </w:rPr>
        <w:t>导排</w:t>
      </w:r>
      <w:r>
        <w:rPr>
          <w:rFonts w:hint="eastAsia"/>
          <w:color w:val="auto"/>
          <w:highlight w:val="none"/>
        </w:rPr>
        <w:t>，断面采用梯形断面，在沿主导排沟纵线上，依照场地整平实际地形情况，敷设淋溶水导排支沟，支沟以45度斜角插入导排主沟，用泵将淋溶水提升至暂存池内</w:t>
      </w:r>
      <w:r>
        <w:rPr>
          <w:color w:val="auto"/>
          <w:highlight w:val="none"/>
        </w:rPr>
        <w:t>，</w:t>
      </w:r>
      <w:r>
        <w:rPr>
          <w:rFonts w:hint="eastAsia"/>
          <w:color w:val="auto"/>
          <w:highlight w:val="none"/>
        </w:rPr>
        <w:t>沉淀后回用于项目区洒水抑尘使用，不外排。</w:t>
      </w:r>
    </w:p>
    <w:p w14:paraId="6148300B">
      <w:pPr>
        <w:pStyle w:val="59"/>
        <w:ind w:firstLine="480"/>
        <w:rPr>
          <w:color w:val="auto"/>
          <w:highlight w:val="none"/>
        </w:rPr>
      </w:pPr>
      <w:r>
        <w:rPr>
          <w:color w:val="auto"/>
          <w:highlight w:val="none"/>
        </w:rPr>
        <w:t>（</w:t>
      </w:r>
      <w:r>
        <w:rPr>
          <w:rFonts w:hint="eastAsia"/>
          <w:color w:val="auto"/>
          <w:highlight w:val="none"/>
        </w:rPr>
        <w:t>2</w:t>
      </w:r>
      <w:r>
        <w:rPr>
          <w:color w:val="auto"/>
          <w:highlight w:val="none"/>
        </w:rPr>
        <w:t>）</w:t>
      </w:r>
      <w:r>
        <w:rPr>
          <w:rFonts w:hint="eastAsia"/>
          <w:color w:val="auto"/>
          <w:highlight w:val="none"/>
        </w:rPr>
        <w:t>淋溶水</w:t>
      </w:r>
      <w:r>
        <w:rPr>
          <w:color w:val="auto"/>
          <w:highlight w:val="none"/>
        </w:rPr>
        <w:t>暂存池</w:t>
      </w:r>
    </w:p>
    <w:p w14:paraId="2A5F50E7">
      <w:pPr>
        <w:pStyle w:val="59"/>
        <w:ind w:firstLine="480"/>
        <w:rPr>
          <w:color w:val="auto"/>
          <w:highlight w:val="none"/>
        </w:rPr>
      </w:pPr>
      <w:r>
        <w:rPr>
          <w:rFonts w:hint="eastAsia"/>
          <w:color w:val="auto"/>
          <w:highlight w:val="none"/>
          <w:lang w:eastAsia="zh-CN"/>
        </w:rPr>
        <w:t>东侧回填区在东南侧</w:t>
      </w:r>
      <w:r>
        <w:rPr>
          <w:rFonts w:hint="eastAsia"/>
          <w:color w:val="auto"/>
          <w:highlight w:val="none"/>
        </w:rPr>
        <w:t>低洼处建设1座容积为</w:t>
      </w:r>
      <w:r>
        <w:rPr>
          <w:rFonts w:hint="eastAsia"/>
          <w:color w:val="auto"/>
          <w:highlight w:val="none"/>
          <w:lang w:val="en-US" w:eastAsia="zh-CN"/>
        </w:rPr>
        <w:t>80</w:t>
      </w:r>
      <w:r>
        <w:rPr>
          <w:rFonts w:hint="eastAsia"/>
          <w:color w:val="auto"/>
          <w:highlight w:val="none"/>
        </w:rPr>
        <w:t>m</w:t>
      </w:r>
      <w:r>
        <w:rPr>
          <w:rFonts w:hint="eastAsia"/>
          <w:color w:val="auto"/>
          <w:highlight w:val="none"/>
          <w:vertAlign w:val="superscript"/>
        </w:rPr>
        <w:t>3</w:t>
      </w:r>
      <w:r>
        <w:rPr>
          <w:rFonts w:hint="eastAsia"/>
          <w:color w:val="auto"/>
          <w:highlight w:val="none"/>
        </w:rPr>
        <w:t>的淋溶水暂存池</w:t>
      </w:r>
      <w:r>
        <w:rPr>
          <w:rFonts w:hint="eastAsia"/>
          <w:color w:val="auto"/>
          <w:highlight w:val="none"/>
          <w:lang w:eastAsia="zh-CN"/>
        </w:rPr>
        <w:t>，西侧回填区在南侧低洼处建设</w:t>
      </w:r>
      <w:r>
        <w:rPr>
          <w:rFonts w:hint="eastAsia"/>
          <w:color w:val="auto"/>
          <w:highlight w:val="none"/>
          <w:lang w:val="en-US" w:eastAsia="zh-CN"/>
        </w:rPr>
        <w:t>1座容积为150m</w:t>
      </w:r>
      <w:r>
        <w:rPr>
          <w:rFonts w:hint="eastAsia"/>
          <w:color w:val="auto"/>
          <w:highlight w:val="none"/>
          <w:vertAlign w:val="superscript"/>
          <w:lang w:val="en-US" w:eastAsia="zh-CN"/>
        </w:rPr>
        <w:t>3</w:t>
      </w:r>
      <w:r>
        <w:rPr>
          <w:rFonts w:hint="eastAsia"/>
          <w:color w:val="auto"/>
          <w:highlight w:val="none"/>
          <w:lang w:val="en-US" w:eastAsia="zh-CN"/>
        </w:rPr>
        <w:t>的淋溶水暂存池</w:t>
      </w:r>
      <w:r>
        <w:rPr>
          <w:rFonts w:hint="eastAsia"/>
          <w:color w:val="auto"/>
          <w:highlight w:val="none"/>
        </w:rPr>
        <w:t>，</w:t>
      </w:r>
      <w:r>
        <w:rPr>
          <w:color w:val="auto"/>
          <w:highlight w:val="none"/>
        </w:rPr>
        <w:t>采取防渗措施，</w:t>
      </w:r>
      <w:r>
        <w:rPr>
          <w:rFonts w:hint="eastAsia"/>
          <w:color w:val="auto"/>
          <w:highlight w:val="none"/>
        </w:rPr>
        <w:t>保证</w:t>
      </w:r>
      <w:r>
        <w:rPr>
          <w:color w:val="auto"/>
          <w:highlight w:val="none"/>
        </w:rPr>
        <w:t>渗透系数</w:t>
      </w:r>
      <w:r>
        <w:rPr>
          <w:rFonts w:hint="eastAsia"/>
          <w:color w:val="auto"/>
          <w:highlight w:val="none"/>
        </w:rPr>
        <w:t>应</w:t>
      </w:r>
      <w:r>
        <w:rPr>
          <w:color w:val="auto"/>
          <w:highlight w:val="none"/>
        </w:rPr>
        <w:t>小于</w:t>
      </w:r>
      <w:r>
        <w:rPr>
          <w:rFonts w:hint="eastAsia"/>
          <w:color w:val="auto"/>
          <w:highlight w:val="none"/>
        </w:rPr>
        <w:t>1</w:t>
      </w:r>
      <w:r>
        <w:rPr>
          <w:color w:val="auto"/>
          <w:highlight w:val="none"/>
        </w:rPr>
        <w:t>×10</w:t>
      </w:r>
      <w:r>
        <w:rPr>
          <w:color w:val="auto"/>
          <w:highlight w:val="none"/>
          <w:vertAlign w:val="superscript"/>
        </w:rPr>
        <w:t>-7</w:t>
      </w:r>
      <w:r>
        <w:rPr>
          <w:color w:val="auto"/>
          <w:highlight w:val="none"/>
        </w:rPr>
        <w:t>cm/s。</w:t>
      </w:r>
    </w:p>
    <w:p w14:paraId="6DB42B74">
      <w:pPr>
        <w:pStyle w:val="135"/>
        <w:rPr>
          <w:color w:val="auto"/>
        </w:rPr>
      </w:pPr>
      <w:r>
        <w:rPr>
          <w:rFonts w:hint="eastAsia"/>
          <w:color w:val="auto"/>
        </w:rPr>
        <w:t>3</w:t>
      </w:r>
      <w:r>
        <w:rPr>
          <w:color w:val="auto"/>
        </w:rPr>
        <w:t>.1.4.4</w:t>
      </w:r>
      <w:r>
        <w:rPr>
          <w:rFonts w:hint="eastAsia"/>
          <w:color w:val="auto"/>
        </w:rPr>
        <w:t>回填工程</w:t>
      </w:r>
    </w:p>
    <w:p w14:paraId="0274E020">
      <w:pPr>
        <w:pStyle w:val="59"/>
        <w:ind w:firstLine="480"/>
        <w:rPr>
          <w:color w:val="auto"/>
        </w:rPr>
      </w:pPr>
      <w:r>
        <w:rPr>
          <w:rFonts w:hint="eastAsia"/>
          <w:color w:val="auto"/>
        </w:rPr>
        <w:t>1、回填区</w:t>
      </w:r>
    </w:p>
    <w:p w14:paraId="2103A6D2">
      <w:pPr>
        <w:pStyle w:val="59"/>
        <w:ind w:firstLine="480"/>
        <w:rPr>
          <w:rFonts w:hint="eastAsia"/>
          <w:color w:val="auto"/>
          <w:highlight w:val="none"/>
        </w:rPr>
      </w:pPr>
      <w:r>
        <w:rPr>
          <w:rFonts w:hint="eastAsia"/>
          <w:color w:val="auto"/>
          <w:highlight w:val="none"/>
        </w:rPr>
        <w:t>回填区</w:t>
      </w:r>
      <w:r>
        <w:rPr>
          <w:color w:val="auto"/>
          <w:highlight w:val="none"/>
        </w:rPr>
        <w:t>面积为</w:t>
      </w:r>
      <w:r>
        <w:rPr>
          <w:rFonts w:hint="eastAsia"/>
          <w:color w:val="auto"/>
          <w:highlight w:val="none"/>
          <w:lang w:val="en-US" w:eastAsia="zh-CN"/>
        </w:rPr>
        <w:t>52320</w:t>
      </w:r>
      <w:r>
        <w:rPr>
          <w:color w:val="auto"/>
          <w:highlight w:val="none"/>
        </w:rPr>
        <w:t>m</w:t>
      </w:r>
      <w:r>
        <w:rPr>
          <w:color w:val="auto"/>
          <w:highlight w:val="none"/>
          <w:vertAlign w:val="superscript"/>
        </w:rPr>
        <w:t>2</w:t>
      </w:r>
      <w:r>
        <w:rPr>
          <w:color w:val="auto"/>
          <w:highlight w:val="none"/>
        </w:rPr>
        <w:t>，</w:t>
      </w:r>
      <w:r>
        <w:rPr>
          <w:rFonts w:hint="eastAsia"/>
          <w:color w:val="auto"/>
          <w:highlight w:val="none"/>
          <w:lang w:eastAsia="zh-CN"/>
        </w:rPr>
        <w:t>灰渣</w:t>
      </w:r>
      <w:r>
        <w:rPr>
          <w:rFonts w:hint="eastAsia"/>
          <w:color w:val="auto"/>
          <w:highlight w:val="none"/>
        </w:rPr>
        <w:t>回填</w:t>
      </w:r>
      <w:r>
        <w:rPr>
          <w:color w:val="auto"/>
          <w:highlight w:val="none"/>
        </w:rPr>
        <w:t>总</w:t>
      </w:r>
      <w:r>
        <w:rPr>
          <w:rFonts w:hint="eastAsia"/>
          <w:color w:val="auto"/>
          <w:highlight w:val="none"/>
        </w:rPr>
        <w:t>量</w:t>
      </w:r>
      <w:r>
        <w:rPr>
          <w:color w:val="auto"/>
          <w:highlight w:val="none"/>
        </w:rPr>
        <w:t>为</w:t>
      </w:r>
      <w:r>
        <w:rPr>
          <w:rFonts w:hint="eastAsia"/>
          <w:color w:val="auto"/>
          <w:highlight w:val="none"/>
          <w:lang w:val="en-US" w:eastAsia="zh-CN"/>
        </w:rPr>
        <w:t>32.76万</w:t>
      </w:r>
      <w:r>
        <w:rPr>
          <w:color w:val="auto"/>
          <w:highlight w:val="none"/>
        </w:rPr>
        <w:t>m</w:t>
      </w:r>
      <w:r>
        <w:rPr>
          <w:color w:val="auto"/>
          <w:highlight w:val="none"/>
          <w:vertAlign w:val="superscript"/>
        </w:rPr>
        <w:t>3</w:t>
      </w:r>
      <w:r>
        <w:rPr>
          <w:color w:val="auto"/>
          <w:highlight w:val="none"/>
        </w:rPr>
        <w:t>，处理规模为</w:t>
      </w:r>
      <w:r>
        <w:rPr>
          <w:rFonts w:hint="eastAsia"/>
          <w:color w:val="auto"/>
          <w:highlight w:val="none"/>
          <w:lang w:val="en-US" w:eastAsia="zh-CN"/>
        </w:rPr>
        <w:t>300m</w:t>
      </w:r>
      <w:r>
        <w:rPr>
          <w:rFonts w:hint="eastAsia"/>
          <w:color w:val="auto"/>
          <w:highlight w:val="none"/>
          <w:vertAlign w:val="superscript"/>
          <w:lang w:val="en-US" w:eastAsia="zh-CN"/>
        </w:rPr>
        <w:t>3</w:t>
      </w:r>
      <w:r>
        <w:rPr>
          <w:color w:val="auto"/>
          <w:highlight w:val="none"/>
        </w:rPr>
        <w:t>/d</w:t>
      </w:r>
      <w:r>
        <w:rPr>
          <w:rFonts w:hint="eastAsia"/>
          <w:color w:val="auto"/>
          <w:highlight w:val="none"/>
        </w:rPr>
        <w:t>。</w:t>
      </w:r>
    </w:p>
    <w:p w14:paraId="664FDBC6">
      <w:pPr>
        <w:pStyle w:val="59"/>
        <w:ind w:firstLine="480"/>
        <w:rPr>
          <w:color w:val="auto"/>
        </w:rPr>
      </w:pPr>
      <w:r>
        <w:rPr>
          <w:rFonts w:hint="eastAsia"/>
          <w:color w:val="auto"/>
        </w:rPr>
        <w:t>回填作业过程为</w:t>
      </w:r>
      <w:r>
        <w:rPr>
          <w:rFonts w:hint="eastAsia"/>
          <w:color w:val="auto"/>
          <w:lang w:eastAsia="zh-CN"/>
        </w:rPr>
        <w:t>、</w:t>
      </w:r>
      <w:r>
        <w:rPr>
          <w:rFonts w:hint="eastAsia"/>
          <w:color w:val="auto"/>
        </w:rPr>
        <w:t>用推土机进行自上而下分层铺填推平后，由压实机反复压实，然后由洒水车洒水降尘；对废弃采坑进行分区块回填，将回填作业区划分几个区域，然后按顺序逐区进行单元回填作业，单元数量和大小视具体情况而定，标准单元由每天回填的灰量决定，每单元大小一般以一日一层作业量计算，单元作业大小为</w:t>
      </w:r>
      <w:r>
        <w:rPr>
          <w:rFonts w:hint="eastAsia"/>
          <w:color w:val="auto"/>
          <w:lang w:val="en-US" w:eastAsia="zh-CN"/>
        </w:rPr>
        <w:t>4</w:t>
      </w:r>
      <w:r>
        <w:rPr>
          <w:rFonts w:hint="eastAsia"/>
          <w:color w:val="auto"/>
        </w:rPr>
        <w:t>00m</w:t>
      </w:r>
      <w:r>
        <w:rPr>
          <w:rFonts w:hint="eastAsia"/>
          <w:color w:val="auto"/>
          <w:vertAlign w:val="superscript"/>
        </w:rPr>
        <w:t>2</w:t>
      </w:r>
      <w:r>
        <w:rPr>
          <w:rFonts w:hint="eastAsia"/>
          <w:color w:val="auto"/>
        </w:rPr>
        <w:t>。</w:t>
      </w:r>
    </w:p>
    <w:p w14:paraId="1D80B3A2">
      <w:pPr>
        <w:pStyle w:val="59"/>
        <w:ind w:firstLine="480"/>
        <w:rPr>
          <w:color w:val="auto"/>
          <w:highlight w:val="none"/>
        </w:rPr>
      </w:pPr>
      <w:r>
        <w:rPr>
          <w:rFonts w:hint="eastAsia"/>
          <w:color w:val="auto"/>
          <w:highlight w:val="none"/>
          <w:lang w:eastAsia="zh-CN"/>
        </w:rPr>
        <w:t>厂区</w:t>
      </w:r>
      <w:r>
        <w:rPr>
          <w:rFonts w:hint="eastAsia"/>
          <w:color w:val="auto"/>
          <w:highlight w:val="none"/>
        </w:rPr>
        <w:t>范围拐点坐标如下表所示。</w:t>
      </w:r>
    </w:p>
    <w:p w14:paraId="578C5CBC">
      <w:pPr>
        <w:pStyle w:val="76"/>
        <w:rPr>
          <w:color w:val="auto"/>
          <w:highlight w:val="none"/>
        </w:rPr>
      </w:pPr>
      <w:r>
        <w:rPr>
          <w:rFonts w:hint="eastAsia"/>
          <w:color w:val="auto"/>
          <w:highlight w:val="none"/>
        </w:rPr>
        <w:t>表3</w:t>
      </w:r>
      <w:r>
        <w:rPr>
          <w:color w:val="auto"/>
          <w:highlight w:val="none"/>
        </w:rPr>
        <w:t>-1-2</w:t>
      </w:r>
      <w:r>
        <w:rPr>
          <w:rFonts w:hint="eastAsia"/>
          <w:color w:val="auto"/>
          <w:highlight w:val="none"/>
          <w:lang w:eastAsia="zh-CN"/>
        </w:rPr>
        <w:t>厂区</w:t>
      </w:r>
      <w:r>
        <w:rPr>
          <w:rFonts w:hint="eastAsia"/>
          <w:color w:val="auto"/>
          <w:highlight w:val="none"/>
        </w:rPr>
        <w:t>拐点坐标</w:t>
      </w:r>
    </w:p>
    <w:tbl>
      <w:tblPr>
        <w:tblStyle w:val="46"/>
        <w:tblW w:w="493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3742"/>
        <w:gridCol w:w="3742"/>
      </w:tblGrid>
      <w:tr w14:paraId="344B7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27" w:hRule="atLeast"/>
          <w:tblHeader/>
        </w:trPr>
        <w:tc>
          <w:tcPr>
            <w:tcW w:w="711" w:type="dxa"/>
            <w:tcBorders>
              <w:tl2br w:val="nil"/>
              <w:tr2bl w:val="nil"/>
            </w:tcBorders>
            <w:vAlign w:val="center"/>
          </w:tcPr>
          <w:p w14:paraId="03F09D03">
            <w:pPr>
              <w:jc w:val="center"/>
              <w:rPr>
                <w:rStyle w:val="87"/>
                <w:color w:val="auto"/>
                <w:highlight w:val="none"/>
              </w:rPr>
            </w:pPr>
            <w:r>
              <w:rPr>
                <w:rStyle w:val="87"/>
                <w:rFonts w:hint="eastAsia"/>
                <w:color w:val="auto"/>
                <w:highlight w:val="none"/>
              </w:rPr>
              <w:t>序号</w:t>
            </w:r>
          </w:p>
        </w:tc>
        <w:tc>
          <w:tcPr>
            <w:tcW w:w="3742" w:type="dxa"/>
            <w:tcBorders>
              <w:tl2br w:val="nil"/>
              <w:tr2bl w:val="nil"/>
            </w:tcBorders>
            <w:vAlign w:val="center"/>
          </w:tcPr>
          <w:p w14:paraId="00179FA1">
            <w:pPr>
              <w:jc w:val="center"/>
              <w:rPr>
                <w:rStyle w:val="87"/>
                <w:rFonts w:hint="default" w:eastAsia="宋体"/>
                <w:color w:val="auto"/>
                <w:highlight w:val="none"/>
                <w:lang w:val="en-US" w:eastAsia="zh-CN"/>
              </w:rPr>
            </w:pPr>
            <w:r>
              <w:rPr>
                <w:rStyle w:val="87"/>
                <w:rFonts w:hint="eastAsia"/>
                <w:color w:val="auto"/>
                <w:highlight w:val="none"/>
                <w:lang w:val="en-US" w:eastAsia="zh-CN"/>
              </w:rPr>
              <w:t>经度</w:t>
            </w:r>
          </w:p>
        </w:tc>
        <w:tc>
          <w:tcPr>
            <w:tcW w:w="3742" w:type="dxa"/>
            <w:tcBorders>
              <w:tl2br w:val="nil"/>
              <w:tr2bl w:val="nil"/>
            </w:tcBorders>
            <w:vAlign w:val="center"/>
          </w:tcPr>
          <w:p w14:paraId="3E14B599">
            <w:pPr>
              <w:jc w:val="center"/>
              <w:rPr>
                <w:rStyle w:val="87"/>
                <w:rFonts w:hint="default" w:eastAsia="宋体"/>
                <w:color w:val="auto"/>
                <w:highlight w:val="none"/>
                <w:lang w:val="en-US" w:eastAsia="zh-CN"/>
              </w:rPr>
            </w:pPr>
            <w:r>
              <w:rPr>
                <w:rStyle w:val="87"/>
                <w:rFonts w:hint="eastAsia"/>
                <w:color w:val="auto"/>
                <w:highlight w:val="none"/>
                <w:lang w:val="en-US" w:eastAsia="zh-CN"/>
              </w:rPr>
              <w:t>纬度</w:t>
            </w:r>
          </w:p>
        </w:tc>
      </w:tr>
      <w:tr w14:paraId="3E2EB6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5EF599B">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1</w:t>
            </w:r>
          </w:p>
        </w:tc>
        <w:tc>
          <w:tcPr>
            <w:tcW w:w="3742" w:type="dxa"/>
            <w:tcBorders>
              <w:tl2br w:val="nil"/>
              <w:tr2bl w:val="nil"/>
            </w:tcBorders>
            <w:vAlign w:val="bottom"/>
          </w:tcPr>
          <w:p w14:paraId="7B03EBE5">
            <w:pPr>
              <w:jc w:val="center"/>
              <w:rPr>
                <w:rStyle w:val="87"/>
                <w:rFonts w:hint="eastAsia"/>
                <w:color w:val="auto"/>
                <w:highlight w:val="none"/>
              </w:rPr>
            </w:pPr>
            <w:r>
              <w:rPr>
                <w:rStyle w:val="87"/>
                <w:rFonts w:hint="eastAsia"/>
                <w:color w:val="auto"/>
                <w:highlight w:val="none"/>
                <w:lang w:val="en-US" w:eastAsia="zh-CN"/>
              </w:rPr>
              <w:t>131.268024</w:t>
            </w:r>
          </w:p>
        </w:tc>
        <w:tc>
          <w:tcPr>
            <w:tcW w:w="3742" w:type="dxa"/>
            <w:tcBorders>
              <w:tl2br w:val="nil"/>
              <w:tr2bl w:val="nil"/>
            </w:tcBorders>
            <w:vAlign w:val="bottom"/>
          </w:tcPr>
          <w:p w14:paraId="5F2FB70E">
            <w:pPr>
              <w:jc w:val="center"/>
              <w:rPr>
                <w:rStyle w:val="87"/>
                <w:rFonts w:hint="eastAsia"/>
                <w:color w:val="auto"/>
                <w:highlight w:val="none"/>
              </w:rPr>
            </w:pPr>
            <w:r>
              <w:rPr>
                <w:rStyle w:val="87"/>
                <w:rFonts w:hint="eastAsia"/>
                <w:color w:val="auto"/>
                <w:highlight w:val="none"/>
                <w:lang w:val="en-US" w:eastAsia="zh-CN"/>
              </w:rPr>
              <w:t>45.34134798</w:t>
            </w:r>
          </w:p>
        </w:tc>
      </w:tr>
      <w:tr w14:paraId="5259B0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65E204A4">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2</w:t>
            </w:r>
          </w:p>
        </w:tc>
        <w:tc>
          <w:tcPr>
            <w:tcW w:w="3742" w:type="dxa"/>
            <w:tcBorders>
              <w:tl2br w:val="nil"/>
              <w:tr2bl w:val="nil"/>
            </w:tcBorders>
            <w:vAlign w:val="bottom"/>
          </w:tcPr>
          <w:p w14:paraId="294CDE95">
            <w:pPr>
              <w:jc w:val="center"/>
              <w:rPr>
                <w:rStyle w:val="87"/>
                <w:rFonts w:hint="eastAsia"/>
                <w:color w:val="auto"/>
                <w:highlight w:val="none"/>
              </w:rPr>
            </w:pPr>
            <w:r>
              <w:rPr>
                <w:rStyle w:val="87"/>
                <w:rFonts w:hint="eastAsia"/>
                <w:color w:val="auto"/>
                <w:highlight w:val="none"/>
                <w:lang w:val="en-US" w:eastAsia="zh-CN"/>
              </w:rPr>
              <w:t>131.2676901</w:t>
            </w:r>
          </w:p>
        </w:tc>
        <w:tc>
          <w:tcPr>
            <w:tcW w:w="3742" w:type="dxa"/>
            <w:tcBorders>
              <w:tl2br w:val="nil"/>
              <w:tr2bl w:val="nil"/>
            </w:tcBorders>
            <w:vAlign w:val="bottom"/>
          </w:tcPr>
          <w:p w14:paraId="3C3192ED">
            <w:pPr>
              <w:jc w:val="center"/>
              <w:rPr>
                <w:rStyle w:val="87"/>
                <w:rFonts w:hint="eastAsia"/>
                <w:color w:val="auto"/>
                <w:highlight w:val="none"/>
              </w:rPr>
            </w:pPr>
            <w:r>
              <w:rPr>
                <w:rStyle w:val="87"/>
                <w:rFonts w:hint="eastAsia"/>
                <w:color w:val="auto"/>
                <w:highlight w:val="none"/>
                <w:lang w:val="en-US" w:eastAsia="zh-CN"/>
              </w:rPr>
              <w:t>45.34134395</w:t>
            </w:r>
          </w:p>
        </w:tc>
      </w:tr>
      <w:tr w14:paraId="6AE049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AD3EE4A">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3</w:t>
            </w:r>
          </w:p>
        </w:tc>
        <w:tc>
          <w:tcPr>
            <w:tcW w:w="3742" w:type="dxa"/>
            <w:tcBorders>
              <w:tl2br w:val="nil"/>
              <w:tr2bl w:val="nil"/>
            </w:tcBorders>
            <w:vAlign w:val="bottom"/>
          </w:tcPr>
          <w:p w14:paraId="202E3F16">
            <w:pPr>
              <w:jc w:val="center"/>
              <w:rPr>
                <w:rStyle w:val="87"/>
                <w:rFonts w:hint="eastAsia"/>
                <w:color w:val="auto"/>
                <w:highlight w:val="none"/>
              </w:rPr>
            </w:pPr>
            <w:r>
              <w:rPr>
                <w:rStyle w:val="87"/>
                <w:rFonts w:hint="eastAsia"/>
                <w:color w:val="auto"/>
                <w:highlight w:val="none"/>
                <w:lang w:val="en-US" w:eastAsia="zh-CN"/>
              </w:rPr>
              <w:t>131.2676217</w:t>
            </w:r>
          </w:p>
        </w:tc>
        <w:tc>
          <w:tcPr>
            <w:tcW w:w="3742" w:type="dxa"/>
            <w:tcBorders>
              <w:tl2br w:val="nil"/>
              <w:tr2bl w:val="nil"/>
            </w:tcBorders>
            <w:vAlign w:val="bottom"/>
          </w:tcPr>
          <w:p w14:paraId="7C94FCB7">
            <w:pPr>
              <w:jc w:val="center"/>
              <w:rPr>
                <w:rStyle w:val="87"/>
                <w:rFonts w:hint="eastAsia"/>
                <w:color w:val="auto"/>
                <w:highlight w:val="none"/>
              </w:rPr>
            </w:pPr>
            <w:r>
              <w:rPr>
                <w:rStyle w:val="87"/>
                <w:rFonts w:hint="eastAsia"/>
                <w:color w:val="auto"/>
                <w:highlight w:val="none"/>
                <w:lang w:val="en-US" w:eastAsia="zh-CN"/>
              </w:rPr>
              <w:t>45.34134328</w:t>
            </w:r>
          </w:p>
        </w:tc>
      </w:tr>
      <w:tr w14:paraId="41D802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29B1F29">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4</w:t>
            </w:r>
          </w:p>
        </w:tc>
        <w:tc>
          <w:tcPr>
            <w:tcW w:w="3742" w:type="dxa"/>
            <w:tcBorders>
              <w:tl2br w:val="nil"/>
              <w:tr2bl w:val="nil"/>
            </w:tcBorders>
            <w:vAlign w:val="bottom"/>
          </w:tcPr>
          <w:p w14:paraId="4EAB482D">
            <w:pPr>
              <w:jc w:val="center"/>
              <w:rPr>
                <w:rStyle w:val="87"/>
                <w:rFonts w:hint="eastAsia"/>
                <w:color w:val="auto"/>
                <w:highlight w:val="none"/>
              </w:rPr>
            </w:pPr>
            <w:r>
              <w:rPr>
                <w:rStyle w:val="87"/>
                <w:rFonts w:hint="eastAsia"/>
                <w:color w:val="auto"/>
                <w:highlight w:val="none"/>
                <w:lang w:val="en-US" w:eastAsia="zh-CN"/>
              </w:rPr>
              <w:t>131.2675915</w:t>
            </w:r>
          </w:p>
        </w:tc>
        <w:tc>
          <w:tcPr>
            <w:tcW w:w="3742" w:type="dxa"/>
            <w:tcBorders>
              <w:tl2br w:val="nil"/>
              <w:tr2bl w:val="nil"/>
            </w:tcBorders>
            <w:vAlign w:val="bottom"/>
          </w:tcPr>
          <w:p w14:paraId="105289A3">
            <w:pPr>
              <w:jc w:val="center"/>
              <w:rPr>
                <w:rStyle w:val="87"/>
                <w:rFonts w:hint="eastAsia"/>
                <w:color w:val="auto"/>
                <w:highlight w:val="none"/>
              </w:rPr>
            </w:pPr>
            <w:r>
              <w:rPr>
                <w:rStyle w:val="87"/>
                <w:rFonts w:hint="eastAsia"/>
                <w:color w:val="auto"/>
                <w:highlight w:val="none"/>
                <w:lang w:val="en-US" w:eastAsia="zh-CN"/>
              </w:rPr>
              <w:t>45.3413453</w:t>
            </w:r>
          </w:p>
        </w:tc>
      </w:tr>
      <w:tr w14:paraId="61284D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92DB4DD">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5</w:t>
            </w:r>
          </w:p>
        </w:tc>
        <w:tc>
          <w:tcPr>
            <w:tcW w:w="3742" w:type="dxa"/>
            <w:tcBorders>
              <w:tl2br w:val="nil"/>
              <w:tr2bl w:val="nil"/>
            </w:tcBorders>
            <w:vAlign w:val="bottom"/>
          </w:tcPr>
          <w:p w14:paraId="10678BA6">
            <w:pPr>
              <w:jc w:val="center"/>
              <w:rPr>
                <w:rStyle w:val="87"/>
                <w:rFonts w:hint="eastAsia"/>
                <w:color w:val="auto"/>
                <w:highlight w:val="none"/>
              </w:rPr>
            </w:pPr>
            <w:r>
              <w:rPr>
                <w:rStyle w:val="87"/>
                <w:rFonts w:hint="eastAsia"/>
                <w:color w:val="auto"/>
                <w:highlight w:val="none"/>
                <w:lang w:val="en-US" w:eastAsia="zh-CN"/>
              </w:rPr>
              <w:t>131.2672395</w:t>
            </w:r>
          </w:p>
        </w:tc>
        <w:tc>
          <w:tcPr>
            <w:tcW w:w="3742" w:type="dxa"/>
            <w:tcBorders>
              <w:tl2br w:val="nil"/>
              <w:tr2bl w:val="nil"/>
            </w:tcBorders>
            <w:vAlign w:val="bottom"/>
          </w:tcPr>
          <w:p w14:paraId="6BBAFCCD">
            <w:pPr>
              <w:jc w:val="center"/>
              <w:rPr>
                <w:rStyle w:val="87"/>
                <w:rFonts w:hint="eastAsia"/>
                <w:color w:val="auto"/>
                <w:highlight w:val="none"/>
              </w:rPr>
            </w:pPr>
            <w:r>
              <w:rPr>
                <w:rStyle w:val="87"/>
                <w:rFonts w:hint="eastAsia"/>
                <w:color w:val="auto"/>
                <w:highlight w:val="none"/>
                <w:lang w:val="en-US" w:eastAsia="zh-CN"/>
              </w:rPr>
              <w:t>45.3412997</w:t>
            </w:r>
          </w:p>
        </w:tc>
      </w:tr>
      <w:tr w14:paraId="156EF0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BB57F1C">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6</w:t>
            </w:r>
          </w:p>
        </w:tc>
        <w:tc>
          <w:tcPr>
            <w:tcW w:w="3742" w:type="dxa"/>
            <w:tcBorders>
              <w:tl2br w:val="nil"/>
              <w:tr2bl w:val="nil"/>
            </w:tcBorders>
            <w:vAlign w:val="bottom"/>
          </w:tcPr>
          <w:p w14:paraId="62F8B4A1">
            <w:pPr>
              <w:jc w:val="center"/>
              <w:rPr>
                <w:rStyle w:val="87"/>
                <w:rFonts w:hint="eastAsia"/>
                <w:color w:val="auto"/>
                <w:highlight w:val="none"/>
              </w:rPr>
            </w:pPr>
            <w:r>
              <w:rPr>
                <w:rStyle w:val="87"/>
                <w:rFonts w:hint="eastAsia"/>
                <w:color w:val="auto"/>
                <w:highlight w:val="none"/>
                <w:lang w:val="en-US" w:eastAsia="zh-CN"/>
              </w:rPr>
              <w:t>131.2671912</w:t>
            </w:r>
          </w:p>
        </w:tc>
        <w:tc>
          <w:tcPr>
            <w:tcW w:w="3742" w:type="dxa"/>
            <w:tcBorders>
              <w:tl2br w:val="nil"/>
              <w:tr2bl w:val="nil"/>
            </w:tcBorders>
            <w:vAlign w:val="bottom"/>
          </w:tcPr>
          <w:p w14:paraId="69E578EE">
            <w:pPr>
              <w:jc w:val="center"/>
              <w:rPr>
                <w:rStyle w:val="87"/>
                <w:rFonts w:hint="eastAsia"/>
                <w:color w:val="auto"/>
                <w:highlight w:val="none"/>
              </w:rPr>
            </w:pPr>
            <w:r>
              <w:rPr>
                <w:rStyle w:val="87"/>
                <w:rFonts w:hint="eastAsia"/>
                <w:color w:val="auto"/>
                <w:highlight w:val="none"/>
                <w:lang w:val="en-US" w:eastAsia="zh-CN"/>
              </w:rPr>
              <w:t>45.34140095</w:t>
            </w:r>
          </w:p>
        </w:tc>
      </w:tr>
      <w:tr w14:paraId="25ECCD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F42C9D3">
            <w:pPr>
              <w:numPr>
                <w:ilvl w:val="0"/>
                <w:numId w:val="0"/>
              </w:numPr>
              <w:ind w:left="425" w:leftChars="0" w:hanging="425" w:firstLineChars="0"/>
              <w:jc w:val="center"/>
              <w:rPr>
                <w:rStyle w:val="87"/>
                <w:color w:val="auto"/>
                <w:highlight w:val="none"/>
              </w:rPr>
            </w:pPr>
            <w:r>
              <w:rPr>
                <w:rFonts w:hint="default" w:ascii="Times New Roman" w:hAnsi="Times New Roman" w:eastAsia="宋体" w:cs="Times New Roman"/>
                <w:color w:val="auto"/>
                <w:kern w:val="2"/>
                <w:sz w:val="21"/>
                <w:szCs w:val="24"/>
                <w:highlight w:val="none"/>
                <w:lang w:val="en-US" w:eastAsia="zh-CN" w:bidi="ar-SA"/>
              </w:rPr>
              <w:t>7</w:t>
            </w:r>
          </w:p>
        </w:tc>
        <w:tc>
          <w:tcPr>
            <w:tcW w:w="3742" w:type="dxa"/>
            <w:tcBorders>
              <w:tl2br w:val="nil"/>
              <w:tr2bl w:val="nil"/>
            </w:tcBorders>
            <w:vAlign w:val="bottom"/>
          </w:tcPr>
          <w:p w14:paraId="4AE900BF">
            <w:pPr>
              <w:jc w:val="center"/>
              <w:rPr>
                <w:rStyle w:val="87"/>
                <w:rFonts w:hint="eastAsia"/>
                <w:color w:val="auto"/>
                <w:highlight w:val="none"/>
              </w:rPr>
            </w:pPr>
            <w:r>
              <w:rPr>
                <w:rStyle w:val="87"/>
                <w:rFonts w:hint="eastAsia"/>
                <w:color w:val="auto"/>
                <w:highlight w:val="none"/>
                <w:lang w:val="en-US" w:eastAsia="zh-CN"/>
              </w:rPr>
              <w:t>131.2668478</w:t>
            </w:r>
          </w:p>
        </w:tc>
        <w:tc>
          <w:tcPr>
            <w:tcW w:w="3742" w:type="dxa"/>
            <w:tcBorders>
              <w:tl2br w:val="nil"/>
              <w:tr2bl w:val="nil"/>
            </w:tcBorders>
            <w:vAlign w:val="bottom"/>
          </w:tcPr>
          <w:p w14:paraId="15E0F5B3">
            <w:pPr>
              <w:jc w:val="center"/>
              <w:rPr>
                <w:rStyle w:val="87"/>
                <w:rFonts w:hint="eastAsia"/>
                <w:color w:val="auto"/>
                <w:highlight w:val="none"/>
              </w:rPr>
            </w:pPr>
            <w:r>
              <w:rPr>
                <w:rStyle w:val="87"/>
                <w:rFonts w:hint="eastAsia"/>
                <w:color w:val="auto"/>
                <w:highlight w:val="none"/>
                <w:lang w:val="en-US" w:eastAsia="zh-CN"/>
              </w:rPr>
              <w:t>45.34186095</w:t>
            </w:r>
          </w:p>
        </w:tc>
      </w:tr>
      <w:tr w14:paraId="1A6A97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1F746B43">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8</w:t>
            </w:r>
          </w:p>
        </w:tc>
        <w:tc>
          <w:tcPr>
            <w:tcW w:w="3742" w:type="dxa"/>
            <w:tcBorders>
              <w:tl2br w:val="nil"/>
              <w:tr2bl w:val="nil"/>
            </w:tcBorders>
            <w:vAlign w:val="bottom"/>
          </w:tcPr>
          <w:p w14:paraId="5C2AD5CC">
            <w:pPr>
              <w:jc w:val="center"/>
              <w:rPr>
                <w:rStyle w:val="87"/>
                <w:rFonts w:hint="eastAsia"/>
                <w:color w:val="auto"/>
                <w:highlight w:val="none"/>
              </w:rPr>
            </w:pPr>
            <w:r>
              <w:rPr>
                <w:rStyle w:val="87"/>
                <w:rFonts w:hint="eastAsia"/>
                <w:color w:val="auto"/>
                <w:highlight w:val="none"/>
                <w:lang w:val="en-US" w:eastAsia="zh-CN"/>
              </w:rPr>
              <w:t>131.2670249</w:t>
            </w:r>
          </w:p>
        </w:tc>
        <w:tc>
          <w:tcPr>
            <w:tcW w:w="3742" w:type="dxa"/>
            <w:tcBorders>
              <w:tl2br w:val="nil"/>
              <w:tr2bl w:val="nil"/>
            </w:tcBorders>
            <w:vAlign w:val="bottom"/>
          </w:tcPr>
          <w:p w14:paraId="1A13E1E3">
            <w:pPr>
              <w:jc w:val="center"/>
              <w:rPr>
                <w:rStyle w:val="87"/>
                <w:rFonts w:hint="eastAsia"/>
                <w:color w:val="auto"/>
                <w:highlight w:val="none"/>
              </w:rPr>
            </w:pPr>
            <w:r>
              <w:rPr>
                <w:rStyle w:val="87"/>
                <w:rFonts w:hint="eastAsia"/>
                <w:color w:val="auto"/>
                <w:highlight w:val="none"/>
                <w:lang w:val="en-US" w:eastAsia="zh-CN"/>
              </w:rPr>
              <w:t>45.34194678</w:t>
            </w:r>
          </w:p>
        </w:tc>
      </w:tr>
      <w:tr w14:paraId="63A5E4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3410097">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9</w:t>
            </w:r>
          </w:p>
        </w:tc>
        <w:tc>
          <w:tcPr>
            <w:tcW w:w="3742" w:type="dxa"/>
            <w:tcBorders>
              <w:tl2br w:val="nil"/>
              <w:tr2bl w:val="nil"/>
            </w:tcBorders>
            <w:vAlign w:val="bottom"/>
          </w:tcPr>
          <w:p w14:paraId="6BAC5FE3">
            <w:pPr>
              <w:jc w:val="center"/>
              <w:rPr>
                <w:rStyle w:val="87"/>
                <w:rFonts w:hint="eastAsia"/>
                <w:color w:val="auto"/>
                <w:highlight w:val="none"/>
              </w:rPr>
            </w:pPr>
            <w:r>
              <w:rPr>
                <w:rStyle w:val="87"/>
                <w:rFonts w:hint="eastAsia"/>
                <w:color w:val="auto"/>
                <w:highlight w:val="none"/>
                <w:lang w:val="en-US" w:eastAsia="zh-CN"/>
              </w:rPr>
              <w:t>131.2672716</w:t>
            </w:r>
          </w:p>
        </w:tc>
        <w:tc>
          <w:tcPr>
            <w:tcW w:w="3742" w:type="dxa"/>
            <w:tcBorders>
              <w:tl2br w:val="nil"/>
              <w:tr2bl w:val="nil"/>
            </w:tcBorders>
            <w:vAlign w:val="bottom"/>
          </w:tcPr>
          <w:p w14:paraId="24B1DFA6">
            <w:pPr>
              <w:jc w:val="center"/>
              <w:rPr>
                <w:rStyle w:val="87"/>
                <w:rFonts w:hint="eastAsia"/>
                <w:color w:val="auto"/>
                <w:highlight w:val="none"/>
              </w:rPr>
            </w:pPr>
            <w:r>
              <w:rPr>
                <w:rStyle w:val="87"/>
                <w:rFonts w:hint="eastAsia"/>
                <w:color w:val="auto"/>
                <w:highlight w:val="none"/>
                <w:lang w:val="en-US" w:eastAsia="zh-CN"/>
              </w:rPr>
              <w:t>45.34191728</w:t>
            </w:r>
          </w:p>
        </w:tc>
      </w:tr>
      <w:tr w14:paraId="136D81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4ED67DE">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10</w:t>
            </w:r>
          </w:p>
        </w:tc>
        <w:tc>
          <w:tcPr>
            <w:tcW w:w="3742" w:type="dxa"/>
            <w:tcBorders>
              <w:tl2br w:val="nil"/>
              <w:tr2bl w:val="nil"/>
            </w:tcBorders>
            <w:vAlign w:val="bottom"/>
          </w:tcPr>
          <w:p w14:paraId="26C2C709">
            <w:pPr>
              <w:jc w:val="center"/>
              <w:rPr>
                <w:rStyle w:val="87"/>
                <w:rFonts w:hint="eastAsia"/>
                <w:color w:val="auto"/>
                <w:highlight w:val="none"/>
              </w:rPr>
            </w:pPr>
            <w:r>
              <w:rPr>
                <w:rStyle w:val="87"/>
                <w:rFonts w:hint="eastAsia"/>
                <w:color w:val="auto"/>
                <w:highlight w:val="none"/>
                <w:lang w:val="en-US" w:eastAsia="zh-CN"/>
              </w:rPr>
              <w:t>131.2672743</w:t>
            </w:r>
          </w:p>
        </w:tc>
        <w:tc>
          <w:tcPr>
            <w:tcW w:w="3742" w:type="dxa"/>
            <w:tcBorders>
              <w:tl2br w:val="nil"/>
              <w:tr2bl w:val="nil"/>
            </w:tcBorders>
            <w:vAlign w:val="bottom"/>
          </w:tcPr>
          <w:p w14:paraId="4A6C9A04">
            <w:pPr>
              <w:jc w:val="center"/>
              <w:rPr>
                <w:rStyle w:val="87"/>
                <w:rFonts w:hint="eastAsia"/>
                <w:color w:val="auto"/>
                <w:highlight w:val="none"/>
              </w:rPr>
            </w:pPr>
            <w:r>
              <w:rPr>
                <w:rStyle w:val="87"/>
                <w:rFonts w:hint="eastAsia"/>
                <w:color w:val="auto"/>
                <w:highlight w:val="none"/>
                <w:lang w:val="en-US" w:eastAsia="zh-CN"/>
              </w:rPr>
              <w:t>45.34201652</w:t>
            </w:r>
          </w:p>
        </w:tc>
      </w:tr>
      <w:tr w14:paraId="64D4FE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1FFB9FCA">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11</w:t>
            </w:r>
          </w:p>
        </w:tc>
        <w:tc>
          <w:tcPr>
            <w:tcW w:w="3742" w:type="dxa"/>
            <w:tcBorders>
              <w:tl2br w:val="nil"/>
              <w:tr2bl w:val="nil"/>
            </w:tcBorders>
            <w:vAlign w:val="bottom"/>
          </w:tcPr>
          <w:p w14:paraId="367CED0C">
            <w:pPr>
              <w:jc w:val="center"/>
              <w:rPr>
                <w:rStyle w:val="87"/>
                <w:rFonts w:hint="eastAsia"/>
                <w:color w:val="auto"/>
                <w:highlight w:val="none"/>
              </w:rPr>
            </w:pPr>
            <w:r>
              <w:rPr>
                <w:rStyle w:val="87"/>
                <w:rFonts w:hint="eastAsia"/>
                <w:color w:val="auto"/>
                <w:highlight w:val="none"/>
                <w:lang w:val="en-US" w:eastAsia="zh-CN"/>
              </w:rPr>
              <w:t>131.2672609</w:t>
            </w:r>
          </w:p>
        </w:tc>
        <w:tc>
          <w:tcPr>
            <w:tcW w:w="3742" w:type="dxa"/>
            <w:tcBorders>
              <w:tl2br w:val="nil"/>
              <w:tr2bl w:val="nil"/>
            </w:tcBorders>
            <w:vAlign w:val="bottom"/>
          </w:tcPr>
          <w:p w14:paraId="14DE5A8C">
            <w:pPr>
              <w:jc w:val="center"/>
              <w:rPr>
                <w:rStyle w:val="87"/>
                <w:rFonts w:hint="eastAsia"/>
                <w:color w:val="auto"/>
                <w:highlight w:val="none"/>
              </w:rPr>
            </w:pPr>
            <w:r>
              <w:rPr>
                <w:rStyle w:val="87"/>
                <w:rFonts w:hint="eastAsia"/>
                <w:color w:val="auto"/>
                <w:highlight w:val="none"/>
                <w:lang w:val="en-US" w:eastAsia="zh-CN"/>
              </w:rPr>
              <w:t>45.34273803</w:t>
            </w:r>
          </w:p>
        </w:tc>
      </w:tr>
      <w:tr w14:paraId="1EB821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3C7EF4F">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12</w:t>
            </w:r>
          </w:p>
        </w:tc>
        <w:tc>
          <w:tcPr>
            <w:tcW w:w="3742" w:type="dxa"/>
            <w:tcBorders>
              <w:tl2br w:val="nil"/>
              <w:tr2bl w:val="nil"/>
            </w:tcBorders>
            <w:vAlign w:val="bottom"/>
          </w:tcPr>
          <w:p w14:paraId="3A69DA6B">
            <w:pPr>
              <w:jc w:val="center"/>
              <w:rPr>
                <w:rStyle w:val="87"/>
                <w:rFonts w:hint="eastAsia"/>
                <w:color w:val="auto"/>
                <w:highlight w:val="none"/>
              </w:rPr>
            </w:pPr>
            <w:r>
              <w:rPr>
                <w:rStyle w:val="87"/>
                <w:rFonts w:hint="eastAsia"/>
                <w:color w:val="auto"/>
                <w:highlight w:val="none"/>
                <w:lang w:val="en-US" w:eastAsia="zh-CN"/>
              </w:rPr>
              <w:t>131.2658688</w:t>
            </w:r>
          </w:p>
        </w:tc>
        <w:tc>
          <w:tcPr>
            <w:tcW w:w="3742" w:type="dxa"/>
            <w:tcBorders>
              <w:tl2br w:val="nil"/>
              <w:tr2bl w:val="nil"/>
            </w:tcBorders>
            <w:vAlign w:val="bottom"/>
          </w:tcPr>
          <w:p w14:paraId="23983823">
            <w:pPr>
              <w:jc w:val="center"/>
              <w:rPr>
                <w:rStyle w:val="87"/>
                <w:rFonts w:hint="eastAsia"/>
                <w:color w:val="auto"/>
                <w:highlight w:val="none"/>
              </w:rPr>
            </w:pPr>
            <w:r>
              <w:rPr>
                <w:rStyle w:val="87"/>
                <w:rFonts w:hint="eastAsia"/>
                <w:color w:val="auto"/>
                <w:highlight w:val="none"/>
                <w:lang w:val="en-US" w:eastAsia="zh-CN"/>
              </w:rPr>
              <w:t>45.34584135</w:t>
            </w:r>
          </w:p>
        </w:tc>
      </w:tr>
      <w:tr w14:paraId="4CAE3E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660DB723">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13</w:t>
            </w:r>
          </w:p>
        </w:tc>
        <w:tc>
          <w:tcPr>
            <w:tcW w:w="3742" w:type="dxa"/>
            <w:tcBorders>
              <w:tl2br w:val="nil"/>
              <w:tr2bl w:val="nil"/>
            </w:tcBorders>
            <w:vAlign w:val="bottom"/>
          </w:tcPr>
          <w:p w14:paraId="4C969304">
            <w:pPr>
              <w:jc w:val="center"/>
              <w:rPr>
                <w:rStyle w:val="87"/>
                <w:rFonts w:hint="eastAsia"/>
                <w:color w:val="auto"/>
                <w:highlight w:val="none"/>
              </w:rPr>
            </w:pPr>
            <w:r>
              <w:rPr>
                <w:rStyle w:val="87"/>
                <w:rFonts w:hint="eastAsia"/>
                <w:color w:val="auto"/>
                <w:highlight w:val="none"/>
                <w:lang w:val="en-US" w:eastAsia="zh-CN"/>
              </w:rPr>
              <w:t>131.2658125</w:t>
            </w:r>
          </w:p>
        </w:tc>
        <w:tc>
          <w:tcPr>
            <w:tcW w:w="3742" w:type="dxa"/>
            <w:tcBorders>
              <w:tl2br w:val="nil"/>
              <w:tr2bl w:val="nil"/>
            </w:tcBorders>
            <w:vAlign w:val="bottom"/>
          </w:tcPr>
          <w:p w14:paraId="709BD3A3">
            <w:pPr>
              <w:jc w:val="center"/>
              <w:rPr>
                <w:rStyle w:val="87"/>
                <w:rFonts w:hint="eastAsia"/>
                <w:color w:val="auto"/>
                <w:highlight w:val="none"/>
              </w:rPr>
            </w:pPr>
            <w:r>
              <w:rPr>
                <w:rStyle w:val="87"/>
                <w:rFonts w:hint="eastAsia"/>
                <w:color w:val="auto"/>
                <w:highlight w:val="none"/>
                <w:lang w:val="en-US" w:eastAsia="zh-CN"/>
              </w:rPr>
              <w:t>45.34596205</w:t>
            </w:r>
          </w:p>
        </w:tc>
      </w:tr>
      <w:tr w14:paraId="6B8965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AFBFA49">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14</w:t>
            </w:r>
          </w:p>
        </w:tc>
        <w:tc>
          <w:tcPr>
            <w:tcW w:w="3742" w:type="dxa"/>
            <w:tcBorders>
              <w:tl2br w:val="nil"/>
              <w:tr2bl w:val="nil"/>
            </w:tcBorders>
            <w:vAlign w:val="bottom"/>
          </w:tcPr>
          <w:p w14:paraId="5900878E">
            <w:pPr>
              <w:jc w:val="center"/>
              <w:rPr>
                <w:rStyle w:val="87"/>
                <w:rFonts w:hint="eastAsia"/>
                <w:color w:val="auto"/>
                <w:highlight w:val="none"/>
              </w:rPr>
            </w:pPr>
            <w:r>
              <w:rPr>
                <w:rStyle w:val="87"/>
                <w:rFonts w:hint="eastAsia"/>
                <w:color w:val="auto"/>
                <w:highlight w:val="none"/>
                <w:lang w:val="en-US" w:eastAsia="zh-CN"/>
              </w:rPr>
              <w:t>131.2653887</w:t>
            </w:r>
          </w:p>
        </w:tc>
        <w:tc>
          <w:tcPr>
            <w:tcW w:w="3742" w:type="dxa"/>
            <w:tcBorders>
              <w:tl2br w:val="nil"/>
              <w:tr2bl w:val="nil"/>
            </w:tcBorders>
            <w:vAlign w:val="bottom"/>
          </w:tcPr>
          <w:p w14:paraId="210A9A83">
            <w:pPr>
              <w:jc w:val="center"/>
              <w:rPr>
                <w:rStyle w:val="87"/>
                <w:rFonts w:hint="eastAsia"/>
                <w:color w:val="auto"/>
                <w:highlight w:val="none"/>
              </w:rPr>
            </w:pPr>
            <w:r>
              <w:rPr>
                <w:rStyle w:val="87"/>
                <w:rFonts w:hint="eastAsia"/>
                <w:color w:val="auto"/>
                <w:highlight w:val="none"/>
                <w:lang w:val="en-US" w:eastAsia="zh-CN"/>
              </w:rPr>
              <w:t>45.34590572</w:t>
            </w:r>
          </w:p>
        </w:tc>
      </w:tr>
      <w:tr w14:paraId="1D3F56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6041FE9">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15</w:t>
            </w:r>
          </w:p>
        </w:tc>
        <w:tc>
          <w:tcPr>
            <w:tcW w:w="3742" w:type="dxa"/>
            <w:tcBorders>
              <w:tl2br w:val="nil"/>
              <w:tr2bl w:val="nil"/>
            </w:tcBorders>
            <w:vAlign w:val="bottom"/>
          </w:tcPr>
          <w:p w14:paraId="50792D90">
            <w:pPr>
              <w:jc w:val="center"/>
              <w:rPr>
                <w:rStyle w:val="87"/>
                <w:rFonts w:hint="eastAsia"/>
                <w:color w:val="auto"/>
                <w:highlight w:val="none"/>
              </w:rPr>
            </w:pPr>
            <w:r>
              <w:rPr>
                <w:rStyle w:val="87"/>
                <w:rFonts w:hint="eastAsia"/>
                <w:color w:val="auto"/>
                <w:highlight w:val="none"/>
                <w:lang w:val="en-US" w:eastAsia="zh-CN"/>
              </w:rPr>
              <w:t>131.2649971</w:t>
            </w:r>
          </w:p>
        </w:tc>
        <w:tc>
          <w:tcPr>
            <w:tcW w:w="3742" w:type="dxa"/>
            <w:tcBorders>
              <w:tl2br w:val="nil"/>
              <w:tr2bl w:val="nil"/>
            </w:tcBorders>
            <w:vAlign w:val="bottom"/>
          </w:tcPr>
          <w:p w14:paraId="091A6A11">
            <w:pPr>
              <w:jc w:val="center"/>
              <w:rPr>
                <w:rStyle w:val="87"/>
                <w:rFonts w:hint="eastAsia"/>
                <w:color w:val="auto"/>
                <w:highlight w:val="none"/>
              </w:rPr>
            </w:pPr>
            <w:r>
              <w:rPr>
                <w:rStyle w:val="87"/>
                <w:rFonts w:hint="eastAsia"/>
                <w:color w:val="auto"/>
                <w:highlight w:val="none"/>
                <w:lang w:val="en-US" w:eastAsia="zh-CN"/>
              </w:rPr>
              <w:t>45.34580916</w:t>
            </w:r>
          </w:p>
        </w:tc>
      </w:tr>
      <w:tr w14:paraId="6E5F56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DE02F7A">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16</w:t>
            </w:r>
          </w:p>
        </w:tc>
        <w:tc>
          <w:tcPr>
            <w:tcW w:w="3742" w:type="dxa"/>
            <w:tcBorders>
              <w:tl2br w:val="nil"/>
              <w:tr2bl w:val="nil"/>
            </w:tcBorders>
            <w:vAlign w:val="bottom"/>
          </w:tcPr>
          <w:p w14:paraId="43034DBA">
            <w:pPr>
              <w:jc w:val="center"/>
              <w:rPr>
                <w:rStyle w:val="87"/>
                <w:rFonts w:hint="eastAsia"/>
                <w:color w:val="auto"/>
                <w:highlight w:val="none"/>
              </w:rPr>
            </w:pPr>
            <w:r>
              <w:rPr>
                <w:rStyle w:val="87"/>
                <w:rFonts w:hint="eastAsia"/>
                <w:color w:val="auto"/>
                <w:highlight w:val="none"/>
                <w:lang w:val="en-US" w:eastAsia="zh-CN"/>
              </w:rPr>
              <w:t>131.2648952</w:t>
            </w:r>
          </w:p>
        </w:tc>
        <w:tc>
          <w:tcPr>
            <w:tcW w:w="3742" w:type="dxa"/>
            <w:tcBorders>
              <w:tl2br w:val="nil"/>
              <w:tr2bl w:val="nil"/>
            </w:tcBorders>
            <w:vAlign w:val="bottom"/>
          </w:tcPr>
          <w:p w14:paraId="1FE8124C">
            <w:pPr>
              <w:jc w:val="center"/>
              <w:rPr>
                <w:rStyle w:val="87"/>
                <w:rFonts w:hint="eastAsia"/>
                <w:color w:val="auto"/>
                <w:highlight w:val="none"/>
              </w:rPr>
            </w:pPr>
            <w:r>
              <w:rPr>
                <w:rStyle w:val="87"/>
                <w:rFonts w:hint="eastAsia"/>
                <w:color w:val="auto"/>
                <w:highlight w:val="none"/>
                <w:lang w:val="en-US" w:eastAsia="zh-CN"/>
              </w:rPr>
              <w:t>45.34598082</w:t>
            </w:r>
          </w:p>
        </w:tc>
      </w:tr>
      <w:tr w14:paraId="2D4444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6CFF69B3">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17</w:t>
            </w:r>
          </w:p>
        </w:tc>
        <w:tc>
          <w:tcPr>
            <w:tcW w:w="3742" w:type="dxa"/>
            <w:tcBorders>
              <w:tl2br w:val="nil"/>
              <w:tr2bl w:val="nil"/>
            </w:tcBorders>
            <w:vAlign w:val="bottom"/>
          </w:tcPr>
          <w:p w14:paraId="089F389B">
            <w:pPr>
              <w:jc w:val="center"/>
              <w:rPr>
                <w:rStyle w:val="87"/>
                <w:rFonts w:hint="eastAsia"/>
                <w:color w:val="auto"/>
                <w:highlight w:val="none"/>
              </w:rPr>
            </w:pPr>
            <w:r>
              <w:rPr>
                <w:rStyle w:val="87"/>
                <w:rFonts w:hint="eastAsia"/>
                <w:color w:val="auto"/>
                <w:highlight w:val="none"/>
                <w:lang w:val="en-US" w:eastAsia="zh-CN"/>
              </w:rPr>
              <w:t>131.2649488</w:t>
            </w:r>
          </w:p>
        </w:tc>
        <w:tc>
          <w:tcPr>
            <w:tcW w:w="3742" w:type="dxa"/>
            <w:tcBorders>
              <w:tl2br w:val="nil"/>
              <w:tr2bl w:val="nil"/>
            </w:tcBorders>
            <w:vAlign w:val="bottom"/>
          </w:tcPr>
          <w:p w14:paraId="357BFD6B">
            <w:pPr>
              <w:jc w:val="center"/>
              <w:rPr>
                <w:rStyle w:val="87"/>
                <w:rFonts w:hint="eastAsia"/>
                <w:color w:val="auto"/>
                <w:highlight w:val="none"/>
              </w:rPr>
            </w:pPr>
            <w:r>
              <w:rPr>
                <w:rStyle w:val="87"/>
                <w:rFonts w:hint="eastAsia"/>
                <w:color w:val="auto"/>
                <w:highlight w:val="none"/>
                <w:lang w:val="en-US" w:eastAsia="zh-CN"/>
              </w:rPr>
              <w:t>45.34601837</w:t>
            </w:r>
          </w:p>
        </w:tc>
      </w:tr>
      <w:tr w14:paraId="5982D3F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F53A8E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18</w:t>
            </w:r>
          </w:p>
        </w:tc>
        <w:tc>
          <w:tcPr>
            <w:tcW w:w="3742" w:type="dxa"/>
            <w:tcBorders>
              <w:tl2br w:val="nil"/>
              <w:tr2bl w:val="nil"/>
            </w:tcBorders>
            <w:vAlign w:val="bottom"/>
          </w:tcPr>
          <w:p w14:paraId="3776885A">
            <w:pPr>
              <w:jc w:val="center"/>
              <w:rPr>
                <w:rStyle w:val="87"/>
                <w:rFonts w:hint="eastAsia"/>
                <w:color w:val="auto"/>
                <w:highlight w:val="none"/>
              </w:rPr>
            </w:pPr>
            <w:r>
              <w:rPr>
                <w:rStyle w:val="87"/>
                <w:rFonts w:hint="eastAsia"/>
                <w:color w:val="auto"/>
                <w:highlight w:val="none"/>
                <w:lang w:val="en-US" w:eastAsia="zh-CN"/>
              </w:rPr>
              <w:t>131.2649354</w:t>
            </w:r>
          </w:p>
        </w:tc>
        <w:tc>
          <w:tcPr>
            <w:tcW w:w="3742" w:type="dxa"/>
            <w:tcBorders>
              <w:tl2br w:val="nil"/>
              <w:tr2bl w:val="nil"/>
            </w:tcBorders>
            <w:vAlign w:val="bottom"/>
          </w:tcPr>
          <w:p w14:paraId="67264B78">
            <w:pPr>
              <w:jc w:val="center"/>
              <w:rPr>
                <w:rStyle w:val="87"/>
                <w:rFonts w:hint="eastAsia"/>
                <w:color w:val="auto"/>
                <w:highlight w:val="none"/>
              </w:rPr>
            </w:pPr>
            <w:r>
              <w:rPr>
                <w:rStyle w:val="87"/>
                <w:rFonts w:hint="eastAsia"/>
                <w:color w:val="auto"/>
                <w:highlight w:val="none"/>
                <w:lang w:val="en-US" w:eastAsia="zh-CN"/>
              </w:rPr>
              <w:t>45.34611493</w:t>
            </w:r>
          </w:p>
        </w:tc>
      </w:tr>
      <w:tr w14:paraId="512D7AE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612E24E">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19</w:t>
            </w:r>
          </w:p>
        </w:tc>
        <w:tc>
          <w:tcPr>
            <w:tcW w:w="3742" w:type="dxa"/>
            <w:tcBorders>
              <w:tl2br w:val="nil"/>
              <w:tr2bl w:val="nil"/>
            </w:tcBorders>
            <w:vAlign w:val="bottom"/>
          </w:tcPr>
          <w:p w14:paraId="2BFAA85F">
            <w:pPr>
              <w:jc w:val="center"/>
              <w:rPr>
                <w:rStyle w:val="87"/>
                <w:rFonts w:hint="eastAsia"/>
                <w:color w:val="auto"/>
                <w:highlight w:val="none"/>
              </w:rPr>
            </w:pPr>
            <w:r>
              <w:rPr>
                <w:rStyle w:val="87"/>
                <w:rFonts w:hint="eastAsia"/>
                <w:color w:val="auto"/>
                <w:highlight w:val="none"/>
                <w:lang w:val="en-US" w:eastAsia="zh-CN"/>
              </w:rPr>
              <w:t>131.2649274</w:t>
            </w:r>
          </w:p>
        </w:tc>
        <w:tc>
          <w:tcPr>
            <w:tcW w:w="3742" w:type="dxa"/>
            <w:tcBorders>
              <w:tl2br w:val="nil"/>
              <w:tr2bl w:val="nil"/>
            </w:tcBorders>
            <w:vAlign w:val="bottom"/>
          </w:tcPr>
          <w:p w14:paraId="26CDD807">
            <w:pPr>
              <w:jc w:val="center"/>
              <w:rPr>
                <w:rStyle w:val="87"/>
                <w:rFonts w:hint="eastAsia"/>
                <w:color w:val="auto"/>
                <w:highlight w:val="none"/>
              </w:rPr>
            </w:pPr>
            <w:r>
              <w:rPr>
                <w:rStyle w:val="87"/>
                <w:rFonts w:hint="eastAsia"/>
                <w:color w:val="auto"/>
                <w:highlight w:val="none"/>
                <w:lang w:val="en-US" w:eastAsia="zh-CN"/>
              </w:rPr>
              <w:t>45.34634829</w:t>
            </w:r>
          </w:p>
        </w:tc>
      </w:tr>
      <w:tr w14:paraId="405349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05BE488">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20</w:t>
            </w:r>
          </w:p>
        </w:tc>
        <w:tc>
          <w:tcPr>
            <w:tcW w:w="3742" w:type="dxa"/>
            <w:tcBorders>
              <w:tl2br w:val="nil"/>
              <w:tr2bl w:val="nil"/>
            </w:tcBorders>
            <w:vAlign w:val="bottom"/>
          </w:tcPr>
          <w:p w14:paraId="3D3E1365">
            <w:pPr>
              <w:jc w:val="center"/>
              <w:rPr>
                <w:rStyle w:val="87"/>
                <w:rFonts w:hint="eastAsia"/>
                <w:color w:val="auto"/>
                <w:highlight w:val="none"/>
              </w:rPr>
            </w:pPr>
            <w:r>
              <w:rPr>
                <w:rStyle w:val="87"/>
                <w:rFonts w:hint="eastAsia"/>
                <w:color w:val="auto"/>
                <w:highlight w:val="none"/>
                <w:lang w:val="en-US" w:eastAsia="zh-CN"/>
              </w:rPr>
              <w:t>131.2649462</w:t>
            </w:r>
          </w:p>
        </w:tc>
        <w:tc>
          <w:tcPr>
            <w:tcW w:w="3742" w:type="dxa"/>
            <w:tcBorders>
              <w:tl2br w:val="nil"/>
              <w:tr2bl w:val="nil"/>
            </w:tcBorders>
            <w:vAlign w:val="bottom"/>
          </w:tcPr>
          <w:p w14:paraId="68AD2D1A">
            <w:pPr>
              <w:jc w:val="center"/>
              <w:rPr>
                <w:rStyle w:val="87"/>
                <w:rFonts w:hint="eastAsia"/>
                <w:color w:val="auto"/>
                <w:highlight w:val="none"/>
              </w:rPr>
            </w:pPr>
            <w:r>
              <w:rPr>
                <w:rStyle w:val="87"/>
                <w:rFonts w:hint="eastAsia"/>
                <w:color w:val="auto"/>
                <w:highlight w:val="none"/>
                <w:lang w:val="en-US" w:eastAsia="zh-CN"/>
              </w:rPr>
              <w:t>45.34664869</w:t>
            </w:r>
          </w:p>
        </w:tc>
      </w:tr>
      <w:tr w14:paraId="270B4D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2A0613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21</w:t>
            </w:r>
          </w:p>
        </w:tc>
        <w:tc>
          <w:tcPr>
            <w:tcW w:w="3742" w:type="dxa"/>
            <w:tcBorders>
              <w:tl2br w:val="nil"/>
              <w:tr2bl w:val="nil"/>
            </w:tcBorders>
            <w:vAlign w:val="bottom"/>
          </w:tcPr>
          <w:p w14:paraId="632EB287">
            <w:pPr>
              <w:jc w:val="center"/>
              <w:rPr>
                <w:rStyle w:val="87"/>
                <w:rFonts w:hint="eastAsia"/>
                <w:color w:val="auto"/>
                <w:highlight w:val="none"/>
              </w:rPr>
            </w:pPr>
            <w:r>
              <w:rPr>
                <w:rStyle w:val="87"/>
                <w:rFonts w:hint="eastAsia"/>
                <w:color w:val="auto"/>
                <w:highlight w:val="none"/>
                <w:lang w:val="en-US" w:eastAsia="zh-CN"/>
              </w:rPr>
              <w:t>131.2652117</w:t>
            </w:r>
          </w:p>
        </w:tc>
        <w:tc>
          <w:tcPr>
            <w:tcW w:w="3742" w:type="dxa"/>
            <w:tcBorders>
              <w:tl2br w:val="nil"/>
              <w:tr2bl w:val="nil"/>
            </w:tcBorders>
            <w:vAlign w:val="bottom"/>
          </w:tcPr>
          <w:p w14:paraId="51D3F5AC">
            <w:pPr>
              <w:jc w:val="center"/>
              <w:rPr>
                <w:rStyle w:val="87"/>
                <w:rFonts w:hint="eastAsia"/>
                <w:color w:val="auto"/>
                <w:highlight w:val="none"/>
              </w:rPr>
            </w:pPr>
            <w:r>
              <w:rPr>
                <w:rStyle w:val="87"/>
                <w:rFonts w:hint="eastAsia"/>
                <w:color w:val="auto"/>
                <w:highlight w:val="none"/>
                <w:lang w:val="en-US" w:eastAsia="zh-CN"/>
              </w:rPr>
              <w:t>45.3466782</w:t>
            </w:r>
          </w:p>
        </w:tc>
      </w:tr>
      <w:tr w14:paraId="1A0E2E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7A8FDE6">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22</w:t>
            </w:r>
          </w:p>
        </w:tc>
        <w:tc>
          <w:tcPr>
            <w:tcW w:w="3742" w:type="dxa"/>
            <w:tcBorders>
              <w:tl2br w:val="nil"/>
              <w:tr2bl w:val="nil"/>
            </w:tcBorders>
            <w:vAlign w:val="bottom"/>
          </w:tcPr>
          <w:p w14:paraId="185003CC">
            <w:pPr>
              <w:jc w:val="center"/>
              <w:rPr>
                <w:rStyle w:val="87"/>
                <w:rFonts w:hint="eastAsia"/>
                <w:color w:val="auto"/>
                <w:highlight w:val="none"/>
              </w:rPr>
            </w:pPr>
            <w:r>
              <w:rPr>
                <w:rStyle w:val="87"/>
                <w:rFonts w:hint="eastAsia"/>
                <w:color w:val="auto"/>
                <w:highlight w:val="none"/>
                <w:lang w:val="en-US" w:eastAsia="zh-CN"/>
              </w:rPr>
              <w:t>131.2655121</w:t>
            </w:r>
          </w:p>
        </w:tc>
        <w:tc>
          <w:tcPr>
            <w:tcW w:w="3742" w:type="dxa"/>
            <w:tcBorders>
              <w:tl2br w:val="nil"/>
              <w:tr2bl w:val="nil"/>
            </w:tcBorders>
            <w:vAlign w:val="bottom"/>
          </w:tcPr>
          <w:p w14:paraId="3FB63189">
            <w:pPr>
              <w:jc w:val="center"/>
              <w:rPr>
                <w:rStyle w:val="87"/>
                <w:rFonts w:hint="eastAsia"/>
                <w:color w:val="auto"/>
                <w:highlight w:val="none"/>
              </w:rPr>
            </w:pPr>
            <w:r>
              <w:rPr>
                <w:rStyle w:val="87"/>
                <w:rFonts w:hint="eastAsia"/>
                <w:color w:val="auto"/>
                <w:highlight w:val="none"/>
                <w:lang w:val="en-US" w:eastAsia="zh-CN"/>
              </w:rPr>
              <w:t>45.34673721</w:t>
            </w:r>
          </w:p>
        </w:tc>
      </w:tr>
      <w:tr w14:paraId="77820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51BB773">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23</w:t>
            </w:r>
          </w:p>
        </w:tc>
        <w:tc>
          <w:tcPr>
            <w:tcW w:w="3742" w:type="dxa"/>
            <w:tcBorders>
              <w:tl2br w:val="nil"/>
              <w:tr2bl w:val="nil"/>
            </w:tcBorders>
            <w:vAlign w:val="bottom"/>
          </w:tcPr>
          <w:p w14:paraId="49BF5D43">
            <w:pPr>
              <w:jc w:val="center"/>
              <w:rPr>
                <w:rStyle w:val="87"/>
                <w:rFonts w:hint="eastAsia"/>
                <w:color w:val="auto"/>
                <w:highlight w:val="none"/>
              </w:rPr>
            </w:pPr>
            <w:r>
              <w:rPr>
                <w:rStyle w:val="87"/>
                <w:rFonts w:hint="eastAsia"/>
                <w:color w:val="auto"/>
                <w:highlight w:val="none"/>
                <w:lang w:val="en-US" w:eastAsia="zh-CN"/>
              </w:rPr>
              <w:t>131.265673</w:t>
            </w:r>
          </w:p>
        </w:tc>
        <w:tc>
          <w:tcPr>
            <w:tcW w:w="3742" w:type="dxa"/>
            <w:tcBorders>
              <w:tl2br w:val="nil"/>
              <w:tr2bl w:val="nil"/>
            </w:tcBorders>
            <w:vAlign w:val="bottom"/>
          </w:tcPr>
          <w:p w14:paraId="29AD1611">
            <w:pPr>
              <w:jc w:val="center"/>
              <w:rPr>
                <w:rStyle w:val="87"/>
                <w:rFonts w:hint="eastAsia"/>
                <w:color w:val="auto"/>
                <w:highlight w:val="none"/>
              </w:rPr>
            </w:pPr>
            <w:r>
              <w:rPr>
                <w:rStyle w:val="87"/>
                <w:rFonts w:hint="eastAsia"/>
                <w:color w:val="auto"/>
                <w:highlight w:val="none"/>
                <w:lang w:val="en-US" w:eastAsia="zh-CN"/>
              </w:rPr>
              <w:t>45.34678012</w:t>
            </w:r>
          </w:p>
        </w:tc>
      </w:tr>
      <w:tr w14:paraId="1484C5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BAD2B22">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24</w:t>
            </w:r>
          </w:p>
        </w:tc>
        <w:tc>
          <w:tcPr>
            <w:tcW w:w="3742" w:type="dxa"/>
            <w:tcBorders>
              <w:tl2br w:val="nil"/>
              <w:tr2bl w:val="nil"/>
            </w:tcBorders>
            <w:vAlign w:val="bottom"/>
          </w:tcPr>
          <w:p w14:paraId="32E71A24">
            <w:pPr>
              <w:jc w:val="center"/>
              <w:rPr>
                <w:rStyle w:val="87"/>
                <w:rFonts w:hint="eastAsia"/>
                <w:color w:val="auto"/>
                <w:highlight w:val="none"/>
              </w:rPr>
            </w:pPr>
            <w:r>
              <w:rPr>
                <w:rStyle w:val="87"/>
                <w:rFonts w:hint="eastAsia"/>
                <w:color w:val="auto"/>
                <w:highlight w:val="none"/>
                <w:lang w:val="en-US" w:eastAsia="zh-CN"/>
              </w:rPr>
              <w:t>131.2659815</w:t>
            </w:r>
          </w:p>
        </w:tc>
        <w:tc>
          <w:tcPr>
            <w:tcW w:w="3742" w:type="dxa"/>
            <w:tcBorders>
              <w:tl2br w:val="nil"/>
              <w:tr2bl w:val="nil"/>
            </w:tcBorders>
            <w:vAlign w:val="bottom"/>
          </w:tcPr>
          <w:p w14:paraId="01DF838D">
            <w:pPr>
              <w:jc w:val="center"/>
              <w:rPr>
                <w:rStyle w:val="87"/>
                <w:rFonts w:hint="eastAsia"/>
                <w:color w:val="auto"/>
                <w:highlight w:val="none"/>
              </w:rPr>
            </w:pPr>
            <w:r>
              <w:rPr>
                <w:rStyle w:val="87"/>
                <w:rFonts w:hint="eastAsia"/>
                <w:color w:val="auto"/>
                <w:highlight w:val="none"/>
                <w:lang w:val="en-US" w:eastAsia="zh-CN"/>
              </w:rPr>
              <w:t>45.34684718</w:t>
            </w:r>
          </w:p>
        </w:tc>
      </w:tr>
      <w:tr w14:paraId="3F0502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5F2601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25</w:t>
            </w:r>
          </w:p>
        </w:tc>
        <w:tc>
          <w:tcPr>
            <w:tcW w:w="3742" w:type="dxa"/>
            <w:tcBorders>
              <w:tl2br w:val="nil"/>
              <w:tr2bl w:val="nil"/>
            </w:tcBorders>
            <w:vAlign w:val="bottom"/>
          </w:tcPr>
          <w:p w14:paraId="45969367">
            <w:pPr>
              <w:jc w:val="center"/>
              <w:rPr>
                <w:rStyle w:val="87"/>
                <w:rFonts w:hint="eastAsia"/>
                <w:color w:val="auto"/>
                <w:highlight w:val="none"/>
              </w:rPr>
            </w:pPr>
            <w:r>
              <w:rPr>
                <w:rStyle w:val="87"/>
                <w:rFonts w:hint="eastAsia"/>
                <w:color w:val="auto"/>
                <w:highlight w:val="none"/>
                <w:lang w:val="en-US" w:eastAsia="zh-CN"/>
              </w:rPr>
              <w:t>131.2661102</w:t>
            </w:r>
          </w:p>
        </w:tc>
        <w:tc>
          <w:tcPr>
            <w:tcW w:w="3742" w:type="dxa"/>
            <w:tcBorders>
              <w:tl2br w:val="nil"/>
              <w:tr2bl w:val="nil"/>
            </w:tcBorders>
            <w:vAlign w:val="bottom"/>
          </w:tcPr>
          <w:p w14:paraId="378B6F42">
            <w:pPr>
              <w:jc w:val="center"/>
              <w:rPr>
                <w:rStyle w:val="87"/>
                <w:rFonts w:hint="eastAsia"/>
                <w:color w:val="auto"/>
                <w:highlight w:val="none"/>
              </w:rPr>
            </w:pPr>
            <w:r>
              <w:rPr>
                <w:rStyle w:val="87"/>
                <w:rFonts w:hint="eastAsia"/>
                <w:color w:val="auto"/>
                <w:highlight w:val="none"/>
                <w:lang w:val="en-US" w:eastAsia="zh-CN"/>
              </w:rPr>
              <w:t>45.34681499</w:t>
            </w:r>
          </w:p>
        </w:tc>
      </w:tr>
      <w:tr w14:paraId="73C37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2BEC619A">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26</w:t>
            </w:r>
          </w:p>
        </w:tc>
        <w:tc>
          <w:tcPr>
            <w:tcW w:w="3742" w:type="dxa"/>
            <w:tcBorders>
              <w:tl2br w:val="nil"/>
              <w:tr2bl w:val="nil"/>
            </w:tcBorders>
            <w:vAlign w:val="bottom"/>
          </w:tcPr>
          <w:p w14:paraId="16AF0D5B">
            <w:pPr>
              <w:jc w:val="center"/>
              <w:rPr>
                <w:rStyle w:val="87"/>
                <w:rFonts w:hint="eastAsia"/>
                <w:color w:val="auto"/>
                <w:highlight w:val="none"/>
              </w:rPr>
            </w:pPr>
            <w:r>
              <w:rPr>
                <w:rStyle w:val="87"/>
                <w:rFonts w:hint="eastAsia"/>
                <w:color w:val="auto"/>
                <w:highlight w:val="none"/>
                <w:lang w:val="en-US" w:eastAsia="zh-CN"/>
              </w:rPr>
              <w:t>131.2661693</w:t>
            </w:r>
          </w:p>
        </w:tc>
        <w:tc>
          <w:tcPr>
            <w:tcW w:w="3742" w:type="dxa"/>
            <w:tcBorders>
              <w:tl2br w:val="nil"/>
              <w:tr2bl w:val="nil"/>
            </w:tcBorders>
            <w:vAlign w:val="bottom"/>
          </w:tcPr>
          <w:p w14:paraId="68A9A29D">
            <w:pPr>
              <w:jc w:val="center"/>
              <w:rPr>
                <w:rStyle w:val="87"/>
                <w:rFonts w:hint="eastAsia"/>
                <w:color w:val="auto"/>
                <w:highlight w:val="none"/>
              </w:rPr>
            </w:pPr>
            <w:r>
              <w:rPr>
                <w:rStyle w:val="87"/>
                <w:rFonts w:hint="eastAsia"/>
                <w:color w:val="auto"/>
                <w:highlight w:val="none"/>
                <w:lang w:val="en-US" w:eastAsia="zh-CN"/>
              </w:rPr>
              <w:t>45.34670502</w:t>
            </w:r>
          </w:p>
        </w:tc>
      </w:tr>
      <w:tr w14:paraId="74C798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FCA6A0C">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27</w:t>
            </w:r>
          </w:p>
        </w:tc>
        <w:tc>
          <w:tcPr>
            <w:tcW w:w="3742" w:type="dxa"/>
            <w:tcBorders>
              <w:tl2br w:val="nil"/>
              <w:tr2bl w:val="nil"/>
            </w:tcBorders>
            <w:vAlign w:val="bottom"/>
          </w:tcPr>
          <w:p w14:paraId="43C3F587">
            <w:pPr>
              <w:jc w:val="center"/>
              <w:rPr>
                <w:rStyle w:val="87"/>
                <w:rFonts w:hint="eastAsia"/>
                <w:color w:val="auto"/>
                <w:highlight w:val="none"/>
              </w:rPr>
            </w:pPr>
            <w:r>
              <w:rPr>
                <w:rStyle w:val="87"/>
                <w:rFonts w:hint="eastAsia"/>
                <w:color w:val="auto"/>
                <w:highlight w:val="none"/>
                <w:lang w:val="en-US" w:eastAsia="zh-CN"/>
              </w:rPr>
              <w:t>131.2672395</w:t>
            </w:r>
          </w:p>
        </w:tc>
        <w:tc>
          <w:tcPr>
            <w:tcW w:w="3742" w:type="dxa"/>
            <w:tcBorders>
              <w:tl2br w:val="nil"/>
              <w:tr2bl w:val="nil"/>
            </w:tcBorders>
            <w:vAlign w:val="bottom"/>
          </w:tcPr>
          <w:p w14:paraId="7779C27C">
            <w:pPr>
              <w:jc w:val="center"/>
              <w:rPr>
                <w:rStyle w:val="87"/>
                <w:rFonts w:hint="eastAsia"/>
                <w:color w:val="auto"/>
                <w:highlight w:val="none"/>
              </w:rPr>
            </w:pPr>
            <w:r>
              <w:rPr>
                <w:rStyle w:val="87"/>
                <w:rFonts w:hint="eastAsia"/>
                <w:color w:val="auto"/>
                <w:highlight w:val="none"/>
                <w:lang w:val="en-US" w:eastAsia="zh-CN"/>
              </w:rPr>
              <w:t>45.34696251</w:t>
            </w:r>
          </w:p>
        </w:tc>
      </w:tr>
      <w:tr w14:paraId="72B675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7A2B5AE">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28</w:t>
            </w:r>
          </w:p>
        </w:tc>
        <w:tc>
          <w:tcPr>
            <w:tcW w:w="3742" w:type="dxa"/>
            <w:tcBorders>
              <w:tl2br w:val="nil"/>
              <w:tr2bl w:val="nil"/>
            </w:tcBorders>
            <w:vAlign w:val="bottom"/>
          </w:tcPr>
          <w:p w14:paraId="6D5337D7">
            <w:pPr>
              <w:jc w:val="center"/>
              <w:rPr>
                <w:rStyle w:val="87"/>
                <w:rFonts w:hint="eastAsia"/>
                <w:color w:val="auto"/>
                <w:highlight w:val="none"/>
              </w:rPr>
            </w:pPr>
            <w:r>
              <w:rPr>
                <w:rStyle w:val="87"/>
                <w:rFonts w:hint="eastAsia"/>
                <w:color w:val="auto"/>
                <w:highlight w:val="none"/>
                <w:lang w:val="en-US" w:eastAsia="zh-CN"/>
              </w:rPr>
              <w:t>131.2672864</w:t>
            </w:r>
          </w:p>
        </w:tc>
        <w:tc>
          <w:tcPr>
            <w:tcW w:w="3742" w:type="dxa"/>
            <w:tcBorders>
              <w:tl2br w:val="nil"/>
              <w:tr2bl w:val="nil"/>
            </w:tcBorders>
            <w:vAlign w:val="bottom"/>
          </w:tcPr>
          <w:p w14:paraId="446BFB47">
            <w:pPr>
              <w:jc w:val="center"/>
              <w:rPr>
                <w:rStyle w:val="87"/>
                <w:rFonts w:hint="eastAsia"/>
                <w:color w:val="auto"/>
                <w:highlight w:val="none"/>
              </w:rPr>
            </w:pPr>
            <w:r>
              <w:rPr>
                <w:rStyle w:val="87"/>
                <w:rFonts w:hint="eastAsia"/>
                <w:color w:val="auto"/>
                <w:highlight w:val="none"/>
                <w:lang w:val="en-US" w:eastAsia="zh-CN"/>
              </w:rPr>
              <w:t>45.34692362</w:t>
            </w:r>
          </w:p>
        </w:tc>
      </w:tr>
      <w:tr w14:paraId="2A1623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1816B3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29</w:t>
            </w:r>
          </w:p>
        </w:tc>
        <w:tc>
          <w:tcPr>
            <w:tcW w:w="3742" w:type="dxa"/>
            <w:tcBorders>
              <w:tl2br w:val="nil"/>
              <w:tr2bl w:val="nil"/>
            </w:tcBorders>
            <w:vAlign w:val="bottom"/>
          </w:tcPr>
          <w:p w14:paraId="0EBB4DDA">
            <w:pPr>
              <w:jc w:val="center"/>
              <w:rPr>
                <w:rStyle w:val="87"/>
                <w:rFonts w:hint="eastAsia"/>
                <w:color w:val="auto"/>
                <w:highlight w:val="none"/>
              </w:rPr>
            </w:pPr>
            <w:r>
              <w:rPr>
                <w:rStyle w:val="87"/>
                <w:rFonts w:hint="eastAsia"/>
                <w:color w:val="auto"/>
                <w:highlight w:val="none"/>
                <w:lang w:val="en-US" w:eastAsia="zh-CN"/>
              </w:rPr>
              <w:t>131.2682922</w:t>
            </w:r>
          </w:p>
        </w:tc>
        <w:tc>
          <w:tcPr>
            <w:tcW w:w="3742" w:type="dxa"/>
            <w:tcBorders>
              <w:tl2br w:val="nil"/>
              <w:tr2bl w:val="nil"/>
            </w:tcBorders>
            <w:vAlign w:val="bottom"/>
          </w:tcPr>
          <w:p w14:paraId="5C317386">
            <w:pPr>
              <w:jc w:val="center"/>
              <w:rPr>
                <w:rStyle w:val="87"/>
                <w:rFonts w:hint="eastAsia"/>
                <w:color w:val="auto"/>
                <w:highlight w:val="none"/>
              </w:rPr>
            </w:pPr>
            <w:r>
              <w:rPr>
                <w:rStyle w:val="87"/>
                <w:rFonts w:hint="eastAsia"/>
                <w:color w:val="auto"/>
                <w:highlight w:val="none"/>
                <w:lang w:val="en-US" w:eastAsia="zh-CN"/>
              </w:rPr>
              <w:t>45.34670502</w:t>
            </w:r>
          </w:p>
        </w:tc>
      </w:tr>
      <w:tr w14:paraId="57EE72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8D2E0B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30</w:t>
            </w:r>
          </w:p>
        </w:tc>
        <w:tc>
          <w:tcPr>
            <w:tcW w:w="3742" w:type="dxa"/>
            <w:tcBorders>
              <w:tl2br w:val="nil"/>
              <w:tr2bl w:val="nil"/>
            </w:tcBorders>
            <w:vAlign w:val="bottom"/>
          </w:tcPr>
          <w:p w14:paraId="6612F220">
            <w:pPr>
              <w:jc w:val="center"/>
              <w:rPr>
                <w:rStyle w:val="87"/>
                <w:rFonts w:hint="eastAsia"/>
                <w:color w:val="auto"/>
                <w:highlight w:val="none"/>
              </w:rPr>
            </w:pPr>
            <w:r>
              <w:rPr>
                <w:rStyle w:val="87"/>
                <w:rFonts w:hint="eastAsia"/>
                <w:color w:val="auto"/>
                <w:highlight w:val="none"/>
                <w:lang w:val="en-US" w:eastAsia="zh-CN"/>
              </w:rPr>
              <w:t>131.2689748</w:t>
            </w:r>
          </w:p>
        </w:tc>
        <w:tc>
          <w:tcPr>
            <w:tcW w:w="3742" w:type="dxa"/>
            <w:tcBorders>
              <w:tl2br w:val="nil"/>
              <w:tr2bl w:val="nil"/>
            </w:tcBorders>
            <w:vAlign w:val="bottom"/>
          </w:tcPr>
          <w:p w14:paraId="507F6EC2">
            <w:pPr>
              <w:jc w:val="center"/>
              <w:rPr>
                <w:rStyle w:val="87"/>
                <w:rFonts w:hint="eastAsia"/>
                <w:color w:val="auto"/>
                <w:highlight w:val="none"/>
              </w:rPr>
            </w:pPr>
            <w:r>
              <w:rPr>
                <w:rStyle w:val="87"/>
                <w:rFonts w:hint="eastAsia"/>
                <w:color w:val="auto"/>
                <w:highlight w:val="none"/>
                <w:lang w:val="en-US" w:eastAsia="zh-CN"/>
              </w:rPr>
              <w:t>45.34655213</w:t>
            </w:r>
          </w:p>
        </w:tc>
      </w:tr>
      <w:tr w14:paraId="307224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08" w:hRule="atLeast"/>
        </w:trPr>
        <w:tc>
          <w:tcPr>
            <w:tcW w:w="711" w:type="dxa"/>
            <w:tcBorders>
              <w:tl2br w:val="nil"/>
              <w:tr2bl w:val="nil"/>
            </w:tcBorders>
            <w:vAlign w:val="center"/>
          </w:tcPr>
          <w:p w14:paraId="32BDB88E">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31</w:t>
            </w:r>
          </w:p>
        </w:tc>
        <w:tc>
          <w:tcPr>
            <w:tcW w:w="3742" w:type="dxa"/>
            <w:tcBorders>
              <w:tl2br w:val="nil"/>
              <w:tr2bl w:val="nil"/>
            </w:tcBorders>
            <w:vAlign w:val="bottom"/>
          </w:tcPr>
          <w:p w14:paraId="21DB0FDF">
            <w:pPr>
              <w:jc w:val="center"/>
              <w:rPr>
                <w:rStyle w:val="87"/>
                <w:rFonts w:hint="eastAsia"/>
                <w:color w:val="auto"/>
                <w:highlight w:val="none"/>
              </w:rPr>
            </w:pPr>
            <w:r>
              <w:rPr>
                <w:rStyle w:val="87"/>
                <w:rFonts w:hint="eastAsia"/>
                <w:color w:val="auto"/>
                <w:highlight w:val="none"/>
                <w:lang w:val="en-US" w:eastAsia="zh-CN"/>
              </w:rPr>
              <w:t>131.2699565</w:t>
            </w:r>
          </w:p>
        </w:tc>
        <w:tc>
          <w:tcPr>
            <w:tcW w:w="3742" w:type="dxa"/>
            <w:tcBorders>
              <w:tl2br w:val="nil"/>
              <w:tr2bl w:val="nil"/>
            </w:tcBorders>
            <w:vAlign w:val="bottom"/>
          </w:tcPr>
          <w:p w14:paraId="41154DD1">
            <w:pPr>
              <w:jc w:val="center"/>
              <w:rPr>
                <w:rStyle w:val="87"/>
                <w:rFonts w:hint="eastAsia"/>
                <w:color w:val="auto"/>
                <w:highlight w:val="none"/>
              </w:rPr>
            </w:pPr>
            <w:r>
              <w:rPr>
                <w:rStyle w:val="87"/>
                <w:rFonts w:hint="eastAsia"/>
                <w:color w:val="auto"/>
                <w:highlight w:val="none"/>
                <w:lang w:val="en-US" w:eastAsia="zh-CN"/>
              </w:rPr>
              <w:t>45.34670502</w:t>
            </w:r>
          </w:p>
        </w:tc>
      </w:tr>
      <w:tr w14:paraId="104F86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88E95D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32</w:t>
            </w:r>
          </w:p>
        </w:tc>
        <w:tc>
          <w:tcPr>
            <w:tcW w:w="3742" w:type="dxa"/>
            <w:tcBorders>
              <w:tl2br w:val="nil"/>
              <w:tr2bl w:val="nil"/>
            </w:tcBorders>
            <w:vAlign w:val="bottom"/>
          </w:tcPr>
          <w:p w14:paraId="062AEEFC">
            <w:pPr>
              <w:jc w:val="center"/>
              <w:rPr>
                <w:rStyle w:val="87"/>
                <w:rFonts w:hint="eastAsia"/>
                <w:color w:val="auto"/>
                <w:highlight w:val="none"/>
              </w:rPr>
            </w:pPr>
            <w:r>
              <w:rPr>
                <w:rStyle w:val="87"/>
                <w:rFonts w:hint="eastAsia"/>
                <w:color w:val="auto"/>
                <w:highlight w:val="none"/>
                <w:lang w:val="en-US" w:eastAsia="zh-CN"/>
              </w:rPr>
              <w:t>131.2707397</w:t>
            </w:r>
          </w:p>
        </w:tc>
        <w:tc>
          <w:tcPr>
            <w:tcW w:w="3742" w:type="dxa"/>
            <w:tcBorders>
              <w:tl2br w:val="nil"/>
              <w:tr2bl w:val="nil"/>
            </w:tcBorders>
            <w:vAlign w:val="bottom"/>
          </w:tcPr>
          <w:p w14:paraId="7594388E">
            <w:pPr>
              <w:jc w:val="center"/>
              <w:rPr>
                <w:rStyle w:val="87"/>
                <w:rFonts w:hint="eastAsia"/>
                <w:color w:val="auto"/>
                <w:highlight w:val="none"/>
              </w:rPr>
            </w:pPr>
            <w:r>
              <w:rPr>
                <w:rStyle w:val="87"/>
                <w:rFonts w:hint="eastAsia"/>
                <w:color w:val="auto"/>
                <w:highlight w:val="none"/>
                <w:lang w:val="en-US" w:eastAsia="zh-CN"/>
              </w:rPr>
              <w:t>45.34640595</w:t>
            </w:r>
          </w:p>
        </w:tc>
      </w:tr>
      <w:tr w14:paraId="5DC627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E75DC49">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33</w:t>
            </w:r>
          </w:p>
        </w:tc>
        <w:tc>
          <w:tcPr>
            <w:tcW w:w="3742" w:type="dxa"/>
            <w:tcBorders>
              <w:tl2br w:val="nil"/>
              <w:tr2bl w:val="nil"/>
            </w:tcBorders>
            <w:vAlign w:val="bottom"/>
          </w:tcPr>
          <w:p w14:paraId="0D106612">
            <w:pPr>
              <w:jc w:val="center"/>
              <w:rPr>
                <w:rStyle w:val="87"/>
                <w:rFonts w:hint="eastAsia"/>
                <w:color w:val="auto"/>
                <w:highlight w:val="none"/>
              </w:rPr>
            </w:pPr>
            <w:r>
              <w:rPr>
                <w:rStyle w:val="87"/>
                <w:rFonts w:hint="eastAsia"/>
                <w:color w:val="auto"/>
                <w:highlight w:val="none"/>
                <w:lang w:val="en-US" w:eastAsia="zh-CN"/>
              </w:rPr>
              <w:t>131.2712118</w:t>
            </w:r>
          </w:p>
        </w:tc>
        <w:tc>
          <w:tcPr>
            <w:tcW w:w="3742" w:type="dxa"/>
            <w:tcBorders>
              <w:tl2br w:val="nil"/>
              <w:tr2bl w:val="nil"/>
            </w:tcBorders>
            <w:vAlign w:val="bottom"/>
          </w:tcPr>
          <w:p w14:paraId="4F622B46">
            <w:pPr>
              <w:jc w:val="center"/>
              <w:rPr>
                <w:rStyle w:val="87"/>
                <w:rFonts w:hint="eastAsia"/>
                <w:color w:val="auto"/>
                <w:highlight w:val="none"/>
              </w:rPr>
            </w:pPr>
            <w:r>
              <w:rPr>
                <w:rStyle w:val="87"/>
                <w:rFonts w:hint="eastAsia"/>
                <w:color w:val="auto"/>
                <w:highlight w:val="none"/>
                <w:lang w:val="en-US" w:eastAsia="zh-CN"/>
              </w:rPr>
              <w:t>45.34703225</w:t>
            </w:r>
          </w:p>
        </w:tc>
      </w:tr>
      <w:tr w14:paraId="528321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2A51D2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34</w:t>
            </w:r>
          </w:p>
        </w:tc>
        <w:tc>
          <w:tcPr>
            <w:tcW w:w="3742" w:type="dxa"/>
            <w:tcBorders>
              <w:tl2br w:val="nil"/>
              <w:tr2bl w:val="nil"/>
            </w:tcBorders>
            <w:vAlign w:val="bottom"/>
          </w:tcPr>
          <w:p w14:paraId="57DDDE99">
            <w:pPr>
              <w:jc w:val="center"/>
              <w:rPr>
                <w:rStyle w:val="87"/>
                <w:rFonts w:hint="eastAsia"/>
                <w:color w:val="auto"/>
                <w:highlight w:val="none"/>
              </w:rPr>
            </w:pPr>
            <w:r>
              <w:rPr>
                <w:rStyle w:val="87"/>
                <w:rFonts w:hint="eastAsia"/>
                <w:color w:val="auto"/>
                <w:highlight w:val="none"/>
                <w:lang w:val="en-US" w:eastAsia="zh-CN"/>
              </w:rPr>
              <w:t>131.2718663</w:t>
            </w:r>
          </w:p>
        </w:tc>
        <w:tc>
          <w:tcPr>
            <w:tcW w:w="3742" w:type="dxa"/>
            <w:tcBorders>
              <w:tl2br w:val="nil"/>
              <w:tr2bl w:val="nil"/>
            </w:tcBorders>
            <w:vAlign w:val="bottom"/>
          </w:tcPr>
          <w:p w14:paraId="6493E259">
            <w:pPr>
              <w:jc w:val="center"/>
              <w:rPr>
                <w:rStyle w:val="87"/>
                <w:rFonts w:hint="eastAsia"/>
                <w:color w:val="auto"/>
                <w:highlight w:val="none"/>
              </w:rPr>
            </w:pPr>
            <w:r>
              <w:rPr>
                <w:rStyle w:val="87"/>
                <w:rFonts w:hint="eastAsia"/>
                <w:color w:val="auto"/>
                <w:highlight w:val="none"/>
                <w:lang w:val="en-US" w:eastAsia="zh-CN"/>
              </w:rPr>
              <w:t>45.34679621</w:t>
            </w:r>
          </w:p>
        </w:tc>
      </w:tr>
      <w:tr w14:paraId="4964CE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66F74B3">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35</w:t>
            </w:r>
          </w:p>
        </w:tc>
        <w:tc>
          <w:tcPr>
            <w:tcW w:w="3742" w:type="dxa"/>
            <w:tcBorders>
              <w:tl2br w:val="nil"/>
              <w:tr2bl w:val="nil"/>
            </w:tcBorders>
            <w:vAlign w:val="bottom"/>
          </w:tcPr>
          <w:p w14:paraId="083B4E43">
            <w:pPr>
              <w:jc w:val="center"/>
              <w:rPr>
                <w:rStyle w:val="87"/>
                <w:rFonts w:hint="eastAsia"/>
                <w:color w:val="auto"/>
                <w:highlight w:val="none"/>
              </w:rPr>
            </w:pPr>
            <w:r>
              <w:rPr>
                <w:rStyle w:val="87"/>
                <w:rFonts w:hint="eastAsia"/>
                <w:color w:val="auto"/>
                <w:highlight w:val="none"/>
                <w:lang w:val="en-US" w:eastAsia="zh-CN"/>
              </w:rPr>
              <w:t>131.2714478</w:t>
            </w:r>
          </w:p>
        </w:tc>
        <w:tc>
          <w:tcPr>
            <w:tcW w:w="3742" w:type="dxa"/>
            <w:tcBorders>
              <w:tl2br w:val="nil"/>
              <w:tr2bl w:val="nil"/>
            </w:tcBorders>
            <w:vAlign w:val="bottom"/>
          </w:tcPr>
          <w:p w14:paraId="56EAB4BE">
            <w:pPr>
              <w:jc w:val="center"/>
              <w:rPr>
                <w:rStyle w:val="87"/>
                <w:rFonts w:hint="eastAsia"/>
                <w:color w:val="auto"/>
                <w:highlight w:val="none"/>
              </w:rPr>
            </w:pPr>
            <w:r>
              <w:rPr>
                <w:rStyle w:val="87"/>
                <w:rFonts w:hint="eastAsia"/>
                <w:color w:val="auto"/>
                <w:highlight w:val="none"/>
                <w:lang w:val="en-US" w:eastAsia="zh-CN"/>
              </w:rPr>
              <w:t>45.34620613</w:t>
            </w:r>
          </w:p>
        </w:tc>
      </w:tr>
      <w:tr w14:paraId="0AE5EA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DF18027">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36</w:t>
            </w:r>
          </w:p>
        </w:tc>
        <w:tc>
          <w:tcPr>
            <w:tcW w:w="3742" w:type="dxa"/>
            <w:tcBorders>
              <w:tl2br w:val="nil"/>
              <w:tr2bl w:val="nil"/>
            </w:tcBorders>
            <w:vAlign w:val="bottom"/>
          </w:tcPr>
          <w:p w14:paraId="19869848">
            <w:pPr>
              <w:jc w:val="center"/>
              <w:rPr>
                <w:rStyle w:val="87"/>
                <w:rFonts w:hint="eastAsia"/>
                <w:color w:val="auto"/>
                <w:highlight w:val="none"/>
              </w:rPr>
            </w:pPr>
            <w:r>
              <w:rPr>
                <w:rStyle w:val="87"/>
                <w:rFonts w:hint="eastAsia"/>
                <w:color w:val="auto"/>
                <w:highlight w:val="none"/>
                <w:lang w:val="en-US" w:eastAsia="zh-CN"/>
              </w:rPr>
              <w:t>131.2712735</w:t>
            </w:r>
          </w:p>
        </w:tc>
        <w:tc>
          <w:tcPr>
            <w:tcW w:w="3742" w:type="dxa"/>
            <w:tcBorders>
              <w:tl2br w:val="nil"/>
              <w:tr2bl w:val="nil"/>
            </w:tcBorders>
            <w:vAlign w:val="bottom"/>
          </w:tcPr>
          <w:p w14:paraId="484E8EA1">
            <w:pPr>
              <w:jc w:val="center"/>
              <w:rPr>
                <w:rStyle w:val="87"/>
                <w:rFonts w:hint="eastAsia"/>
                <w:color w:val="auto"/>
                <w:highlight w:val="none"/>
              </w:rPr>
            </w:pPr>
            <w:r>
              <w:rPr>
                <w:rStyle w:val="87"/>
                <w:rFonts w:hint="eastAsia"/>
                <w:color w:val="auto"/>
                <w:highlight w:val="none"/>
                <w:lang w:val="en-US" w:eastAsia="zh-CN"/>
              </w:rPr>
              <w:t>45.34619808</w:t>
            </w:r>
          </w:p>
        </w:tc>
      </w:tr>
      <w:tr w14:paraId="461FF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D3D219C">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37</w:t>
            </w:r>
          </w:p>
        </w:tc>
        <w:tc>
          <w:tcPr>
            <w:tcW w:w="3742" w:type="dxa"/>
            <w:tcBorders>
              <w:tl2br w:val="nil"/>
              <w:tr2bl w:val="nil"/>
            </w:tcBorders>
            <w:vAlign w:val="bottom"/>
          </w:tcPr>
          <w:p w14:paraId="53A93D54">
            <w:pPr>
              <w:jc w:val="center"/>
              <w:rPr>
                <w:rStyle w:val="87"/>
                <w:rFonts w:hint="eastAsia"/>
                <w:color w:val="auto"/>
                <w:highlight w:val="none"/>
              </w:rPr>
            </w:pPr>
            <w:r>
              <w:rPr>
                <w:rStyle w:val="87"/>
                <w:rFonts w:hint="eastAsia"/>
                <w:color w:val="auto"/>
                <w:highlight w:val="none"/>
                <w:lang w:val="en-US" w:eastAsia="zh-CN"/>
              </w:rPr>
              <w:t>131.2714612</w:t>
            </w:r>
          </w:p>
        </w:tc>
        <w:tc>
          <w:tcPr>
            <w:tcW w:w="3742" w:type="dxa"/>
            <w:tcBorders>
              <w:tl2br w:val="nil"/>
              <w:tr2bl w:val="nil"/>
            </w:tcBorders>
            <w:vAlign w:val="bottom"/>
          </w:tcPr>
          <w:p w14:paraId="551EB663">
            <w:pPr>
              <w:jc w:val="center"/>
              <w:rPr>
                <w:rStyle w:val="87"/>
                <w:rFonts w:hint="eastAsia"/>
                <w:color w:val="auto"/>
                <w:highlight w:val="none"/>
              </w:rPr>
            </w:pPr>
            <w:r>
              <w:rPr>
                <w:rStyle w:val="87"/>
                <w:rFonts w:hint="eastAsia"/>
                <w:color w:val="auto"/>
                <w:highlight w:val="none"/>
                <w:lang w:val="en-US" w:eastAsia="zh-CN"/>
              </w:rPr>
              <w:t>45.34577698</w:t>
            </w:r>
          </w:p>
        </w:tc>
      </w:tr>
      <w:tr w14:paraId="00251F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FC22F5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38</w:t>
            </w:r>
          </w:p>
        </w:tc>
        <w:tc>
          <w:tcPr>
            <w:tcW w:w="3742" w:type="dxa"/>
            <w:tcBorders>
              <w:tl2br w:val="nil"/>
              <w:tr2bl w:val="nil"/>
            </w:tcBorders>
            <w:vAlign w:val="bottom"/>
          </w:tcPr>
          <w:p w14:paraId="718DDEF5">
            <w:pPr>
              <w:jc w:val="center"/>
              <w:rPr>
                <w:rStyle w:val="87"/>
                <w:rFonts w:hint="eastAsia"/>
                <w:color w:val="auto"/>
                <w:highlight w:val="none"/>
              </w:rPr>
            </w:pPr>
            <w:r>
              <w:rPr>
                <w:rStyle w:val="87"/>
                <w:rFonts w:hint="eastAsia"/>
                <w:color w:val="auto"/>
                <w:highlight w:val="none"/>
                <w:lang w:val="en-US" w:eastAsia="zh-CN"/>
              </w:rPr>
              <w:t>131.2705466</w:t>
            </w:r>
          </w:p>
        </w:tc>
        <w:tc>
          <w:tcPr>
            <w:tcW w:w="3742" w:type="dxa"/>
            <w:tcBorders>
              <w:tl2br w:val="nil"/>
              <w:tr2bl w:val="nil"/>
            </w:tcBorders>
            <w:vAlign w:val="bottom"/>
          </w:tcPr>
          <w:p w14:paraId="5A6DBDEA">
            <w:pPr>
              <w:jc w:val="center"/>
              <w:rPr>
                <w:rStyle w:val="87"/>
                <w:rFonts w:hint="eastAsia"/>
                <w:color w:val="auto"/>
                <w:highlight w:val="none"/>
              </w:rPr>
            </w:pPr>
            <w:r>
              <w:rPr>
                <w:rStyle w:val="87"/>
                <w:rFonts w:hint="eastAsia"/>
                <w:color w:val="auto"/>
                <w:highlight w:val="none"/>
                <w:lang w:val="en-US" w:eastAsia="zh-CN"/>
              </w:rPr>
              <w:t>45.34547657</w:t>
            </w:r>
          </w:p>
        </w:tc>
      </w:tr>
      <w:tr w14:paraId="40FC3E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2FBC032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39</w:t>
            </w:r>
          </w:p>
        </w:tc>
        <w:tc>
          <w:tcPr>
            <w:tcW w:w="3742" w:type="dxa"/>
            <w:tcBorders>
              <w:tl2br w:val="nil"/>
              <w:tr2bl w:val="nil"/>
            </w:tcBorders>
            <w:vAlign w:val="bottom"/>
          </w:tcPr>
          <w:p w14:paraId="5CD831B6">
            <w:pPr>
              <w:jc w:val="center"/>
              <w:rPr>
                <w:rStyle w:val="87"/>
                <w:rFonts w:hint="eastAsia"/>
                <w:color w:val="auto"/>
                <w:highlight w:val="none"/>
              </w:rPr>
            </w:pPr>
            <w:r>
              <w:rPr>
                <w:rStyle w:val="87"/>
                <w:rFonts w:hint="eastAsia"/>
                <w:color w:val="auto"/>
                <w:highlight w:val="none"/>
                <w:lang w:val="en-US" w:eastAsia="zh-CN"/>
              </w:rPr>
              <w:t>131.2695166</w:t>
            </w:r>
          </w:p>
        </w:tc>
        <w:tc>
          <w:tcPr>
            <w:tcW w:w="3742" w:type="dxa"/>
            <w:tcBorders>
              <w:tl2br w:val="nil"/>
              <w:tr2bl w:val="nil"/>
            </w:tcBorders>
            <w:vAlign w:val="bottom"/>
          </w:tcPr>
          <w:p w14:paraId="6182B60B">
            <w:pPr>
              <w:jc w:val="center"/>
              <w:rPr>
                <w:rStyle w:val="87"/>
                <w:rFonts w:hint="eastAsia"/>
                <w:color w:val="auto"/>
                <w:highlight w:val="none"/>
              </w:rPr>
            </w:pPr>
            <w:r>
              <w:rPr>
                <w:rStyle w:val="87"/>
                <w:rFonts w:hint="eastAsia"/>
                <w:color w:val="auto"/>
                <w:highlight w:val="none"/>
                <w:lang w:val="en-US" w:eastAsia="zh-CN"/>
              </w:rPr>
              <w:t>45.34585208</w:t>
            </w:r>
          </w:p>
        </w:tc>
      </w:tr>
      <w:tr w14:paraId="3E00B6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F467626">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40</w:t>
            </w:r>
          </w:p>
        </w:tc>
        <w:tc>
          <w:tcPr>
            <w:tcW w:w="3742" w:type="dxa"/>
            <w:tcBorders>
              <w:tl2br w:val="nil"/>
              <w:tr2bl w:val="nil"/>
            </w:tcBorders>
            <w:vAlign w:val="bottom"/>
          </w:tcPr>
          <w:p w14:paraId="64913114">
            <w:pPr>
              <w:jc w:val="center"/>
              <w:rPr>
                <w:rStyle w:val="87"/>
                <w:rFonts w:hint="eastAsia"/>
                <w:color w:val="auto"/>
                <w:highlight w:val="none"/>
              </w:rPr>
            </w:pPr>
            <w:r>
              <w:rPr>
                <w:rStyle w:val="87"/>
                <w:rFonts w:hint="eastAsia"/>
                <w:color w:val="auto"/>
                <w:highlight w:val="none"/>
                <w:lang w:val="en-US" w:eastAsia="zh-CN"/>
              </w:rPr>
              <w:t>131.2690848</w:t>
            </w:r>
          </w:p>
        </w:tc>
        <w:tc>
          <w:tcPr>
            <w:tcW w:w="3742" w:type="dxa"/>
            <w:tcBorders>
              <w:tl2br w:val="nil"/>
              <w:tr2bl w:val="nil"/>
            </w:tcBorders>
            <w:vAlign w:val="bottom"/>
          </w:tcPr>
          <w:p w14:paraId="33BCC912">
            <w:pPr>
              <w:jc w:val="center"/>
              <w:rPr>
                <w:rStyle w:val="87"/>
                <w:rFonts w:hint="eastAsia"/>
                <w:color w:val="auto"/>
                <w:highlight w:val="none"/>
              </w:rPr>
            </w:pPr>
            <w:r>
              <w:rPr>
                <w:rStyle w:val="87"/>
                <w:rFonts w:hint="eastAsia"/>
                <w:color w:val="auto"/>
                <w:highlight w:val="none"/>
                <w:lang w:val="en-US" w:eastAsia="zh-CN"/>
              </w:rPr>
              <w:t>45.34625977</w:t>
            </w:r>
          </w:p>
        </w:tc>
      </w:tr>
      <w:tr w14:paraId="1394E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EA4B2B4">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41</w:t>
            </w:r>
          </w:p>
        </w:tc>
        <w:tc>
          <w:tcPr>
            <w:tcW w:w="3742" w:type="dxa"/>
            <w:tcBorders>
              <w:tl2br w:val="nil"/>
              <w:tr2bl w:val="nil"/>
            </w:tcBorders>
            <w:vAlign w:val="bottom"/>
          </w:tcPr>
          <w:p w14:paraId="3AA8503D">
            <w:pPr>
              <w:jc w:val="center"/>
              <w:rPr>
                <w:rStyle w:val="87"/>
                <w:rFonts w:hint="eastAsia"/>
                <w:color w:val="auto"/>
                <w:highlight w:val="none"/>
              </w:rPr>
            </w:pPr>
            <w:r>
              <w:rPr>
                <w:rStyle w:val="87"/>
                <w:rFonts w:hint="eastAsia"/>
                <w:color w:val="auto"/>
                <w:highlight w:val="none"/>
                <w:lang w:val="en-US" w:eastAsia="zh-CN"/>
              </w:rPr>
              <w:t>131.2683418</w:t>
            </w:r>
          </w:p>
        </w:tc>
        <w:tc>
          <w:tcPr>
            <w:tcW w:w="3742" w:type="dxa"/>
            <w:tcBorders>
              <w:tl2br w:val="nil"/>
              <w:tr2bl w:val="nil"/>
            </w:tcBorders>
            <w:vAlign w:val="bottom"/>
          </w:tcPr>
          <w:p w14:paraId="76586D13">
            <w:pPr>
              <w:jc w:val="center"/>
              <w:rPr>
                <w:rStyle w:val="87"/>
                <w:rFonts w:hint="eastAsia"/>
                <w:color w:val="auto"/>
                <w:highlight w:val="none"/>
              </w:rPr>
            </w:pPr>
            <w:r>
              <w:rPr>
                <w:rStyle w:val="87"/>
                <w:rFonts w:hint="eastAsia"/>
                <w:color w:val="auto"/>
                <w:highlight w:val="none"/>
                <w:lang w:val="en-US" w:eastAsia="zh-CN"/>
              </w:rPr>
              <w:t>45.346241</w:t>
            </w:r>
          </w:p>
        </w:tc>
      </w:tr>
      <w:tr w14:paraId="02DF9F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2385743D">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42</w:t>
            </w:r>
          </w:p>
        </w:tc>
        <w:tc>
          <w:tcPr>
            <w:tcW w:w="3742" w:type="dxa"/>
            <w:tcBorders>
              <w:tl2br w:val="nil"/>
              <w:tr2bl w:val="nil"/>
            </w:tcBorders>
            <w:vAlign w:val="bottom"/>
          </w:tcPr>
          <w:p w14:paraId="20428AFD">
            <w:pPr>
              <w:jc w:val="center"/>
              <w:rPr>
                <w:rStyle w:val="87"/>
                <w:rFonts w:hint="eastAsia"/>
                <w:color w:val="auto"/>
                <w:highlight w:val="none"/>
              </w:rPr>
            </w:pPr>
            <w:r>
              <w:rPr>
                <w:rStyle w:val="87"/>
                <w:rFonts w:hint="eastAsia"/>
                <w:color w:val="auto"/>
                <w:highlight w:val="none"/>
                <w:lang w:val="en-US" w:eastAsia="zh-CN"/>
              </w:rPr>
              <w:t>131.2680589</w:t>
            </w:r>
          </w:p>
        </w:tc>
        <w:tc>
          <w:tcPr>
            <w:tcW w:w="3742" w:type="dxa"/>
            <w:tcBorders>
              <w:tl2br w:val="nil"/>
              <w:tr2bl w:val="nil"/>
            </w:tcBorders>
            <w:vAlign w:val="bottom"/>
          </w:tcPr>
          <w:p w14:paraId="02BB0202">
            <w:pPr>
              <w:jc w:val="center"/>
              <w:rPr>
                <w:rStyle w:val="87"/>
                <w:rFonts w:hint="eastAsia"/>
                <w:color w:val="auto"/>
                <w:highlight w:val="none"/>
              </w:rPr>
            </w:pPr>
            <w:r>
              <w:rPr>
                <w:rStyle w:val="87"/>
                <w:rFonts w:hint="eastAsia"/>
                <w:color w:val="auto"/>
                <w:highlight w:val="none"/>
                <w:lang w:val="en-US" w:eastAsia="zh-CN"/>
              </w:rPr>
              <w:t>45.34616858</w:t>
            </w:r>
          </w:p>
        </w:tc>
      </w:tr>
      <w:tr w14:paraId="5CF219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6E02B5B">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43</w:t>
            </w:r>
          </w:p>
        </w:tc>
        <w:tc>
          <w:tcPr>
            <w:tcW w:w="3742" w:type="dxa"/>
            <w:tcBorders>
              <w:tl2br w:val="nil"/>
              <w:tr2bl w:val="nil"/>
            </w:tcBorders>
            <w:vAlign w:val="bottom"/>
          </w:tcPr>
          <w:p w14:paraId="6CD2122A">
            <w:pPr>
              <w:jc w:val="center"/>
              <w:rPr>
                <w:rStyle w:val="87"/>
                <w:rFonts w:hint="eastAsia"/>
                <w:color w:val="auto"/>
                <w:highlight w:val="none"/>
              </w:rPr>
            </w:pPr>
            <w:r>
              <w:rPr>
                <w:rStyle w:val="87"/>
                <w:rFonts w:hint="eastAsia"/>
                <w:color w:val="auto"/>
                <w:highlight w:val="none"/>
                <w:lang w:val="en-US" w:eastAsia="zh-CN"/>
              </w:rPr>
              <w:t>131.2679315</w:t>
            </w:r>
          </w:p>
        </w:tc>
        <w:tc>
          <w:tcPr>
            <w:tcW w:w="3742" w:type="dxa"/>
            <w:tcBorders>
              <w:tl2br w:val="nil"/>
              <w:tr2bl w:val="nil"/>
            </w:tcBorders>
            <w:vAlign w:val="bottom"/>
          </w:tcPr>
          <w:p w14:paraId="2278E49A">
            <w:pPr>
              <w:jc w:val="center"/>
              <w:rPr>
                <w:rStyle w:val="87"/>
                <w:rFonts w:hint="eastAsia"/>
                <w:color w:val="auto"/>
                <w:highlight w:val="none"/>
              </w:rPr>
            </w:pPr>
            <w:r>
              <w:rPr>
                <w:rStyle w:val="87"/>
                <w:rFonts w:hint="eastAsia"/>
                <w:color w:val="auto"/>
                <w:highlight w:val="none"/>
                <w:lang w:val="en-US" w:eastAsia="zh-CN"/>
              </w:rPr>
              <w:t>45.34615651</w:t>
            </w:r>
          </w:p>
        </w:tc>
      </w:tr>
      <w:tr w14:paraId="6F03DA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3C9155B4">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44</w:t>
            </w:r>
          </w:p>
        </w:tc>
        <w:tc>
          <w:tcPr>
            <w:tcW w:w="3742" w:type="dxa"/>
            <w:tcBorders>
              <w:tl2br w:val="nil"/>
              <w:tr2bl w:val="nil"/>
            </w:tcBorders>
            <w:vAlign w:val="bottom"/>
          </w:tcPr>
          <w:p w14:paraId="127C49CB">
            <w:pPr>
              <w:jc w:val="center"/>
              <w:rPr>
                <w:rStyle w:val="87"/>
                <w:rFonts w:hint="eastAsia"/>
                <w:color w:val="auto"/>
                <w:highlight w:val="none"/>
              </w:rPr>
            </w:pPr>
            <w:r>
              <w:rPr>
                <w:rStyle w:val="87"/>
                <w:rFonts w:hint="eastAsia"/>
                <w:color w:val="auto"/>
                <w:highlight w:val="none"/>
                <w:lang w:val="en-US" w:eastAsia="zh-CN"/>
              </w:rPr>
              <w:t>131.2678523</w:t>
            </w:r>
          </w:p>
        </w:tc>
        <w:tc>
          <w:tcPr>
            <w:tcW w:w="3742" w:type="dxa"/>
            <w:tcBorders>
              <w:tl2br w:val="nil"/>
              <w:tr2bl w:val="nil"/>
            </w:tcBorders>
            <w:vAlign w:val="bottom"/>
          </w:tcPr>
          <w:p w14:paraId="6395881E">
            <w:pPr>
              <w:jc w:val="center"/>
              <w:rPr>
                <w:rStyle w:val="87"/>
                <w:rFonts w:hint="eastAsia"/>
                <w:color w:val="auto"/>
                <w:highlight w:val="none"/>
              </w:rPr>
            </w:pPr>
            <w:r>
              <w:rPr>
                <w:rStyle w:val="87"/>
                <w:rFonts w:hint="eastAsia"/>
                <w:color w:val="auto"/>
                <w:highlight w:val="none"/>
                <w:lang w:val="en-US" w:eastAsia="zh-CN"/>
              </w:rPr>
              <w:t>45.34616858</w:t>
            </w:r>
          </w:p>
        </w:tc>
      </w:tr>
      <w:tr w14:paraId="54D899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2769E9D1">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45</w:t>
            </w:r>
          </w:p>
        </w:tc>
        <w:tc>
          <w:tcPr>
            <w:tcW w:w="3742" w:type="dxa"/>
            <w:tcBorders>
              <w:tl2br w:val="nil"/>
              <w:tr2bl w:val="nil"/>
            </w:tcBorders>
            <w:vAlign w:val="bottom"/>
          </w:tcPr>
          <w:p w14:paraId="1CEABB80">
            <w:pPr>
              <w:jc w:val="center"/>
              <w:rPr>
                <w:rStyle w:val="87"/>
                <w:rFonts w:hint="eastAsia"/>
                <w:color w:val="auto"/>
                <w:highlight w:val="none"/>
              </w:rPr>
            </w:pPr>
            <w:r>
              <w:rPr>
                <w:rStyle w:val="87"/>
                <w:rFonts w:hint="eastAsia"/>
                <w:color w:val="auto"/>
                <w:highlight w:val="none"/>
                <w:lang w:val="en-US" w:eastAsia="zh-CN"/>
              </w:rPr>
              <w:t>131.267623</w:t>
            </w:r>
          </w:p>
        </w:tc>
        <w:tc>
          <w:tcPr>
            <w:tcW w:w="3742" w:type="dxa"/>
            <w:tcBorders>
              <w:tl2br w:val="nil"/>
              <w:tr2bl w:val="nil"/>
            </w:tcBorders>
            <w:vAlign w:val="bottom"/>
          </w:tcPr>
          <w:p w14:paraId="7BAC2314">
            <w:pPr>
              <w:jc w:val="center"/>
              <w:rPr>
                <w:rStyle w:val="87"/>
                <w:rFonts w:hint="eastAsia"/>
                <w:color w:val="auto"/>
                <w:highlight w:val="none"/>
              </w:rPr>
            </w:pPr>
            <w:r>
              <w:rPr>
                <w:rStyle w:val="87"/>
                <w:rFonts w:hint="eastAsia"/>
                <w:color w:val="auto"/>
                <w:highlight w:val="none"/>
                <w:lang w:val="en-US" w:eastAsia="zh-CN"/>
              </w:rPr>
              <w:t>45.34618065</w:t>
            </w:r>
          </w:p>
        </w:tc>
      </w:tr>
      <w:tr w14:paraId="440D6C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654EF9CF">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46</w:t>
            </w:r>
          </w:p>
        </w:tc>
        <w:tc>
          <w:tcPr>
            <w:tcW w:w="3742" w:type="dxa"/>
            <w:tcBorders>
              <w:tl2br w:val="nil"/>
              <w:tr2bl w:val="nil"/>
            </w:tcBorders>
            <w:vAlign w:val="bottom"/>
          </w:tcPr>
          <w:p w14:paraId="50EDFA96">
            <w:pPr>
              <w:jc w:val="center"/>
              <w:rPr>
                <w:rStyle w:val="87"/>
                <w:rFonts w:hint="eastAsia"/>
                <w:color w:val="auto"/>
                <w:highlight w:val="none"/>
              </w:rPr>
            </w:pPr>
            <w:r>
              <w:rPr>
                <w:rStyle w:val="87"/>
                <w:rFonts w:hint="eastAsia"/>
                <w:color w:val="auto"/>
                <w:highlight w:val="none"/>
                <w:lang w:val="en-US" w:eastAsia="zh-CN"/>
              </w:rPr>
              <w:t>131.2674929</w:t>
            </w:r>
          </w:p>
        </w:tc>
        <w:tc>
          <w:tcPr>
            <w:tcW w:w="3742" w:type="dxa"/>
            <w:tcBorders>
              <w:tl2br w:val="nil"/>
              <w:tr2bl w:val="nil"/>
            </w:tcBorders>
            <w:vAlign w:val="bottom"/>
          </w:tcPr>
          <w:p w14:paraId="34FCB3E8">
            <w:pPr>
              <w:jc w:val="center"/>
              <w:rPr>
                <w:rStyle w:val="87"/>
                <w:rFonts w:hint="eastAsia"/>
                <w:color w:val="auto"/>
                <w:highlight w:val="none"/>
              </w:rPr>
            </w:pPr>
            <w:r>
              <w:rPr>
                <w:rStyle w:val="87"/>
                <w:rFonts w:hint="eastAsia"/>
                <w:color w:val="auto"/>
                <w:highlight w:val="none"/>
                <w:lang w:val="en-US" w:eastAsia="zh-CN"/>
              </w:rPr>
              <w:t>45.34619942</w:t>
            </w:r>
          </w:p>
        </w:tc>
      </w:tr>
      <w:tr w14:paraId="7C75B9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C00240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47</w:t>
            </w:r>
          </w:p>
        </w:tc>
        <w:tc>
          <w:tcPr>
            <w:tcW w:w="3742" w:type="dxa"/>
            <w:tcBorders>
              <w:tl2br w:val="nil"/>
              <w:tr2bl w:val="nil"/>
            </w:tcBorders>
            <w:vAlign w:val="bottom"/>
          </w:tcPr>
          <w:p w14:paraId="40086A3F">
            <w:pPr>
              <w:jc w:val="center"/>
              <w:rPr>
                <w:rStyle w:val="87"/>
                <w:rFonts w:hint="eastAsia"/>
                <w:color w:val="auto"/>
                <w:highlight w:val="none"/>
              </w:rPr>
            </w:pPr>
            <w:r>
              <w:rPr>
                <w:rStyle w:val="87"/>
                <w:rFonts w:hint="eastAsia"/>
                <w:color w:val="auto"/>
                <w:highlight w:val="none"/>
                <w:lang w:val="en-US" w:eastAsia="zh-CN"/>
              </w:rPr>
              <w:t>131.2672247</w:t>
            </w:r>
          </w:p>
        </w:tc>
        <w:tc>
          <w:tcPr>
            <w:tcW w:w="3742" w:type="dxa"/>
            <w:tcBorders>
              <w:tl2br w:val="nil"/>
              <w:tr2bl w:val="nil"/>
            </w:tcBorders>
            <w:vAlign w:val="bottom"/>
          </w:tcPr>
          <w:p w14:paraId="2527EBCC">
            <w:pPr>
              <w:jc w:val="center"/>
              <w:rPr>
                <w:rStyle w:val="87"/>
                <w:rFonts w:hint="eastAsia"/>
                <w:color w:val="auto"/>
                <w:highlight w:val="none"/>
              </w:rPr>
            </w:pPr>
            <w:r>
              <w:rPr>
                <w:rStyle w:val="87"/>
                <w:rFonts w:hint="eastAsia"/>
                <w:color w:val="auto"/>
                <w:highlight w:val="none"/>
                <w:lang w:val="en-US" w:eastAsia="zh-CN"/>
              </w:rPr>
              <w:t>45.34631744</w:t>
            </w:r>
          </w:p>
        </w:tc>
      </w:tr>
      <w:tr w14:paraId="088A2E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2A8E3C5B">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48</w:t>
            </w:r>
          </w:p>
        </w:tc>
        <w:tc>
          <w:tcPr>
            <w:tcW w:w="3742" w:type="dxa"/>
            <w:tcBorders>
              <w:tl2br w:val="nil"/>
              <w:tr2bl w:val="nil"/>
            </w:tcBorders>
            <w:vAlign w:val="bottom"/>
          </w:tcPr>
          <w:p w14:paraId="77263A85">
            <w:pPr>
              <w:jc w:val="center"/>
              <w:rPr>
                <w:rStyle w:val="87"/>
                <w:rFonts w:hint="eastAsia"/>
                <w:color w:val="auto"/>
                <w:highlight w:val="none"/>
              </w:rPr>
            </w:pPr>
            <w:r>
              <w:rPr>
                <w:rStyle w:val="87"/>
                <w:rFonts w:hint="eastAsia"/>
                <w:color w:val="auto"/>
                <w:highlight w:val="none"/>
                <w:lang w:val="en-US" w:eastAsia="zh-CN"/>
              </w:rPr>
              <w:t>131.2671751</w:t>
            </w:r>
          </w:p>
        </w:tc>
        <w:tc>
          <w:tcPr>
            <w:tcW w:w="3742" w:type="dxa"/>
            <w:tcBorders>
              <w:tl2br w:val="nil"/>
              <w:tr2bl w:val="nil"/>
            </w:tcBorders>
            <w:vAlign w:val="bottom"/>
          </w:tcPr>
          <w:p w14:paraId="3E1123F4">
            <w:pPr>
              <w:jc w:val="center"/>
              <w:rPr>
                <w:rStyle w:val="87"/>
                <w:rFonts w:hint="eastAsia"/>
                <w:color w:val="auto"/>
                <w:highlight w:val="none"/>
              </w:rPr>
            </w:pPr>
            <w:r>
              <w:rPr>
                <w:rStyle w:val="87"/>
                <w:rFonts w:hint="eastAsia"/>
                <w:color w:val="auto"/>
                <w:highlight w:val="none"/>
                <w:lang w:val="en-US" w:eastAsia="zh-CN"/>
              </w:rPr>
              <w:t>45.34640729</w:t>
            </w:r>
          </w:p>
        </w:tc>
      </w:tr>
      <w:tr w14:paraId="6FF146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642CDD3A">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49</w:t>
            </w:r>
          </w:p>
        </w:tc>
        <w:tc>
          <w:tcPr>
            <w:tcW w:w="3742" w:type="dxa"/>
            <w:tcBorders>
              <w:tl2br w:val="nil"/>
              <w:tr2bl w:val="nil"/>
            </w:tcBorders>
            <w:vAlign w:val="bottom"/>
          </w:tcPr>
          <w:p w14:paraId="382F24A7">
            <w:pPr>
              <w:jc w:val="center"/>
              <w:rPr>
                <w:rStyle w:val="87"/>
                <w:rFonts w:hint="eastAsia"/>
                <w:color w:val="auto"/>
                <w:highlight w:val="none"/>
              </w:rPr>
            </w:pPr>
            <w:r>
              <w:rPr>
                <w:rStyle w:val="87"/>
                <w:rFonts w:hint="eastAsia"/>
                <w:color w:val="auto"/>
                <w:highlight w:val="none"/>
                <w:lang w:val="en-US" w:eastAsia="zh-CN"/>
              </w:rPr>
              <w:t>131.2671027</w:t>
            </w:r>
          </w:p>
        </w:tc>
        <w:tc>
          <w:tcPr>
            <w:tcW w:w="3742" w:type="dxa"/>
            <w:tcBorders>
              <w:tl2br w:val="nil"/>
              <w:tr2bl w:val="nil"/>
            </w:tcBorders>
            <w:vAlign w:val="bottom"/>
          </w:tcPr>
          <w:p w14:paraId="0548251B">
            <w:pPr>
              <w:jc w:val="center"/>
              <w:rPr>
                <w:rStyle w:val="87"/>
                <w:rFonts w:hint="eastAsia"/>
                <w:color w:val="auto"/>
                <w:highlight w:val="none"/>
              </w:rPr>
            </w:pPr>
            <w:r>
              <w:rPr>
                <w:rStyle w:val="87"/>
                <w:rFonts w:hint="eastAsia"/>
                <w:color w:val="auto"/>
                <w:highlight w:val="none"/>
                <w:lang w:val="en-US" w:eastAsia="zh-CN"/>
              </w:rPr>
              <w:t>45.34660377</w:t>
            </w:r>
          </w:p>
        </w:tc>
      </w:tr>
      <w:tr w14:paraId="09CEB6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24C1D8E6">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50</w:t>
            </w:r>
          </w:p>
        </w:tc>
        <w:tc>
          <w:tcPr>
            <w:tcW w:w="3742" w:type="dxa"/>
            <w:tcBorders>
              <w:tl2br w:val="nil"/>
              <w:tr2bl w:val="nil"/>
            </w:tcBorders>
            <w:vAlign w:val="bottom"/>
          </w:tcPr>
          <w:p w14:paraId="741694CC">
            <w:pPr>
              <w:jc w:val="center"/>
              <w:rPr>
                <w:rStyle w:val="87"/>
                <w:rFonts w:hint="eastAsia"/>
                <w:color w:val="auto"/>
                <w:highlight w:val="none"/>
              </w:rPr>
            </w:pPr>
            <w:r>
              <w:rPr>
                <w:rStyle w:val="87"/>
                <w:rFonts w:hint="eastAsia"/>
                <w:color w:val="auto"/>
                <w:highlight w:val="none"/>
                <w:lang w:val="en-US" w:eastAsia="zh-CN"/>
              </w:rPr>
              <w:t>131.266868</w:t>
            </w:r>
          </w:p>
        </w:tc>
        <w:tc>
          <w:tcPr>
            <w:tcW w:w="3742" w:type="dxa"/>
            <w:tcBorders>
              <w:tl2br w:val="nil"/>
              <w:tr2bl w:val="nil"/>
            </w:tcBorders>
            <w:vAlign w:val="bottom"/>
          </w:tcPr>
          <w:p w14:paraId="01068F5B">
            <w:pPr>
              <w:jc w:val="center"/>
              <w:rPr>
                <w:rStyle w:val="87"/>
                <w:rFonts w:hint="eastAsia"/>
                <w:color w:val="auto"/>
                <w:highlight w:val="none"/>
              </w:rPr>
            </w:pPr>
            <w:r>
              <w:rPr>
                <w:rStyle w:val="87"/>
                <w:rFonts w:hint="eastAsia"/>
                <w:color w:val="auto"/>
                <w:highlight w:val="none"/>
                <w:lang w:val="en-US" w:eastAsia="zh-CN"/>
              </w:rPr>
              <w:t>45.34648173</w:t>
            </w:r>
          </w:p>
        </w:tc>
      </w:tr>
      <w:tr w14:paraId="5ABBE7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E972E4A">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51</w:t>
            </w:r>
          </w:p>
        </w:tc>
        <w:tc>
          <w:tcPr>
            <w:tcW w:w="3742" w:type="dxa"/>
            <w:tcBorders>
              <w:tl2br w:val="nil"/>
              <w:tr2bl w:val="nil"/>
            </w:tcBorders>
            <w:vAlign w:val="bottom"/>
          </w:tcPr>
          <w:p w14:paraId="44C39FE5">
            <w:pPr>
              <w:jc w:val="center"/>
              <w:rPr>
                <w:rStyle w:val="87"/>
                <w:rFonts w:hint="eastAsia"/>
                <w:color w:val="auto"/>
                <w:highlight w:val="none"/>
              </w:rPr>
            </w:pPr>
            <w:r>
              <w:rPr>
                <w:rStyle w:val="87"/>
                <w:rFonts w:hint="eastAsia"/>
                <w:color w:val="auto"/>
                <w:highlight w:val="none"/>
                <w:lang w:val="en-US" w:eastAsia="zh-CN"/>
              </w:rPr>
              <w:t>131.2666185</w:t>
            </w:r>
          </w:p>
        </w:tc>
        <w:tc>
          <w:tcPr>
            <w:tcW w:w="3742" w:type="dxa"/>
            <w:tcBorders>
              <w:tl2br w:val="nil"/>
              <w:tr2bl w:val="nil"/>
            </w:tcBorders>
            <w:vAlign w:val="bottom"/>
          </w:tcPr>
          <w:p w14:paraId="357BC0FE">
            <w:pPr>
              <w:jc w:val="center"/>
              <w:rPr>
                <w:rStyle w:val="87"/>
                <w:rFonts w:hint="eastAsia"/>
                <w:color w:val="auto"/>
                <w:highlight w:val="none"/>
              </w:rPr>
            </w:pPr>
            <w:r>
              <w:rPr>
                <w:rStyle w:val="87"/>
                <w:rFonts w:hint="eastAsia"/>
                <w:color w:val="auto"/>
                <w:highlight w:val="none"/>
                <w:lang w:val="en-US" w:eastAsia="zh-CN"/>
              </w:rPr>
              <w:t>45.34640864</w:t>
            </w:r>
          </w:p>
        </w:tc>
      </w:tr>
      <w:tr w14:paraId="53141B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55E6AD9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52</w:t>
            </w:r>
          </w:p>
        </w:tc>
        <w:tc>
          <w:tcPr>
            <w:tcW w:w="3742" w:type="dxa"/>
            <w:tcBorders>
              <w:tl2br w:val="nil"/>
              <w:tr2bl w:val="nil"/>
            </w:tcBorders>
            <w:vAlign w:val="bottom"/>
          </w:tcPr>
          <w:p w14:paraId="159DE904">
            <w:pPr>
              <w:jc w:val="center"/>
              <w:rPr>
                <w:rStyle w:val="87"/>
                <w:rFonts w:hint="eastAsia"/>
                <w:color w:val="auto"/>
                <w:highlight w:val="none"/>
              </w:rPr>
            </w:pPr>
            <w:r>
              <w:rPr>
                <w:rStyle w:val="87"/>
                <w:rFonts w:hint="eastAsia"/>
                <w:color w:val="auto"/>
                <w:highlight w:val="none"/>
                <w:lang w:val="en-US" w:eastAsia="zh-CN"/>
              </w:rPr>
              <w:t>131.2666842</w:t>
            </w:r>
          </w:p>
        </w:tc>
        <w:tc>
          <w:tcPr>
            <w:tcW w:w="3742" w:type="dxa"/>
            <w:tcBorders>
              <w:tl2br w:val="nil"/>
              <w:tr2bl w:val="nil"/>
            </w:tcBorders>
            <w:vAlign w:val="bottom"/>
          </w:tcPr>
          <w:p w14:paraId="14144981">
            <w:pPr>
              <w:jc w:val="center"/>
              <w:rPr>
                <w:rStyle w:val="87"/>
                <w:rFonts w:hint="eastAsia"/>
                <w:color w:val="auto"/>
                <w:highlight w:val="none"/>
              </w:rPr>
            </w:pPr>
            <w:r>
              <w:rPr>
                <w:rStyle w:val="87"/>
                <w:rFonts w:hint="eastAsia"/>
                <w:color w:val="auto"/>
                <w:highlight w:val="none"/>
                <w:lang w:val="en-US" w:eastAsia="zh-CN"/>
              </w:rPr>
              <w:t>45.34618869</w:t>
            </w:r>
          </w:p>
        </w:tc>
      </w:tr>
      <w:tr w14:paraId="1600A29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6782615">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53</w:t>
            </w:r>
          </w:p>
        </w:tc>
        <w:tc>
          <w:tcPr>
            <w:tcW w:w="3742" w:type="dxa"/>
            <w:tcBorders>
              <w:tl2br w:val="nil"/>
              <w:tr2bl w:val="nil"/>
            </w:tcBorders>
            <w:vAlign w:val="bottom"/>
          </w:tcPr>
          <w:p w14:paraId="48828342">
            <w:pPr>
              <w:jc w:val="center"/>
              <w:rPr>
                <w:rStyle w:val="87"/>
                <w:rFonts w:hint="eastAsia"/>
                <w:color w:val="auto"/>
                <w:highlight w:val="none"/>
              </w:rPr>
            </w:pPr>
            <w:r>
              <w:rPr>
                <w:rStyle w:val="87"/>
                <w:rFonts w:hint="eastAsia"/>
                <w:color w:val="auto"/>
                <w:highlight w:val="none"/>
                <w:lang w:val="en-US" w:eastAsia="zh-CN"/>
              </w:rPr>
              <w:t>131.2672368</w:t>
            </w:r>
          </w:p>
        </w:tc>
        <w:tc>
          <w:tcPr>
            <w:tcW w:w="3742" w:type="dxa"/>
            <w:tcBorders>
              <w:tl2br w:val="nil"/>
              <w:tr2bl w:val="nil"/>
            </w:tcBorders>
            <w:vAlign w:val="bottom"/>
          </w:tcPr>
          <w:p w14:paraId="5CEBD0AD">
            <w:pPr>
              <w:jc w:val="center"/>
              <w:rPr>
                <w:rStyle w:val="87"/>
                <w:rFonts w:hint="eastAsia"/>
                <w:color w:val="auto"/>
                <w:highlight w:val="none"/>
              </w:rPr>
            </w:pPr>
            <w:r>
              <w:rPr>
                <w:rStyle w:val="87"/>
                <w:rFonts w:hint="eastAsia"/>
                <w:color w:val="auto"/>
                <w:highlight w:val="none"/>
                <w:lang w:val="en-US" w:eastAsia="zh-CN"/>
              </w:rPr>
              <w:t>45.34559056</w:t>
            </w:r>
          </w:p>
        </w:tc>
      </w:tr>
      <w:tr w14:paraId="256A63A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FDE553B">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54</w:t>
            </w:r>
          </w:p>
        </w:tc>
        <w:tc>
          <w:tcPr>
            <w:tcW w:w="3742" w:type="dxa"/>
            <w:tcBorders>
              <w:tl2br w:val="nil"/>
              <w:tr2bl w:val="nil"/>
            </w:tcBorders>
            <w:vAlign w:val="bottom"/>
          </w:tcPr>
          <w:p w14:paraId="3CB91B79">
            <w:pPr>
              <w:jc w:val="center"/>
              <w:rPr>
                <w:rStyle w:val="87"/>
                <w:rFonts w:hint="eastAsia"/>
                <w:color w:val="auto"/>
                <w:highlight w:val="none"/>
              </w:rPr>
            </w:pPr>
            <w:r>
              <w:rPr>
                <w:rStyle w:val="87"/>
                <w:rFonts w:hint="eastAsia"/>
                <w:color w:val="auto"/>
                <w:highlight w:val="none"/>
                <w:lang w:val="en-US" w:eastAsia="zh-CN"/>
              </w:rPr>
              <w:t>131.2671375</w:t>
            </w:r>
          </w:p>
        </w:tc>
        <w:tc>
          <w:tcPr>
            <w:tcW w:w="3742" w:type="dxa"/>
            <w:tcBorders>
              <w:tl2br w:val="nil"/>
              <w:tr2bl w:val="nil"/>
            </w:tcBorders>
            <w:vAlign w:val="bottom"/>
          </w:tcPr>
          <w:p w14:paraId="0A3E21FE">
            <w:pPr>
              <w:jc w:val="center"/>
              <w:rPr>
                <w:rStyle w:val="87"/>
                <w:rFonts w:hint="eastAsia"/>
                <w:color w:val="auto"/>
                <w:highlight w:val="none"/>
              </w:rPr>
            </w:pPr>
            <w:r>
              <w:rPr>
                <w:rStyle w:val="87"/>
                <w:rFonts w:hint="eastAsia"/>
                <w:color w:val="auto"/>
                <w:highlight w:val="none"/>
                <w:lang w:val="en-US" w:eastAsia="zh-CN"/>
              </w:rPr>
              <w:t>45.34555368</w:t>
            </w:r>
          </w:p>
        </w:tc>
      </w:tr>
      <w:tr w14:paraId="7430C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D488BA1">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55</w:t>
            </w:r>
          </w:p>
        </w:tc>
        <w:tc>
          <w:tcPr>
            <w:tcW w:w="3742" w:type="dxa"/>
            <w:tcBorders>
              <w:tl2br w:val="nil"/>
              <w:tr2bl w:val="nil"/>
            </w:tcBorders>
            <w:vAlign w:val="bottom"/>
          </w:tcPr>
          <w:p w14:paraId="7D5E341F">
            <w:pPr>
              <w:jc w:val="center"/>
              <w:rPr>
                <w:rStyle w:val="87"/>
                <w:rFonts w:hint="eastAsia"/>
                <w:color w:val="auto"/>
                <w:highlight w:val="none"/>
              </w:rPr>
            </w:pPr>
            <w:r>
              <w:rPr>
                <w:rStyle w:val="87"/>
                <w:rFonts w:hint="eastAsia"/>
                <w:color w:val="auto"/>
                <w:highlight w:val="none"/>
                <w:lang w:val="en-US" w:eastAsia="zh-CN"/>
              </w:rPr>
              <w:t>131.2681393</w:t>
            </w:r>
          </w:p>
        </w:tc>
        <w:tc>
          <w:tcPr>
            <w:tcW w:w="3742" w:type="dxa"/>
            <w:tcBorders>
              <w:tl2br w:val="nil"/>
              <w:tr2bl w:val="nil"/>
            </w:tcBorders>
            <w:vAlign w:val="bottom"/>
          </w:tcPr>
          <w:p w14:paraId="5A57438C">
            <w:pPr>
              <w:jc w:val="center"/>
              <w:rPr>
                <w:rStyle w:val="87"/>
                <w:rFonts w:hint="eastAsia"/>
                <w:color w:val="auto"/>
                <w:highlight w:val="none"/>
              </w:rPr>
            </w:pPr>
            <w:r>
              <w:rPr>
                <w:rStyle w:val="87"/>
                <w:rFonts w:hint="eastAsia"/>
                <w:color w:val="auto"/>
                <w:highlight w:val="none"/>
                <w:lang w:val="en-US" w:eastAsia="zh-CN"/>
              </w:rPr>
              <w:t>45.3444694</w:t>
            </w:r>
          </w:p>
        </w:tc>
      </w:tr>
      <w:tr w14:paraId="491AB4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417F7B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56</w:t>
            </w:r>
          </w:p>
        </w:tc>
        <w:tc>
          <w:tcPr>
            <w:tcW w:w="3742" w:type="dxa"/>
            <w:tcBorders>
              <w:tl2br w:val="nil"/>
              <w:tr2bl w:val="nil"/>
            </w:tcBorders>
            <w:vAlign w:val="bottom"/>
          </w:tcPr>
          <w:p w14:paraId="65411EED">
            <w:pPr>
              <w:jc w:val="center"/>
              <w:rPr>
                <w:rStyle w:val="87"/>
                <w:rFonts w:hint="eastAsia"/>
                <w:color w:val="auto"/>
                <w:highlight w:val="none"/>
              </w:rPr>
            </w:pPr>
            <w:r>
              <w:rPr>
                <w:rStyle w:val="87"/>
                <w:rFonts w:hint="eastAsia"/>
                <w:color w:val="auto"/>
                <w:highlight w:val="none"/>
                <w:lang w:val="en-US" w:eastAsia="zh-CN"/>
              </w:rPr>
              <w:t>131.2674869</w:t>
            </w:r>
          </w:p>
        </w:tc>
        <w:tc>
          <w:tcPr>
            <w:tcW w:w="3742" w:type="dxa"/>
            <w:tcBorders>
              <w:tl2br w:val="nil"/>
              <w:tr2bl w:val="nil"/>
            </w:tcBorders>
            <w:vAlign w:val="bottom"/>
          </w:tcPr>
          <w:p w14:paraId="5764CF34">
            <w:pPr>
              <w:jc w:val="center"/>
              <w:rPr>
                <w:rStyle w:val="87"/>
                <w:rFonts w:hint="eastAsia"/>
                <w:color w:val="auto"/>
                <w:highlight w:val="none"/>
              </w:rPr>
            </w:pPr>
            <w:r>
              <w:rPr>
                <w:rStyle w:val="87"/>
                <w:rFonts w:hint="eastAsia"/>
                <w:color w:val="auto"/>
                <w:highlight w:val="none"/>
                <w:lang w:val="en-US" w:eastAsia="zh-CN"/>
              </w:rPr>
              <w:t>45.34429438</w:t>
            </w:r>
          </w:p>
        </w:tc>
      </w:tr>
      <w:tr w14:paraId="05DA1A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61C88A8B">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57</w:t>
            </w:r>
          </w:p>
        </w:tc>
        <w:tc>
          <w:tcPr>
            <w:tcW w:w="3742" w:type="dxa"/>
            <w:tcBorders>
              <w:tl2br w:val="nil"/>
              <w:tr2bl w:val="nil"/>
            </w:tcBorders>
            <w:vAlign w:val="bottom"/>
          </w:tcPr>
          <w:p w14:paraId="39B4F3CF">
            <w:pPr>
              <w:jc w:val="center"/>
              <w:rPr>
                <w:rStyle w:val="87"/>
                <w:rFonts w:hint="eastAsia"/>
                <w:color w:val="auto"/>
                <w:highlight w:val="none"/>
              </w:rPr>
            </w:pPr>
            <w:r>
              <w:rPr>
                <w:rStyle w:val="87"/>
                <w:rFonts w:hint="eastAsia"/>
                <w:color w:val="auto"/>
                <w:highlight w:val="none"/>
                <w:lang w:val="en-US" w:eastAsia="zh-CN"/>
              </w:rPr>
              <w:t>131.2678416</w:t>
            </w:r>
          </w:p>
        </w:tc>
        <w:tc>
          <w:tcPr>
            <w:tcW w:w="3742" w:type="dxa"/>
            <w:tcBorders>
              <w:tl2br w:val="nil"/>
              <w:tr2bl w:val="nil"/>
            </w:tcBorders>
            <w:vAlign w:val="bottom"/>
          </w:tcPr>
          <w:p w14:paraId="3F519543">
            <w:pPr>
              <w:jc w:val="center"/>
              <w:rPr>
                <w:rStyle w:val="87"/>
                <w:rFonts w:hint="eastAsia"/>
                <w:color w:val="auto"/>
                <w:highlight w:val="none"/>
              </w:rPr>
            </w:pPr>
            <w:r>
              <w:rPr>
                <w:rStyle w:val="87"/>
                <w:rFonts w:hint="eastAsia"/>
                <w:color w:val="auto"/>
                <w:highlight w:val="none"/>
                <w:lang w:val="en-US" w:eastAsia="zh-CN"/>
              </w:rPr>
              <w:t>45.34261599</w:t>
            </w:r>
          </w:p>
        </w:tc>
      </w:tr>
      <w:tr w14:paraId="0E48FB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74F9A3C0">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58</w:t>
            </w:r>
          </w:p>
        </w:tc>
        <w:tc>
          <w:tcPr>
            <w:tcW w:w="3742" w:type="dxa"/>
            <w:tcBorders>
              <w:tl2br w:val="nil"/>
              <w:tr2bl w:val="nil"/>
            </w:tcBorders>
            <w:vAlign w:val="bottom"/>
          </w:tcPr>
          <w:p w14:paraId="1CB25A4D">
            <w:pPr>
              <w:jc w:val="center"/>
              <w:rPr>
                <w:rStyle w:val="87"/>
                <w:rFonts w:hint="eastAsia"/>
                <w:color w:val="auto"/>
                <w:highlight w:val="none"/>
              </w:rPr>
            </w:pPr>
            <w:r>
              <w:rPr>
                <w:rStyle w:val="87"/>
                <w:rFonts w:hint="eastAsia"/>
                <w:color w:val="auto"/>
                <w:highlight w:val="none"/>
                <w:lang w:val="en-US" w:eastAsia="zh-CN"/>
              </w:rPr>
              <w:t>131.2682654</w:t>
            </w:r>
          </w:p>
        </w:tc>
        <w:tc>
          <w:tcPr>
            <w:tcW w:w="3742" w:type="dxa"/>
            <w:tcBorders>
              <w:tl2br w:val="nil"/>
              <w:tr2bl w:val="nil"/>
            </w:tcBorders>
            <w:vAlign w:val="bottom"/>
          </w:tcPr>
          <w:p w14:paraId="63AC38C1">
            <w:pPr>
              <w:jc w:val="center"/>
              <w:rPr>
                <w:rStyle w:val="87"/>
                <w:rFonts w:hint="eastAsia"/>
                <w:color w:val="auto"/>
                <w:highlight w:val="none"/>
              </w:rPr>
            </w:pPr>
            <w:r>
              <w:rPr>
                <w:rStyle w:val="87"/>
                <w:rFonts w:hint="eastAsia"/>
                <w:color w:val="auto"/>
                <w:highlight w:val="none"/>
                <w:lang w:val="en-US" w:eastAsia="zh-CN"/>
              </w:rPr>
              <w:t>45.34252614</w:t>
            </w:r>
          </w:p>
        </w:tc>
      </w:tr>
      <w:tr w14:paraId="156612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49F85E83">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59</w:t>
            </w:r>
          </w:p>
        </w:tc>
        <w:tc>
          <w:tcPr>
            <w:tcW w:w="3742" w:type="dxa"/>
            <w:tcBorders>
              <w:tl2br w:val="nil"/>
              <w:tr2bl w:val="nil"/>
            </w:tcBorders>
            <w:vAlign w:val="bottom"/>
          </w:tcPr>
          <w:p w14:paraId="23715195">
            <w:pPr>
              <w:jc w:val="center"/>
              <w:rPr>
                <w:rStyle w:val="87"/>
                <w:rFonts w:hint="eastAsia"/>
                <w:color w:val="auto"/>
                <w:highlight w:val="none"/>
              </w:rPr>
            </w:pPr>
            <w:r>
              <w:rPr>
                <w:rStyle w:val="87"/>
                <w:rFonts w:hint="eastAsia"/>
                <w:color w:val="auto"/>
                <w:highlight w:val="none"/>
                <w:lang w:val="en-US" w:eastAsia="zh-CN"/>
              </w:rPr>
              <w:t>131.2680193</w:t>
            </w:r>
          </w:p>
        </w:tc>
        <w:tc>
          <w:tcPr>
            <w:tcW w:w="3742" w:type="dxa"/>
            <w:tcBorders>
              <w:tl2br w:val="nil"/>
              <w:tr2bl w:val="nil"/>
            </w:tcBorders>
            <w:vAlign w:val="bottom"/>
          </w:tcPr>
          <w:p w14:paraId="5C6ED771">
            <w:pPr>
              <w:jc w:val="center"/>
              <w:rPr>
                <w:rStyle w:val="87"/>
                <w:rFonts w:hint="eastAsia"/>
                <w:color w:val="auto"/>
                <w:highlight w:val="none"/>
              </w:rPr>
            </w:pPr>
            <w:r>
              <w:rPr>
                <w:rStyle w:val="87"/>
                <w:rFonts w:hint="eastAsia"/>
                <w:color w:val="auto"/>
                <w:highlight w:val="none"/>
                <w:lang w:val="en-US" w:eastAsia="zh-CN"/>
              </w:rPr>
              <w:t>45.34176908</w:t>
            </w:r>
          </w:p>
        </w:tc>
      </w:tr>
      <w:tr w14:paraId="67D932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08" w:hRule="atLeast"/>
        </w:trPr>
        <w:tc>
          <w:tcPr>
            <w:tcW w:w="711" w:type="dxa"/>
            <w:tcBorders>
              <w:tl2br w:val="nil"/>
              <w:tr2bl w:val="nil"/>
            </w:tcBorders>
            <w:vAlign w:val="center"/>
          </w:tcPr>
          <w:p w14:paraId="0A640AF5">
            <w:pPr>
              <w:numPr>
                <w:ilvl w:val="0"/>
                <w:numId w:val="0"/>
              </w:numPr>
              <w:ind w:left="425" w:leftChars="0" w:hanging="425" w:firstLineChars="0"/>
              <w:jc w:val="center"/>
              <w:rPr>
                <w:rStyle w:val="87"/>
                <w:rFonts w:hint="eastAsia"/>
                <w:color w:val="auto"/>
                <w:highlight w:val="none"/>
              </w:rPr>
            </w:pPr>
            <w:r>
              <w:rPr>
                <w:rFonts w:hint="default" w:ascii="Times New Roman" w:hAnsi="Times New Roman" w:eastAsia="宋体" w:cs="Times New Roman"/>
                <w:color w:val="auto"/>
                <w:kern w:val="2"/>
                <w:sz w:val="21"/>
                <w:szCs w:val="24"/>
                <w:highlight w:val="none"/>
                <w:lang w:val="en-US" w:eastAsia="zh-CN" w:bidi="ar-SA"/>
              </w:rPr>
              <w:t>60</w:t>
            </w:r>
          </w:p>
        </w:tc>
        <w:tc>
          <w:tcPr>
            <w:tcW w:w="3742" w:type="dxa"/>
            <w:tcBorders>
              <w:tl2br w:val="nil"/>
              <w:tr2bl w:val="nil"/>
            </w:tcBorders>
            <w:vAlign w:val="bottom"/>
          </w:tcPr>
          <w:p w14:paraId="6514CF53">
            <w:pPr>
              <w:jc w:val="center"/>
              <w:rPr>
                <w:rStyle w:val="87"/>
                <w:rFonts w:hint="eastAsia"/>
                <w:color w:val="auto"/>
                <w:highlight w:val="none"/>
              </w:rPr>
            </w:pPr>
            <w:r>
              <w:rPr>
                <w:rStyle w:val="87"/>
                <w:rFonts w:hint="eastAsia"/>
                <w:color w:val="auto"/>
                <w:highlight w:val="none"/>
                <w:lang w:val="en-US" w:eastAsia="zh-CN"/>
              </w:rPr>
              <w:t>131.2681561</w:t>
            </w:r>
          </w:p>
        </w:tc>
        <w:tc>
          <w:tcPr>
            <w:tcW w:w="3742" w:type="dxa"/>
            <w:tcBorders>
              <w:tl2br w:val="nil"/>
              <w:tr2bl w:val="nil"/>
            </w:tcBorders>
            <w:vAlign w:val="bottom"/>
          </w:tcPr>
          <w:p w14:paraId="7DDA250F">
            <w:pPr>
              <w:jc w:val="center"/>
              <w:rPr>
                <w:rStyle w:val="87"/>
                <w:rFonts w:hint="eastAsia"/>
                <w:color w:val="auto"/>
                <w:highlight w:val="none"/>
              </w:rPr>
            </w:pPr>
            <w:r>
              <w:rPr>
                <w:rStyle w:val="87"/>
                <w:rFonts w:hint="eastAsia"/>
                <w:color w:val="auto"/>
                <w:highlight w:val="none"/>
                <w:lang w:val="en-US" w:eastAsia="zh-CN"/>
              </w:rPr>
              <w:t>45.34172483</w:t>
            </w:r>
          </w:p>
        </w:tc>
      </w:tr>
      <w:tr w14:paraId="20A282A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36" w:hRule="atLeast"/>
        </w:trPr>
        <w:tc>
          <w:tcPr>
            <w:tcW w:w="711" w:type="dxa"/>
            <w:tcBorders>
              <w:tl2br w:val="nil"/>
              <w:tr2bl w:val="nil"/>
            </w:tcBorders>
            <w:vAlign w:val="center"/>
          </w:tcPr>
          <w:p w14:paraId="49D0E001">
            <w:pPr>
              <w:numPr>
                <w:ilvl w:val="0"/>
                <w:numId w:val="0"/>
              </w:numPr>
              <w:ind w:leftChars="0"/>
              <w:jc w:val="center"/>
              <w:rPr>
                <w:rStyle w:val="87"/>
                <w:rFonts w:hint="default" w:eastAsia="宋体"/>
                <w:color w:val="auto"/>
                <w:highlight w:val="none"/>
                <w:lang w:val="en-US" w:eastAsia="zh-CN"/>
              </w:rPr>
            </w:pPr>
            <w:r>
              <w:rPr>
                <w:rStyle w:val="87"/>
                <w:rFonts w:hint="eastAsia"/>
                <w:color w:val="auto"/>
                <w:highlight w:val="none"/>
                <w:lang w:val="en-US" w:eastAsia="zh-CN"/>
              </w:rPr>
              <w:t>61</w:t>
            </w:r>
          </w:p>
        </w:tc>
        <w:tc>
          <w:tcPr>
            <w:tcW w:w="3742" w:type="dxa"/>
            <w:tcBorders>
              <w:tl2br w:val="nil"/>
              <w:tr2bl w:val="nil"/>
            </w:tcBorders>
            <w:vAlign w:val="bottom"/>
          </w:tcPr>
          <w:p w14:paraId="4A930BD0">
            <w:pPr>
              <w:jc w:val="center"/>
              <w:rPr>
                <w:rStyle w:val="87"/>
                <w:rFonts w:hint="eastAsia"/>
                <w:color w:val="auto"/>
                <w:highlight w:val="none"/>
              </w:rPr>
            </w:pPr>
            <w:r>
              <w:rPr>
                <w:rStyle w:val="87"/>
                <w:rFonts w:hint="eastAsia"/>
                <w:color w:val="auto"/>
                <w:highlight w:val="none"/>
                <w:lang w:val="en-US" w:eastAsia="zh-CN"/>
              </w:rPr>
              <w:t>131.2680729</w:t>
            </w:r>
          </w:p>
        </w:tc>
        <w:tc>
          <w:tcPr>
            <w:tcW w:w="3742" w:type="dxa"/>
            <w:tcBorders>
              <w:tl2br w:val="nil"/>
              <w:tr2bl w:val="nil"/>
            </w:tcBorders>
            <w:vAlign w:val="bottom"/>
          </w:tcPr>
          <w:p w14:paraId="0EC332B5">
            <w:pPr>
              <w:jc w:val="center"/>
              <w:rPr>
                <w:rStyle w:val="87"/>
                <w:rFonts w:hint="eastAsia"/>
                <w:color w:val="auto"/>
                <w:highlight w:val="none"/>
              </w:rPr>
            </w:pPr>
            <w:r>
              <w:rPr>
                <w:rStyle w:val="87"/>
                <w:rFonts w:hint="eastAsia"/>
                <w:color w:val="auto"/>
                <w:highlight w:val="none"/>
                <w:lang w:val="en-US" w:eastAsia="zh-CN"/>
              </w:rPr>
              <w:t>45.34154244</w:t>
            </w:r>
          </w:p>
        </w:tc>
      </w:tr>
    </w:tbl>
    <w:p w14:paraId="08B526AD">
      <w:pPr>
        <w:pStyle w:val="59"/>
        <w:ind w:firstLine="480"/>
        <w:rPr>
          <w:rFonts w:hint="default" w:eastAsia="宋体"/>
          <w:color w:val="auto"/>
          <w:lang w:val="en-US" w:eastAsia="zh-CN"/>
        </w:rPr>
      </w:pPr>
      <w:r>
        <w:rPr>
          <w:rFonts w:hint="eastAsia"/>
          <w:color w:val="auto"/>
        </w:rPr>
        <w:t>2、</w:t>
      </w:r>
      <w:r>
        <w:rPr>
          <w:rFonts w:hint="eastAsia"/>
          <w:color w:val="auto"/>
          <w:lang w:val="en-US" w:eastAsia="zh-CN"/>
        </w:rPr>
        <w:t>回填物来源及回填物入场有要求</w:t>
      </w:r>
    </w:p>
    <w:p w14:paraId="5E46CE63">
      <w:pPr>
        <w:pStyle w:val="59"/>
        <w:ind w:firstLine="480"/>
        <w:rPr>
          <w:color w:val="auto"/>
        </w:rPr>
      </w:pPr>
      <w:r>
        <w:rPr>
          <w:rFonts w:hint="eastAsia"/>
          <w:color w:val="auto"/>
        </w:rPr>
        <w:t>根据《一般工业固体废物贮存和填埋污染控制标准》(GB18599-2020)“8.2第II类一般工业固体废物以及不符合8.1充填或回填途径的第I类一般工业固体废物其充填或回填活动前应开展环境本底调查，并按照HJ25.3等相关标准进行环境风险评估，重点评估对地下水、地表水及周边土壤的环境污染风险，确保环境风险可以接受”。调查主要包括一般工业固体废物调查(种类、性状、数量、范围、特征污染物等)、环境质量调查(土壤及地下水的环境本底、回填区、影响区域的调查)、健康风险评估等。</w:t>
      </w:r>
    </w:p>
    <w:p w14:paraId="155A7334">
      <w:pPr>
        <w:pStyle w:val="59"/>
        <w:ind w:firstLine="480"/>
        <w:rPr>
          <w:color w:val="auto"/>
        </w:rPr>
      </w:pPr>
      <w:r>
        <w:rPr>
          <w:rFonts w:hint="eastAsia"/>
          <w:color w:val="auto"/>
        </w:rPr>
        <w:t>（1）回填物</w:t>
      </w:r>
      <w:r>
        <w:rPr>
          <w:color w:val="auto"/>
        </w:rPr>
        <w:t>来源及回填量</w:t>
      </w:r>
    </w:p>
    <w:p w14:paraId="333A5615">
      <w:pPr>
        <w:pStyle w:val="59"/>
        <w:ind w:firstLine="480"/>
        <w:rPr>
          <w:rFonts w:hint="eastAsia"/>
          <w:color w:val="auto"/>
          <w:sz w:val="24"/>
          <w:szCs w:val="24"/>
          <w:lang w:val="en-US" w:eastAsia="zh-CN"/>
        </w:rPr>
      </w:pPr>
      <w:r>
        <w:rPr>
          <w:rFonts w:hint="eastAsia"/>
          <w:color w:val="auto"/>
          <w:sz w:val="24"/>
          <w:szCs w:val="24"/>
          <w:lang w:val="en-US" w:eastAsia="zh-CN"/>
        </w:rPr>
        <w:t>回填材料为黑龙江醇能热电有限公司的灰渣以及新泉采石场原矿山剥离物，根据企业环境信息依法披露系统（黑龙江）公开信息，黑龙江醇能热电有限公司年产灰渣量约为109715.935t/a，因此，本项目利用黑龙江醇能热电有限公司的部分灰渣回填至本项目场地，计划回填1089天，根据鸡东县新泉采石场矿山生态修复设计方案，矿区内现有存量采矿过程剥离物21.5万m</w:t>
      </w:r>
      <w:r>
        <w:rPr>
          <w:rFonts w:hint="eastAsia"/>
          <w:color w:val="auto"/>
          <w:sz w:val="24"/>
          <w:szCs w:val="24"/>
          <w:vertAlign w:val="superscript"/>
          <w:lang w:val="en-US" w:eastAsia="zh-CN"/>
        </w:rPr>
        <w:t>3</w:t>
      </w:r>
      <w:r>
        <w:rPr>
          <w:rFonts w:hint="eastAsia"/>
          <w:color w:val="auto"/>
          <w:sz w:val="24"/>
          <w:szCs w:val="24"/>
          <w:lang w:val="en-US" w:eastAsia="zh-CN"/>
        </w:rPr>
        <w:t>，现堆存于矿区料场内，矿区地貌重塑共需54.26万m</w:t>
      </w:r>
      <w:r>
        <w:rPr>
          <w:rFonts w:hint="eastAsia"/>
          <w:color w:val="auto"/>
          <w:sz w:val="24"/>
          <w:szCs w:val="24"/>
          <w:vertAlign w:val="superscript"/>
          <w:lang w:val="en-US" w:eastAsia="zh-CN"/>
        </w:rPr>
        <w:t>3</w:t>
      </w:r>
      <w:r>
        <w:rPr>
          <w:rFonts w:hint="eastAsia"/>
          <w:color w:val="auto"/>
          <w:sz w:val="24"/>
          <w:szCs w:val="24"/>
          <w:lang w:val="en-US" w:eastAsia="zh-CN"/>
        </w:rPr>
        <w:t>米回填材料，需</w:t>
      </w:r>
      <w:r>
        <w:rPr>
          <w:rFonts w:hint="default" w:ascii="Times New Roman" w:hAnsi="Times New Roman" w:eastAsia="宋体" w:cs="Times New Roman"/>
          <w:color w:val="auto"/>
          <w:kern w:val="0"/>
          <w:sz w:val="24"/>
          <w:szCs w:val="24"/>
          <w:highlight w:val="none"/>
          <w:lang w:val="en-US" w:eastAsia="zh-CN" w:bidi="ar"/>
        </w:rPr>
        <w:t>回填灰渣量为32.76万m</w:t>
      </w:r>
      <w:r>
        <w:rPr>
          <w:rFonts w:hint="default" w:ascii="Times New Roman" w:hAnsi="Times New Roman" w:eastAsia="宋体" w:cs="Times New Roman"/>
          <w:color w:val="auto"/>
          <w:kern w:val="0"/>
          <w:sz w:val="24"/>
          <w:szCs w:val="24"/>
          <w:highlight w:val="none"/>
          <w:vertAlign w:val="superscript"/>
          <w:lang w:val="en-US" w:eastAsia="zh-CN" w:bidi="ar"/>
        </w:rPr>
        <w:t>3</w:t>
      </w:r>
      <w:r>
        <w:rPr>
          <w:rFonts w:hint="default" w:ascii="Times New Roman" w:hAnsi="Times New Roman" w:eastAsia="宋体" w:cs="Times New Roman"/>
          <w:color w:val="auto"/>
          <w:kern w:val="0"/>
          <w:sz w:val="24"/>
          <w:szCs w:val="24"/>
          <w:highlight w:val="none"/>
          <w:lang w:val="en-US" w:eastAsia="zh-CN" w:bidi="ar"/>
        </w:rPr>
        <w:t>/3a，电厂产渣能力可满足本项目回填物料需求。</w:t>
      </w:r>
      <w:r>
        <w:rPr>
          <w:rFonts w:hint="eastAsia"/>
          <w:color w:val="auto"/>
          <w:sz w:val="24"/>
          <w:szCs w:val="24"/>
          <w:lang w:val="en-US" w:eastAsia="zh-CN"/>
        </w:rPr>
        <w:t>本项目物料来源可行。</w:t>
      </w:r>
    </w:p>
    <w:p w14:paraId="1916ED28">
      <w:pPr>
        <w:pStyle w:val="59"/>
        <w:ind w:firstLine="480"/>
        <w:rPr>
          <w:color w:val="auto"/>
        </w:rPr>
      </w:pPr>
      <w:r>
        <w:rPr>
          <w:rFonts w:hint="eastAsia"/>
          <w:color w:val="auto"/>
        </w:rPr>
        <w:t>（</w:t>
      </w:r>
      <w:r>
        <w:rPr>
          <w:rFonts w:hint="eastAsia"/>
          <w:color w:val="auto"/>
          <w:lang w:val="en-US" w:eastAsia="zh-CN"/>
        </w:rPr>
        <w:t>2</w:t>
      </w:r>
      <w:r>
        <w:rPr>
          <w:rFonts w:hint="eastAsia"/>
          <w:color w:val="auto"/>
        </w:rPr>
        <w:t>）回填物特性鉴别</w:t>
      </w:r>
    </w:p>
    <w:p w14:paraId="7517AC6D">
      <w:pPr>
        <w:pStyle w:val="59"/>
        <w:ind w:firstLine="480"/>
        <w:rPr>
          <w:rFonts w:hint="default"/>
          <w:color w:val="auto"/>
          <w:lang w:val="en-US" w:eastAsia="zh-CN"/>
        </w:rPr>
      </w:pPr>
      <w:r>
        <w:rPr>
          <w:rFonts w:hint="eastAsia"/>
          <w:color w:val="auto"/>
          <w:lang w:val="en-US" w:eastAsia="zh-CN"/>
        </w:rPr>
        <w:t>本次对黑龙江醇能热电有限公司产生的固体废物进行产生源分析，依据法律规定和《固体废物鉴别标准通则》（GB34330-2025）：A.3锅炉、固体废物焚烧炉干法除尘设施处理过程中收集的烟尘、粉尘，包括粉煤灰、飞灰等。5.2、 h）、</w:t>
      </w:r>
      <w:r>
        <w:rPr>
          <w:rFonts w:ascii="宋体" w:hAnsi="宋体" w:eastAsia="宋体" w:cs="宋体"/>
          <w:color w:val="auto"/>
          <w:sz w:val="24"/>
          <w:szCs w:val="24"/>
        </w:rPr>
        <w:t>火力发电厂锅炉、其他工业和民用锅炉、工业窑炉等热能或燃烧设施中，燃料燃烧产生的燃煤炉渣等残余物质。</w:t>
      </w:r>
    </w:p>
    <w:p w14:paraId="65ADCB2A">
      <w:pPr>
        <w:pStyle w:val="59"/>
        <w:ind w:firstLine="480"/>
        <w:rPr>
          <w:rFonts w:ascii="宋体" w:hAnsi="宋体" w:eastAsia="宋体" w:cs="宋体"/>
          <w:color w:val="auto"/>
          <w:sz w:val="24"/>
          <w:szCs w:val="24"/>
        </w:rPr>
      </w:pPr>
      <w:r>
        <w:rPr>
          <w:rFonts w:hint="eastAsia"/>
          <w:color w:val="auto"/>
          <w:lang w:val="en-US" w:eastAsia="zh-CN"/>
        </w:rPr>
        <w:t>根据《固体废物分类与代码目录》，牡丹江热电有限公司产生的灰渣属于900-001-S02，粉煤灰、900-001-S03</w:t>
      </w:r>
      <w:r>
        <w:rPr>
          <w:rFonts w:ascii="宋体" w:hAnsi="宋体" w:eastAsia="宋体" w:cs="宋体"/>
          <w:color w:val="auto"/>
          <w:sz w:val="24"/>
          <w:szCs w:val="24"/>
        </w:rPr>
        <w:t>炉渣。煤炭燃烧产生的炉渣。</w:t>
      </w:r>
    </w:p>
    <w:p w14:paraId="4AF34167">
      <w:pPr>
        <w:pStyle w:val="59"/>
        <w:ind w:firstLine="480"/>
        <w:rPr>
          <w:rFonts w:hint="eastAsia"/>
          <w:color w:val="auto"/>
          <w:highlight w:val="none"/>
        </w:rPr>
      </w:pPr>
      <w:r>
        <w:rPr>
          <w:rFonts w:hint="eastAsia"/>
          <w:color w:val="auto"/>
          <w:lang w:val="en-US" w:eastAsia="zh-CN"/>
        </w:rPr>
        <w:t>黑龙江醇能热电有限公司的灰渣均属于固体废物。经判断属于固体废物后，依据《国家危险废物名录》（</w:t>
      </w:r>
      <w:r>
        <w:rPr>
          <w:rFonts w:hint="default"/>
          <w:color w:val="auto"/>
          <w:lang w:val="en-US" w:eastAsia="zh-CN"/>
        </w:rPr>
        <w:t>2025</w:t>
      </w:r>
      <w:r>
        <w:rPr>
          <w:rFonts w:hint="eastAsia"/>
          <w:color w:val="auto"/>
          <w:lang w:val="en-US" w:eastAsia="zh-CN"/>
        </w:rPr>
        <w:t>年版）和《危险废物排除管理清单（</w:t>
      </w:r>
      <w:r>
        <w:rPr>
          <w:rFonts w:hint="default"/>
          <w:color w:val="auto"/>
          <w:lang w:val="en-US" w:eastAsia="zh-CN"/>
        </w:rPr>
        <w:t>2025</w:t>
      </w:r>
      <w:r>
        <w:rPr>
          <w:rFonts w:hint="eastAsia"/>
          <w:color w:val="auto"/>
          <w:lang w:val="en-US" w:eastAsia="zh-CN"/>
        </w:rPr>
        <w:t>年版）》判断，灰渣不在《国家危险废物名录》（</w:t>
      </w:r>
      <w:r>
        <w:rPr>
          <w:rFonts w:hint="default"/>
          <w:color w:val="auto"/>
          <w:lang w:val="en-US" w:eastAsia="zh-CN"/>
        </w:rPr>
        <w:t>2025</w:t>
      </w:r>
      <w:r>
        <w:rPr>
          <w:rFonts w:hint="eastAsia"/>
          <w:color w:val="auto"/>
          <w:lang w:val="en-US" w:eastAsia="zh-CN"/>
        </w:rPr>
        <w:t>年版）内，不属于《国家危险废物名录》（</w:t>
      </w:r>
      <w:r>
        <w:rPr>
          <w:rFonts w:hint="default"/>
          <w:color w:val="auto"/>
          <w:lang w:val="en-US" w:eastAsia="zh-CN"/>
        </w:rPr>
        <w:t>2025</w:t>
      </w:r>
      <w:r>
        <w:rPr>
          <w:rFonts w:hint="eastAsia"/>
          <w:color w:val="auto"/>
          <w:lang w:val="en-US" w:eastAsia="zh-CN"/>
        </w:rPr>
        <w:t>年版）中的危险废物。对照《危险废物排除管理清单（</w:t>
      </w:r>
      <w:r>
        <w:rPr>
          <w:rFonts w:hint="default"/>
          <w:color w:val="auto"/>
          <w:lang w:val="en-US" w:eastAsia="zh-CN"/>
        </w:rPr>
        <w:t>2025</w:t>
      </w:r>
      <w:r>
        <w:rPr>
          <w:rFonts w:hint="eastAsia"/>
          <w:color w:val="auto"/>
          <w:lang w:val="en-US" w:eastAsia="zh-CN"/>
        </w:rPr>
        <w:t>年版）》，灰渣不在排除管理清单内。因此黑龙江醇能热电有限公司的灰渣均属于一般工业固体废物。根据《一般工业固体废物贮存和填埋污染控制标准》（</w:t>
      </w:r>
      <w:r>
        <w:rPr>
          <w:rFonts w:hint="default"/>
          <w:color w:val="auto"/>
          <w:lang w:val="en-US" w:eastAsia="zh-CN"/>
        </w:rPr>
        <w:t>GB 18599-2020</w:t>
      </w:r>
      <w:r>
        <w:rPr>
          <w:rFonts w:hint="eastAsia"/>
          <w:color w:val="auto"/>
          <w:lang w:val="en-US" w:eastAsia="zh-CN"/>
        </w:rPr>
        <w:t>）中的</w:t>
      </w:r>
      <w:r>
        <w:rPr>
          <w:rFonts w:hint="default"/>
          <w:color w:val="auto"/>
          <w:lang w:val="en-US" w:eastAsia="zh-CN"/>
        </w:rPr>
        <w:t>3.6</w:t>
      </w:r>
      <w:r>
        <w:rPr>
          <w:rFonts w:hint="eastAsia"/>
          <w:color w:val="auto"/>
          <w:lang w:val="en-US" w:eastAsia="zh-CN"/>
        </w:rPr>
        <w:t>条要求：“按照《固体废物浸出毒性浸出方法水平振荡法》（</w:t>
      </w:r>
      <w:r>
        <w:rPr>
          <w:rFonts w:hint="default"/>
          <w:color w:val="auto"/>
          <w:lang w:val="en-US" w:eastAsia="zh-CN"/>
        </w:rPr>
        <w:t>HJ557-2010</w:t>
      </w:r>
      <w:r>
        <w:rPr>
          <w:rFonts w:hint="eastAsia"/>
          <w:color w:val="auto"/>
          <w:lang w:val="en-US" w:eastAsia="zh-CN"/>
        </w:rPr>
        <w:t>）规定方法获得的浸出液中任何一种特征污染物浓度均未超过</w:t>
      </w:r>
      <w:r>
        <w:rPr>
          <w:rFonts w:hint="default"/>
          <w:color w:val="auto"/>
          <w:lang w:val="en-US" w:eastAsia="zh-CN"/>
        </w:rPr>
        <w:t>GB8978</w:t>
      </w:r>
      <w:r>
        <w:rPr>
          <w:rFonts w:hint="eastAsia"/>
          <w:color w:val="auto"/>
          <w:lang w:val="en-US" w:eastAsia="zh-CN"/>
        </w:rPr>
        <w:t>最高允许排放浓度（第二类污染物最高允许排放浓度按照一级标准执行），且</w:t>
      </w:r>
      <w:r>
        <w:rPr>
          <w:rFonts w:hint="default"/>
          <w:color w:val="auto"/>
          <w:lang w:val="en-US" w:eastAsia="zh-CN"/>
        </w:rPr>
        <w:t>pH</w:t>
      </w:r>
      <w:r>
        <w:rPr>
          <w:rFonts w:hint="eastAsia"/>
          <w:color w:val="auto"/>
          <w:lang w:val="en-US" w:eastAsia="zh-CN"/>
        </w:rPr>
        <w:t>值在</w:t>
      </w:r>
      <w:r>
        <w:rPr>
          <w:rFonts w:hint="default"/>
          <w:color w:val="auto"/>
          <w:lang w:val="en-US" w:eastAsia="zh-CN"/>
        </w:rPr>
        <w:t>6</w:t>
      </w:r>
      <w:r>
        <w:rPr>
          <w:rFonts w:hint="eastAsia"/>
          <w:color w:val="auto"/>
          <w:lang w:val="en-US" w:eastAsia="zh-CN"/>
        </w:rPr>
        <w:t>～</w:t>
      </w:r>
      <w:r>
        <w:rPr>
          <w:rFonts w:hint="default"/>
          <w:color w:val="auto"/>
          <w:lang w:val="en-US" w:eastAsia="zh-CN"/>
        </w:rPr>
        <w:t>9</w:t>
      </w:r>
      <w:r>
        <w:rPr>
          <w:rFonts w:hint="eastAsia"/>
          <w:color w:val="auto"/>
          <w:lang w:val="en-US" w:eastAsia="zh-CN"/>
        </w:rPr>
        <w:t>范围之内的一般工业固体废物为第</w:t>
      </w:r>
      <w:r>
        <w:rPr>
          <w:rFonts w:hint="default"/>
          <w:color w:val="auto"/>
          <w:lang w:val="en-US" w:eastAsia="zh-CN"/>
        </w:rPr>
        <w:t>I</w:t>
      </w:r>
      <w:r>
        <w:rPr>
          <w:rFonts w:hint="eastAsia"/>
          <w:color w:val="auto"/>
          <w:lang w:val="en-US" w:eastAsia="zh-CN"/>
        </w:rPr>
        <w:t>类一般工业固体废物；按照《固体废物浸出毒性浸出方法水平振荡法》（</w:t>
      </w:r>
      <w:r>
        <w:rPr>
          <w:rFonts w:hint="default"/>
          <w:color w:val="auto"/>
          <w:lang w:val="en-US" w:eastAsia="zh-CN"/>
        </w:rPr>
        <w:t>HJ557-2010</w:t>
      </w:r>
      <w:r>
        <w:rPr>
          <w:rFonts w:hint="eastAsia"/>
          <w:color w:val="auto"/>
          <w:lang w:val="en-US" w:eastAsia="zh-CN"/>
        </w:rPr>
        <w:t>）规定方法获得的浸出液中有一种或一种以上的特征污染物浓度超过</w:t>
      </w:r>
      <w:r>
        <w:rPr>
          <w:rFonts w:hint="default"/>
          <w:color w:val="auto"/>
          <w:lang w:val="en-US" w:eastAsia="zh-CN"/>
        </w:rPr>
        <w:t>GB8978</w:t>
      </w:r>
      <w:r>
        <w:rPr>
          <w:rFonts w:hint="eastAsia"/>
          <w:color w:val="auto"/>
          <w:lang w:val="en-US" w:eastAsia="zh-CN"/>
        </w:rPr>
        <w:t>最高允许排放浓度（第二类污染物最高允许排放浓度按照一级标准执行），或</w:t>
      </w:r>
      <w:r>
        <w:rPr>
          <w:rFonts w:hint="default"/>
          <w:color w:val="auto"/>
          <w:lang w:val="en-US" w:eastAsia="zh-CN"/>
        </w:rPr>
        <w:t>pH</w:t>
      </w:r>
      <w:r>
        <w:rPr>
          <w:rFonts w:hint="eastAsia"/>
          <w:color w:val="auto"/>
          <w:lang w:val="en-US" w:eastAsia="zh-CN"/>
        </w:rPr>
        <w:t>值在</w:t>
      </w:r>
      <w:r>
        <w:rPr>
          <w:rFonts w:hint="default"/>
          <w:color w:val="auto"/>
          <w:lang w:val="en-US" w:eastAsia="zh-CN"/>
        </w:rPr>
        <w:t>6</w:t>
      </w:r>
      <w:r>
        <w:rPr>
          <w:rFonts w:hint="eastAsia"/>
          <w:color w:val="auto"/>
          <w:lang w:val="en-US" w:eastAsia="zh-CN"/>
        </w:rPr>
        <w:t>～</w:t>
      </w:r>
      <w:r>
        <w:rPr>
          <w:rFonts w:hint="default"/>
          <w:color w:val="auto"/>
          <w:lang w:val="en-US" w:eastAsia="zh-CN"/>
        </w:rPr>
        <w:t>9</w:t>
      </w:r>
      <w:r>
        <w:rPr>
          <w:rFonts w:hint="eastAsia"/>
          <w:color w:val="auto"/>
          <w:lang w:val="en-US" w:eastAsia="zh-CN"/>
        </w:rPr>
        <w:t>范围之外的一般工业固体废物为第</w:t>
      </w:r>
      <w:r>
        <w:rPr>
          <w:rFonts w:hint="default" w:ascii="Times New Roman" w:hAnsi="Times New Roman" w:cs="Times New Roman"/>
          <w:color w:val="auto"/>
          <w:lang w:val="en-US" w:eastAsia="zh-CN"/>
        </w:rPr>
        <w:t>Ⅱ</w:t>
      </w:r>
      <w:r>
        <w:rPr>
          <w:rFonts w:hint="eastAsia"/>
          <w:color w:val="auto"/>
          <w:lang w:val="en-US" w:eastAsia="zh-CN"/>
        </w:rPr>
        <w:t>类一般工业固体废物。本项目在采取地下水防渗措施的前提下，适宜作为回填物进行回填处理。检测项目为pH值、铅、砷、汞、硒、氰化物、氟化物、色度、悬浮物、氨氮、锌、锰、可吸附有机卤化物、硫化物和石油类等。</w:t>
      </w:r>
      <w:r>
        <w:rPr>
          <w:rFonts w:hint="eastAsia"/>
          <w:color w:val="auto"/>
          <w:highlight w:val="none"/>
          <w:lang w:val="en-US" w:eastAsia="zh-CN"/>
        </w:rPr>
        <w:t>检测结果见表</w:t>
      </w:r>
      <w:r>
        <w:rPr>
          <w:rFonts w:hint="default"/>
          <w:color w:val="auto"/>
          <w:highlight w:val="none"/>
          <w:lang w:val="en-US" w:eastAsia="zh-CN"/>
        </w:rPr>
        <w:t>3-</w:t>
      </w:r>
      <w:r>
        <w:rPr>
          <w:rFonts w:hint="eastAsia"/>
          <w:color w:val="auto"/>
          <w:highlight w:val="none"/>
          <w:lang w:val="en-US" w:eastAsia="zh-CN"/>
        </w:rPr>
        <w:t>1</w:t>
      </w:r>
      <w:r>
        <w:rPr>
          <w:rFonts w:hint="default"/>
          <w:color w:val="auto"/>
          <w:highlight w:val="none"/>
          <w:lang w:val="en-US" w:eastAsia="zh-CN"/>
        </w:rPr>
        <w:t>-</w:t>
      </w:r>
      <w:r>
        <w:rPr>
          <w:rFonts w:hint="eastAsia"/>
          <w:color w:val="auto"/>
          <w:highlight w:val="none"/>
          <w:lang w:val="en-US" w:eastAsia="zh-CN"/>
        </w:rPr>
        <w:t>4，监测报告详见附件</w:t>
      </w:r>
      <w:r>
        <w:rPr>
          <w:rFonts w:hint="default"/>
          <w:color w:val="auto"/>
          <w:highlight w:val="none"/>
          <w:lang w:val="en-US" w:eastAsia="zh-CN"/>
        </w:rPr>
        <w:t>5</w:t>
      </w:r>
      <w:r>
        <w:rPr>
          <w:rFonts w:hint="eastAsia"/>
          <w:color w:val="auto"/>
          <w:highlight w:val="none"/>
          <w:lang w:val="en-US" w:eastAsia="zh-CN"/>
        </w:rPr>
        <w:t>、</w:t>
      </w:r>
      <w:r>
        <w:rPr>
          <w:rFonts w:hint="default"/>
          <w:color w:val="auto"/>
          <w:highlight w:val="none"/>
          <w:lang w:val="en-US" w:eastAsia="zh-CN"/>
        </w:rPr>
        <w:t>6</w:t>
      </w:r>
      <w:r>
        <w:rPr>
          <w:rFonts w:hint="eastAsia"/>
          <w:color w:val="auto"/>
          <w:highlight w:val="none"/>
          <w:lang w:val="en-US" w:eastAsia="zh-CN"/>
        </w:rPr>
        <w:t>。</w:t>
      </w:r>
    </w:p>
    <w:p w14:paraId="7C9CDCA4">
      <w:pPr>
        <w:pStyle w:val="76"/>
        <w:rPr>
          <w:color w:val="auto"/>
          <w:highlight w:val="none"/>
        </w:rPr>
      </w:pPr>
      <w:r>
        <w:rPr>
          <w:rFonts w:hint="eastAsia"/>
          <w:color w:val="auto"/>
          <w:highlight w:val="none"/>
        </w:rPr>
        <w:t>表3</w:t>
      </w:r>
      <w:r>
        <w:rPr>
          <w:color w:val="auto"/>
          <w:highlight w:val="none"/>
        </w:rPr>
        <w:t>-1-4</w:t>
      </w:r>
      <w:r>
        <w:rPr>
          <w:rFonts w:hint="eastAsia"/>
          <w:color w:val="auto"/>
          <w:highlight w:val="none"/>
          <w:lang w:eastAsia="zh-CN"/>
        </w:rPr>
        <w:t>灰渣</w:t>
      </w:r>
      <w:r>
        <w:rPr>
          <w:color w:val="auto"/>
          <w:highlight w:val="none"/>
        </w:rPr>
        <w:t>浸出液检测结果</w:t>
      </w:r>
    </w:p>
    <w:tbl>
      <w:tblPr>
        <w:tblStyle w:val="92"/>
        <w:tblW w:w="4933"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fixed"/>
        <w:tblCellMar>
          <w:top w:w="0" w:type="dxa"/>
          <w:left w:w="108" w:type="dxa"/>
          <w:bottom w:w="0" w:type="dxa"/>
          <w:right w:w="108" w:type="dxa"/>
        </w:tblCellMar>
      </w:tblPr>
      <w:tblGrid>
        <w:gridCol w:w="1176"/>
        <w:gridCol w:w="435"/>
        <w:gridCol w:w="156"/>
        <w:gridCol w:w="1164"/>
        <w:gridCol w:w="990"/>
        <w:gridCol w:w="1717"/>
        <w:gridCol w:w="2558"/>
      </w:tblGrid>
      <w:tr w14:paraId="7CEB4E0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683" w:hRule="atLeast"/>
        </w:trPr>
        <w:tc>
          <w:tcPr>
            <w:tcW w:w="717" w:type="pct"/>
            <w:vAlign w:val="center"/>
          </w:tcPr>
          <w:p w14:paraId="4CF2A264">
            <w:pPr>
              <w:keepLines/>
              <w:widowControl/>
              <w:jc w:val="center"/>
              <w:rPr>
                <w:color w:val="auto"/>
                <w:sz w:val="21"/>
                <w:szCs w:val="21"/>
                <w:highlight w:val="none"/>
              </w:rPr>
            </w:pPr>
            <w:r>
              <w:rPr>
                <w:rFonts w:hint="eastAsia"/>
                <w:color w:val="auto"/>
                <w:sz w:val="21"/>
                <w:szCs w:val="21"/>
                <w:highlight w:val="none"/>
              </w:rPr>
              <w:t>送</w:t>
            </w:r>
            <w:r>
              <w:rPr>
                <w:color w:val="auto"/>
                <w:sz w:val="21"/>
                <w:szCs w:val="21"/>
                <w:highlight w:val="none"/>
              </w:rPr>
              <w:t>样日期</w:t>
            </w:r>
          </w:p>
        </w:tc>
        <w:tc>
          <w:tcPr>
            <w:tcW w:w="1070" w:type="pct"/>
            <w:gridSpan w:val="3"/>
            <w:vAlign w:val="center"/>
          </w:tcPr>
          <w:p w14:paraId="1DCA583E">
            <w:pPr>
              <w:keepLines/>
              <w:widowControl/>
              <w:jc w:val="center"/>
              <w:rPr>
                <w:color w:val="auto"/>
                <w:sz w:val="21"/>
                <w:szCs w:val="21"/>
                <w:highlight w:val="none"/>
              </w:rPr>
            </w:pPr>
            <w:r>
              <w:rPr>
                <w:rFonts w:hint="eastAsia"/>
                <w:color w:val="auto"/>
                <w:sz w:val="21"/>
                <w:szCs w:val="21"/>
                <w:highlight w:val="none"/>
              </w:rPr>
              <w:t>检</w:t>
            </w:r>
            <w:r>
              <w:rPr>
                <w:color w:val="auto"/>
                <w:sz w:val="21"/>
                <w:szCs w:val="21"/>
                <w:highlight w:val="none"/>
              </w:rPr>
              <w:t>测项目</w:t>
            </w:r>
          </w:p>
        </w:tc>
        <w:tc>
          <w:tcPr>
            <w:tcW w:w="603" w:type="pct"/>
            <w:vAlign w:val="center"/>
          </w:tcPr>
          <w:p w14:paraId="78625D4B">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单位</w:t>
            </w:r>
          </w:p>
        </w:tc>
        <w:tc>
          <w:tcPr>
            <w:tcW w:w="1047" w:type="pct"/>
            <w:vAlign w:val="center"/>
          </w:tcPr>
          <w:p w14:paraId="75F7BBB3">
            <w:pPr>
              <w:keepLines/>
              <w:widowControl/>
              <w:jc w:val="center"/>
              <w:rPr>
                <w:color w:val="auto"/>
                <w:sz w:val="21"/>
                <w:szCs w:val="21"/>
                <w:highlight w:val="none"/>
              </w:rPr>
            </w:pPr>
            <w:r>
              <w:rPr>
                <w:color w:val="auto"/>
                <w:sz w:val="21"/>
                <w:szCs w:val="21"/>
                <w:highlight w:val="none"/>
              </w:rPr>
              <w:t>检测结果</w:t>
            </w:r>
          </w:p>
        </w:tc>
        <w:tc>
          <w:tcPr>
            <w:tcW w:w="1560" w:type="pct"/>
            <w:vAlign w:val="center"/>
          </w:tcPr>
          <w:p w14:paraId="0F23E7FA">
            <w:pPr>
              <w:keepLines/>
              <w:widowControl/>
              <w:jc w:val="center"/>
              <w:rPr>
                <w:color w:val="auto"/>
                <w:sz w:val="21"/>
                <w:szCs w:val="21"/>
                <w:highlight w:val="none"/>
              </w:rPr>
            </w:pPr>
            <w:r>
              <w:rPr>
                <w:rFonts w:hint="eastAsia"/>
                <w:color w:val="auto"/>
                <w:sz w:val="21"/>
                <w:szCs w:val="21"/>
                <w:highlight w:val="none"/>
              </w:rPr>
              <w:t>限值</w:t>
            </w:r>
          </w:p>
        </w:tc>
      </w:tr>
      <w:tr w14:paraId="4960781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4" w:hRule="atLeast"/>
        </w:trPr>
        <w:tc>
          <w:tcPr>
            <w:tcW w:w="717" w:type="pct"/>
            <w:vMerge w:val="restart"/>
            <w:vAlign w:val="center"/>
          </w:tcPr>
          <w:p w14:paraId="4C149145">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2026.4.23</w:t>
            </w:r>
          </w:p>
        </w:tc>
        <w:tc>
          <w:tcPr>
            <w:tcW w:w="1070" w:type="pct"/>
            <w:gridSpan w:val="3"/>
            <w:vAlign w:val="center"/>
          </w:tcPr>
          <w:p w14:paraId="3C1B0F24">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总汞</w:t>
            </w:r>
          </w:p>
        </w:tc>
        <w:tc>
          <w:tcPr>
            <w:tcW w:w="603" w:type="pct"/>
            <w:vAlign w:val="center"/>
          </w:tcPr>
          <w:p w14:paraId="6E470184">
            <w:pPr>
              <w:keepLines/>
              <w:widowControl/>
              <w:jc w:val="center"/>
              <w:rPr>
                <w:rFonts w:hint="default"/>
                <w:color w:val="auto"/>
                <w:sz w:val="21"/>
                <w:szCs w:val="21"/>
                <w:highlight w:val="none"/>
                <w:lang w:val="en-US" w:eastAsia="zh-CN"/>
              </w:rPr>
            </w:pPr>
            <w:r>
              <w:rPr>
                <w:rFonts w:hint="eastAsia"/>
                <w:color w:val="auto"/>
                <w:sz w:val="21"/>
                <w:szCs w:val="21"/>
                <w:highlight w:val="none"/>
                <w:lang w:val="en-US" w:eastAsia="zh-CN"/>
              </w:rPr>
              <w:t>mg/L</w:t>
            </w:r>
          </w:p>
        </w:tc>
        <w:tc>
          <w:tcPr>
            <w:tcW w:w="1047" w:type="pct"/>
            <w:vAlign w:val="center"/>
          </w:tcPr>
          <w:p w14:paraId="37FF9840">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0.00004L</w:t>
            </w:r>
          </w:p>
        </w:tc>
        <w:tc>
          <w:tcPr>
            <w:tcW w:w="1560" w:type="pct"/>
            <w:vAlign w:val="center"/>
          </w:tcPr>
          <w:p w14:paraId="09FF9DC2">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0.05</w:t>
            </w:r>
          </w:p>
        </w:tc>
      </w:tr>
      <w:tr w14:paraId="3C0A148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29" w:hRule="atLeast"/>
        </w:trPr>
        <w:tc>
          <w:tcPr>
            <w:tcW w:w="717" w:type="pct"/>
            <w:vMerge w:val="continue"/>
            <w:vAlign w:val="center"/>
          </w:tcPr>
          <w:p w14:paraId="3EF6B6D1">
            <w:pPr>
              <w:keepLines/>
              <w:widowControl/>
              <w:jc w:val="center"/>
              <w:rPr>
                <w:color w:val="auto"/>
                <w:sz w:val="21"/>
                <w:szCs w:val="21"/>
                <w:highlight w:val="none"/>
              </w:rPr>
            </w:pPr>
          </w:p>
        </w:tc>
        <w:tc>
          <w:tcPr>
            <w:tcW w:w="265" w:type="pct"/>
            <w:vMerge w:val="restart"/>
            <w:vAlign w:val="center"/>
          </w:tcPr>
          <w:p w14:paraId="4A3AF389">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烷基汞</w:t>
            </w:r>
          </w:p>
        </w:tc>
        <w:tc>
          <w:tcPr>
            <w:tcW w:w="805" w:type="pct"/>
            <w:gridSpan w:val="2"/>
            <w:vAlign w:val="center"/>
          </w:tcPr>
          <w:p w14:paraId="3D025DA7">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甲基汞</w:t>
            </w:r>
          </w:p>
        </w:tc>
        <w:tc>
          <w:tcPr>
            <w:tcW w:w="603" w:type="pct"/>
            <w:vAlign w:val="center"/>
          </w:tcPr>
          <w:p w14:paraId="30B1EF90">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71E96E04">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1.0*10</w:t>
            </w:r>
            <w:r>
              <w:rPr>
                <w:rFonts w:hint="eastAsia"/>
                <w:color w:val="auto"/>
                <w:sz w:val="21"/>
                <w:szCs w:val="21"/>
                <w:highlight w:val="none"/>
                <w:vertAlign w:val="superscript"/>
                <w:lang w:val="en-US" w:eastAsia="zh-CN"/>
              </w:rPr>
              <w:t>-5</w:t>
            </w:r>
            <w:r>
              <w:rPr>
                <w:rFonts w:hint="eastAsia"/>
                <w:color w:val="auto"/>
                <w:sz w:val="21"/>
                <w:szCs w:val="21"/>
                <w:highlight w:val="none"/>
                <w:lang w:val="en-US" w:eastAsia="zh-CN"/>
              </w:rPr>
              <w:t>L</w:t>
            </w:r>
          </w:p>
        </w:tc>
        <w:tc>
          <w:tcPr>
            <w:tcW w:w="1560" w:type="pct"/>
            <w:vAlign w:val="center"/>
          </w:tcPr>
          <w:p w14:paraId="3AE9B909">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不得检出</w:t>
            </w:r>
          </w:p>
        </w:tc>
      </w:tr>
      <w:tr w14:paraId="44C246A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5D83DF9">
            <w:pPr>
              <w:keepLines/>
              <w:widowControl/>
              <w:jc w:val="center"/>
              <w:rPr>
                <w:color w:val="auto"/>
                <w:sz w:val="21"/>
                <w:szCs w:val="21"/>
                <w:highlight w:val="none"/>
              </w:rPr>
            </w:pPr>
          </w:p>
        </w:tc>
        <w:tc>
          <w:tcPr>
            <w:tcW w:w="265" w:type="pct"/>
            <w:vMerge w:val="continue"/>
            <w:vAlign w:val="center"/>
          </w:tcPr>
          <w:p w14:paraId="3120DEDA">
            <w:pPr>
              <w:keepLines/>
              <w:widowControl/>
              <w:jc w:val="center"/>
              <w:rPr>
                <w:color w:val="auto"/>
                <w:sz w:val="21"/>
                <w:szCs w:val="21"/>
                <w:highlight w:val="none"/>
              </w:rPr>
            </w:pPr>
          </w:p>
        </w:tc>
        <w:tc>
          <w:tcPr>
            <w:tcW w:w="805" w:type="pct"/>
            <w:gridSpan w:val="2"/>
            <w:vAlign w:val="center"/>
          </w:tcPr>
          <w:p w14:paraId="15B94A1B">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乙基汞</w:t>
            </w:r>
          </w:p>
        </w:tc>
        <w:tc>
          <w:tcPr>
            <w:tcW w:w="603" w:type="pct"/>
            <w:vAlign w:val="center"/>
          </w:tcPr>
          <w:p w14:paraId="205D0EEA">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3B6ECDF7">
            <w:pPr>
              <w:keepLines/>
              <w:widowControl/>
              <w:jc w:val="center"/>
              <w:rPr>
                <w:color w:val="auto"/>
                <w:sz w:val="21"/>
                <w:szCs w:val="21"/>
                <w:highlight w:val="none"/>
              </w:rPr>
            </w:pPr>
            <w:r>
              <w:rPr>
                <w:rFonts w:hint="eastAsia"/>
                <w:color w:val="auto"/>
                <w:sz w:val="21"/>
                <w:szCs w:val="21"/>
                <w:highlight w:val="none"/>
                <w:lang w:val="en-US" w:eastAsia="zh-CN"/>
              </w:rPr>
              <w:t>2.0*10</w:t>
            </w:r>
            <w:r>
              <w:rPr>
                <w:rFonts w:hint="eastAsia"/>
                <w:color w:val="auto"/>
                <w:sz w:val="21"/>
                <w:szCs w:val="21"/>
                <w:highlight w:val="none"/>
                <w:vertAlign w:val="superscript"/>
                <w:lang w:val="en-US" w:eastAsia="zh-CN"/>
              </w:rPr>
              <w:t>-5</w:t>
            </w:r>
            <w:r>
              <w:rPr>
                <w:rFonts w:hint="eastAsia"/>
                <w:color w:val="auto"/>
                <w:sz w:val="21"/>
                <w:szCs w:val="21"/>
                <w:highlight w:val="none"/>
                <w:lang w:val="en-US" w:eastAsia="zh-CN"/>
              </w:rPr>
              <w:t>L</w:t>
            </w:r>
          </w:p>
        </w:tc>
        <w:tc>
          <w:tcPr>
            <w:tcW w:w="1560" w:type="pct"/>
            <w:vAlign w:val="center"/>
          </w:tcPr>
          <w:p w14:paraId="29F1F7BB">
            <w:pPr>
              <w:keepLines/>
              <w:widowControl/>
              <w:jc w:val="center"/>
              <w:rPr>
                <w:color w:val="auto"/>
                <w:sz w:val="21"/>
                <w:szCs w:val="21"/>
                <w:highlight w:val="none"/>
              </w:rPr>
            </w:pPr>
            <w:r>
              <w:rPr>
                <w:rFonts w:hint="eastAsia"/>
                <w:color w:val="auto"/>
                <w:sz w:val="21"/>
                <w:szCs w:val="21"/>
                <w:highlight w:val="none"/>
                <w:lang w:val="en-US" w:eastAsia="zh-CN"/>
              </w:rPr>
              <w:t>不得检出</w:t>
            </w:r>
          </w:p>
        </w:tc>
      </w:tr>
      <w:tr w14:paraId="488A7BC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717" w:type="pct"/>
            <w:vMerge w:val="continue"/>
            <w:vAlign w:val="center"/>
          </w:tcPr>
          <w:p w14:paraId="1CFD16B1">
            <w:pPr>
              <w:keepLines/>
              <w:widowControl/>
              <w:jc w:val="center"/>
              <w:rPr>
                <w:color w:val="auto"/>
                <w:sz w:val="21"/>
                <w:szCs w:val="21"/>
                <w:highlight w:val="none"/>
              </w:rPr>
            </w:pPr>
          </w:p>
        </w:tc>
        <w:tc>
          <w:tcPr>
            <w:tcW w:w="1070" w:type="pct"/>
            <w:gridSpan w:val="3"/>
            <w:vAlign w:val="center"/>
          </w:tcPr>
          <w:p w14:paraId="15047E72">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总镉</w:t>
            </w:r>
          </w:p>
        </w:tc>
        <w:tc>
          <w:tcPr>
            <w:tcW w:w="603" w:type="pct"/>
            <w:vAlign w:val="center"/>
          </w:tcPr>
          <w:p w14:paraId="0FD3F7CB">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24D8CC05">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0.05L</w:t>
            </w:r>
          </w:p>
        </w:tc>
        <w:tc>
          <w:tcPr>
            <w:tcW w:w="1560" w:type="pct"/>
            <w:vAlign w:val="center"/>
          </w:tcPr>
          <w:p w14:paraId="75FEAAB1">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0.1</w:t>
            </w:r>
          </w:p>
        </w:tc>
      </w:tr>
      <w:tr w14:paraId="7A16702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B80C734">
            <w:pPr>
              <w:keepLines/>
              <w:widowControl/>
              <w:jc w:val="center"/>
              <w:rPr>
                <w:color w:val="auto"/>
                <w:sz w:val="21"/>
                <w:szCs w:val="21"/>
                <w:highlight w:val="none"/>
              </w:rPr>
            </w:pPr>
          </w:p>
        </w:tc>
        <w:tc>
          <w:tcPr>
            <w:tcW w:w="1070" w:type="pct"/>
            <w:gridSpan w:val="3"/>
            <w:vAlign w:val="center"/>
          </w:tcPr>
          <w:p w14:paraId="0EF45C85">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总铬</w:t>
            </w:r>
          </w:p>
        </w:tc>
        <w:tc>
          <w:tcPr>
            <w:tcW w:w="603" w:type="pct"/>
            <w:vAlign w:val="center"/>
          </w:tcPr>
          <w:p w14:paraId="439C1548">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2802F2D0">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0.03L</w:t>
            </w:r>
          </w:p>
        </w:tc>
        <w:tc>
          <w:tcPr>
            <w:tcW w:w="1560" w:type="pct"/>
            <w:vAlign w:val="center"/>
          </w:tcPr>
          <w:p w14:paraId="193916D4">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1.5</w:t>
            </w:r>
          </w:p>
        </w:tc>
      </w:tr>
      <w:tr w14:paraId="757FCF2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B461F47">
            <w:pPr>
              <w:keepLines/>
              <w:widowControl/>
              <w:jc w:val="center"/>
              <w:rPr>
                <w:color w:val="auto"/>
                <w:sz w:val="21"/>
                <w:szCs w:val="21"/>
                <w:highlight w:val="none"/>
              </w:rPr>
            </w:pPr>
          </w:p>
        </w:tc>
        <w:tc>
          <w:tcPr>
            <w:tcW w:w="1070" w:type="pct"/>
            <w:gridSpan w:val="3"/>
            <w:vAlign w:val="center"/>
          </w:tcPr>
          <w:p w14:paraId="2750E6EB">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六价铬</w:t>
            </w:r>
          </w:p>
        </w:tc>
        <w:tc>
          <w:tcPr>
            <w:tcW w:w="603" w:type="pct"/>
            <w:vAlign w:val="center"/>
          </w:tcPr>
          <w:p w14:paraId="39056FF4">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3F74417E">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0.004L</w:t>
            </w:r>
          </w:p>
        </w:tc>
        <w:tc>
          <w:tcPr>
            <w:tcW w:w="1560" w:type="pct"/>
            <w:vAlign w:val="center"/>
          </w:tcPr>
          <w:p w14:paraId="3BA94EF3">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0.5</w:t>
            </w:r>
          </w:p>
        </w:tc>
      </w:tr>
      <w:tr w14:paraId="15CD8B9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90" w:hRule="atLeast"/>
        </w:trPr>
        <w:tc>
          <w:tcPr>
            <w:tcW w:w="717" w:type="pct"/>
            <w:vMerge w:val="continue"/>
            <w:vAlign w:val="center"/>
          </w:tcPr>
          <w:p w14:paraId="71A641F9">
            <w:pPr>
              <w:keepLines/>
              <w:widowControl/>
              <w:jc w:val="center"/>
              <w:rPr>
                <w:color w:val="auto"/>
                <w:sz w:val="21"/>
                <w:szCs w:val="21"/>
                <w:highlight w:val="none"/>
              </w:rPr>
            </w:pPr>
          </w:p>
        </w:tc>
        <w:tc>
          <w:tcPr>
            <w:tcW w:w="1070" w:type="pct"/>
            <w:gridSpan w:val="3"/>
            <w:vAlign w:val="center"/>
          </w:tcPr>
          <w:p w14:paraId="76A9FE69">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总砷</w:t>
            </w:r>
          </w:p>
        </w:tc>
        <w:tc>
          <w:tcPr>
            <w:tcW w:w="603" w:type="pct"/>
            <w:vAlign w:val="center"/>
          </w:tcPr>
          <w:p w14:paraId="2F4387E8">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0F2277F7">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0.0003L</w:t>
            </w:r>
          </w:p>
        </w:tc>
        <w:tc>
          <w:tcPr>
            <w:tcW w:w="1560" w:type="pct"/>
            <w:vAlign w:val="center"/>
          </w:tcPr>
          <w:p w14:paraId="3006F4D2">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0.5</w:t>
            </w:r>
          </w:p>
        </w:tc>
      </w:tr>
      <w:tr w14:paraId="69D41A7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836E9DD">
            <w:pPr>
              <w:keepLines/>
              <w:widowControl/>
              <w:jc w:val="center"/>
              <w:rPr>
                <w:color w:val="auto"/>
                <w:sz w:val="21"/>
                <w:szCs w:val="21"/>
                <w:highlight w:val="none"/>
              </w:rPr>
            </w:pPr>
          </w:p>
        </w:tc>
        <w:tc>
          <w:tcPr>
            <w:tcW w:w="1070" w:type="pct"/>
            <w:gridSpan w:val="3"/>
            <w:vAlign w:val="center"/>
          </w:tcPr>
          <w:p w14:paraId="5C7EA436">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总铅</w:t>
            </w:r>
          </w:p>
        </w:tc>
        <w:tc>
          <w:tcPr>
            <w:tcW w:w="603" w:type="pct"/>
            <w:vAlign w:val="center"/>
          </w:tcPr>
          <w:p w14:paraId="521B76A5">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228380BE">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0.2L</w:t>
            </w:r>
          </w:p>
        </w:tc>
        <w:tc>
          <w:tcPr>
            <w:tcW w:w="1560" w:type="pct"/>
            <w:vAlign w:val="center"/>
          </w:tcPr>
          <w:p w14:paraId="3A35EB14">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r>
      <w:tr w14:paraId="364A10D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4363DC8E">
            <w:pPr>
              <w:keepLines/>
              <w:widowControl/>
              <w:jc w:val="center"/>
              <w:rPr>
                <w:color w:val="auto"/>
                <w:sz w:val="21"/>
                <w:szCs w:val="21"/>
                <w:highlight w:val="none"/>
              </w:rPr>
            </w:pPr>
          </w:p>
        </w:tc>
        <w:tc>
          <w:tcPr>
            <w:tcW w:w="1070" w:type="pct"/>
            <w:gridSpan w:val="3"/>
            <w:vAlign w:val="center"/>
          </w:tcPr>
          <w:p w14:paraId="11516AE5">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总镍</w:t>
            </w:r>
          </w:p>
        </w:tc>
        <w:tc>
          <w:tcPr>
            <w:tcW w:w="603" w:type="pct"/>
            <w:vAlign w:val="center"/>
          </w:tcPr>
          <w:p w14:paraId="697BDBA5">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31C249B5">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0.05L</w:t>
            </w:r>
          </w:p>
        </w:tc>
        <w:tc>
          <w:tcPr>
            <w:tcW w:w="1560" w:type="pct"/>
            <w:vAlign w:val="center"/>
          </w:tcPr>
          <w:p w14:paraId="5A0B8273">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r>
      <w:tr w14:paraId="06FC92A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5678385">
            <w:pPr>
              <w:keepLines/>
              <w:widowControl/>
              <w:jc w:val="center"/>
              <w:rPr>
                <w:color w:val="auto"/>
                <w:sz w:val="21"/>
                <w:szCs w:val="21"/>
                <w:highlight w:val="none"/>
              </w:rPr>
            </w:pPr>
          </w:p>
        </w:tc>
        <w:tc>
          <w:tcPr>
            <w:tcW w:w="1070" w:type="pct"/>
            <w:gridSpan w:val="3"/>
            <w:vAlign w:val="center"/>
          </w:tcPr>
          <w:p w14:paraId="55AFD74E">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总铍</w:t>
            </w:r>
          </w:p>
        </w:tc>
        <w:tc>
          <w:tcPr>
            <w:tcW w:w="603" w:type="pct"/>
            <w:vAlign w:val="center"/>
          </w:tcPr>
          <w:p w14:paraId="45963D91">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142E02FF">
            <w:pPr>
              <w:keepLines/>
              <w:widowControl/>
              <w:jc w:val="center"/>
              <w:rPr>
                <w:color w:val="auto"/>
                <w:sz w:val="21"/>
                <w:szCs w:val="21"/>
                <w:highlight w:val="none"/>
              </w:rPr>
            </w:pPr>
            <w:r>
              <w:rPr>
                <w:rFonts w:hint="eastAsia"/>
                <w:color w:val="auto"/>
                <w:sz w:val="21"/>
                <w:szCs w:val="21"/>
                <w:highlight w:val="none"/>
                <w:lang w:val="en-US" w:eastAsia="zh-CN"/>
              </w:rPr>
              <w:t>2.0*10</w:t>
            </w:r>
            <w:r>
              <w:rPr>
                <w:rFonts w:hint="eastAsia"/>
                <w:color w:val="auto"/>
                <w:sz w:val="21"/>
                <w:szCs w:val="21"/>
                <w:highlight w:val="none"/>
                <w:vertAlign w:val="superscript"/>
                <w:lang w:val="en-US" w:eastAsia="zh-CN"/>
              </w:rPr>
              <w:t>-5</w:t>
            </w:r>
            <w:r>
              <w:rPr>
                <w:rFonts w:hint="eastAsia"/>
                <w:color w:val="auto"/>
                <w:sz w:val="21"/>
                <w:szCs w:val="21"/>
                <w:highlight w:val="none"/>
                <w:lang w:val="en-US" w:eastAsia="zh-CN"/>
              </w:rPr>
              <w:t>L</w:t>
            </w:r>
          </w:p>
        </w:tc>
        <w:tc>
          <w:tcPr>
            <w:tcW w:w="1560" w:type="pct"/>
            <w:vAlign w:val="center"/>
          </w:tcPr>
          <w:p w14:paraId="4D5C3027">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0.005</w:t>
            </w:r>
          </w:p>
        </w:tc>
      </w:tr>
      <w:tr w14:paraId="76C7805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6E22FFA8">
            <w:pPr>
              <w:keepLines/>
              <w:widowControl/>
              <w:jc w:val="center"/>
              <w:rPr>
                <w:color w:val="auto"/>
                <w:sz w:val="21"/>
                <w:szCs w:val="21"/>
                <w:highlight w:val="none"/>
              </w:rPr>
            </w:pPr>
          </w:p>
        </w:tc>
        <w:tc>
          <w:tcPr>
            <w:tcW w:w="1070" w:type="pct"/>
            <w:gridSpan w:val="3"/>
            <w:vAlign w:val="center"/>
          </w:tcPr>
          <w:p w14:paraId="7F0A9CD1">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总银</w:t>
            </w:r>
          </w:p>
        </w:tc>
        <w:tc>
          <w:tcPr>
            <w:tcW w:w="603" w:type="pct"/>
            <w:vAlign w:val="center"/>
          </w:tcPr>
          <w:p w14:paraId="04EECDDA">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554BDD60">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0.03L</w:t>
            </w:r>
          </w:p>
        </w:tc>
        <w:tc>
          <w:tcPr>
            <w:tcW w:w="1560" w:type="pct"/>
            <w:vAlign w:val="center"/>
          </w:tcPr>
          <w:p w14:paraId="6C33D8AB">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0.5</w:t>
            </w:r>
          </w:p>
        </w:tc>
      </w:tr>
      <w:tr w14:paraId="6746D84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174" w:hRule="atLeast"/>
        </w:trPr>
        <w:tc>
          <w:tcPr>
            <w:tcW w:w="717" w:type="pct"/>
            <w:vMerge w:val="continue"/>
            <w:vAlign w:val="center"/>
          </w:tcPr>
          <w:p w14:paraId="59AF2586">
            <w:pPr>
              <w:keepLines/>
              <w:widowControl/>
              <w:jc w:val="center"/>
              <w:rPr>
                <w:color w:val="auto"/>
                <w:sz w:val="21"/>
                <w:szCs w:val="21"/>
                <w:highlight w:val="none"/>
              </w:rPr>
            </w:pPr>
          </w:p>
        </w:tc>
        <w:tc>
          <w:tcPr>
            <w:tcW w:w="1070" w:type="pct"/>
            <w:gridSpan w:val="3"/>
            <w:vAlign w:val="center"/>
          </w:tcPr>
          <w:p w14:paraId="2A70A23E">
            <w:pPr>
              <w:keepLines/>
              <w:widowControl/>
              <w:jc w:val="center"/>
              <w:rPr>
                <w:rFonts w:hint="default" w:eastAsia="宋体"/>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总</w:t>
            </w:r>
            <w:r>
              <w:rPr>
                <w:rFonts w:hint="default" w:ascii="Times New Roman" w:hAnsi="Times New Roman" w:eastAsia="Arial" w:cs="Times New Roman"/>
                <w:i w:val="0"/>
                <w:iCs w:val="0"/>
                <w:caps w:val="0"/>
                <w:color w:val="auto"/>
                <w:spacing w:val="0"/>
                <w:sz w:val="21"/>
                <w:szCs w:val="21"/>
                <w:shd w:val="clear" w:fill="FFFFFF"/>
              </w:rPr>
              <w:t>‌</w:t>
            </w:r>
            <w:r>
              <w:rPr>
                <w:rFonts w:hint="default" w:ascii="Times New Roman" w:hAnsi="Times New Roman" w:cs="Times New Roman"/>
                <w:i w:val="0"/>
                <w:iCs w:val="0"/>
                <w:caps w:val="0"/>
                <w:color w:val="auto"/>
                <w:spacing w:val="0"/>
                <w:sz w:val="21"/>
                <w:szCs w:val="21"/>
                <w:shd w:val="clear" w:fill="FFFFFF"/>
                <w:lang w:val="en-US" w:eastAsia="zh-CN"/>
              </w:rPr>
              <w:t>α</w:t>
            </w:r>
            <w:r>
              <w:rPr>
                <w:rFonts w:hint="eastAsia" w:cs="Times New Roman"/>
                <w:i w:val="0"/>
                <w:iCs w:val="0"/>
                <w:caps w:val="0"/>
                <w:color w:val="auto"/>
                <w:spacing w:val="0"/>
                <w:sz w:val="21"/>
                <w:szCs w:val="21"/>
                <w:shd w:val="clear" w:fill="FFFFFF"/>
                <w:lang w:val="en-US" w:eastAsia="zh-CN"/>
              </w:rPr>
              <w:t>放射性</w:t>
            </w:r>
          </w:p>
        </w:tc>
        <w:tc>
          <w:tcPr>
            <w:tcW w:w="603" w:type="pct"/>
            <w:vAlign w:val="center"/>
          </w:tcPr>
          <w:p w14:paraId="21757409">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Bq/L</w:t>
            </w:r>
          </w:p>
        </w:tc>
        <w:tc>
          <w:tcPr>
            <w:tcW w:w="1047" w:type="pct"/>
            <w:vAlign w:val="center"/>
          </w:tcPr>
          <w:p w14:paraId="36C3D9AE">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0.043L</w:t>
            </w:r>
          </w:p>
        </w:tc>
        <w:tc>
          <w:tcPr>
            <w:tcW w:w="1560" w:type="pct"/>
            <w:vAlign w:val="center"/>
          </w:tcPr>
          <w:p w14:paraId="73B70E83">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1</w:t>
            </w:r>
          </w:p>
        </w:tc>
      </w:tr>
      <w:tr w14:paraId="5121618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FFB79E7">
            <w:pPr>
              <w:keepLines/>
              <w:widowControl/>
              <w:jc w:val="center"/>
              <w:rPr>
                <w:color w:val="auto"/>
                <w:sz w:val="21"/>
                <w:szCs w:val="21"/>
                <w:highlight w:val="none"/>
              </w:rPr>
            </w:pPr>
          </w:p>
        </w:tc>
        <w:tc>
          <w:tcPr>
            <w:tcW w:w="1070" w:type="pct"/>
            <w:gridSpan w:val="3"/>
            <w:vAlign w:val="center"/>
          </w:tcPr>
          <w:p w14:paraId="2D0C0176">
            <w:pPr>
              <w:keepLines/>
              <w:widowControl/>
              <w:jc w:val="center"/>
              <w:rPr>
                <w:rFonts w:hint="eastAsia" w:eastAsia="宋体"/>
                <w:color w:val="auto"/>
                <w:sz w:val="21"/>
                <w:szCs w:val="21"/>
                <w:highlight w:val="none"/>
                <w:lang w:val="en-US" w:eastAsia="zh-CN"/>
              </w:rPr>
            </w:pPr>
            <w:r>
              <w:rPr>
                <w:rFonts w:hint="eastAsia" w:cs="Times New Roman"/>
                <w:color w:val="auto"/>
                <w:sz w:val="21"/>
                <w:szCs w:val="21"/>
                <w:highlight w:val="none"/>
                <w:lang w:val="en-US" w:eastAsia="zh-CN"/>
              </w:rPr>
              <w:t>总</w:t>
            </w:r>
            <w:r>
              <w:rPr>
                <w:rFonts w:hint="default" w:ascii="Times New Roman" w:hAnsi="Times New Roman" w:cs="Times New Roman"/>
                <w:color w:val="auto"/>
                <w:sz w:val="21"/>
                <w:szCs w:val="21"/>
                <w:highlight w:val="none"/>
              </w:rPr>
              <w:t>β</w:t>
            </w:r>
            <w:r>
              <w:rPr>
                <w:rFonts w:hint="eastAsia" w:cs="Times New Roman"/>
                <w:color w:val="auto"/>
                <w:sz w:val="21"/>
                <w:szCs w:val="21"/>
                <w:highlight w:val="none"/>
                <w:lang w:val="en-US" w:eastAsia="zh-CN"/>
              </w:rPr>
              <w:t>放射性</w:t>
            </w:r>
          </w:p>
        </w:tc>
        <w:tc>
          <w:tcPr>
            <w:tcW w:w="603" w:type="pct"/>
            <w:vAlign w:val="center"/>
          </w:tcPr>
          <w:p w14:paraId="0B84F63C">
            <w:pPr>
              <w:keepLines/>
              <w:widowControl/>
              <w:jc w:val="center"/>
              <w:rPr>
                <w:color w:val="auto"/>
                <w:sz w:val="21"/>
                <w:szCs w:val="21"/>
                <w:highlight w:val="none"/>
              </w:rPr>
            </w:pPr>
            <w:r>
              <w:rPr>
                <w:rFonts w:hint="eastAsia"/>
                <w:color w:val="auto"/>
                <w:sz w:val="21"/>
                <w:szCs w:val="21"/>
                <w:highlight w:val="none"/>
                <w:lang w:val="en-US" w:eastAsia="zh-CN"/>
              </w:rPr>
              <w:t>Bq/L</w:t>
            </w:r>
          </w:p>
        </w:tc>
        <w:tc>
          <w:tcPr>
            <w:tcW w:w="1047" w:type="pct"/>
            <w:vAlign w:val="center"/>
          </w:tcPr>
          <w:p w14:paraId="6F118DBD">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0.015L</w:t>
            </w:r>
          </w:p>
        </w:tc>
        <w:tc>
          <w:tcPr>
            <w:tcW w:w="1560" w:type="pct"/>
            <w:vAlign w:val="center"/>
          </w:tcPr>
          <w:p w14:paraId="35DB4F25">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r>
      <w:tr w14:paraId="0994440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493876D6">
            <w:pPr>
              <w:keepLines/>
              <w:widowControl/>
              <w:jc w:val="center"/>
              <w:rPr>
                <w:color w:val="auto"/>
                <w:sz w:val="21"/>
                <w:szCs w:val="21"/>
                <w:highlight w:val="none"/>
              </w:rPr>
            </w:pPr>
          </w:p>
        </w:tc>
        <w:tc>
          <w:tcPr>
            <w:tcW w:w="1070" w:type="pct"/>
            <w:gridSpan w:val="3"/>
            <w:vAlign w:val="center"/>
          </w:tcPr>
          <w:p w14:paraId="5B0408D4">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pH值</w:t>
            </w:r>
          </w:p>
        </w:tc>
        <w:tc>
          <w:tcPr>
            <w:tcW w:w="603" w:type="pct"/>
            <w:vAlign w:val="center"/>
          </w:tcPr>
          <w:p w14:paraId="3B9A8B2D">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无量纲</w:t>
            </w:r>
          </w:p>
        </w:tc>
        <w:tc>
          <w:tcPr>
            <w:tcW w:w="1047" w:type="pct"/>
            <w:vAlign w:val="center"/>
          </w:tcPr>
          <w:p w14:paraId="550286E1">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8.7</w:t>
            </w:r>
          </w:p>
        </w:tc>
        <w:tc>
          <w:tcPr>
            <w:tcW w:w="1560" w:type="pct"/>
            <w:vAlign w:val="center"/>
          </w:tcPr>
          <w:p w14:paraId="0CE1FC9C">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6~9</w:t>
            </w:r>
          </w:p>
        </w:tc>
      </w:tr>
      <w:tr w14:paraId="5AE0D49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482B03E">
            <w:pPr>
              <w:keepLines/>
              <w:widowControl/>
              <w:jc w:val="center"/>
              <w:rPr>
                <w:color w:val="auto"/>
                <w:sz w:val="21"/>
                <w:szCs w:val="21"/>
                <w:highlight w:val="none"/>
              </w:rPr>
            </w:pPr>
          </w:p>
        </w:tc>
        <w:tc>
          <w:tcPr>
            <w:tcW w:w="1070" w:type="pct"/>
            <w:gridSpan w:val="3"/>
            <w:vAlign w:val="center"/>
          </w:tcPr>
          <w:p w14:paraId="753136F9">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色度</w:t>
            </w:r>
          </w:p>
        </w:tc>
        <w:tc>
          <w:tcPr>
            <w:tcW w:w="603" w:type="pct"/>
            <w:vAlign w:val="center"/>
          </w:tcPr>
          <w:p w14:paraId="6F5D3C92">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倍</w:t>
            </w:r>
          </w:p>
        </w:tc>
        <w:tc>
          <w:tcPr>
            <w:tcW w:w="1047" w:type="pct"/>
            <w:vAlign w:val="center"/>
          </w:tcPr>
          <w:p w14:paraId="14C025DD">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40</w:t>
            </w:r>
          </w:p>
        </w:tc>
        <w:tc>
          <w:tcPr>
            <w:tcW w:w="1560" w:type="pct"/>
            <w:vAlign w:val="center"/>
          </w:tcPr>
          <w:p w14:paraId="3FD56CE4">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50</w:t>
            </w:r>
          </w:p>
        </w:tc>
      </w:tr>
      <w:tr w14:paraId="4BBDE7D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BC20D15">
            <w:pPr>
              <w:keepLines/>
              <w:widowControl/>
              <w:jc w:val="center"/>
              <w:rPr>
                <w:color w:val="auto"/>
                <w:sz w:val="21"/>
                <w:szCs w:val="21"/>
                <w:highlight w:val="none"/>
              </w:rPr>
            </w:pPr>
          </w:p>
        </w:tc>
        <w:tc>
          <w:tcPr>
            <w:tcW w:w="1070" w:type="pct"/>
            <w:gridSpan w:val="3"/>
            <w:vAlign w:val="center"/>
          </w:tcPr>
          <w:p w14:paraId="1D33CFB5">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悬浮物</w:t>
            </w:r>
          </w:p>
        </w:tc>
        <w:tc>
          <w:tcPr>
            <w:tcW w:w="603" w:type="pct"/>
            <w:vAlign w:val="center"/>
          </w:tcPr>
          <w:p w14:paraId="1662571D">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mg/L</w:t>
            </w:r>
          </w:p>
        </w:tc>
        <w:tc>
          <w:tcPr>
            <w:tcW w:w="1047" w:type="pct"/>
            <w:vAlign w:val="center"/>
          </w:tcPr>
          <w:p w14:paraId="319BA15D">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38</w:t>
            </w:r>
          </w:p>
        </w:tc>
        <w:tc>
          <w:tcPr>
            <w:tcW w:w="1560" w:type="pct"/>
            <w:vAlign w:val="center"/>
          </w:tcPr>
          <w:p w14:paraId="2906450B">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70</w:t>
            </w:r>
          </w:p>
        </w:tc>
      </w:tr>
      <w:tr w14:paraId="32EE8EB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64DFBE4">
            <w:pPr>
              <w:keepLines/>
              <w:widowControl/>
              <w:jc w:val="center"/>
              <w:rPr>
                <w:color w:val="auto"/>
                <w:sz w:val="21"/>
                <w:szCs w:val="21"/>
                <w:highlight w:val="none"/>
              </w:rPr>
            </w:pPr>
          </w:p>
        </w:tc>
        <w:tc>
          <w:tcPr>
            <w:tcW w:w="1070" w:type="pct"/>
            <w:gridSpan w:val="3"/>
            <w:vAlign w:val="center"/>
          </w:tcPr>
          <w:p w14:paraId="702580BD">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五日生化需氧量</w:t>
            </w:r>
          </w:p>
        </w:tc>
        <w:tc>
          <w:tcPr>
            <w:tcW w:w="603" w:type="pct"/>
            <w:shd w:val="clear" w:color="auto" w:fill="auto"/>
            <w:vAlign w:val="center"/>
          </w:tcPr>
          <w:p w14:paraId="4021017C">
            <w:pPr>
              <w:keepLines/>
              <w:widowControl/>
              <w:jc w:val="center"/>
              <w:rPr>
                <w:rFonts w:hint="default" w:ascii="Times New Roman" w:hAnsi="Times New Roman" w:eastAsia="宋体" w:cs="Times New Roman"/>
                <w:color w:val="auto"/>
                <w:kern w:val="2"/>
                <w:sz w:val="21"/>
                <w:szCs w:val="21"/>
                <w:highlight w:val="none"/>
                <w:lang w:val="en-US" w:eastAsia="zh-CN" w:bidi="ar-SA"/>
              </w:rPr>
            </w:pPr>
            <w:r>
              <w:rPr>
                <w:rFonts w:hint="eastAsia"/>
                <w:color w:val="auto"/>
                <w:sz w:val="21"/>
                <w:szCs w:val="21"/>
                <w:highlight w:val="none"/>
                <w:lang w:val="en-US" w:eastAsia="zh-CN"/>
              </w:rPr>
              <w:t>mg/L</w:t>
            </w:r>
          </w:p>
        </w:tc>
        <w:tc>
          <w:tcPr>
            <w:tcW w:w="1047" w:type="pct"/>
            <w:vAlign w:val="center"/>
          </w:tcPr>
          <w:p w14:paraId="2F0AAE86">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18.7</w:t>
            </w:r>
          </w:p>
        </w:tc>
        <w:tc>
          <w:tcPr>
            <w:tcW w:w="1560" w:type="pct"/>
            <w:vAlign w:val="center"/>
          </w:tcPr>
          <w:p w14:paraId="502C4EED">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20</w:t>
            </w:r>
          </w:p>
        </w:tc>
      </w:tr>
      <w:tr w14:paraId="1E47B05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00687A5">
            <w:pPr>
              <w:keepLines/>
              <w:widowControl/>
              <w:jc w:val="center"/>
              <w:rPr>
                <w:color w:val="auto"/>
                <w:sz w:val="21"/>
                <w:szCs w:val="21"/>
                <w:highlight w:val="none"/>
              </w:rPr>
            </w:pPr>
          </w:p>
        </w:tc>
        <w:tc>
          <w:tcPr>
            <w:tcW w:w="1070" w:type="pct"/>
            <w:gridSpan w:val="3"/>
            <w:vAlign w:val="center"/>
          </w:tcPr>
          <w:p w14:paraId="1EAD64A8">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化学需氧量</w:t>
            </w:r>
          </w:p>
        </w:tc>
        <w:tc>
          <w:tcPr>
            <w:tcW w:w="603" w:type="pct"/>
            <w:vAlign w:val="center"/>
          </w:tcPr>
          <w:p w14:paraId="4626B829">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5AA6E713">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88</w:t>
            </w:r>
          </w:p>
        </w:tc>
        <w:tc>
          <w:tcPr>
            <w:tcW w:w="1560" w:type="pct"/>
            <w:vAlign w:val="center"/>
          </w:tcPr>
          <w:p w14:paraId="3192DC40">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100</w:t>
            </w:r>
          </w:p>
        </w:tc>
      </w:tr>
      <w:tr w14:paraId="053BED5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0A2982C">
            <w:pPr>
              <w:keepLines/>
              <w:widowControl/>
              <w:jc w:val="center"/>
              <w:rPr>
                <w:color w:val="auto"/>
                <w:sz w:val="21"/>
                <w:szCs w:val="21"/>
                <w:highlight w:val="none"/>
              </w:rPr>
            </w:pPr>
          </w:p>
        </w:tc>
        <w:tc>
          <w:tcPr>
            <w:tcW w:w="1070" w:type="pct"/>
            <w:gridSpan w:val="3"/>
            <w:vAlign w:val="center"/>
          </w:tcPr>
          <w:p w14:paraId="4019F8FC">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石油类</w:t>
            </w:r>
          </w:p>
        </w:tc>
        <w:tc>
          <w:tcPr>
            <w:tcW w:w="603" w:type="pct"/>
            <w:vAlign w:val="center"/>
          </w:tcPr>
          <w:p w14:paraId="232285D5">
            <w:pPr>
              <w:keepLines/>
              <w:widowControl/>
              <w:jc w:val="center"/>
              <w:rPr>
                <w:color w:val="auto"/>
                <w:sz w:val="21"/>
                <w:szCs w:val="21"/>
                <w:highlight w:val="none"/>
              </w:rPr>
            </w:pPr>
            <w:r>
              <w:rPr>
                <w:rFonts w:hint="eastAsia"/>
                <w:color w:val="auto"/>
                <w:sz w:val="21"/>
                <w:szCs w:val="21"/>
                <w:highlight w:val="none"/>
                <w:lang w:val="en-US" w:eastAsia="zh-CN"/>
              </w:rPr>
              <w:t>mg/L</w:t>
            </w:r>
          </w:p>
        </w:tc>
        <w:tc>
          <w:tcPr>
            <w:tcW w:w="1047" w:type="pct"/>
            <w:vAlign w:val="center"/>
          </w:tcPr>
          <w:p w14:paraId="0DC8EEA2">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0.06L</w:t>
            </w:r>
          </w:p>
        </w:tc>
        <w:tc>
          <w:tcPr>
            <w:tcW w:w="1560" w:type="pct"/>
            <w:vAlign w:val="center"/>
          </w:tcPr>
          <w:p w14:paraId="4E69174A">
            <w:pPr>
              <w:keepLines/>
              <w:widowControl/>
              <w:jc w:val="center"/>
              <w:rPr>
                <w:rFonts w:hint="eastAsia" w:eastAsia="宋体"/>
                <w:color w:val="auto"/>
                <w:sz w:val="21"/>
                <w:szCs w:val="21"/>
                <w:highlight w:val="none"/>
                <w:lang w:val="en-US" w:eastAsia="zh-CN"/>
              </w:rPr>
            </w:pPr>
            <w:r>
              <w:rPr>
                <w:rFonts w:hint="eastAsia"/>
                <w:color w:val="auto"/>
                <w:sz w:val="21"/>
                <w:szCs w:val="21"/>
                <w:highlight w:val="none"/>
                <w:lang w:val="en-US" w:eastAsia="zh-CN"/>
              </w:rPr>
              <w:t>5</w:t>
            </w:r>
          </w:p>
        </w:tc>
      </w:tr>
      <w:tr w14:paraId="07E8F60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4569A4D">
            <w:pPr>
              <w:keepLines/>
              <w:widowControl/>
              <w:jc w:val="center"/>
              <w:rPr>
                <w:color w:val="auto"/>
                <w:sz w:val="21"/>
                <w:szCs w:val="21"/>
                <w:highlight w:val="cyan"/>
              </w:rPr>
            </w:pPr>
          </w:p>
        </w:tc>
        <w:tc>
          <w:tcPr>
            <w:tcW w:w="1070" w:type="pct"/>
            <w:gridSpan w:val="3"/>
            <w:vAlign w:val="center"/>
          </w:tcPr>
          <w:p w14:paraId="5BF7C508">
            <w:pPr>
              <w:keepLines/>
              <w:widowControl/>
              <w:jc w:val="center"/>
              <w:rPr>
                <w:rFonts w:hint="default" w:eastAsia="宋体"/>
                <w:color w:val="auto"/>
                <w:sz w:val="21"/>
                <w:szCs w:val="21"/>
                <w:highlight w:val="cyan"/>
                <w:lang w:val="en-US" w:eastAsia="zh-CN"/>
              </w:rPr>
            </w:pPr>
            <w:r>
              <w:rPr>
                <w:rFonts w:hint="eastAsia"/>
                <w:color w:val="auto"/>
                <w:sz w:val="21"/>
                <w:szCs w:val="21"/>
                <w:highlight w:val="none"/>
                <w:lang w:val="en-US" w:eastAsia="zh-CN"/>
              </w:rPr>
              <w:t>动植物油</w:t>
            </w:r>
          </w:p>
        </w:tc>
        <w:tc>
          <w:tcPr>
            <w:tcW w:w="603" w:type="pct"/>
            <w:vAlign w:val="center"/>
          </w:tcPr>
          <w:p w14:paraId="79F91C4E">
            <w:pPr>
              <w:keepLines/>
              <w:widowControl/>
              <w:jc w:val="center"/>
              <w:rPr>
                <w:color w:val="auto"/>
                <w:sz w:val="21"/>
                <w:szCs w:val="21"/>
                <w:highlight w:val="cyan"/>
              </w:rPr>
            </w:pPr>
            <w:r>
              <w:rPr>
                <w:rFonts w:hint="eastAsia"/>
                <w:color w:val="auto"/>
                <w:sz w:val="21"/>
                <w:szCs w:val="21"/>
                <w:highlight w:val="none"/>
                <w:lang w:val="en-US" w:eastAsia="zh-CN"/>
              </w:rPr>
              <w:t>mg/L</w:t>
            </w:r>
          </w:p>
        </w:tc>
        <w:tc>
          <w:tcPr>
            <w:tcW w:w="1047" w:type="pct"/>
            <w:vAlign w:val="center"/>
          </w:tcPr>
          <w:p w14:paraId="75B1A238">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0.06L</w:t>
            </w:r>
          </w:p>
        </w:tc>
        <w:tc>
          <w:tcPr>
            <w:tcW w:w="1560" w:type="pct"/>
            <w:vAlign w:val="center"/>
          </w:tcPr>
          <w:p w14:paraId="33E8C762">
            <w:pPr>
              <w:keepLines/>
              <w:widowControl/>
              <w:jc w:val="center"/>
              <w:rPr>
                <w:rFonts w:hint="default" w:eastAsia="宋体"/>
                <w:color w:val="auto"/>
                <w:sz w:val="21"/>
                <w:szCs w:val="21"/>
                <w:highlight w:val="none"/>
                <w:lang w:val="en-US" w:eastAsia="zh-CN"/>
              </w:rPr>
            </w:pPr>
            <w:r>
              <w:rPr>
                <w:rFonts w:hint="eastAsia"/>
                <w:color w:val="auto"/>
                <w:sz w:val="21"/>
                <w:szCs w:val="21"/>
                <w:highlight w:val="none"/>
                <w:lang w:val="en-US" w:eastAsia="zh-CN"/>
              </w:rPr>
              <w:t>10</w:t>
            </w:r>
          </w:p>
        </w:tc>
      </w:tr>
      <w:tr w14:paraId="73F425B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A856023">
            <w:pPr>
              <w:keepLines/>
              <w:widowControl/>
              <w:jc w:val="center"/>
              <w:rPr>
                <w:color w:val="auto"/>
                <w:sz w:val="21"/>
                <w:szCs w:val="21"/>
                <w:highlight w:val="none"/>
              </w:rPr>
            </w:pPr>
          </w:p>
        </w:tc>
        <w:tc>
          <w:tcPr>
            <w:tcW w:w="1070" w:type="pct"/>
            <w:gridSpan w:val="3"/>
            <w:vAlign w:val="center"/>
          </w:tcPr>
          <w:p w14:paraId="55189451">
            <w:pPr>
              <w:keepLines/>
              <w:widowControl/>
              <w:jc w:val="center"/>
              <w:rPr>
                <w:color w:val="auto"/>
                <w:sz w:val="21"/>
                <w:szCs w:val="21"/>
                <w:highlight w:val="none"/>
              </w:rPr>
            </w:pPr>
            <w:r>
              <w:rPr>
                <w:rFonts w:hint="default" w:ascii="Times New Roman" w:hAnsi="Times New Roman" w:cs="Times New Roman"/>
                <w:color w:val="auto"/>
                <w:sz w:val="21"/>
                <w:szCs w:val="21"/>
                <w:lang w:val="en-US" w:eastAsia="zh-CN"/>
              </w:rPr>
              <w:t>挥发酚</w:t>
            </w:r>
          </w:p>
        </w:tc>
        <w:tc>
          <w:tcPr>
            <w:tcW w:w="603" w:type="pct"/>
            <w:shd w:val="clear" w:color="auto" w:fill="auto"/>
            <w:vAlign w:val="center"/>
          </w:tcPr>
          <w:p w14:paraId="1F8F0E6C">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27E7AEF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0.01L</w:t>
            </w:r>
          </w:p>
        </w:tc>
        <w:tc>
          <w:tcPr>
            <w:tcW w:w="1560" w:type="pct"/>
            <w:shd w:val="clear" w:color="auto" w:fill="auto"/>
            <w:vAlign w:val="center"/>
          </w:tcPr>
          <w:p w14:paraId="70643D8F">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0.5</w:t>
            </w:r>
          </w:p>
        </w:tc>
      </w:tr>
      <w:tr w14:paraId="3E77D46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CC36BB1">
            <w:pPr>
              <w:keepLines/>
              <w:widowControl/>
              <w:jc w:val="center"/>
              <w:rPr>
                <w:color w:val="auto"/>
                <w:sz w:val="21"/>
                <w:szCs w:val="21"/>
                <w:highlight w:val="none"/>
              </w:rPr>
            </w:pPr>
          </w:p>
        </w:tc>
        <w:tc>
          <w:tcPr>
            <w:tcW w:w="1070" w:type="pct"/>
            <w:gridSpan w:val="3"/>
            <w:shd w:val="clear" w:color="auto" w:fill="auto"/>
            <w:vAlign w:val="center"/>
          </w:tcPr>
          <w:p w14:paraId="73FA148E">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总氰化物</w:t>
            </w:r>
          </w:p>
        </w:tc>
        <w:tc>
          <w:tcPr>
            <w:tcW w:w="603" w:type="pct"/>
            <w:shd w:val="clear" w:color="auto" w:fill="auto"/>
            <w:vAlign w:val="center"/>
          </w:tcPr>
          <w:p w14:paraId="7817274D">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BED45F1">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0.25L</w:t>
            </w:r>
          </w:p>
        </w:tc>
        <w:tc>
          <w:tcPr>
            <w:tcW w:w="1560" w:type="pct"/>
            <w:shd w:val="clear" w:color="auto" w:fill="auto"/>
            <w:vAlign w:val="center"/>
          </w:tcPr>
          <w:p w14:paraId="05A69584">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0.5</w:t>
            </w:r>
          </w:p>
        </w:tc>
      </w:tr>
      <w:tr w14:paraId="5BCA932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3792CC3">
            <w:pPr>
              <w:keepLines/>
              <w:widowControl/>
              <w:jc w:val="center"/>
              <w:rPr>
                <w:color w:val="auto"/>
                <w:sz w:val="21"/>
                <w:szCs w:val="21"/>
                <w:highlight w:val="cyan"/>
              </w:rPr>
            </w:pPr>
          </w:p>
        </w:tc>
        <w:tc>
          <w:tcPr>
            <w:tcW w:w="1070" w:type="pct"/>
            <w:gridSpan w:val="3"/>
            <w:shd w:val="clear" w:color="auto" w:fill="auto"/>
            <w:vAlign w:val="center"/>
          </w:tcPr>
          <w:p w14:paraId="4A0C45F3">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硫化物</w:t>
            </w:r>
          </w:p>
        </w:tc>
        <w:tc>
          <w:tcPr>
            <w:tcW w:w="603" w:type="pct"/>
            <w:shd w:val="clear" w:color="auto" w:fill="auto"/>
            <w:vAlign w:val="center"/>
          </w:tcPr>
          <w:p w14:paraId="6825FF4C">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C60561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0.01L</w:t>
            </w:r>
          </w:p>
        </w:tc>
        <w:tc>
          <w:tcPr>
            <w:tcW w:w="1560" w:type="pct"/>
            <w:shd w:val="clear" w:color="auto" w:fill="auto"/>
            <w:vAlign w:val="center"/>
          </w:tcPr>
          <w:p w14:paraId="25A7349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1.0</w:t>
            </w:r>
          </w:p>
        </w:tc>
      </w:tr>
      <w:tr w14:paraId="5CB8D22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DFAC1BC">
            <w:pPr>
              <w:keepLines/>
              <w:widowControl/>
              <w:jc w:val="center"/>
              <w:rPr>
                <w:color w:val="auto"/>
                <w:sz w:val="21"/>
                <w:szCs w:val="21"/>
                <w:highlight w:val="none"/>
              </w:rPr>
            </w:pPr>
          </w:p>
        </w:tc>
        <w:tc>
          <w:tcPr>
            <w:tcW w:w="1070" w:type="pct"/>
            <w:gridSpan w:val="3"/>
            <w:shd w:val="clear" w:color="auto" w:fill="auto"/>
            <w:vAlign w:val="center"/>
          </w:tcPr>
          <w:p w14:paraId="269F8C36">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氨氮</w:t>
            </w:r>
          </w:p>
        </w:tc>
        <w:tc>
          <w:tcPr>
            <w:tcW w:w="603" w:type="pct"/>
            <w:shd w:val="clear" w:color="auto" w:fill="auto"/>
            <w:vAlign w:val="center"/>
          </w:tcPr>
          <w:p w14:paraId="001413C7">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13805D0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0.39</w:t>
            </w:r>
          </w:p>
        </w:tc>
        <w:tc>
          <w:tcPr>
            <w:tcW w:w="1560" w:type="pct"/>
            <w:shd w:val="clear" w:color="auto" w:fill="auto"/>
            <w:vAlign w:val="center"/>
          </w:tcPr>
          <w:p w14:paraId="2EA775AF">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15</w:t>
            </w:r>
          </w:p>
        </w:tc>
      </w:tr>
      <w:tr w14:paraId="2CEAE5A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4EEA74F">
            <w:pPr>
              <w:keepLines/>
              <w:widowControl/>
              <w:jc w:val="center"/>
              <w:rPr>
                <w:color w:val="auto"/>
                <w:sz w:val="21"/>
                <w:szCs w:val="21"/>
                <w:highlight w:val="none"/>
              </w:rPr>
            </w:pPr>
          </w:p>
        </w:tc>
        <w:tc>
          <w:tcPr>
            <w:tcW w:w="1070" w:type="pct"/>
            <w:gridSpan w:val="3"/>
            <w:shd w:val="clear" w:color="auto" w:fill="auto"/>
            <w:vAlign w:val="center"/>
          </w:tcPr>
          <w:p w14:paraId="11E44282">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氟化物</w:t>
            </w:r>
          </w:p>
        </w:tc>
        <w:tc>
          <w:tcPr>
            <w:tcW w:w="603" w:type="pct"/>
            <w:shd w:val="clear" w:color="auto" w:fill="auto"/>
            <w:vAlign w:val="center"/>
          </w:tcPr>
          <w:p w14:paraId="45A22337">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7A92ED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0.55</w:t>
            </w:r>
          </w:p>
        </w:tc>
        <w:tc>
          <w:tcPr>
            <w:tcW w:w="1560" w:type="pct"/>
            <w:shd w:val="clear" w:color="auto" w:fill="auto"/>
            <w:vAlign w:val="center"/>
          </w:tcPr>
          <w:p w14:paraId="134A0821">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10</w:t>
            </w:r>
          </w:p>
        </w:tc>
      </w:tr>
      <w:tr w14:paraId="6974410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2936D8F">
            <w:pPr>
              <w:keepLines/>
              <w:widowControl/>
              <w:jc w:val="center"/>
              <w:rPr>
                <w:color w:val="auto"/>
                <w:sz w:val="21"/>
                <w:szCs w:val="21"/>
                <w:highlight w:val="none"/>
              </w:rPr>
            </w:pPr>
          </w:p>
        </w:tc>
        <w:tc>
          <w:tcPr>
            <w:tcW w:w="1070" w:type="pct"/>
            <w:gridSpan w:val="3"/>
            <w:shd w:val="clear" w:color="auto" w:fill="auto"/>
            <w:vAlign w:val="center"/>
          </w:tcPr>
          <w:p w14:paraId="3EC565B6">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磷酸盐</w:t>
            </w:r>
          </w:p>
        </w:tc>
        <w:tc>
          <w:tcPr>
            <w:tcW w:w="603" w:type="pct"/>
            <w:shd w:val="clear" w:color="auto" w:fill="auto"/>
            <w:vAlign w:val="center"/>
          </w:tcPr>
          <w:p w14:paraId="06E8E7BA">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5151AD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0.37</w:t>
            </w:r>
          </w:p>
        </w:tc>
        <w:tc>
          <w:tcPr>
            <w:tcW w:w="1560" w:type="pct"/>
            <w:shd w:val="clear" w:color="auto" w:fill="auto"/>
            <w:vAlign w:val="center"/>
          </w:tcPr>
          <w:p w14:paraId="50FFEBF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0.5</w:t>
            </w:r>
          </w:p>
        </w:tc>
      </w:tr>
      <w:tr w14:paraId="4DA0BAE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63B1716C">
            <w:pPr>
              <w:keepLines/>
              <w:widowControl/>
              <w:jc w:val="center"/>
              <w:rPr>
                <w:color w:val="auto"/>
                <w:sz w:val="21"/>
                <w:szCs w:val="21"/>
                <w:highlight w:val="none"/>
              </w:rPr>
            </w:pPr>
          </w:p>
        </w:tc>
        <w:tc>
          <w:tcPr>
            <w:tcW w:w="1070" w:type="pct"/>
            <w:gridSpan w:val="3"/>
            <w:shd w:val="clear" w:color="auto" w:fill="auto"/>
            <w:vAlign w:val="center"/>
          </w:tcPr>
          <w:p w14:paraId="2FE675F8">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甲醛</w:t>
            </w:r>
          </w:p>
        </w:tc>
        <w:tc>
          <w:tcPr>
            <w:tcW w:w="603" w:type="pct"/>
            <w:shd w:val="clear" w:color="auto" w:fill="auto"/>
            <w:vAlign w:val="center"/>
          </w:tcPr>
          <w:p w14:paraId="7D10F9AC">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7D09F35">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0.05L</w:t>
            </w:r>
          </w:p>
        </w:tc>
        <w:tc>
          <w:tcPr>
            <w:tcW w:w="1560" w:type="pct"/>
            <w:shd w:val="clear" w:color="auto" w:fill="auto"/>
            <w:vAlign w:val="center"/>
          </w:tcPr>
          <w:p w14:paraId="3935938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1.0</w:t>
            </w:r>
          </w:p>
        </w:tc>
      </w:tr>
      <w:tr w14:paraId="536AB22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62D03C7B">
            <w:pPr>
              <w:keepLines/>
              <w:widowControl/>
              <w:jc w:val="center"/>
              <w:rPr>
                <w:color w:val="auto"/>
                <w:sz w:val="21"/>
                <w:szCs w:val="21"/>
                <w:highlight w:val="none"/>
              </w:rPr>
            </w:pPr>
          </w:p>
        </w:tc>
        <w:tc>
          <w:tcPr>
            <w:tcW w:w="1070" w:type="pct"/>
            <w:gridSpan w:val="3"/>
            <w:shd w:val="clear" w:color="auto" w:fill="auto"/>
            <w:vAlign w:val="center"/>
          </w:tcPr>
          <w:p w14:paraId="117955F6">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苯胺类</w:t>
            </w:r>
          </w:p>
        </w:tc>
        <w:tc>
          <w:tcPr>
            <w:tcW w:w="603" w:type="pct"/>
            <w:shd w:val="clear" w:color="auto" w:fill="auto"/>
            <w:vAlign w:val="center"/>
          </w:tcPr>
          <w:p w14:paraId="4FD638E3">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43BDE78">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0.03L</w:t>
            </w:r>
          </w:p>
        </w:tc>
        <w:tc>
          <w:tcPr>
            <w:tcW w:w="1560" w:type="pct"/>
            <w:shd w:val="clear" w:color="auto" w:fill="auto"/>
            <w:vAlign w:val="center"/>
          </w:tcPr>
          <w:p w14:paraId="431DAD61">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1.0</w:t>
            </w:r>
          </w:p>
        </w:tc>
      </w:tr>
      <w:tr w14:paraId="120A658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E142D0A">
            <w:pPr>
              <w:keepLines/>
              <w:widowControl/>
              <w:jc w:val="center"/>
              <w:rPr>
                <w:color w:val="auto"/>
                <w:sz w:val="21"/>
                <w:szCs w:val="21"/>
                <w:highlight w:val="none"/>
              </w:rPr>
            </w:pPr>
          </w:p>
        </w:tc>
        <w:tc>
          <w:tcPr>
            <w:tcW w:w="1070" w:type="pct"/>
            <w:gridSpan w:val="3"/>
            <w:shd w:val="clear" w:color="auto" w:fill="auto"/>
            <w:vAlign w:val="center"/>
          </w:tcPr>
          <w:p w14:paraId="5B7E83D2">
            <w:pPr>
              <w:keepLines/>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SA"/>
              </w:rPr>
              <w:t>*</w:t>
            </w:r>
            <w:r>
              <w:rPr>
                <w:rFonts w:hint="default" w:ascii="Times New Roman" w:hAnsi="Times New Roman" w:eastAsia="宋体" w:cs="Times New Roman"/>
                <w:color w:val="auto"/>
                <w:kern w:val="0"/>
                <w:sz w:val="21"/>
                <w:szCs w:val="21"/>
                <w:lang w:val="en-US" w:eastAsia="zh-CN" w:bidi="ar-SA"/>
              </w:rPr>
              <w:t>硝基苯</w:t>
            </w:r>
            <w:r>
              <w:rPr>
                <w:rFonts w:hint="eastAsia" w:ascii="Times New Roman" w:hAnsi="Times New Roman" w:eastAsia="宋体" w:cs="Times New Roman"/>
                <w:color w:val="auto"/>
                <w:kern w:val="0"/>
                <w:sz w:val="21"/>
                <w:szCs w:val="21"/>
                <w:lang w:val="en-US" w:eastAsia="zh-CN" w:bidi="ar-SA"/>
              </w:rPr>
              <w:t>类</w:t>
            </w:r>
          </w:p>
        </w:tc>
        <w:tc>
          <w:tcPr>
            <w:tcW w:w="603" w:type="pct"/>
            <w:shd w:val="clear" w:color="auto" w:fill="auto"/>
            <w:vAlign w:val="center"/>
          </w:tcPr>
          <w:p w14:paraId="547319F5">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07C80F72">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0.2L</w:t>
            </w:r>
          </w:p>
        </w:tc>
        <w:tc>
          <w:tcPr>
            <w:tcW w:w="1560" w:type="pct"/>
            <w:shd w:val="clear" w:color="auto" w:fill="auto"/>
            <w:vAlign w:val="center"/>
          </w:tcPr>
          <w:p w14:paraId="02F97C7C">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2.0</w:t>
            </w:r>
          </w:p>
        </w:tc>
      </w:tr>
      <w:tr w14:paraId="0B7BFFA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D8782F8">
            <w:pPr>
              <w:keepLines/>
              <w:widowControl/>
              <w:jc w:val="center"/>
              <w:rPr>
                <w:color w:val="auto"/>
                <w:sz w:val="21"/>
                <w:szCs w:val="21"/>
                <w:highlight w:val="none"/>
              </w:rPr>
            </w:pPr>
          </w:p>
        </w:tc>
        <w:tc>
          <w:tcPr>
            <w:tcW w:w="1070" w:type="pct"/>
            <w:gridSpan w:val="3"/>
            <w:shd w:val="clear" w:color="auto" w:fill="auto"/>
            <w:vAlign w:val="center"/>
          </w:tcPr>
          <w:p w14:paraId="0FE853B5">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0"/>
                <w:sz w:val="21"/>
                <w:szCs w:val="21"/>
                <w:lang w:val="en-US" w:eastAsia="zh-CN" w:bidi="ar"/>
              </w:rPr>
            </w:pPr>
            <w:r>
              <w:rPr>
                <w:rFonts w:hint="eastAsia" w:ascii="Times New Roman" w:hAnsi="Times New Roman" w:eastAsia="宋体" w:cs="Times New Roman"/>
                <w:color w:val="auto"/>
                <w:kern w:val="0"/>
                <w:sz w:val="21"/>
                <w:szCs w:val="21"/>
                <w:lang w:val="en-US" w:eastAsia="zh-CN" w:bidi="ar"/>
              </w:rPr>
              <w:t>阴离子表面活  性剂</w:t>
            </w:r>
          </w:p>
        </w:tc>
        <w:tc>
          <w:tcPr>
            <w:tcW w:w="603" w:type="pct"/>
            <w:shd w:val="clear" w:color="auto" w:fill="auto"/>
            <w:vAlign w:val="center"/>
          </w:tcPr>
          <w:p w14:paraId="70CA3C03">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28DA8BE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0.05L</w:t>
            </w:r>
          </w:p>
        </w:tc>
        <w:tc>
          <w:tcPr>
            <w:tcW w:w="1560" w:type="pct"/>
            <w:shd w:val="clear" w:color="auto" w:fill="auto"/>
            <w:vAlign w:val="center"/>
          </w:tcPr>
          <w:p w14:paraId="419C554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5.0</w:t>
            </w:r>
          </w:p>
        </w:tc>
      </w:tr>
      <w:tr w14:paraId="292159B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5013F7C">
            <w:pPr>
              <w:keepLines/>
              <w:widowControl/>
              <w:jc w:val="center"/>
              <w:rPr>
                <w:color w:val="auto"/>
                <w:sz w:val="21"/>
                <w:szCs w:val="21"/>
                <w:highlight w:val="none"/>
              </w:rPr>
            </w:pPr>
          </w:p>
        </w:tc>
        <w:tc>
          <w:tcPr>
            <w:tcW w:w="1070" w:type="pct"/>
            <w:gridSpan w:val="3"/>
            <w:shd w:val="clear" w:color="auto" w:fill="auto"/>
            <w:vAlign w:val="center"/>
          </w:tcPr>
          <w:p w14:paraId="2CE7520F">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总铜</w:t>
            </w:r>
          </w:p>
        </w:tc>
        <w:tc>
          <w:tcPr>
            <w:tcW w:w="603" w:type="pct"/>
            <w:shd w:val="clear" w:color="auto" w:fill="auto"/>
            <w:vAlign w:val="center"/>
          </w:tcPr>
          <w:p w14:paraId="288D47FD">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00B2FB5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0.05L</w:t>
            </w:r>
          </w:p>
        </w:tc>
        <w:tc>
          <w:tcPr>
            <w:tcW w:w="1560" w:type="pct"/>
            <w:shd w:val="clear" w:color="auto" w:fill="auto"/>
            <w:vAlign w:val="center"/>
          </w:tcPr>
          <w:p w14:paraId="09A3D56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0.5</w:t>
            </w:r>
          </w:p>
        </w:tc>
      </w:tr>
      <w:tr w14:paraId="5FA3BF5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A3D6663">
            <w:pPr>
              <w:keepLines/>
              <w:widowControl/>
              <w:jc w:val="center"/>
              <w:rPr>
                <w:color w:val="auto"/>
                <w:sz w:val="21"/>
                <w:szCs w:val="21"/>
                <w:highlight w:val="none"/>
              </w:rPr>
            </w:pPr>
          </w:p>
        </w:tc>
        <w:tc>
          <w:tcPr>
            <w:tcW w:w="1070" w:type="pct"/>
            <w:gridSpan w:val="3"/>
            <w:shd w:val="clear" w:color="auto" w:fill="auto"/>
            <w:vAlign w:val="center"/>
          </w:tcPr>
          <w:p w14:paraId="5FB67961">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总锌</w:t>
            </w:r>
          </w:p>
        </w:tc>
        <w:tc>
          <w:tcPr>
            <w:tcW w:w="603" w:type="pct"/>
            <w:shd w:val="clear" w:color="auto" w:fill="auto"/>
            <w:vAlign w:val="center"/>
          </w:tcPr>
          <w:p w14:paraId="5B378F76">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1A25B4E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0.05L</w:t>
            </w:r>
          </w:p>
        </w:tc>
        <w:tc>
          <w:tcPr>
            <w:tcW w:w="1560" w:type="pct"/>
            <w:shd w:val="clear" w:color="auto" w:fill="auto"/>
            <w:vAlign w:val="center"/>
          </w:tcPr>
          <w:p w14:paraId="2E541E5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2.0</w:t>
            </w:r>
          </w:p>
        </w:tc>
      </w:tr>
      <w:tr w14:paraId="4B9AE42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64A62BCA">
            <w:pPr>
              <w:keepLines/>
              <w:widowControl/>
              <w:jc w:val="center"/>
              <w:rPr>
                <w:color w:val="auto"/>
                <w:sz w:val="21"/>
                <w:szCs w:val="21"/>
                <w:highlight w:val="none"/>
              </w:rPr>
            </w:pPr>
          </w:p>
        </w:tc>
        <w:tc>
          <w:tcPr>
            <w:tcW w:w="1070" w:type="pct"/>
            <w:gridSpan w:val="3"/>
            <w:shd w:val="clear" w:color="auto" w:fill="auto"/>
            <w:vAlign w:val="center"/>
          </w:tcPr>
          <w:p w14:paraId="289933EC">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 w:val="21"/>
                <w:szCs w:val="21"/>
                <w:lang w:val="en-US" w:eastAsia="zh-CN"/>
              </w:rPr>
              <w:t>总锰</w:t>
            </w:r>
          </w:p>
        </w:tc>
        <w:tc>
          <w:tcPr>
            <w:tcW w:w="603" w:type="pct"/>
            <w:shd w:val="clear" w:color="auto" w:fill="auto"/>
            <w:vAlign w:val="center"/>
          </w:tcPr>
          <w:p w14:paraId="1748AF56">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2267E04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0.10</w:t>
            </w:r>
          </w:p>
        </w:tc>
        <w:tc>
          <w:tcPr>
            <w:tcW w:w="1560" w:type="pct"/>
            <w:shd w:val="clear" w:color="auto" w:fill="auto"/>
            <w:vAlign w:val="center"/>
          </w:tcPr>
          <w:p w14:paraId="6C84784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2.0</w:t>
            </w:r>
          </w:p>
        </w:tc>
      </w:tr>
      <w:tr w14:paraId="2BD8EA45">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B849DB7">
            <w:pPr>
              <w:keepLines/>
              <w:widowControl/>
              <w:jc w:val="center"/>
              <w:rPr>
                <w:color w:val="auto"/>
                <w:sz w:val="21"/>
                <w:szCs w:val="21"/>
                <w:highlight w:val="none"/>
              </w:rPr>
            </w:pPr>
          </w:p>
        </w:tc>
        <w:tc>
          <w:tcPr>
            <w:tcW w:w="1070" w:type="pct"/>
            <w:gridSpan w:val="3"/>
            <w:shd w:val="clear" w:color="auto" w:fill="auto"/>
            <w:vAlign w:val="center"/>
          </w:tcPr>
          <w:p w14:paraId="63EA366A">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*元素磷</w:t>
            </w:r>
          </w:p>
        </w:tc>
        <w:tc>
          <w:tcPr>
            <w:tcW w:w="603" w:type="pct"/>
            <w:shd w:val="clear" w:color="auto" w:fill="auto"/>
            <w:vAlign w:val="center"/>
          </w:tcPr>
          <w:p w14:paraId="5212D7B3">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19DA14D4">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0.003L</w:t>
            </w:r>
          </w:p>
        </w:tc>
        <w:tc>
          <w:tcPr>
            <w:tcW w:w="1560" w:type="pct"/>
            <w:shd w:val="clear" w:color="auto" w:fill="auto"/>
            <w:vAlign w:val="center"/>
          </w:tcPr>
          <w:p w14:paraId="7EC48B2C">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0.1</w:t>
            </w:r>
          </w:p>
        </w:tc>
      </w:tr>
      <w:tr w14:paraId="57C092A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025F604">
            <w:pPr>
              <w:keepLines/>
              <w:widowControl/>
              <w:jc w:val="center"/>
              <w:rPr>
                <w:color w:val="auto"/>
                <w:sz w:val="21"/>
                <w:szCs w:val="21"/>
                <w:highlight w:val="none"/>
              </w:rPr>
            </w:pPr>
          </w:p>
        </w:tc>
        <w:tc>
          <w:tcPr>
            <w:tcW w:w="265" w:type="pct"/>
            <w:vMerge w:val="restart"/>
            <w:shd w:val="clear" w:color="auto" w:fill="auto"/>
            <w:vAlign w:val="center"/>
          </w:tcPr>
          <w:p w14:paraId="6B511FE6">
            <w:pPr>
              <w:keepLines/>
              <w:jc w:val="both"/>
              <w:rPr>
                <w:rFonts w:hint="eastAsia" w:ascii="Times New Roman" w:hAnsi="Times New Roman" w:cs="Times New Roman"/>
                <w:color w:val="auto"/>
                <w:sz w:val="21"/>
                <w:szCs w:val="21"/>
                <w:lang w:val="en-US" w:eastAsia="zh-CN"/>
              </w:rPr>
            </w:pPr>
          </w:p>
          <w:p w14:paraId="524620A2">
            <w:pPr>
              <w:keepLines/>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w:t>
            </w:r>
          </w:p>
          <w:p w14:paraId="5E95FCBD">
            <w:pPr>
              <w:keepLines/>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有</w:t>
            </w:r>
          </w:p>
          <w:p w14:paraId="18444F93">
            <w:pPr>
              <w:keepLines/>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机</w:t>
            </w:r>
          </w:p>
          <w:p w14:paraId="6FB41D86">
            <w:pPr>
              <w:keepLines/>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磷</w:t>
            </w:r>
          </w:p>
          <w:p w14:paraId="48629104">
            <w:pPr>
              <w:keepLines/>
              <w:jc w:val="center"/>
              <w:rPr>
                <w:rFonts w:hint="eastAsia" w:ascii="Times New Roman" w:hAnsi="Times New Roman" w:cs="Times New Roman"/>
                <w:color w:val="auto"/>
                <w:sz w:val="21"/>
                <w:szCs w:val="21"/>
                <w:lang w:val="en-US" w:eastAsia="zh-CN"/>
              </w:rPr>
            </w:pPr>
            <w:r>
              <w:rPr>
                <w:rFonts w:hint="eastAsia" w:ascii="Times New Roman" w:hAnsi="Times New Roman" w:cs="Times New Roman"/>
                <w:color w:val="auto"/>
                <w:sz w:val="21"/>
                <w:szCs w:val="21"/>
                <w:lang w:val="en-US" w:eastAsia="zh-CN"/>
              </w:rPr>
              <w:t>农</w:t>
            </w:r>
          </w:p>
          <w:p w14:paraId="4DF82CC4">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药</w:t>
            </w:r>
          </w:p>
          <w:p w14:paraId="548AE8A6">
            <w:pPr>
              <w:keepLines/>
              <w:widowControl/>
              <w:jc w:val="center"/>
              <w:rPr>
                <w:color w:val="auto"/>
                <w:sz w:val="21"/>
                <w:szCs w:val="21"/>
                <w:highlight w:val="none"/>
              </w:rPr>
            </w:pPr>
          </w:p>
        </w:tc>
        <w:tc>
          <w:tcPr>
            <w:tcW w:w="805" w:type="pct"/>
            <w:gridSpan w:val="2"/>
            <w:shd w:val="clear" w:color="auto" w:fill="auto"/>
            <w:vAlign w:val="center"/>
          </w:tcPr>
          <w:p w14:paraId="34C286CA">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*敌敌畏</w:t>
            </w:r>
          </w:p>
        </w:tc>
        <w:tc>
          <w:tcPr>
            <w:tcW w:w="603" w:type="pct"/>
            <w:shd w:val="clear" w:color="auto" w:fill="auto"/>
            <w:vAlign w:val="center"/>
          </w:tcPr>
          <w:p w14:paraId="686E1630">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5F04DB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0.00006L</w:t>
            </w:r>
          </w:p>
        </w:tc>
        <w:tc>
          <w:tcPr>
            <w:tcW w:w="1560" w:type="pct"/>
            <w:shd w:val="clear" w:color="auto" w:fill="auto"/>
            <w:vAlign w:val="center"/>
          </w:tcPr>
          <w:p w14:paraId="2FA6A2C7">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w:t>
            </w:r>
          </w:p>
        </w:tc>
      </w:tr>
      <w:tr w14:paraId="17845B8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56D7D7B">
            <w:pPr>
              <w:keepLines/>
              <w:widowControl/>
              <w:jc w:val="center"/>
              <w:rPr>
                <w:color w:val="auto"/>
                <w:sz w:val="21"/>
                <w:szCs w:val="21"/>
                <w:highlight w:val="none"/>
              </w:rPr>
            </w:pPr>
          </w:p>
        </w:tc>
        <w:tc>
          <w:tcPr>
            <w:tcW w:w="265" w:type="pct"/>
            <w:vMerge w:val="continue"/>
            <w:vAlign w:val="center"/>
          </w:tcPr>
          <w:p w14:paraId="476EB421">
            <w:pPr>
              <w:keepLines/>
              <w:widowControl/>
              <w:jc w:val="center"/>
              <w:rPr>
                <w:color w:val="auto"/>
                <w:sz w:val="21"/>
                <w:szCs w:val="21"/>
                <w:highlight w:val="none"/>
              </w:rPr>
            </w:pPr>
          </w:p>
        </w:tc>
        <w:tc>
          <w:tcPr>
            <w:tcW w:w="805" w:type="pct"/>
            <w:gridSpan w:val="2"/>
            <w:shd w:val="clear" w:color="auto" w:fill="auto"/>
            <w:vAlign w:val="center"/>
          </w:tcPr>
          <w:p w14:paraId="614AF2C7">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*敌百虫</w:t>
            </w:r>
          </w:p>
        </w:tc>
        <w:tc>
          <w:tcPr>
            <w:tcW w:w="603" w:type="pct"/>
            <w:shd w:val="clear" w:color="auto" w:fill="auto"/>
            <w:vAlign w:val="center"/>
          </w:tcPr>
          <w:p w14:paraId="2DB78093">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827C822">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0.00051L</w:t>
            </w:r>
          </w:p>
        </w:tc>
        <w:tc>
          <w:tcPr>
            <w:tcW w:w="1560" w:type="pct"/>
            <w:shd w:val="clear" w:color="auto" w:fill="auto"/>
            <w:vAlign w:val="center"/>
          </w:tcPr>
          <w:p w14:paraId="1F2D9CC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w:t>
            </w:r>
          </w:p>
        </w:tc>
      </w:tr>
      <w:tr w14:paraId="16629CE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6DF6F70">
            <w:pPr>
              <w:keepLines/>
              <w:widowControl/>
              <w:jc w:val="center"/>
              <w:rPr>
                <w:color w:val="auto"/>
                <w:sz w:val="21"/>
                <w:szCs w:val="21"/>
                <w:highlight w:val="none"/>
              </w:rPr>
            </w:pPr>
          </w:p>
        </w:tc>
        <w:tc>
          <w:tcPr>
            <w:tcW w:w="265" w:type="pct"/>
            <w:vMerge w:val="continue"/>
            <w:vAlign w:val="center"/>
          </w:tcPr>
          <w:p w14:paraId="32FF5BCC">
            <w:pPr>
              <w:keepLines/>
              <w:widowControl/>
              <w:jc w:val="center"/>
              <w:rPr>
                <w:color w:val="auto"/>
                <w:sz w:val="21"/>
                <w:szCs w:val="21"/>
                <w:highlight w:val="none"/>
              </w:rPr>
            </w:pPr>
          </w:p>
        </w:tc>
        <w:tc>
          <w:tcPr>
            <w:tcW w:w="805" w:type="pct"/>
            <w:gridSpan w:val="2"/>
            <w:shd w:val="clear" w:color="auto" w:fill="auto"/>
            <w:vAlign w:val="center"/>
          </w:tcPr>
          <w:p w14:paraId="0FFA423A">
            <w:pPr>
              <w:keepNext w:val="0"/>
              <w:keepLines w:val="0"/>
              <w:widowControl/>
              <w:suppressLineNumbers w:val="0"/>
              <w:snapToGrid w:val="0"/>
              <w:spacing w:before="0" w:beforeAutospacing="0" w:after="0" w:afterAutospacing="0" w:line="240" w:lineRule="atLeast"/>
              <w:ind w:left="0" w:leftChars="0" w:right="0" w:rightChars="0"/>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*乐果</w:t>
            </w:r>
          </w:p>
        </w:tc>
        <w:tc>
          <w:tcPr>
            <w:tcW w:w="603" w:type="pct"/>
            <w:shd w:val="clear" w:color="auto" w:fill="auto"/>
            <w:vAlign w:val="center"/>
          </w:tcPr>
          <w:p w14:paraId="4CF8AA54">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A7BBD35">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0.00057</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1D5F0755">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不得检出</w:t>
            </w:r>
          </w:p>
        </w:tc>
      </w:tr>
      <w:tr w14:paraId="42E392B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6F69FEE">
            <w:pPr>
              <w:keepLines/>
              <w:widowControl/>
              <w:jc w:val="center"/>
              <w:rPr>
                <w:color w:val="auto"/>
                <w:sz w:val="21"/>
                <w:szCs w:val="21"/>
                <w:highlight w:val="none"/>
              </w:rPr>
            </w:pPr>
          </w:p>
        </w:tc>
        <w:tc>
          <w:tcPr>
            <w:tcW w:w="265" w:type="pct"/>
            <w:vMerge w:val="continue"/>
            <w:vAlign w:val="center"/>
          </w:tcPr>
          <w:p w14:paraId="3FA9036B">
            <w:pPr>
              <w:keepLines/>
              <w:widowControl/>
              <w:jc w:val="center"/>
              <w:rPr>
                <w:color w:val="auto"/>
                <w:sz w:val="21"/>
                <w:szCs w:val="21"/>
                <w:highlight w:val="none"/>
              </w:rPr>
            </w:pPr>
          </w:p>
        </w:tc>
        <w:tc>
          <w:tcPr>
            <w:tcW w:w="805" w:type="pct"/>
            <w:gridSpan w:val="2"/>
            <w:shd w:val="clear" w:color="auto" w:fill="auto"/>
            <w:vAlign w:val="center"/>
          </w:tcPr>
          <w:p w14:paraId="2C42A946">
            <w:pPr>
              <w:keepLines/>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*对硫磷</w:t>
            </w:r>
          </w:p>
        </w:tc>
        <w:tc>
          <w:tcPr>
            <w:tcW w:w="603" w:type="pct"/>
            <w:shd w:val="clear" w:color="auto" w:fill="auto"/>
            <w:vAlign w:val="center"/>
          </w:tcPr>
          <w:p w14:paraId="25A59C0B">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3F8260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0.00054</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0ADEBDD4">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不得检出</w:t>
            </w:r>
          </w:p>
        </w:tc>
      </w:tr>
      <w:tr w14:paraId="7437A523">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395D3B16">
            <w:pPr>
              <w:keepLines/>
              <w:widowControl/>
              <w:jc w:val="center"/>
              <w:rPr>
                <w:color w:val="auto"/>
                <w:sz w:val="21"/>
                <w:szCs w:val="21"/>
                <w:highlight w:val="none"/>
              </w:rPr>
            </w:pPr>
          </w:p>
        </w:tc>
        <w:tc>
          <w:tcPr>
            <w:tcW w:w="265" w:type="pct"/>
            <w:vMerge w:val="continue"/>
            <w:vAlign w:val="center"/>
          </w:tcPr>
          <w:p w14:paraId="191437E8">
            <w:pPr>
              <w:keepLines/>
              <w:widowControl/>
              <w:jc w:val="center"/>
              <w:rPr>
                <w:color w:val="auto"/>
                <w:sz w:val="21"/>
                <w:szCs w:val="21"/>
                <w:highlight w:val="none"/>
              </w:rPr>
            </w:pPr>
          </w:p>
        </w:tc>
        <w:tc>
          <w:tcPr>
            <w:tcW w:w="805" w:type="pct"/>
            <w:gridSpan w:val="2"/>
            <w:shd w:val="clear" w:color="auto" w:fill="auto"/>
            <w:vAlign w:val="center"/>
          </w:tcPr>
          <w:p w14:paraId="5ACB881C">
            <w:pPr>
              <w:keepLines/>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*甲基对硫磷</w:t>
            </w:r>
          </w:p>
        </w:tc>
        <w:tc>
          <w:tcPr>
            <w:tcW w:w="603" w:type="pct"/>
            <w:shd w:val="clear" w:color="auto" w:fill="auto"/>
            <w:vAlign w:val="center"/>
          </w:tcPr>
          <w:p w14:paraId="7E32074A">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23A0D8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0.00042</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57C7A0F6">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不得检出</w:t>
            </w:r>
          </w:p>
        </w:tc>
      </w:tr>
      <w:tr w14:paraId="512B88D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D6FEA45">
            <w:pPr>
              <w:keepLines/>
              <w:widowControl/>
              <w:jc w:val="center"/>
              <w:rPr>
                <w:color w:val="auto"/>
                <w:sz w:val="21"/>
                <w:szCs w:val="21"/>
                <w:highlight w:val="none"/>
              </w:rPr>
            </w:pPr>
          </w:p>
        </w:tc>
        <w:tc>
          <w:tcPr>
            <w:tcW w:w="265" w:type="pct"/>
            <w:vMerge w:val="continue"/>
            <w:vAlign w:val="center"/>
          </w:tcPr>
          <w:p w14:paraId="45438D25">
            <w:pPr>
              <w:keepLines/>
              <w:widowControl/>
              <w:jc w:val="center"/>
              <w:rPr>
                <w:color w:val="auto"/>
                <w:sz w:val="21"/>
                <w:szCs w:val="21"/>
                <w:highlight w:val="none"/>
              </w:rPr>
            </w:pPr>
          </w:p>
        </w:tc>
        <w:tc>
          <w:tcPr>
            <w:tcW w:w="805" w:type="pct"/>
            <w:gridSpan w:val="2"/>
            <w:shd w:val="clear" w:color="auto" w:fill="auto"/>
            <w:vAlign w:val="center"/>
          </w:tcPr>
          <w:p w14:paraId="2CC42CBF">
            <w:pPr>
              <w:keepLines/>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*马拉硫磷</w:t>
            </w:r>
          </w:p>
        </w:tc>
        <w:tc>
          <w:tcPr>
            <w:tcW w:w="603" w:type="pct"/>
            <w:shd w:val="clear" w:color="auto" w:fill="auto"/>
            <w:vAlign w:val="center"/>
          </w:tcPr>
          <w:p w14:paraId="5CB60958">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9B9C364">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0.00064</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24C0CB80">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不得检出</w:t>
            </w:r>
          </w:p>
        </w:tc>
      </w:tr>
      <w:tr w14:paraId="0F262E2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449BB11">
            <w:pPr>
              <w:keepLines/>
              <w:widowControl/>
              <w:jc w:val="center"/>
              <w:rPr>
                <w:color w:val="auto"/>
                <w:sz w:val="21"/>
                <w:szCs w:val="21"/>
                <w:highlight w:val="none"/>
              </w:rPr>
            </w:pPr>
          </w:p>
        </w:tc>
        <w:tc>
          <w:tcPr>
            <w:tcW w:w="1070" w:type="pct"/>
            <w:gridSpan w:val="3"/>
            <w:shd w:val="clear" w:color="auto" w:fill="auto"/>
            <w:vAlign w:val="center"/>
          </w:tcPr>
          <w:p w14:paraId="4BB82B0E">
            <w:pPr>
              <w:keepLines/>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五氯酚</w:t>
            </w:r>
            <w:r>
              <w:rPr>
                <w:rFonts w:hint="eastAsia" w:ascii="Times New Roman" w:hAnsi="Times New Roman" w:eastAsia="宋体" w:cs="Times New Roman"/>
                <w:color w:val="auto"/>
                <w:kern w:val="0"/>
                <w:sz w:val="21"/>
                <w:szCs w:val="21"/>
                <w:lang w:val="en-US" w:eastAsia="zh-CN" w:bidi="ar"/>
              </w:rPr>
              <w:t>及</w:t>
            </w:r>
            <w:r>
              <w:rPr>
                <w:rFonts w:hint="default" w:ascii="Times New Roman" w:hAnsi="Times New Roman" w:eastAsia="宋体" w:cs="Times New Roman"/>
                <w:color w:val="auto"/>
                <w:kern w:val="0"/>
                <w:sz w:val="21"/>
                <w:szCs w:val="21"/>
                <w:lang w:val="en-US" w:eastAsia="zh-CN" w:bidi="ar"/>
              </w:rPr>
              <w:t>五氯酚钠</w:t>
            </w:r>
          </w:p>
        </w:tc>
        <w:tc>
          <w:tcPr>
            <w:tcW w:w="603" w:type="pct"/>
            <w:shd w:val="clear" w:color="auto" w:fill="auto"/>
            <w:vAlign w:val="center"/>
          </w:tcPr>
          <w:p w14:paraId="4B0A0159">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E099A08">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0.01L</w:t>
            </w:r>
          </w:p>
        </w:tc>
        <w:tc>
          <w:tcPr>
            <w:tcW w:w="1560" w:type="pct"/>
            <w:shd w:val="clear" w:color="auto" w:fill="auto"/>
            <w:vAlign w:val="center"/>
          </w:tcPr>
          <w:p w14:paraId="05B28BD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5.0</w:t>
            </w:r>
          </w:p>
        </w:tc>
      </w:tr>
      <w:tr w14:paraId="4934A50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BBED44F">
            <w:pPr>
              <w:keepLines/>
              <w:widowControl/>
              <w:jc w:val="center"/>
              <w:rPr>
                <w:color w:val="auto"/>
                <w:sz w:val="21"/>
                <w:szCs w:val="21"/>
                <w:highlight w:val="none"/>
              </w:rPr>
            </w:pPr>
          </w:p>
        </w:tc>
        <w:tc>
          <w:tcPr>
            <w:tcW w:w="1070" w:type="pct"/>
            <w:gridSpan w:val="3"/>
            <w:shd w:val="clear" w:color="auto" w:fill="auto"/>
            <w:vAlign w:val="center"/>
          </w:tcPr>
          <w:p w14:paraId="35D21DFE">
            <w:pPr>
              <w:keepLines/>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r>
              <w:rPr>
                <w:rFonts w:hint="default" w:ascii="Times New Roman" w:hAnsi="Times New Roman" w:cs="Times New Roman"/>
                <w:color w:val="auto"/>
                <w:kern w:val="2"/>
                <w:sz w:val="21"/>
                <w:szCs w:val="21"/>
                <w:lang w:val="en-US" w:eastAsia="zh-CN" w:bidi="ar-SA"/>
              </w:rPr>
              <w:t>可吸附有机卤素(AOX)</w:t>
            </w:r>
          </w:p>
        </w:tc>
        <w:tc>
          <w:tcPr>
            <w:tcW w:w="603" w:type="pct"/>
            <w:shd w:val="clear" w:color="auto" w:fill="auto"/>
            <w:vAlign w:val="center"/>
          </w:tcPr>
          <w:p w14:paraId="2EE1977D">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0217306">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0.027</w:t>
            </w:r>
          </w:p>
        </w:tc>
        <w:tc>
          <w:tcPr>
            <w:tcW w:w="1560" w:type="pct"/>
            <w:shd w:val="clear" w:color="auto" w:fill="auto"/>
            <w:vAlign w:val="center"/>
          </w:tcPr>
          <w:p w14:paraId="737EA1E6">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1.0</w:t>
            </w:r>
          </w:p>
        </w:tc>
      </w:tr>
      <w:tr w14:paraId="54B0693A">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314" w:hRule="atLeast"/>
        </w:trPr>
        <w:tc>
          <w:tcPr>
            <w:tcW w:w="717" w:type="pct"/>
            <w:vMerge w:val="continue"/>
            <w:vAlign w:val="center"/>
          </w:tcPr>
          <w:p w14:paraId="1373199E">
            <w:pPr>
              <w:keepLines/>
              <w:widowControl/>
              <w:jc w:val="center"/>
              <w:rPr>
                <w:color w:val="auto"/>
                <w:sz w:val="21"/>
                <w:szCs w:val="21"/>
                <w:highlight w:val="none"/>
              </w:rPr>
            </w:pPr>
          </w:p>
        </w:tc>
        <w:tc>
          <w:tcPr>
            <w:tcW w:w="1070" w:type="pct"/>
            <w:gridSpan w:val="3"/>
            <w:shd w:val="clear" w:color="auto" w:fill="auto"/>
            <w:vAlign w:val="center"/>
          </w:tcPr>
          <w:p w14:paraId="188D4A69">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可吸附有机氯</w:t>
            </w:r>
          </w:p>
        </w:tc>
        <w:tc>
          <w:tcPr>
            <w:tcW w:w="603" w:type="pct"/>
            <w:shd w:val="clear" w:color="auto" w:fill="auto"/>
            <w:vAlign w:val="center"/>
          </w:tcPr>
          <w:p w14:paraId="0AD84822">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3CDBF6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0.027</w:t>
            </w:r>
          </w:p>
        </w:tc>
        <w:tc>
          <w:tcPr>
            <w:tcW w:w="1560" w:type="pct"/>
            <w:shd w:val="clear" w:color="auto" w:fill="auto"/>
            <w:vAlign w:val="center"/>
          </w:tcPr>
          <w:p w14:paraId="009ACE57">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w:t>
            </w:r>
          </w:p>
        </w:tc>
      </w:tr>
      <w:tr w14:paraId="689351C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1362A5A">
            <w:pPr>
              <w:keepLines/>
              <w:widowControl/>
              <w:jc w:val="center"/>
              <w:rPr>
                <w:color w:val="auto"/>
                <w:sz w:val="21"/>
                <w:szCs w:val="21"/>
                <w:highlight w:val="none"/>
              </w:rPr>
            </w:pPr>
          </w:p>
        </w:tc>
        <w:tc>
          <w:tcPr>
            <w:tcW w:w="1070" w:type="pct"/>
            <w:gridSpan w:val="3"/>
            <w:shd w:val="clear" w:color="auto" w:fill="auto"/>
            <w:vAlign w:val="center"/>
          </w:tcPr>
          <w:p w14:paraId="25DF5241">
            <w:pPr>
              <w:keepLines/>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可吸附有机溴</w:t>
            </w:r>
          </w:p>
        </w:tc>
        <w:tc>
          <w:tcPr>
            <w:tcW w:w="603" w:type="pct"/>
            <w:shd w:val="clear" w:color="auto" w:fill="auto"/>
            <w:vAlign w:val="center"/>
          </w:tcPr>
          <w:p w14:paraId="25285F5E">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627E3E3C">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0.009</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1CA428C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w:t>
            </w:r>
          </w:p>
        </w:tc>
      </w:tr>
      <w:tr w14:paraId="2A53F38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CEC9C94">
            <w:pPr>
              <w:keepLines/>
              <w:widowControl/>
              <w:jc w:val="center"/>
              <w:rPr>
                <w:color w:val="auto"/>
                <w:sz w:val="21"/>
                <w:szCs w:val="21"/>
                <w:highlight w:val="none"/>
              </w:rPr>
            </w:pPr>
          </w:p>
        </w:tc>
        <w:tc>
          <w:tcPr>
            <w:tcW w:w="1070" w:type="pct"/>
            <w:gridSpan w:val="3"/>
            <w:shd w:val="clear" w:color="auto" w:fill="auto"/>
            <w:vAlign w:val="center"/>
          </w:tcPr>
          <w:p w14:paraId="4348F395">
            <w:pPr>
              <w:keepLines/>
              <w:jc w:val="center"/>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SA"/>
              </w:rPr>
              <w:t>*</w:t>
            </w:r>
            <w:r>
              <w:rPr>
                <w:rFonts w:hint="eastAsia" w:ascii="Times New Roman" w:hAnsi="Times New Roman" w:eastAsia="宋体" w:cs="Times New Roman"/>
                <w:color w:val="auto"/>
                <w:kern w:val="2"/>
                <w:sz w:val="21"/>
                <w:szCs w:val="21"/>
                <w:lang w:val="en-US" w:eastAsia="zh-CN" w:bidi="ar-SA"/>
              </w:rPr>
              <w:t>可吸附有机氟</w:t>
            </w:r>
          </w:p>
        </w:tc>
        <w:tc>
          <w:tcPr>
            <w:tcW w:w="603" w:type="pct"/>
            <w:shd w:val="clear" w:color="auto" w:fill="auto"/>
            <w:vAlign w:val="center"/>
          </w:tcPr>
          <w:p w14:paraId="7BDC1FA9">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41F1D10">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0.005</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0A81FF97">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w:t>
            </w:r>
          </w:p>
        </w:tc>
      </w:tr>
      <w:tr w14:paraId="5D892171">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2E2D0BC">
            <w:pPr>
              <w:keepLines/>
              <w:widowControl/>
              <w:jc w:val="center"/>
              <w:rPr>
                <w:color w:val="auto"/>
                <w:sz w:val="21"/>
                <w:szCs w:val="21"/>
                <w:highlight w:val="none"/>
              </w:rPr>
            </w:pPr>
          </w:p>
        </w:tc>
        <w:tc>
          <w:tcPr>
            <w:tcW w:w="1070" w:type="pct"/>
            <w:gridSpan w:val="3"/>
            <w:shd w:val="clear" w:color="auto" w:fill="auto"/>
            <w:vAlign w:val="center"/>
          </w:tcPr>
          <w:p w14:paraId="03D1A204">
            <w:pPr>
              <w:keepLines/>
              <w:jc w:val="center"/>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*三氯甲烷</w:t>
            </w:r>
          </w:p>
        </w:tc>
        <w:tc>
          <w:tcPr>
            <w:tcW w:w="603" w:type="pct"/>
            <w:shd w:val="clear" w:color="auto" w:fill="auto"/>
            <w:vAlign w:val="center"/>
          </w:tcPr>
          <w:p w14:paraId="1609A1C8">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6E7D168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0.0004L</w:t>
            </w:r>
          </w:p>
        </w:tc>
        <w:tc>
          <w:tcPr>
            <w:tcW w:w="1560" w:type="pct"/>
            <w:shd w:val="clear" w:color="auto" w:fill="auto"/>
            <w:vAlign w:val="center"/>
          </w:tcPr>
          <w:p w14:paraId="21774264">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0.3</w:t>
            </w:r>
          </w:p>
        </w:tc>
      </w:tr>
      <w:tr w14:paraId="16A5BD3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1D12C86">
            <w:pPr>
              <w:keepLines/>
              <w:widowControl/>
              <w:jc w:val="center"/>
              <w:rPr>
                <w:color w:val="auto"/>
                <w:sz w:val="21"/>
                <w:szCs w:val="21"/>
                <w:highlight w:val="none"/>
              </w:rPr>
            </w:pPr>
          </w:p>
        </w:tc>
        <w:tc>
          <w:tcPr>
            <w:tcW w:w="1070" w:type="pct"/>
            <w:gridSpan w:val="3"/>
            <w:shd w:val="clear" w:color="auto" w:fill="auto"/>
            <w:vAlign w:val="center"/>
          </w:tcPr>
          <w:p w14:paraId="7443C4DD">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*四氯化碳</w:t>
            </w:r>
          </w:p>
        </w:tc>
        <w:tc>
          <w:tcPr>
            <w:tcW w:w="603" w:type="pct"/>
            <w:shd w:val="clear" w:color="auto" w:fill="auto"/>
            <w:vAlign w:val="center"/>
          </w:tcPr>
          <w:p w14:paraId="0193475E">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96A19B1">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0.0008</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5056F87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0.03</w:t>
            </w:r>
          </w:p>
        </w:tc>
      </w:tr>
      <w:tr w14:paraId="32AA77B6">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490511D0">
            <w:pPr>
              <w:keepLines/>
              <w:widowControl/>
              <w:jc w:val="center"/>
              <w:rPr>
                <w:color w:val="auto"/>
                <w:sz w:val="21"/>
                <w:szCs w:val="21"/>
                <w:highlight w:val="none"/>
              </w:rPr>
            </w:pPr>
          </w:p>
        </w:tc>
        <w:tc>
          <w:tcPr>
            <w:tcW w:w="1070" w:type="pct"/>
            <w:gridSpan w:val="3"/>
            <w:shd w:val="clear" w:color="auto" w:fill="auto"/>
            <w:vAlign w:val="center"/>
          </w:tcPr>
          <w:p w14:paraId="7CE4CDF0">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*三氯乙烯</w:t>
            </w:r>
          </w:p>
        </w:tc>
        <w:tc>
          <w:tcPr>
            <w:tcW w:w="603" w:type="pct"/>
            <w:shd w:val="clear" w:color="auto" w:fill="auto"/>
            <w:vAlign w:val="center"/>
          </w:tcPr>
          <w:p w14:paraId="6F7FA1AE">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1381E5CC">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0.0008</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06DD868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0.3</w:t>
            </w:r>
          </w:p>
        </w:tc>
      </w:tr>
      <w:tr w14:paraId="3D9B6EE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6053AF2">
            <w:pPr>
              <w:keepLines/>
              <w:widowControl/>
              <w:jc w:val="center"/>
              <w:rPr>
                <w:color w:val="auto"/>
                <w:sz w:val="21"/>
                <w:szCs w:val="21"/>
                <w:highlight w:val="none"/>
              </w:rPr>
            </w:pPr>
          </w:p>
        </w:tc>
        <w:tc>
          <w:tcPr>
            <w:tcW w:w="1070" w:type="pct"/>
            <w:gridSpan w:val="3"/>
            <w:shd w:val="clear" w:color="auto" w:fill="auto"/>
            <w:vAlign w:val="center"/>
          </w:tcPr>
          <w:p w14:paraId="2BF64080">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*四氯乙烯</w:t>
            </w:r>
          </w:p>
        </w:tc>
        <w:tc>
          <w:tcPr>
            <w:tcW w:w="603" w:type="pct"/>
            <w:shd w:val="clear" w:color="auto" w:fill="auto"/>
            <w:vAlign w:val="center"/>
          </w:tcPr>
          <w:p w14:paraId="0A039797">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CB11705">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0.0008</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669B054F">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w:t>
            </w:r>
          </w:p>
        </w:tc>
      </w:tr>
      <w:tr w14:paraId="784AB6C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0083BEF">
            <w:pPr>
              <w:keepLines/>
              <w:widowControl/>
              <w:jc w:val="center"/>
              <w:rPr>
                <w:color w:val="auto"/>
                <w:sz w:val="21"/>
                <w:szCs w:val="21"/>
                <w:highlight w:val="none"/>
              </w:rPr>
            </w:pPr>
          </w:p>
        </w:tc>
        <w:tc>
          <w:tcPr>
            <w:tcW w:w="1070" w:type="pct"/>
            <w:gridSpan w:val="3"/>
            <w:shd w:val="clear" w:color="auto" w:fill="auto"/>
            <w:vAlign w:val="center"/>
          </w:tcPr>
          <w:p w14:paraId="7D99F088">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苯</w:t>
            </w:r>
          </w:p>
        </w:tc>
        <w:tc>
          <w:tcPr>
            <w:tcW w:w="603" w:type="pct"/>
            <w:shd w:val="clear" w:color="auto" w:fill="auto"/>
            <w:vAlign w:val="center"/>
          </w:tcPr>
          <w:p w14:paraId="5D1A75C8">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EF5C97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-3</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5DF812A5">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w:t>
            </w:r>
          </w:p>
        </w:tc>
      </w:tr>
      <w:tr w14:paraId="3EDA421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3D7DCD2">
            <w:pPr>
              <w:keepLines/>
              <w:widowControl/>
              <w:jc w:val="center"/>
              <w:rPr>
                <w:color w:val="auto"/>
                <w:sz w:val="21"/>
                <w:szCs w:val="21"/>
                <w:highlight w:val="none"/>
              </w:rPr>
            </w:pPr>
          </w:p>
        </w:tc>
        <w:tc>
          <w:tcPr>
            <w:tcW w:w="1070" w:type="pct"/>
            <w:gridSpan w:val="3"/>
            <w:shd w:val="clear" w:color="auto" w:fill="auto"/>
            <w:vAlign w:val="center"/>
          </w:tcPr>
          <w:p w14:paraId="2D3687CE">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0"/>
                <w:sz w:val="21"/>
                <w:szCs w:val="21"/>
                <w:lang w:val="en-US" w:eastAsia="zh-CN" w:bidi="ar"/>
              </w:rPr>
              <w:t>甲苯</w:t>
            </w:r>
          </w:p>
        </w:tc>
        <w:tc>
          <w:tcPr>
            <w:tcW w:w="603" w:type="pct"/>
            <w:shd w:val="clear" w:color="auto" w:fill="auto"/>
            <w:vAlign w:val="center"/>
          </w:tcPr>
          <w:p w14:paraId="2CD4A882">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6026336">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-3</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6D5B31A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w:t>
            </w:r>
          </w:p>
        </w:tc>
      </w:tr>
      <w:tr w14:paraId="5E15349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2495A2B">
            <w:pPr>
              <w:keepLines/>
              <w:widowControl/>
              <w:jc w:val="center"/>
              <w:rPr>
                <w:color w:val="auto"/>
                <w:sz w:val="21"/>
                <w:szCs w:val="21"/>
                <w:highlight w:val="none"/>
              </w:rPr>
            </w:pPr>
          </w:p>
        </w:tc>
        <w:tc>
          <w:tcPr>
            <w:tcW w:w="1070" w:type="pct"/>
            <w:gridSpan w:val="3"/>
            <w:shd w:val="clear" w:color="auto" w:fill="auto"/>
            <w:vAlign w:val="center"/>
          </w:tcPr>
          <w:p w14:paraId="598B2E1D">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乙苯</w:t>
            </w:r>
          </w:p>
        </w:tc>
        <w:tc>
          <w:tcPr>
            <w:tcW w:w="603" w:type="pct"/>
            <w:shd w:val="clear" w:color="auto" w:fill="auto"/>
            <w:vAlign w:val="center"/>
          </w:tcPr>
          <w:p w14:paraId="151F77F5">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394D430">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-3</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4055F20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w:t>
            </w:r>
          </w:p>
        </w:tc>
      </w:tr>
      <w:tr w14:paraId="333949C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32B96B3">
            <w:pPr>
              <w:keepLines/>
              <w:widowControl/>
              <w:jc w:val="center"/>
              <w:rPr>
                <w:color w:val="auto"/>
                <w:sz w:val="21"/>
                <w:szCs w:val="21"/>
                <w:highlight w:val="none"/>
              </w:rPr>
            </w:pPr>
          </w:p>
        </w:tc>
        <w:tc>
          <w:tcPr>
            <w:tcW w:w="360" w:type="pct"/>
            <w:gridSpan w:val="2"/>
            <w:vMerge w:val="restart"/>
            <w:shd w:val="clear" w:color="auto" w:fill="auto"/>
            <w:vAlign w:val="center"/>
          </w:tcPr>
          <w:p w14:paraId="55340545">
            <w:pPr>
              <w:keepLines/>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二</w:t>
            </w:r>
          </w:p>
          <w:p w14:paraId="60B79AF0">
            <w:pPr>
              <w:keepLines/>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甲</w:t>
            </w:r>
          </w:p>
          <w:p w14:paraId="34C904FD">
            <w:pPr>
              <w:keepLines/>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苯</w:t>
            </w:r>
          </w:p>
          <w:p w14:paraId="75141EC8">
            <w:pPr>
              <w:keepLines/>
              <w:widowControl/>
              <w:jc w:val="center"/>
              <w:rPr>
                <w:color w:val="auto"/>
                <w:sz w:val="21"/>
                <w:szCs w:val="21"/>
                <w:highlight w:val="none"/>
              </w:rPr>
            </w:pPr>
          </w:p>
        </w:tc>
        <w:tc>
          <w:tcPr>
            <w:tcW w:w="710" w:type="pct"/>
            <w:shd w:val="clear" w:color="auto" w:fill="auto"/>
            <w:vAlign w:val="center"/>
          </w:tcPr>
          <w:p w14:paraId="09E20EA7">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对二甲苯</w:t>
            </w:r>
          </w:p>
        </w:tc>
        <w:tc>
          <w:tcPr>
            <w:tcW w:w="603" w:type="pct"/>
            <w:shd w:val="clear" w:color="auto" w:fill="auto"/>
            <w:vAlign w:val="center"/>
          </w:tcPr>
          <w:p w14:paraId="6252845E">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68739BF3">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-3</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6A6AEA97">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0.4</w:t>
            </w:r>
          </w:p>
        </w:tc>
      </w:tr>
      <w:tr w14:paraId="3D87A08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C1D94CC">
            <w:pPr>
              <w:keepLines/>
              <w:widowControl/>
              <w:jc w:val="center"/>
              <w:rPr>
                <w:color w:val="auto"/>
                <w:sz w:val="21"/>
                <w:szCs w:val="21"/>
                <w:highlight w:val="none"/>
              </w:rPr>
            </w:pPr>
          </w:p>
        </w:tc>
        <w:tc>
          <w:tcPr>
            <w:tcW w:w="360" w:type="pct"/>
            <w:gridSpan w:val="2"/>
            <w:vMerge w:val="continue"/>
            <w:vAlign w:val="center"/>
          </w:tcPr>
          <w:p w14:paraId="7331BB63">
            <w:pPr>
              <w:keepLines/>
              <w:widowControl/>
              <w:jc w:val="center"/>
              <w:rPr>
                <w:color w:val="auto"/>
                <w:sz w:val="21"/>
                <w:szCs w:val="21"/>
                <w:highlight w:val="none"/>
              </w:rPr>
            </w:pPr>
          </w:p>
        </w:tc>
        <w:tc>
          <w:tcPr>
            <w:tcW w:w="710" w:type="pct"/>
            <w:shd w:val="clear" w:color="auto" w:fill="auto"/>
            <w:vAlign w:val="center"/>
          </w:tcPr>
          <w:p w14:paraId="6DF58EF2">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间二甲苯</w:t>
            </w:r>
          </w:p>
        </w:tc>
        <w:tc>
          <w:tcPr>
            <w:tcW w:w="603" w:type="pct"/>
            <w:shd w:val="clear" w:color="auto" w:fill="auto"/>
            <w:vAlign w:val="center"/>
          </w:tcPr>
          <w:p w14:paraId="42D0D37F">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008A042E">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-3</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14F67526">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0.4</w:t>
            </w:r>
          </w:p>
        </w:tc>
      </w:tr>
      <w:tr w14:paraId="241AB2A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06F9C87">
            <w:pPr>
              <w:keepLines/>
              <w:widowControl/>
              <w:jc w:val="center"/>
              <w:rPr>
                <w:color w:val="auto"/>
                <w:sz w:val="21"/>
                <w:szCs w:val="21"/>
                <w:highlight w:val="none"/>
              </w:rPr>
            </w:pPr>
          </w:p>
        </w:tc>
        <w:tc>
          <w:tcPr>
            <w:tcW w:w="360" w:type="pct"/>
            <w:gridSpan w:val="2"/>
            <w:vMerge w:val="continue"/>
            <w:vAlign w:val="center"/>
          </w:tcPr>
          <w:p w14:paraId="6BDC49A9">
            <w:pPr>
              <w:keepLines/>
              <w:widowControl/>
              <w:jc w:val="center"/>
              <w:rPr>
                <w:color w:val="auto"/>
                <w:sz w:val="21"/>
                <w:szCs w:val="21"/>
                <w:highlight w:val="none"/>
              </w:rPr>
            </w:pPr>
          </w:p>
        </w:tc>
        <w:tc>
          <w:tcPr>
            <w:tcW w:w="710" w:type="pct"/>
            <w:shd w:val="clear" w:color="auto" w:fill="auto"/>
            <w:vAlign w:val="center"/>
          </w:tcPr>
          <w:p w14:paraId="587E5C9D">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邻二甲苯</w:t>
            </w:r>
          </w:p>
        </w:tc>
        <w:tc>
          <w:tcPr>
            <w:tcW w:w="603" w:type="pct"/>
            <w:shd w:val="clear" w:color="auto" w:fill="auto"/>
            <w:vAlign w:val="center"/>
          </w:tcPr>
          <w:p w14:paraId="6FE8E3ED">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8E16E71">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-3</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699E5CE8">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0.4</w:t>
            </w:r>
          </w:p>
        </w:tc>
      </w:tr>
      <w:tr w14:paraId="275ED6E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7A02060">
            <w:pPr>
              <w:keepLines/>
              <w:widowControl/>
              <w:jc w:val="center"/>
              <w:rPr>
                <w:color w:val="auto"/>
                <w:sz w:val="21"/>
                <w:szCs w:val="21"/>
                <w:highlight w:val="none"/>
              </w:rPr>
            </w:pPr>
          </w:p>
        </w:tc>
        <w:tc>
          <w:tcPr>
            <w:tcW w:w="1070" w:type="pct"/>
            <w:gridSpan w:val="3"/>
            <w:shd w:val="clear" w:color="auto" w:fill="auto"/>
            <w:vAlign w:val="center"/>
          </w:tcPr>
          <w:p w14:paraId="18CC75DF">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氯苯</w:t>
            </w:r>
          </w:p>
        </w:tc>
        <w:tc>
          <w:tcPr>
            <w:tcW w:w="603" w:type="pct"/>
            <w:shd w:val="clear" w:color="auto" w:fill="auto"/>
            <w:vAlign w:val="center"/>
          </w:tcPr>
          <w:p w14:paraId="25F4BF80">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2316B97">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0.012L</w:t>
            </w:r>
          </w:p>
        </w:tc>
        <w:tc>
          <w:tcPr>
            <w:tcW w:w="1560" w:type="pct"/>
            <w:shd w:val="clear" w:color="auto" w:fill="auto"/>
            <w:vAlign w:val="center"/>
          </w:tcPr>
          <w:p w14:paraId="2BACF38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0.2</w:t>
            </w:r>
          </w:p>
        </w:tc>
      </w:tr>
      <w:tr w14:paraId="4E23495C">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E52968C">
            <w:pPr>
              <w:keepLines/>
              <w:widowControl/>
              <w:jc w:val="center"/>
              <w:rPr>
                <w:color w:val="auto"/>
                <w:sz w:val="21"/>
                <w:szCs w:val="21"/>
                <w:highlight w:val="none"/>
              </w:rPr>
            </w:pPr>
          </w:p>
        </w:tc>
        <w:tc>
          <w:tcPr>
            <w:tcW w:w="1070" w:type="pct"/>
            <w:gridSpan w:val="3"/>
            <w:shd w:val="clear" w:color="auto" w:fill="auto"/>
            <w:vAlign w:val="center"/>
          </w:tcPr>
          <w:p w14:paraId="040DE3A7">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邻二氯苯</w:t>
            </w:r>
          </w:p>
        </w:tc>
        <w:tc>
          <w:tcPr>
            <w:tcW w:w="603" w:type="pct"/>
            <w:shd w:val="clear" w:color="auto" w:fill="auto"/>
            <w:vAlign w:val="center"/>
          </w:tcPr>
          <w:p w14:paraId="0D554B96">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5675CB76">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2.9</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-4</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22A7B802">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0.4</w:t>
            </w:r>
          </w:p>
        </w:tc>
      </w:tr>
      <w:tr w14:paraId="236AB5C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0BBC977">
            <w:pPr>
              <w:keepLines/>
              <w:widowControl/>
              <w:jc w:val="center"/>
              <w:rPr>
                <w:color w:val="auto"/>
                <w:sz w:val="21"/>
                <w:szCs w:val="21"/>
                <w:highlight w:val="none"/>
              </w:rPr>
            </w:pPr>
          </w:p>
        </w:tc>
        <w:tc>
          <w:tcPr>
            <w:tcW w:w="1070" w:type="pct"/>
            <w:gridSpan w:val="3"/>
            <w:shd w:val="clear" w:color="auto" w:fill="auto"/>
            <w:vAlign w:val="center"/>
          </w:tcPr>
          <w:p w14:paraId="7587089B">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
              </w:rPr>
              <w:t>对二氯苯</w:t>
            </w:r>
          </w:p>
        </w:tc>
        <w:tc>
          <w:tcPr>
            <w:tcW w:w="603" w:type="pct"/>
            <w:shd w:val="clear" w:color="auto" w:fill="auto"/>
            <w:vAlign w:val="center"/>
          </w:tcPr>
          <w:p w14:paraId="53086C4F">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E646D14">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2.3</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-4</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48D3928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0.4</w:t>
            </w:r>
          </w:p>
        </w:tc>
      </w:tr>
      <w:tr w14:paraId="545FA919">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2BB2401">
            <w:pPr>
              <w:keepLines/>
              <w:widowControl/>
              <w:jc w:val="center"/>
              <w:rPr>
                <w:color w:val="auto"/>
                <w:sz w:val="21"/>
                <w:szCs w:val="21"/>
                <w:highlight w:val="none"/>
              </w:rPr>
            </w:pPr>
          </w:p>
        </w:tc>
        <w:tc>
          <w:tcPr>
            <w:tcW w:w="1070" w:type="pct"/>
            <w:gridSpan w:val="3"/>
            <w:shd w:val="clear" w:color="auto" w:fill="auto"/>
            <w:vAlign w:val="center"/>
          </w:tcPr>
          <w:p w14:paraId="3FF27205">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对硝基氯苯</w:t>
            </w:r>
          </w:p>
        </w:tc>
        <w:tc>
          <w:tcPr>
            <w:tcW w:w="603" w:type="pct"/>
            <w:shd w:val="clear" w:color="auto" w:fill="auto"/>
            <w:vAlign w:val="center"/>
          </w:tcPr>
          <w:p w14:paraId="74B036AA">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C780B06">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1.9</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-5</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75CE055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0.5</w:t>
            </w:r>
          </w:p>
        </w:tc>
      </w:tr>
      <w:tr w14:paraId="157A9940">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3F3EFCB">
            <w:pPr>
              <w:keepLines/>
              <w:widowControl/>
              <w:jc w:val="center"/>
              <w:rPr>
                <w:color w:val="auto"/>
                <w:sz w:val="21"/>
                <w:szCs w:val="21"/>
                <w:highlight w:val="none"/>
              </w:rPr>
            </w:pPr>
          </w:p>
        </w:tc>
        <w:tc>
          <w:tcPr>
            <w:tcW w:w="1070" w:type="pct"/>
            <w:gridSpan w:val="3"/>
            <w:shd w:val="clear" w:color="auto" w:fill="auto"/>
            <w:vAlign w:val="center"/>
          </w:tcPr>
          <w:p w14:paraId="41B78292">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2,4-二硝基氯苯</w:t>
            </w:r>
          </w:p>
        </w:tc>
        <w:tc>
          <w:tcPr>
            <w:tcW w:w="603" w:type="pct"/>
            <w:shd w:val="clear" w:color="auto" w:fill="auto"/>
            <w:vAlign w:val="center"/>
          </w:tcPr>
          <w:p w14:paraId="707236BD">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390B94B">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1.8</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-5</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1A81C6D4">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0.5</w:t>
            </w:r>
          </w:p>
        </w:tc>
      </w:tr>
      <w:tr w14:paraId="59FC57F8">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517C446">
            <w:pPr>
              <w:keepLines/>
              <w:widowControl/>
              <w:jc w:val="center"/>
              <w:rPr>
                <w:color w:val="auto"/>
                <w:sz w:val="21"/>
                <w:szCs w:val="21"/>
                <w:highlight w:val="none"/>
              </w:rPr>
            </w:pPr>
          </w:p>
        </w:tc>
        <w:tc>
          <w:tcPr>
            <w:tcW w:w="1070" w:type="pct"/>
            <w:gridSpan w:val="3"/>
            <w:shd w:val="clear" w:color="auto" w:fill="auto"/>
            <w:vAlign w:val="center"/>
          </w:tcPr>
          <w:p w14:paraId="581CFFF8">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*苯酚</w:t>
            </w:r>
          </w:p>
        </w:tc>
        <w:tc>
          <w:tcPr>
            <w:tcW w:w="603" w:type="pct"/>
            <w:shd w:val="clear" w:color="auto" w:fill="auto"/>
            <w:vAlign w:val="center"/>
          </w:tcPr>
          <w:p w14:paraId="1235CA6C">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5C829F2">
            <w:pPr>
              <w:keepLines/>
              <w:jc w:val="center"/>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0.0005L</w:t>
            </w:r>
          </w:p>
        </w:tc>
        <w:tc>
          <w:tcPr>
            <w:tcW w:w="1560" w:type="pct"/>
            <w:shd w:val="clear" w:color="auto" w:fill="auto"/>
            <w:vAlign w:val="center"/>
          </w:tcPr>
          <w:p w14:paraId="543F6A09">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0.3</w:t>
            </w:r>
          </w:p>
        </w:tc>
      </w:tr>
      <w:tr w14:paraId="1F59F342">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7CE916F7">
            <w:pPr>
              <w:keepLines/>
              <w:widowControl/>
              <w:jc w:val="center"/>
              <w:rPr>
                <w:color w:val="auto"/>
                <w:sz w:val="21"/>
                <w:szCs w:val="21"/>
                <w:highlight w:val="none"/>
              </w:rPr>
            </w:pPr>
          </w:p>
        </w:tc>
        <w:tc>
          <w:tcPr>
            <w:tcW w:w="1070" w:type="pct"/>
            <w:gridSpan w:val="3"/>
            <w:shd w:val="clear" w:color="auto" w:fill="auto"/>
            <w:vAlign w:val="center"/>
          </w:tcPr>
          <w:p w14:paraId="47F57324">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*间-甲酚</w:t>
            </w:r>
          </w:p>
        </w:tc>
        <w:tc>
          <w:tcPr>
            <w:tcW w:w="603" w:type="pct"/>
            <w:shd w:val="clear" w:color="auto" w:fill="auto"/>
            <w:vAlign w:val="center"/>
          </w:tcPr>
          <w:p w14:paraId="7A16A2E6">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D4976C1">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0.0005L</w:t>
            </w:r>
          </w:p>
        </w:tc>
        <w:tc>
          <w:tcPr>
            <w:tcW w:w="1560" w:type="pct"/>
            <w:shd w:val="clear" w:color="auto" w:fill="auto"/>
            <w:vAlign w:val="center"/>
          </w:tcPr>
          <w:p w14:paraId="7E3275EC">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w:t>
            </w:r>
          </w:p>
        </w:tc>
      </w:tr>
      <w:tr w14:paraId="018B9C8D">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19D2BBD8">
            <w:pPr>
              <w:keepLines/>
              <w:widowControl/>
              <w:jc w:val="center"/>
              <w:rPr>
                <w:color w:val="auto"/>
                <w:sz w:val="21"/>
                <w:szCs w:val="21"/>
                <w:highlight w:val="none"/>
              </w:rPr>
            </w:pPr>
          </w:p>
        </w:tc>
        <w:tc>
          <w:tcPr>
            <w:tcW w:w="1070" w:type="pct"/>
            <w:gridSpan w:val="3"/>
            <w:shd w:val="clear" w:color="auto" w:fill="auto"/>
            <w:vAlign w:val="center"/>
          </w:tcPr>
          <w:p w14:paraId="5AFCEEBC">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*2，4-二氯酚</w:t>
            </w:r>
          </w:p>
        </w:tc>
        <w:tc>
          <w:tcPr>
            <w:tcW w:w="603" w:type="pct"/>
            <w:shd w:val="clear" w:color="auto" w:fill="auto"/>
            <w:vAlign w:val="center"/>
          </w:tcPr>
          <w:p w14:paraId="5102D28A">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3E721DBD">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0.0011L</w:t>
            </w:r>
          </w:p>
        </w:tc>
        <w:tc>
          <w:tcPr>
            <w:tcW w:w="1560" w:type="pct"/>
            <w:shd w:val="clear" w:color="auto" w:fill="auto"/>
            <w:vAlign w:val="center"/>
          </w:tcPr>
          <w:p w14:paraId="680E908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0.6</w:t>
            </w:r>
          </w:p>
        </w:tc>
      </w:tr>
      <w:tr w14:paraId="385ED5DB">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B3C6867">
            <w:pPr>
              <w:keepLines/>
              <w:widowControl/>
              <w:jc w:val="center"/>
              <w:rPr>
                <w:color w:val="auto"/>
                <w:sz w:val="21"/>
                <w:szCs w:val="21"/>
                <w:highlight w:val="none"/>
              </w:rPr>
            </w:pPr>
          </w:p>
        </w:tc>
        <w:tc>
          <w:tcPr>
            <w:tcW w:w="1070" w:type="pct"/>
            <w:gridSpan w:val="3"/>
            <w:shd w:val="clear" w:color="auto" w:fill="auto"/>
            <w:vAlign w:val="center"/>
          </w:tcPr>
          <w:p w14:paraId="5C4BE30A">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kern w:val="2"/>
                <w:sz w:val="21"/>
                <w:szCs w:val="21"/>
                <w:lang w:val="en-US" w:eastAsia="zh-CN" w:bidi="ar-SA"/>
              </w:rPr>
              <w:t>*2,4,6-三氯酚</w:t>
            </w:r>
          </w:p>
        </w:tc>
        <w:tc>
          <w:tcPr>
            <w:tcW w:w="603" w:type="pct"/>
            <w:shd w:val="clear" w:color="auto" w:fill="auto"/>
            <w:vAlign w:val="center"/>
          </w:tcPr>
          <w:p w14:paraId="73552271">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726EB90E">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0.0012L</w:t>
            </w:r>
          </w:p>
        </w:tc>
        <w:tc>
          <w:tcPr>
            <w:tcW w:w="1560" w:type="pct"/>
            <w:shd w:val="clear" w:color="auto" w:fill="auto"/>
            <w:vAlign w:val="center"/>
          </w:tcPr>
          <w:p w14:paraId="08406ACF">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0.6</w:t>
            </w:r>
          </w:p>
        </w:tc>
      </w:tr>
      <w:tr w14:paraId="4C942D3F">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569FB9B4">
            <w:pPr>
              <w:keepLines/>
              <w:widowControl/>
              <w:jc w:val="center"/>
              <w:rPr>
                <w:color w:val="auto"/>
                <w:sz w:val="21"/>
                <w:szCs w:val="21"/>
                <w:highlight w:val="none"/>
              </w:rPr>
            </w:pPr>
          </w:p>
        </w:tc>
        <w:tc>
          <w:tcPr>
            <w:tcW w:w="1070" w:type="pct"/>
            <w:gridSpan w:val="3"/>
            <w:shd w:val="clear" w:color="auto" w:fill="auto"/>
            <w:vAlign w:val="center"/>
          </w:tcPr>
          <w:p w14:paraId="0B04761C">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邻苯二甲酸二丁脂</w:t>
            </w:r>
          </w:p>
        </w:tc>
        <w:tc>
          <w:tcPr>
            <w:tcW w:w="603" w:type="pct"/>
            <w:shd w:val="clear" w:color="auto" w:fill="auto"/>
            <w:vAlign w:val="center"/>
          </w:tcPr>
          <w:p w14:paraId="5C61F4AD">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B19E320">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0.009L</w:t>
            </w:r>
          </w:p>
        </w:tc>
        <w:tc>
          <w:tcPr>
            <w:tcW w:w="1560" w:type="pct"/>
            <w:shd w:val="clear" w:color="auto" w:fill="auto"/>
            <w:vAlign w:val="center"/>
          </w:tcPr>
          <w:p w14:paraId="19373DBF">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0.2</w:t>
            </w:r>
          </w:p>
        </w:tc>
      </w:tr>
      <w:tr w14:paraId="78E6BA4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314" w:hRule="atLeast"/>
        </w:trPr>
        <w:tc>
          <w:tcPr>
            <w:tcW w:w="717" w:type="pct"/>
            <w:vMerge w:val="continue"/>
            <w:vAlign w:val="center"/>
          </w:tcPr>
          <w:p w14:paraId="7D025B94">
            <w:pPr>
              <w:keepLines/>
              <w:widowControl/>
              <w:jc w:val="center"/>
              <w:rPr>
                <w:color w:val="auto"/>
                <w:sz w:val="21"/>
                <w:szCs w:val="21"/>
                <w:highlight w:val="none"/>
              </w:rPr>
            </w:pPr>
          </w:p>
        </w:tc>
        <w:tc>
          <w:tcPr>
            <w:tcW w:w="1070" w:type="pct"/>
            <w:gridSpan w:val="3"/>
            <w:shd w:val="clear" w:color="auto" w:fill="auto"/>
            <w:vAlign w:val="center"/>
          </w:tcPr>
          <w:p w14:paraId="21CC0B58">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
              </w:rPr>
              <w:t>*</w:t>
            </w:r>
            <w:r>
              <w:rPr>
                <w:rFonts w:hint="default" w:ascii="Times New Roman" w:hAnsi="Times New Roman" w:eastAsia="宋体" w:cs="Times New Roman"/>
                <w:color w:val="auto"/>
                <w:kern w:val="0"/>
                <w:sz w:val="21"/>
                <w:szCs w:val="21"/>
                <w:lang w:val="en-US" w:eastAsia="zh-CN" w:bidi="ar"/>
              </w:rPr>
              <w:t>邻苯二甲酸二辛脂</w:t>
            </w:r>
          </w:p>
        </w:tc>
        <w:tc>
          <w:tcPr>
            <w:tcW w:w="603" w:type="pct"/>
            <w:shd w:val="clear" w:color="auto" w:fill="auto"/>
            <w:vAlign w:val="center"/>
          </w:tcPr>
          <w:p w14:paraId="76790E6E">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48C04113">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0.007L</w:t>
            </w:r>
          </w:p>
        </w:tc>
        <w:tc>
          <w:tcPr>
            <w:tcW w:w="1560" w:type="pct"/>
            <w:shd w:val="clear" w:color="auto" w:fill="auto"/>
            <w:vAlign w:val="center"/>
          </w:tcPr>
          <w:p w14:paraId="4F5C298D">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0.3</w:t>
            </w:r>
          </w:p>
        </w:tc>
      </w:tr>
      <w:tr w14:paraId="77661C14">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0B9B3084">
            <w:pPr>
              <w:keepLines/>
              <w:widowControl/>
              <w:jc w:val="center"/>
              <w:rPr>
                <w:color w:val="auto"/>
                <w:sz w:val="21"/>
                <w:szCs w:val="21"/>
                <w:highlight w:val="none"/>
              </w:rPr>
            </w:pPr>
          </w:p>
        </w:tc>
        <w:tc>
          <w:tcPr>
            <w:tcW w:w="1070" w:type="pct"/>
            <w:gridSpan w:val="3"/>
            <w:shd w:val="clear" w:color="auto" w:fill="auto"/>
            <w:vAlign w:val="center"/>
          </w:tcPr>
          <w:p w14:paraId="6D33FB8E">
            <w:pPr>
              <w:keepLines/>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w:t>
            </w:r>
            <w:r>
              <w:rPr>
                <w:rFonts w:hint="default" w:ascii="Times New Roman" w:hAnsi="Times New Roman" w:cs="Times New Roman"/>
                <w:color w:val="auto"/>
                <w:sz w:val="21"/>
                <w:szCs w:val="21"/>
                <w:lang w:val="en-US" w:eastAsia="zh-CN"/>
              </w:rPr>
              <w:t>丙烯腈</w:t>
            </w:r>
          </w:p>
        </w:tc>
        <w:tc>
          <w:tcPr>
            <w:tcW w:w="603" w:type="pct"/>
            <w:shd w:val="clear" w:color="auto" w:fill="auto"/>
            <w:vAlign w:val="center"/>
          </w:tcPr>
          <w:p w14:paraId="0D020746">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11452316">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0.00604L</w:t>
            </w:r>
          </w:p>
        </w:tc>
        <w:tc>
          <w:tcPr>
            <w:tcW w:w="1560" w:type="pct"/>
            <w:shd w:val="clear" w:color="auto" w:fill="auto"/>
            <w:vAlign w:val="center"/>
          </w:tcPr>
          <w:p w14:paraId="0103466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p>
        </w:tc>
      </w:tr>
      <w:tr w14:paraId="74498E5E">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45F17D4B">
            <w:pPr>
              <w:keepLines/>
              <w:widowControl/>
              <w:jc w:val="center"/>
              <w:rPr>
                <w:color w:val="auto"/>
                <w:sz w:val="21"/>
                <w:szCs w:val="21"/>
                <w:highlight w:val="none"/>
              </w:rPr>
            </w:pPr>
          </w:p>
        </w:tc>
        <w:tc>
          <w:tcPr>
            <w:tcW w:w="1070" w:type="pct"/>
            <w:gridSpan w:val="3"/>
            <w:shd w:val="clear" w:color="auto" w:fill="auto"/>
            <w:vAlign w:val="center"/>
          </w:tcPr>
          <w:p w14:paraId="501F8788">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
              </w:rPr>
              <w:t>总硒</w:t>
            </w:r>
          </w:p>
        </w:tc>
        <w:tc>
          <w:tcPr>
            <w:tcW w:w="603" w:type="pct"/>
            <w:shd w:val="clear" w:color="auto" w:fill="auto"/>
            <w:vAlign w:val="center"/>
          </w:tcPr>
          <w:p w14:paraId="4362B606">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68471822">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5.0</w:t>
            </w:r>
            <w:r>
              <w:rPr>
                <w:rFonts w:hint="default" w:ascii="Arial" w:hAnsi="Arial" w:eastAsia="宋体" w:cs="Arial"/>
                <w:color w:val="auto"/>
                <w:kern w:val="0"/>
                <w:sz w:val="21"/>
                <w:szCs w:val="21"/>
                <w:lang w:val="en-US" w:eastAsia="zh-CN" w:bidi="ar-SA"/>
              </w:rPr>
              <w:t>×</w:t>
            </w:r>
            <w:r>
              <w:rPr>
                <w:rFonts w:hint="eastAsia" w:ascii="Times New Roman" w:hAnsi="Times New Roman" w:eastAsia="宋体" w:cs="Times New Roman"/>
                <w:color w:val="auto"/>
                <w:kern w:val="0"/>
                <w:sz w:val="21"/>
                <w:szCs w:val="21"/>
                <w:lang w:val="en-US" w:eastAsia="zh-CN" w:bidi="ar-SA"/>
              </w:rPr>
              <w:t>10</w:t>
            </w:r>
            <w:r>
              <w:rPr>
                <w:rFonts w:hint="eastAsia" w:ascii="Times New Roman" w:hAnsi="Times New Roman" w:eastAsia="宋体" w:cs="Times New Roman"/>
                <w:color w:val="auto"/>
                <w:kern w:val="0"/>
                <w:sz w:val="21"/>
                <w:szCs w:val="21"/>
                <w:vertAlign w:val="superscript"/>
                <w:lang w:val="en-US" w:eastAsia="zh-CN" w:bidi="ar-SA"/>
              </w:rPr>
              <w:t>-6</w:t>
            </w:r>
            <w:r>
              <w:rPr>
                <w:rFonts w:hint="eastAsia" w:ascii="Times New Roman" w:hAnsi="Times New Roman" w:eastAsia="宋体" w:cs="Times New Roman"/>
                <w:color w:val="auto"/>
                <w:kern w:val="0"/>
                <w:sz w:val="21"/>
                <w:szCs w:val="21"/>
                <w:lang w:val="en-US" w:eastAsia="zh-CN" w:bidi="ar-SA"/>
              </w:rPr>
              <w:t>L</w:t>
            </w:r>
          </w:p>
        </w:tc>
        <w:tc>
          <w:tcPr>
            <w:tcW w:w="1560" w:type="pct"/>
            <w:shd w:val="clear" w:color="auto" w:fill="auto"/>
            <w:vAlign w:val="center"/>
          </w:tcPr>
          <w:p w14:paraId="5A7FED35">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w:t>
            </w:r>
          </w:p>
        </w:tc>
      </w:tr>
      <w:tr w14:paraId="1594C167">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14" w:hRule="atLeast"/>
        </w:trPr>
        <w:tc>
          <w:tcPr>
            <w:tcW w:w="717" w:type="pct"/>
            <w:vMerge w:val="continue"/>
            <w:vAlign w:val="center"/>
          </w:tcPr>
          <w:p w14:paraId="2454F85F">
            <w:pPr>
              <w:keepLines/>
              <w:widowControl/>
              <w:jc w:val="center"/>
              <w:rPr>
                <w:color w:val="auto"/>
                <w:sz w:val="21"/>
                <w:szCs w:val="21"/>
                <w:highlight w:val="none"/>
              </w:rPr>
            </w:pPr>
          </w:p>
        </w:tc>
        <w:tc>
          <w:tcPr>
            <w:tcW w:w="1070" w:type="pct"/>
            <w:gridSpan w:val="3"/>
            <w:shd w:val="clear" w:color="auto" w:fill="auto"/>
            <w:vAlign w:val="center"/>
          </w:tcPr>
          <w:p w14:paraId="38484641">
            <w:pPr>
              <w:keepNext w:val="0"/>
              <w:keepLines w:val="0"/>
              <w:widowControl/>
              <w:suppressLineNumbers w:val="0"/>
              <w:snapToGrid w:val="0"/>
              <w:spacing w:before="0" w:beforeAutospacing="0" w:after="0" w:afterAutospacing="0" w:line="240" w:lineRule="atLeast"/>
              <w:ind w:left="0" w:leftChars="0" w:right="0" w:rightChars="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bidi="ar"/>
              </w:rPr>
              <w:t>*总有机碳</w:t>
            </w:r>
          </w:p>
        </w:tc>
        <w:tc>
          <w:tcPr>
            <w:tcW w:w="603" w:type="pct"/>
            <w:shd w:val="clear" w:color="auto" w:fill="auto"/>
            <w:vAlign w:val="center"/>
          </w:tcPr>
          <w:p w14:paraId="4E0AE561">
            <w:pPr>
              <w:keepLines/>
              <w:jc w:val="center"/>
              <w:rPr>
                <w:rFonts w:hint="default" w:ascii="Times New Roman" w:hAnsi="Times New Roman" w:eastAsia="宋体" w:cs="Times New Roman"/>
                <w:color w:val="auto"/>
                <w:kern w:val="0"/>
                <w:sz w:val="21"/>
                <w:szCs w:val="21"/>
                <w:lang w:val="en-US" w:eastAsia="zh-CN" w:bidi="ar-SA"/>
              </w:rPr>
            </w:pPr>
            <w:r>
              <w:rPr>
                <w:rFonts w:hint="default" w:ascii="Times New Roman" w:hAnsi="Times New Roman" w:eastAsia="宋体" w:cs="Times New Roman"/>
                <w:color w:val="auto"/>
                <w:kern w:val="0"/>
                <w:sz w:val="21"/>
                <w:szCs w:val="21"/>
              </w:rPr>
              <w:t>mg/L</w:t>
            </w:r>
          </w:p>
        </w:tc>
        <w:tc>
          <w:tcPr>
            <w:tcW w:w="1047" w:type="pct"/>
            <w:shd w:val="clear" w:color="auto" w:fill="auto"/>
            <w:vAlign w:val="center"/>
          </w:tcPr>
          <w:p w14:paraId="0E03ED0D">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0.1L</w:t>
            </w:r>
          </w:p>
        </w:tc>
        <w:tc>
          <w:tcPr>
            <w:tcW w:w="1560" w:type="pct"/>
            <w:shd w:val="clear" w:color="auto" w:fill="auto"/>
            <w:vAlign w:val="center"/>
          </w:tcPr>
          <w:p w14:paraId="2579763A">
            <w:pPr>
              <w:keepLines/>
              <w:jc w:val="center"/>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bidi="ar-SA"/>
              </w:rPr>
              <w:t>20</w:t>
            </w:r>
          </w:p>
        </w:tc>
      </w:tr>
    </w:tbl>
    <w:p w14:paraId="6B6FBDD1">
      <w:pPr>
        <w:pStyle w:val="76"/>
        <w:jc w:val="left"/>
        <w:rPr>
          <w:color w:val="auto"/>
          <w:sz w:val="21"/>
          <w:highlight w:val="none"/>
        </w:rPr>
      </w:pPr>
      <w:r>
        <w:rPr>
          <w:rFonts w:hint="eastAsia"/>
          <w:color w:val="auto"/>
          <w:sz w:val="21"/>
          <w:highlight w:val="none"/>
        </w:rPr>
        <w:t>注：pH为无量纲；L表示小于方法检出限</w:t>
      </w:r>
    </w:p>
    <w:p w14:paraId="7DE5BD68">
      <w:pPr>
        <w:pStyle w:val="59"/>
        <w:ind w:firstLine="480"/>
        <w:rPr>
          <w:color w:val="auto"/>
        </w:rPr>
      </w:pPr>
      <w:r>
        <w:rPr>
          <w:rFonts w:hint="eastAsia"/>
          <w:color w:val="auto"/>
        </w:rPr>
        <w:t>根据《固体废物 浸出毒性浸出方法 水平振荡法》（H</w:t>
      </w:r>
      <w:r>
        <w:rPr>
          <w:color w:val="auto"/>
        </w:rPr>
        <w:t>J557-2010</w:t>
      </w:r>
      <w:r>
        <w:rPr>
          <w:rFonts w:hint="eastAsia"/>
          <w:color w:val="auto"/>
        </w:rPr>
        <w:t>）的试验结果，本项目</w:t>
      </w:r>
      <w:r>
        <w:rPr>
          <w:rFonts w:hint="eastAsia"/>
          <w:color w:val="auto"/>
          <w:lang w:eastAsia="zh-CN"/>
        </w:rPr>
        <w:t>灰渣</w:t>
      </w:r>
      <w:r>
        <w:rPr>
          <w:rFonts w:hint="eastAsia"/>
          <w:color w:val="auto"/>
        </w:rPr>
        <w:t>浸出液中各项指标均未超过《危险废物鉴别标准 浸出毒性鉴别》（GB 5085.3-2007）中浸出毒性鉴别标准值；</w:t>
      </w:r>
      <w:r>
        <w:rPr>
          <w:color w:val="auto"/>
        </w:rPr>
        <w:t>任</w:t>
      </w:r>
      <w:r>
        <w:rPr>
          <w:rFonts w:hint="eastAsia"/>
          <w:color w:val="auto"/>
        </w:rPr>
        <w:t>何一种污染物的浓度均未超过《污水综合排放标准》（GB8978-1996）中最高允许排放浓度，且pH值在6~9范围之内，因此，本项目利用的</w:t>
      </w:r>
      <w:r>
        <w:rPr>
          <w:rFonts w:hint="eastAsia"/>
          <w:color w:val="auto"/>
          <w:lang w:val="en-US" w:eastAsia="zh-CN"/>
        </w:rPr>
        <w:t>灰渣</w:t>
      </w:r>
      <w:r>
        <w:rPr>
          <w:rFonts w:hint="eastAsia"/>
          <w:color w:val="auto"/>
        </w:rPr>
        <w:t>属于第</w:t>
      </w:r>
      <w:r>
        <w:rPr>
          <w:color w:val="auto"/>
        </w:rPr>
        <w:fldChar w:fldCharType="begin"/>
      </w:r>
      <w:r>
        <w:rPr>
          <w:color w:val="auto"/>
        </w:rPr>
        <w:instrText xml:space="preserve"> </w:instrText>
      </w:r>
      <w:r>
        <w:rPr>
          <w:rFonts w:hint="eastAsia"/>
          <w:color w:val="auto"/>
        </w:rPr>
        <w:instrText xml:space="preserve">= 1 \* ROMAN</w:instrText>
      </w:r>
      <w:r>
        <w:rPr>
          <w:color w:val="auto"/>
        </w:rPr>
        <w:instrText xml:space="preserve"> </w:instrText>
      </w:r>
      <w:r>
        <w:rPr>
          <w:color w:val="auto"/>
        </w:rPr>
        <w:fldChar w:fldCharType="separate"/>
      </w:r>
      <w:r>
        <w:rPr>
          <w:color w:val="auto"/>
        </w:rPr>
        <w:t>I</w:t>
      </w:r>
      <w:r>
        <w:rPr>
          <w:color w:val="auto"/>
        </w:rPr>
        <w:fldChar w:fldCharType="end"/>
      </w:r>
      <w:r>
        <w:rPr>
          <w:rFonts w:hint="eastAsia"/>
          <w:color w:val="auto"/>
        </w:rPr>
        <w:t>类一般工业固体废物。</w:t>
      </w:r>
    </w:p>
    <w:p w14:paraId="5DFB15ED">
      <w:pPr>
        <w:pStyle w:val="135"/>
        <w:rPr>
          <w:color w:val="auto"/>
        </w:rPr>
      </w:pPr>
      <w:r>
        <w:rPr>
          <w:rFonts w:hint="eastAsia"/>
          <w:color w:val="auto"/>
        </w:rPr>
        <w:t>3</w:t>
      </w:r>
      <w:r>
        <w:rPr>
          <w:color w:val="auto"/>
        </w:rPr>
        <w:t>.1.4.5</w:t>
      </w:r>
      <w:r>
        <w:rPr>
          <w:rFonts w:hint="eastAsia"/>
          <w:color w:val="auto"/>
        </w:rPr>
        <w:t>土地复垦工程</w:t>
      </w:r>
    </w:p>
    <w:p w14:paraId="71729DC7">
      <w:pPr>
        <w:pStyle w:val="59"/>
        <w:ind w:firstLine="480"/>
        <w:rPr>
          <w:color w:val="auto"/>
          <w:highlight w:val="none"/>
        </w:rPr>
      </w:pPr>
      <w:r>
        <w:rPr>
          <w:rFonts w:hint="eastAsia"/>
          <w:color w:val="auto"/>
          <w:highlight w:val="none"/>
        </w:rPr>
        <w:t>结合周边环境现状，周边均为</w:t>
      </w:r>
      <w:r>
        <w:rPr>
          <w:rFonts w:hint="eastAsia"/>
          <w:color w:val="auto"/>
          <w:highlight w:val="none"/>
          <w:lang w:eastAsia="zh-CN"/>
        </w:rPr>
        <w:t>旱地</w:t>
      </w:r>
      <w:r>
        <w:rPr>
          <w:rFonts w:hint="eastAsia"/>
          <w:color w:val="auto"/>
          <w:highlight w:val="none"/>
        </w:rPr>
        <w:t>和</w:t>
      </w:r>
      <w:r>
        <w:rPr>
          <w:color w:val="auto"/>
          <w:highlight w:val="none"/>
        </w:rPr>
        <w:t>林地</w:t>
      </w:r>
      <w:r>
        <w:rPr>
          <w:rFonts w:hint="eastAsia"/>
          <w:color w:val="auto"/>
          <w:highlight w:val="none"/>
        </w:rPr>
        <w:t>，恢复成</w:t>
      </w:r>
      <w:r>
        <w:rPr>
          <w:rFonts w:hint="eastAsia"/>
          <w:color w:val="auto"/>
          <w:highlight w:val="none"/>
          <w:lang w:eastAsia="zh-CN"/>
        </w:rPr>
        <w:t>旱地、林地</w:t>
      </w:r>
      <w:r>
        <w:rPr>
          <w:rFonts w:hint="eastAsia"/>
          <w:color w:val="auto"/>
          <w:highlight w:val="none"/>
        </w:rPr>
        <w:t>可与周边环境相协调；且根据《土地复垦质量控制标准》（TD/T1036-2013）表B.1，东北山丘平原区复垦方向以耕地为主。因此，本项目最终土地复垦为</w:t>
      </w:r>
      <w:r>
        <w:rPr>
          <w:rFonts w:hint="eastAsia"/>
          <w:color w:val="auto"/>
          <w:highlight w:val="none"/>
          <w:lang w:eastAsia="zh-CN"/>
        </w:rPr>
        <w:t>乔木林地、旱地</w:t>
      </w:r>
      <w:r>
        <w:rPr>
          <w:rFonts w:hint="eastAsia"/>
          <w:color w:val="auto"/>
          <w:highlight w:val="none"/>
        </w:rPr>
        <w:t>。</w:t>
      </w:r>
    </w:p>
    <w:p w14:paraId="5F30CEFA">
      <w:pPr>
        <w:pStyle w:val="59"/>
        <w:ind w:firstLine="480"/>
        <w:rPr>
          <w:color w:val="auto"/>
          <w:highlight w:val="none"/>
        </w:rPr>
      </w:pPr>
      <w:r>
        <w:rPr>
          <w:rFonts w:hint="eastAsia"/>
          <w:color w:val="auto"/>
          <w:highlight w:val="none"/>
        </w:rPr>
        <w:t>回填结束后，在回填压实完成的基础上表层覆土，根据《土地复垦质量控制标准》（TD/T1036-2013）表D.1，东北山丘平原区土地复垦为旱地的有效土层厚度不低于80cm。覆土后利用自然降水、机械压实等方法让土壤沉降，使土壤密实度达到80%左右。</w:t>
      </w:r>
    </w:p>
    <w:p w14:paraId="4F671CD6">
      <w:pPr>
        <w:pStyle w:val="59"/>
        <w:ind w:firstLine="480"/>
        <w:rPr>
          <w:color w:val="auto"/>
          <w:highlight w:val="none"/>
        </w:rPr>
      </w:pPr>
      <w:r>
        <w:rPr>
          <w:rFonts w:hint="eastAsia"/>
          <w:color w:val="auto"/>
          <w:highlight w:val="none"/>
          <w:lang w:val="en-US" w:eastAsia="zh-CN"/>
        </w:rPr>
        <w:t>本项目回填复垦旱地有效土层厚度不低于80cm，回填复垦乔木林地有效土层厚度不低于30cm，需要回填土约28308.2m</w:t>
      </w:r>
      <w:r>
        <w:rPr>
          <w:rFonts w:hint="eastAsia"/>
          <w:color w:val="auto"/>
          <w:highlight w:val="none"/>
          <w:vertAlign w:val="superscript"/>
          <w:lang w:val="en-US" w:eastAsia="zh-CN"/>
        </w:rPr>
        <w:t>3</w:t>
      </w:r>
      <w:r>
        <w:rPr>
          <w:rFonts w:hint="eastAsia"/>
          <w:color w:val="auto"/>
          <w:highlight w:val="none"/>
          <w:lang w:val="en-US" w:eastAsia="zh-CN"/>
        </w:rPr>
        <w:t>，其中矿区剥离表土回覆5000m</w:t>
      </w:r>
      <w:r>
        <w:rPr>
          <w:rFonts w:hint="eastAsia"/>
          <w:color w:val="auto"/>
          <w:highlight w:val="none"/>
          <w:vertAlign w:val="superscript"/>
          <w:lang w:val="en-US" w:eastAsia="zh-CN"/>
        </w:rPr>
        <w:t>3</w:t>
      </w:r>
      <w:r>
        <w:rPr>
          <w:rFonts w:hint="eastAsia"/>
          <w:color w:val="auto"/>
          <w:highlight w:val="none"/>
          <w:lang w:val="en-US" w:eastAsia="zh-CN"/>
        </w:rPr>
        <w:t>，剩余全部外购，</w:t>
      </w:r>
      <w:r>
        <w:rPr>
          <w:rFonts w:hint="eastAsia"/>
          <w:color w:val="auto"/>
          <w:highlight w:val="none"/>
        </w:rPr>
        <w:t>土壤质量应满足《土地复垦质量控制标准》（TD/T1036-2013）相关要求。</w:t>
      </w:r>
    </w:p>
    <w:p w14:paraId="371D8C87">
      <w:pPr>
        <w:pStyle w:val="59"/>
        <w:ind w:firstLine="480"/>
        <w:rPr>
          <w:rFonts w:hint="eastAsia"/>
          <w:color w:val="auto"/>
          <w:highlight w:val="none"/>
          <w:lang w:val="en-US" w:eastAsia="zh-CN"/>
        </w:rPr>
      </w:pPr>
      <w:r>
        <w:rPr>
          <w:rFonts w:hint="eastAsia"/>
          <w:color w:val="auto"/>
          <w:highlight w:val="none"/>
          <w:lang w:val="en-US" w:eastAsia="zh-CN"/>
        </w:rPr>
        <w:t>复垦技术措施如下：</w:t>
      </w:r>
    </w:p>
    <w:p w14:paraId="32A26E61">
      <w:pPr>
        <w:pStyle w:val="59"/>
        <w:ind w:firstLine="480"/>
        <w:rPr>
          <w:rFonts w:hint="default" w:ascii="Times New Roman" w:hAnsi="Times New Roman" w:eastAsia="宋体"/>
          <w:color w:val="auto"/>
          <w:highlight w:val="none"/>
        </w:rPr>
      </w:pPr>
      <w:r>
        <w:rPr>
          <w:rFonts w:hint="eastAsia" w:ascii="Times New Roman" w:hAnsi="Times New Roman" w:eastAsia="宋体"/>
          <w:color w:val="auto"/>
          <w:highlight w:val="none"/>
          <w:lang w:val="en-US" w:eastAsia="zh-CN"/>
        </w:rPr>
        <w:t>1</w:t>
      </w:r>
      <w:r>
        <w:rPr>
          <w:rFonts w:hint="default" w:ascii="Times New Roman" w:hAnsi="Times New Roman" w:eastAsia="宋体"/>
          <w:color w:val="auto"/>
          <w:highlight w:val="none"/>
        </w:rPr>
        <w:t>、</w:t>
      </w:r>
      <w:r>
        <w:rPr>
          <w:rFonts w:hint="eastAsia" w:ascii="Times New Roman" w:hAnsi="Times New Roman" w:eastAsia="宋体"/>
          <w:color w:val="auto"/>
          <w:highlight w:val="none"/>
          <w:lang w:val="en-US" w:eastAsia="zh-CN"/>
        </w:rPr>
        <w:t>露天采场挖方、回填</w:t>
      </w:r>
      <w:r>
        <w:rPr>
          <w:rFonts w:hint="default" w:ascii="Times New Roman" w:hAnsi="Times New Roman" w:eastAsia="宋体"/>
          <w:color w:val="auto"/>
          <w:highlight w:val="none"/>
        </w:rPr>
        <w:t>：</w:t>
      </w:r>
      <w:r>
        <w:rPr>
          <w:rFonts w:hint="eastAsia" w:ascii="Times New Roman" w:hAnsi="Times New Roman" w:eastAsia="宋体"/>
          <w:color w:val="auto"/>
          <w:highlight w:val="none"/>
          <w:lang w:val="en-US" w:eastAsia="zh-CN"/>
        </w:rPr>
        <w:t>采场闭坑后采用废弃煤灰渣和采场挖方进行回填，满足耕地和林地复垦要求</w:t>
      </w:r>
      <w:r>
        <w:rPr>
          <w:rFonts w:hint="default" w:ascii="Times New Roman" w:hAnsi="Times New Roman" w:eastAsia="宋体"/>
          <w:color w:val="auto"/>
          <w:highlight w:val="none"/>
        </w:rPr>
        <w:t>。</w:t>
      </w:r>
    </w:p>
    <w:p w14:paraId="1BF64AEF">
      <w:pPr>
        <w:pStyle w:val="59"/>
        <w:ind w:firstLine="480"/>
        <w:rPr>
          <w:rFonts w:hint="default" w:ascii="Times New Roman" w:hAnsi="Times New Roman" w:eastAsia="宋体"/>
          <w:color w:val="auto"/>
          <w:highlight w:val="none"/>
        </w:rPr>
      </w:pPr>
      <w:r>
        <w:rPr>
          <w:rFonts w:hint="eastAsia" w:ascii="Times New Roman" w:hAnsi="Times New Roman" w:eastAsia="宋体"/>
          <w:color w:val="auto"/>
          <w:highlight w:val="none"/>
          <w:lang w:val="en-US" w:eastAsia="zh-CN"/>
        </w:rPr>
        <w:t>2</w:t>
      </w:r>
      <w:r>
        <w:rPr>
          <w:rFonts w:hint="default" w:ascii="Times New Roman" w:hAnsi="Times New Roman" w:eastAsia="宋体"/>
          <w:color w:val="auto"/>
          <w:highlight w:val="none"/>
        </w:rPr>
        <w:t>、</w:t>
      </w:r>
      <w:r>
        <w:rPr>
          <w:rFonts w:hint="default" w:ascii="Times New Roman" w:hAnsi="Times New Roman" w:eastAsia="宋体"/>
          <w:color w:val="auto"/>
          <w:highlight w:val="none"/>
          <w:lang w:val="en-US" w:eastAsia="zh-CN"/>
        </w:rPr>
        <w:t>表土回</w:t>
      </w:r>
      <w:r>
        <w:rPr>
          <w:rFonts w:hint="default" w:ascii="Times New Roman" w:hAnsi="Times New Roman" w:eastAsia="宋体"/>
          <w:color w:val="auto"/>
          <w:highlight w:val="none"/>
        </w:rPr>
        <w:t>覆：</w:t>
      </w:r>
      <w:r>
        <w:rPr>
          <w:rFonts w:hint="default" w:ascii="Times New Roman" w:hAnsi="Times New Roman" w:eastAsia="宋体"/>
          <w:color w:val="auto"/>
          <w:highlight w:val="none"/>
          <w:lang w:val="en-US" w:eastAsia="zh-CN"/>
        </w:rPr>
        <w:t>地</w:t>
      </w:r>
      <w:r>
        <w:rPr>
          <w:rFonts w:hint="default" w:ascii="Times New Roman" w:hAnsi="Times New Roman" w:eastAsia="宋体"/>
          <w:color w:val="auto"/>
          <w:highlight w:val="none"/>
        </w:rPr>
        <w:t>面清理平整后，对</w:t>
      </w:r>
      <w:r>
        <w:rPr>
          <w:rFonts w:hint="default" w:ascii="Times New Roman" w:hAnsi="Times New Roman" w:eastAsia="宋体"/>
          <w:color w:val="auto"/>
          <w:highlight w:val="none"/>
          <w:lang w:val="en-US" w:eastAsia="zh-CN"/>
        </w:rPr>
        <w:t>修复区</w:t>
      </w:r>
      <w:r>
        <w:rPr>
          <w:rFonts w:hint="default" w:ascii="Times New Roman" w:hAnsi="Times New Roman" w:eastAsia="宋体"/>
          <w:color w:val="auto"/>
          <w:highlight w:val="none"/>
        </w:rPr>
        <w:t>平整后的土地进行覆土，覆土来源于剥离表土。</w:t>
      </w:r>
    </w:p>
    <w:p w14:paraId="300E3C3D">
      <w:pPr>
        <w:pStyle w:val="59"/>
        <w:ind w:firstLine="480"/>
        <w:rPr>
          <w:rFonts w:hint="default" w:ascii="Times New Roman" w:hAnsi="Times New Roman" w:eastAsia="宋体"/>
          <w:color w:val="auto"/>
          <w:highlight w:val="none"/>
        </w:rPr>
      </w:pPr>
      <w:r>
        <w:rPr>
          <w:rFonts w:hint="eastAsia" w:ascii="Times New Roman" w:hAnsi="Times New Roman" w:eastAsia="宋体"/>
          <w:color w:val="auto"/>
          <w:highlight w:val="none"/>
          <w:lang w:val="en-US" w:eastAsia="zh-CN"/>
        </w:rPr>
        <w:t>3</w:t>
      </w:r>
      <w:r>
        <w:rPr>
          <w:rFonts w:hint="default" w:ascii="Times New Roman" w:hAnsi="Times New Roman" w:eastAsia="宋体"/>
          <w:color w:val="auto"/>
          <w:highlight w:val="none"/>
        </w:rPr>
        <w:t>、土</w:t>
      </w:r>
      <w:r>
        <w:rPr>
          <w:rFonts w:hint="default" w:ascii="Times New Roman" w:hAnsi="Times New Roman" w:eastAsia="宋体"/>
          <w:color w:val="auto"/>
          <w:highlight w:val="none"/>
          <w:lang w:val="en-US" w:eastAsia="zh-CN"/>
        </w:rPr>
        <w:t>壤培肥</w:t>
      </w:r>
      <w:r>
        <w:rPr>
          <w:rFonts w:hint="default" w:ascii="Times New Roman" w:hAnsi="Times New Roman" w:eastAsia="宋体"/>
          <w:color w:val="auto"/>
          <w:highlight w:val="none"/>
        </w:rPr>
        <w:t>：对林地复垦区土地施用适当的有机、无机肥料以提高土壤中有机物含量，改良土壤结构，消除其不良理化性质。施肥中做好有机肥与无机肥的配合，有机肥养分含量低，供肥能力弱，需要增施速效化肥保障养分供给，扩大有机物质的循环基础，迅速提高肥力，增加产量。需氮、磷、钾化肥配合施用。施肥还要注意适时适量施肥，避免不当施肥影响作物的产量。因此，为了增加土壤有机质和养分含量，改良土壤性状，提高土壤肥力，</w:t>
      </w:r>
      <w:r>
        <w:rPr>
          <w:rFonts w:hint="default" w:ascii="Times New Roman" w:hAnsi="Times New Roman" w:eastAsia="宋体"/>
          <w:color w:val="auto"/>
          <w:highlight w:val="none"/>
          <w:lang w:val="en-US" w:eastAsia="zh-CN"/>
        </w:rPr>
        <w:t>表土回覆同时</w:t>
      </w:r>
      <w:r>
        <w:rPr>
          <w:rFonts w:hint="default" w:ascii="Times New Roman" w:hAnsi="Times New Roman" w:eastAsia="宋体"/>
          <w:color w:val="auto"/>
          <w:highlight w:val="none"/>
        </w:rPr>
        <w:t>增施复合肥，施复合肥量为800kg/h</w:t>
      </w:r>
      <w:r>
        <w:rPr>
          <w:rFonts w:hint="default" w:ascii="Times New Roman" w:hAnsi="Times New Roman" w:eastAsia="宋体"/>
          <w:color w:val="auto"/>
          <w:highlight w:val="none"/>
          <w:lang w:eastAsia="zh-CN"/>
        </w:rPr>
        <w:t>m2</w:t>
      </w:r>
      <w:r>
        <w:rPr>
          <w:rFonts w:hint="default" w:ascii="Times New Roman" w:hAnsi="Times New Roman" w:eastAsia="宋体"/>
          <w:color w:val="auto"/>
          <w:highlight w:val="none"/>
        </w:rPr>
        <w:t>。</w:t>
      </w:r>
    </w:p>
    <w:p w14:paraId="66EBF246">
      <w:pPr>
        <w:pStyle w:val="59"/>
        <w:ind w:firstLine="480"/>
        <w:rPr>
          <w:rFonts w:hint="eastAsia" w:ascii="Times New Roman" w:hAnsi="Times New Roman" w:eastAsia="宋体"/>
          <w:color w:val="auto"/>
          <w:highlight w:val="none"/>
        </w:rPr>
      </w:pPr>
      <w:r>
        <w:rPr>
          <w:rFonts w:hint="eastAsia" w:ascii="Times New Roman" w:hAnsi="Times New Roman" w:eastAsia="宋体"/>
          <w:color w:val="auto"/>
          <w:highlight w:val="none"/>
          <w:lang w:val="en-US" w:eastAsia="zh-CN"/>
        </w:rPr>
        <w:t>4</w:t>
      </w:r>
      <w:r>
        <w:rPr>
          <w:rFonts w:hint="default" w:ascii="Times New Roman" w:hAnsi="Times New Roman" w:eastAsia="宋体"/>
          <w:color w:val="auto"/>
          <w:highlight w:val="none"/>
          <w:lang w:val="en-US" w:eastAsia="zh-CN"/>
        </w:rPr>
        <w:t>、</w:t>
      </w:r>
      <w:r>
        <w:rPr>
          <w:rFonts w:hint="default" w:ascii="Times New Roman" w:hAnsi="Times New Roman" w:eastAsia="宋体"/>
          <w:color w:val="auto"/>
          <w:highlight w:val="none"/>
          <w:lang w:eastAsia="zh-CN"/>
        </w:rPr>
        <w:t>栽植乔木：为尽快恢复当地生态环境，复垦乔木林地选取当地适生树种落叶松，树高0.6m。主要采用穴状整地，树穴规格（长*宽*高）为0.</w:t>
      </w:r>
      <w:r>
        <w:rPr>
          <w:rFonts w:hint="eastAsia" w:ascii="Times New Roman" w:hAnsi="Times New Roman" w:eastAsia="宋体"/>
          <w:color w:val="auto"/>
          <w:highlight w:val="none"/>
          <w:lang w:val="en-US" w:eastAsia="zh-CN"/>
        </w:rPr>
        <w:t>5</w:t>
      </w:r>
      <w:r>
        <w:rPr>
          <w:rFonts w:hint="default" w:ascii="Times New Roman" w:hAnsi="Times New Roman" w:eastAsia="宋体"/>
          <w:color w:val="auto"/>
          <w:highlight w:val="none"/>
          <w:lang w:eastAsia="zh-CN"/>
        </w:rPr>
        <w:t>m*0.</w:t>
      </w:r>
      <w:r>
        <w:rPr>
          <w:rFonts w:hint="eastAsia" w:ascii="Times New Roman" w:hAnsi="Times New Roman" w:eastAsia="宋体"/>
          <w:color w:val="auto"/>
          <w:highlight w:val="none"/>
          <w:lang w:val="en-US" w:eastAsia="zh-CN"/>
        </w:rPr>
        <w:t>5</w:t>
      </w:r>
      <w:r>
        <w:rPr>
          <w:rFonts w:hint="default" w:ascii="Times New Roman" w:hAnsi="Times New Roman" w:eastAsia="宋体"/>
          <w:color w:val="auto"/>
          <w:highlight w:val="none"/>
          <w:lang w:eastAsia="zh-CN"/>
        </w:rPr>
        <w:t>m*</w:t>
      </w:r>
      <w:r>
        <w:rPr>
          <w:rFonts w:hint="eastAsia" w:ascii="Times New Roman" w:hAnsi="Times New Roman" w:eastAsia="宋体"/>
          <w:color w:val="auto"/>
          <w:highlight w:val="none"/>
          <w:lang w:val="en-US" w:eastAsia="zh-CN"/>
        </w:rPr>
        <w:t>0.5</w:t>
      </w:r>
      <w:r>
        <w:rPr>
          <w:rFonts w:hint="default" w:ascii="Times New Roman" w:hAnsi="Times New Roman" w:eastAsia="宋体"/>
          <w:color w:val="auto"/>
          <w:highlight w:val="none"/>
          <w:lang w:eastAsia="zh-CN"/>
        </w:rPr>
        <w:t>m，为保持水土，防止侵蚀，株、行距2.0m×2.0m，种植密度应为2500穴/hm2左右，植树切忌挖成锅底形或无规则形，使根系无法自然舒展。三年后植树成活率达85%以上，郁闭度60%以上，若管护期发现树木枯死，应及时补栽。根据当地特点，种植适合当地海拔高度、地形地质、气候及水文地质条件，易成活、耐旱并生长快的落叶松，本次主要选择栽植方法，苗木直立穴中，保持根系舒展，分层覆土，踏实。栽后灌透水，扶正苗木，填平陷穴。抚育管理：三年三次，每年人工穴内松土、除草一次，松土深5～10cm。第二年冬季开始平茬，以后每隔四年修剪一次，隔带交替进行。</w:t>
      </w:r>
    </w:p>
    <w:p w14:paraId="453B9C02">
      <w:pPr>
        <w:pStyle w:val="137"/>
        <w:rPr>
          <w:color w:val="auto"/>
          <w:szCs w:val="32"/>
        </w:rPr>
      </w:pPr>
      <w:r>
        <w:rPr>
          <w:color w:val="auto"/>
        </w:rPr>
        <w:t>3.1.5</w:t>
      </w:r>
      <w:r>
        <w:rPr>
          <w:rFonts w:hint="eastAsia"/>
          <w:color w:val="auto"/>
        </w:rPr>
        <w:t>辅助工程</w:t>
      </w:r>
    </w:p>
    <w:p w14:paraId="5D4FF27C">
      <w:pPr>
        <w:pStyle w:val="135"/>
        <w:rPr>
          <w:color w:val="auto"/>
        </w:rPr>
      </w:pPr>
      <w:r>
        <w:rPr>
          <w:color w:val="auto"/>
        </w:rPr>
        <w:t>3.1.5.1</w:t>
      </w:r>
      <w:r>
        <w:rPr>
          <w:rFonts w:hint="eastAsia"/>
          <w:color w:val="auto"/>
        </w:rPr>
        <w:t>排水系统</w:t>
      </w:r>
    </w:p>
    <w:p w14:paraId="2DB10EFE">
      <w:pPr>
        <w:pStyle w:val="59"/>
        <w:ind w:firstLine="480"/>
        <w:rPr>
          <w:color w:val="auto"/>
        </w:rPr>
      </w:pPr>
      <w:r>
        <w:rPr>
          <w:rFonts w:hint="eastAsia"/>
          <w:color w:val="auto"/>
        </w:rPr>
        <w:t>回填区内的排水是指其自身雨水的排泄。由于干灰具有良好的吸水性和保水性，在一般降雨或遇短历时暴雨时，雨水将被含蓄在灰体内；当遇连续长时间降雨或特大暴雨时，一部分雨水渗入灰体，一部分将贮存在场内慢慢蒸发。</w:t>
      </w:r>
    </w:p>
    <w:p w14:paraId="69A56929">
      <w:pPr>
        <w:pStyle w:val="59"/>
        <w:ind w:firstLine="480"/>
        <w:rPr>
          <w:color w:val="auto"/>
        </w:rPr>
      </w:pPr>
      <w:r>
        <w:rPr>
          <w:color w:val="auto"/>
        </w:rPr>
        <w:t>1</w:t>
      </w:r>
      <w:r>
        <w:rPr>
          <w:rFonts w:hint="eastAsia"/>
          <w:color w:val="auto"/>
        </w:rPr>
        <w:t>、场外排水沟</w:t>
      </w:r>
    </w:p>
    <w:p w14:paraId="032E4CD4">
      <w:pPr>
        <w:pStyle w:val="59"/>
        <w:ind w:firstLine="480"/>
        <w:rPr>
          <w:color w:val="auto"/>
          <w:sz w:val="21"/>
          <w:szCs w:val="21"/>
        </w:rPr>
      </w:pPr>
      <w:r>
        <w:rPr>
          <w:color w:val="auto"/>
        </w:rPr>
        <w:t>本工程在</w:t>
      </w:r>
      <w:r>
        <w:rPr>
          <w:rFonts w:hint="eastAsia"/>
          <w:color w:val="auto"/>
        </w:rPr>
        <w:t>回填区四周</w:t>
      </w:r>
      <w:r>
        <w:rPr>
          <w:color w:val="auto"/>
        </w:rPr>
        <w:t>设置排水沟，将整个</w:t>
      </w:r>
      <w:r>
        <w:rPr>
          <w:rFonts w:hint="eastAsia"/>
          <w:color w:val="auto"/>
        </w:rPr>
        <w:t>回填</w:t>
      </w:r>
      <w:r>
        <w:rPr>
          <w:color w:val="auto"/>
        </w:rPr>
        <w:t>场地与场外其他区域分开，未受污染的雨水沿防坡面排入排水沟内，最终排入厂区</w:t>
      </w:r>
      <w:r>
        <w:rPr>
          <w:rFonts w:hint="eastAsia"/>
          <w:color w:val="auto"/>
          <w:lang w:val="en-US" w:eastAsia="zh-CN"/>
        </w:rPr>
        <w:t>西南</w:t>
      </w:r>
      <w:r>
        <w:rPr>
          <w:rFonts w:hint="eastAsia"/>
          <w:color w:val="auto"/>
        </w:rPr>
        <w:t>侧自然冲沟内。</w:t>
      </w:r>
    </w:p>
    <w:p w14:paraId="46A6CBDF">
      <w:pPr>
        <w:pStyle w:val="59"/>
        <w:ind w:firstLine="480"/>
        <w:rPr>
          <w:color w:val="auto"/>
          <w:szCs w:val="22"/>
        </w:rPr>
      </w:pPr>
      <w:r>
        <w:rPr>
          <w:color w:val="auto"/>
        </w:rPr>
        <w:t>2</w:t>
      </w:r>
      <w:r>
        <w:rPr>
          <w:rFonts w:hint="eastAsia"/>
          <w:color w:val="auto"/>
        </w:rPr>
        <w:t>、场内排水系统</w:t>
      </w:r>
    </w:p>
    <w:p w14:paraId="1C9CFF46">
      <w:pPr>
        <w:pStyle w:val="59"/>
        <w:ind w:firstLine="480"/>
        <w:rPr>
          <w:color w:val="auto"/>
          <w:highlight w:val="none"/>
        </w:rPr>
      </w:pPr>
      <w:r>
        <w:rPr>
          <w:rFonts w:hint="eastAsia"/>
          <w:color w:val="auto"/>
          <w:highlight w:val="none"/>
          <w:lang w:eastAsia="zh-CN"/>
        </w:rPr>
        <w:t>东侧</w:t>
      </w:r>
      <w:r>
        <w:rPr>
          <w:rFonts w:hint="eastAsia"/>
          <w:color w:val="auto"/>
          <w:highlight w:val="none"/>
        </w:rPr>
        <w:t>回填</w:t>
      </w:r>
      <w:r>
        <w:rPr>
          <w:color w:val="auto"/>
          <w:highlight w:val="none"/>
        </w:rPr>
        <w:t>区库底</w:t>
      </w:r>
      <w:r>
        <w:rPr>
          <w:rFonts w:hint="eastAsia"/>
          <w:color w:val="auto"/>
          <w:highlight w:val="none"/>
          <w:lang w:eastAsia="zh-CN"/>
        </w:rPr>
        <w:t>西北</w:t>
      </w:r>
      <w:r>
        <w:rPr>
          <w:rFonts w:hint="eastAsia"/>
          <w:color w:val="auto"/>
          <w:highlight w:val="none"/>
        </w:rPr>
        <w:t>至</w:t>
      </w:r>
      <w:r>
        <w:rPr>
          <w:rFonts w:hint="eastAsia"/>
          <w:color w:val="auto"/>
          <w:highlight w:val="none"/>
          <w:lang w:eastAsia="zh-CN"/>
        </w:rPr>
        <w:t>东南</w:t>
      </w:r>
      <w:r>
        <w:rPr>
          <w:color w:val="auto"/>
          <w:highlight w:val="none"/>
        </w:rPr>
        <w:t>方向设置1条</w:t>
      </w:r>
      <w:r>
        <w:rPr>
          <w:rFonts w:hint="eastAsia"/>
          <w:color w:val="auto"/>
          <w:highlight w:val="none"/>
        </w:rPr>
        <w:t>淋溶水</w:t>
      </w:r>
      <w:r>
        <w:rPr>
          <w:color w:val="auto"/>
          <w:highlight w:val="none"/>
        </w:rPr>
        <w:t>导排沟，</w:t>
      </w:r>
      <w:r>
        <w:rPr>
          <w:rFonts w:hint="eastAsia"/>
          <w:color w:val="auto"/>
          <w:highlight w:val="none"/>
          <w:lang w:eastAsia="zh-CN"/>
        </w:rPr>
        <w:t>西侧回填区库底北至南方向</w:t>
      </w:r>
      <w:r>
        <w:rPr>
          <w:color w:val="auto"/>
          <w:highlight w:val="none"/>
        </w:rPr>
        <w:t>设置1条</w:t>
      </w:r>
      <w:r>
        <w:rPr>
          <w:rFonts w:hint="eastAsia"/>
          <w:color w:val="auto"/>
          <w:highlight w:val="none"/>
        </w:rPr>
        <w:t>淋溶水</w:t>
      </w:r>
      <w:r>
        <w:rPr>
          <w:color w:val="auto"/>
          <w:highlight w:val="none"/>
        </w:rPr>
        <w:t>导排</w:t>
      </w:r>
      <w:r>
        <w:rPr>
          <w:rFonts w:hint="eastAsia"/>
          <w:color w:val="auto"/>
          <w:highlight w:val="none"/>
          <w:lang w:eastAsia="zh-CN"/>
        </w:rPr>
        <w:t>，</w:t>
      </w:r>
      <w:r>
        <w:rPr>
          <w:rFonts w:hint="eastAsia"/>
          <w:color w:val="auto"/>
          <w:highlight w:val="none"/>
        </w:rPr>
        <w:t>位于回填区底部，断面采用梯形断面，在沿主导排沟纵线上，依照场地整平实际地形情况，敷设淋溶水导排支沟，支沟以45度斜角插入导排主沟，将极端天气强降雨时期产生的淋溶水经淋溶水导排系统收集后排入暂存池，沉淀后回用于项目区洒水抑尘使用，不外排。暂存池的防渗系统采用抗渗混凝土，保证</w:t>
      </w:r>
      <w:r>
        <w:rPr>
          <w:color w:val="auto"/>
          <w:highlight w:val="none"/>
        </w:rPr>
        <w:t>渗透系数</w:t>
      </w:r>
      <w:r>
        <w:rPr>
          <w:rFonts w:hint="eastAsia"/>
          <w:color w:val="auto"/>
          <w:highlight w:val="none"/>
        </w:rPr>
        <w:t>应</w:t>
      </w:r>
      <w:r>
        <w:rPr>
          <w:color w:val="auto"/>
          <w:highlight w:val="none"/>
        </w:rPr>
        <w:t>小于</w:t>
      </w:r>
      <w:r>
        <w:rPr>
          <w:rFonts w:hint="eastAsia"/>
          <w:color w:val="auto"/>
          <w:highlight w:val="none"/>
        </w:rPr>
        <w:t>1</w:t>
      </w:r>
      <w:r>
        <w:rPr>
          <w:color w:val="auto"/>
          <w:highlight w:val="none"/>
        </w:rPr>
        <w:t>×10</w:t>
      </w:r>
      <w:r>
        <w:rPr>
          <w:color w:val="auto"/>
          <w:highlight w:val="none"/>
          <w:vertAlign w:val="superscript"/>
        </w:rPr>
        <w:t>-7</w:t>
      </w:r>
      <w:r>
        <w:rPr>
          <w:color w:val="auto"/>
          <w:highlight w:val="none"/>
        </w:rPr>
        <w:t>cm/s。</w:t>
      </w:r>
    </w:p>
    <w:p w14:paraId="4F7A658F">
      <w:pPr>
        <w:pStyle w:val="135"/>
        <w:rPr>
          <w:color w:val="auto"/>
          <w:highlight w:val="none"/>
        </w:rPr>
      </w:pPr>
      <w:r>
        <w:rPr>
          <w:color w:val="auto"/>
          <w:highlight w:val="none"/>
        </w:rPr>
        <w:t>3.1.5.2</w:t>
      </w:r>
      <w:r>
        <w:rPr>
          <w:rFonts w:hint="eastAsia"/>
          <w:color w:val="auto"/>
          <w:highlight w:val="none"/>
        </w:rPr>
        <w:t>临时覆盖系统</w:t>
      </w:r>
    </w:p>
    <w:p w14:paraId="282144D0">
      <w:pPr>
        <w:pStyle w:val="59"/>
        <w:ind w:firstLine="480"/>
        <w:rPr>
          <w:color w:val="auto"/>
        </w:rPr>
      </w:pPr>
      <w:r>
        <w:rPr>
          <w:rFonts w:hint="eastAsia"/>
          <w:color w:val="auto"/>
        </w:rPr>
        <w:t>回填区采取分区回填的形式，非作业面以及已碾实的</w:t>
      </w:r>
      <w:r>
        <w:rPr>
          <w:rFonts w:hint="eastAsia"/>
          <w:color w:val="auto"/>
          <w:lang w:eastAsia="zh-CN"/>
        </w:rPr>
        <w:t>灰渣</w:t>
      </w:r>
      <w:r>
        <w:rPr>
          <w:rFonts w:hint="eastAsia"/>
          <w:color w:val="auto"/>
        </w:rPr>
        <w:t>表面采用苫布覆盖、定期喷淋降尘等措施，避免长时间裸露。每日作业后对单元表面及时覆盖，覆盖材料可采用苫布，以达到控制扬尘及雨污分流的目的。</w:t>
      </w:r>
    </w:p>
    <w:p w14:paraId="695061FE">
      <w:pPr>
        <w:pStyle w:val="135"/>
        <w:rPr>
          <w:color w:val="auto"/>
          <w:highlight w:val="none"/>
        </w:rPr>
      </w:pPr>
      <w:r>
        <w:rPr>
          <w:color w:val="auto"/>
          <w:highlight w:val="none"/>
        </w:rPr>
        <w:t>3.1.5.3</w:t>
      </w:r>
      <w:r>
        <w:rPr>
          <w:rFonts w:hint="eastAsia"/>
          <w:color w:val="auto"/>
          <w:highlight w:val="none"/>
        </w:rPr>
        <w:t>运输工程</w:t>
      </w:r>
    </w:p>
    <w:p w14:paraId="29B6EB35">
      <w:pPr>
        <w:pStyle w:val="59"/>
        <w:ind w:firstLine="480"/>
        <w:rPr>
          <w:color w:val="auto"/>
          <w:highlight w:val="none"/>
        </w:rPr>
      </w:pPr>
      <w:r>
        <w:rPr>
          <w:rFonts w:hint="eastAsia"/>
          <w:color w:val="auto"/>
          <w:highlight w:val="none"/>
        </w:rPr>
        <w:t>（</w:t>
      </w:r>
      <w:r>
        <w:rPr>
          <w:color w:val="auto"/>
          <w:highlight w:val="none"/>
        </w:rPr>
        <w:t>1</w:t>
      </w:r>
      <w:r>
        <w:rPr>
          <w:rFonts w:hint="eastAsia"/>
          <w:color w:val="auto"/>
          <w:highlight w:val="none"/>
        </w:rPr>
        <w:t>）运输路线</w:t>
      </w:r>
    </w:p>
    <w:p w14:paraId="7EAA0A9D">
      <w:pPr>
        <w:pStyle w:val="59"/>
        <w:ind w:firstLine="480"/>
        <w:rPr>
          <w:color w:val="auto"/>
          <w:highlight w:val="none"/>
        </w:rPr>
      </w:pPr>
      <w:r>
        <w:rPr>
          <w:rFonts w:hint="eastAsia"/>
          <w:color w:val="auto"/>
          <w:highlight w:val="none"/>
        </w:rPr>
        <w:t>回填物</w:t>
      </w:r>
      <w:r>
        <w:rPr>
          <w:rFonts w:hint="eastAsia"/>
          <w:color w:val="auto"/>
          <w:highlight w:val="none"/>
          <w:lang w:eastAsia="zh-CN"/>
        </w:rPr>
        <w:t>灰渣</w:t>
      </w:r>
      <w:r>
        <w:rPr>
          <w:rFonts w:hint="eastAsia"/>
          <w:color w:val="auto"/>
          <w:highlight w:val="none"/>
        </w:rPr>
        <w:t>由</w:t>
      </w:r>
      <w:r>
        <w:rPr>
          <w:rFonts w:hint="eastAsia"/>
          <w:snapToGrid w:val="0"/>
          <w:color w:val="auto"/>
          <w:lang w:val="en-US" w:eastAsia="zh-CN"/>
        </w:rPr>
        <w:t>鸡东县嘉翼商贸有限公司</w:t>
      </w:r>
      <w:r>
        <w:rPr>
          <w:rFonts w:hint="eastAsia"/>
          <w:color w:val="auto"/>
          <w:highlight w:val="none"/>
        </w:rPr>
        <w:t>通过公路由自卸汽车运至回填区，自卸汽车密闭，运输过程中加盖苫布。每次运输量50t，每天运输6车。运输路线由</w:t>
      </w:r>
      <w:r>
        <w:rPr>
          <w:rFonts w:hint="eastAsia"/>
          <w:color w:val="auto"/>
          <w:highlight w:val="none"/>
          <w:lang w:eastAsia="zh-CN"/>
        </w:rPr>
        <w:t>黑龙江醇能热电有限公司</w:t>
      </w:r>
      <w:r>
        <w:rPr>
          <w:rFonts w:hint="eastAsia"/>
          <w:color w:val="auto"/>
          <w:highlight w:val="none"/>
        </w:rPr>
        <w:t>向东经国道201，S314后进入回填区。运输路线总长约29.2公里，其中进场道路的长度为</w:t>
      </w:r>
      <w:r>
        <w:rPr>
          <w:rFonts w:hint="eastAsia"/>
          <w:color w:val="auto"/>
          <w:highlight w:val="none"/>
          <w:lang w:val="en-US" w:eastAsia="zh-CN"/>
        </w:rPr>
        <w:t>600</w:t>
      </w:r>
      <w:r>
        <w:rPr>
          <w:rFonts w:hint="eastAsia"/>
          <w:color w:val="auto"/>
          <w:highlight w:val="none"/>
        </w:rPr>
        <w:t>m。到达废弃采坑后，直接拉运至分区回填单元。运输路线图见下图。</w:t>
      </w:r>
    </w:p>
    <w:p w14:paraId="71FDC528">
      <w:pPr>
        <w:pStyle w:val="59"/>
        <w:numPr>
          <w:ilvl w:val="0"/>
          <w:numId w:val="0"/>
        </w:numPr>
        <w:ind w:firstLine="480" w:firstLineChars="200"/>
        <w:rPr>
          <w:color w:val="auto"/>
        </w:rPr>
      </w:pPr>
      <w:r>
        <w:rPr>
          <w:rFonts w:ascii="Times New Roman" w:hAnsi="Times New Roman" w:eastAsia="宋体" w:cstheme="minorBidi"/>
          <w:color w:val="auto"/>
          <w:kern w:val="2"/>
          <w:sz w:val="24"/>
          <w:szCs w:val="24"/>
          <w:lang w:val="en-US" w:eastAsia="zh-CN" w:bidi="ar-SA"/>
        </w:rPr>
        <w:t>（2）</w:t>
      </w:r>
      <w:r>
        <w:rPr>
          <w:rFonts w:hint="eastAsia"/>
          <w:color w:val="auto"/>
        </w:rPr>
        <w:t>交通量分析</w:t>
      </w:r>
    </w:p>
    <w:p w14:paraId="69A981D0">
      <w:pPr>
        <w:pStyle w:val="59"/>
        <w:numPr>
          <w:ilvl w:val="0"/>
          <w:numId w:val="0"/>
        </w:numPr>
        <w:ind w:firstLine="480" w:firstLineChars="200"/>
        <w:rPr>
          <w:color w:val="auto"/>
        </w:rPr>
      </w:pPr>
      <w:r>
        <w:rPr>
          <w:rFonts w:hint="eastAsia"/>
          <w:color w:val="auto"/>
        </w:rPr>
        <w:t>根据企业提供的工程进度，本项目回填规模为</w:t>
      </w:r>
      <w:r>
        <w:rPr>
          <w:rFonts w:hint="eastAsia"/>
          <w:color w:val="auto"/>
          <w:lang w:val="en-US" w:eastAsia="zh-CN"/>
        </w:rPr>
        <w:t>300m</w:t>
      </w:r>
      <w:r>
        <w:rPr>
          <w:rFonts w:hint="eastAsia"/>
          <w:color w:val="auto"/>
          <w:vertAlign w:val="superscript"/>
          <w:lang w:val="en-US" w:eastAsia="zh-CN"/>
        </w:rPr>
        <w:t>3</w:t>
      </w:r>
      <w:r>
        <w:rPr>
          <w:color w:val="auto"/>
        </w:rPr>
        <w:t>/d</w:t>
      </w:r>
      <w:r>
        <w:rPr>
          <w:rFonts w:hint="eastAsia"/>
          <w:color w:val="auto"/>
        </w:rPr>
        <w:t>，由建设单位</w:t>
      </w:r>
      <w:r>
        <w:rPr>
          <w:color w:val="auto"/>
        </w:rPr>
        <w:t>委托</w:t>
      </w:r>
      <w:r>
        <w:rPr>
          <w:rFonts w:hint="eastAsia"/>
          <w:snapToGrid w:val="0"/>
          <w:color w:val="auto"/>
          <w:lang w:val="en-US" w:eastAsia="zh-CN"/>
        </w:rPr>
        <w:t>鸡东县嘉翼商贸有限公司</w:t>
      </w:r>
      <w:r>
        <w:rPr>
          <w:rFonts w:hint="eastAsia"/>
          <w:color w:val="auto"/>
        </w:rPr>
        <w:t>负责运输，运送</w:t>
      </w:r>
      <w:r>
        <w:rPr>
          <w:rFonts w:hint="eastAsia"/>
          <w:color w:val="auto"/>
          <w:lang w:eastAsia="zh-CN"/>
        </w:rPr>
        <w:t>灰渣</w:t>
      </w:r>
      <w:r>
        <w:rPr>
          <w:rFonts w:hint="eastAsia"/>
          <w:color w:val="auto"/>
        </w:rPr>
        <w:t>采用封闭运输车，装载能力为</w:t>
      </w:r>
      <w:r>
        <w:rPr>
          <w:color w:val="auto"/>
        </w:rPr>
        <w:t>50t</w:t>
      </w:r>
      <w:r>
        <w:rPr>
          <w:rFonts w:hint="eastAsia"/>
          <w:color w:val="auto"/>
        </w:rPr>
        <w:t>，进场作业车双向日流量：</w:t>
      </w:r>
    </w:p>
    <w:p w14:paraId="05A1B2AB">
      <w:pPr>
        <w:pStyle w:val="59"/>
        <w:ind w:firstLine="480"/>
        <w:rPr>
          <w:color w:val="auto"/>
        </w:rPr>
      </w:pPr>
      <w:r>
        <w:rPr>
          <w:color w:val="auto"/>
        </w:rPr>
        <w:t>N1=2V/W1=2×</w:t>
      </w:r>
      <w:r>
        <w:rPr>
          <w:rFonts w:hint="eastAsia"/>
          <w:color w:val="auto"/>
          <w:lang w:val="en-US" w:eastAsia="zh-CN"/>
        </w:rPr>
        <w:t>300</w:t>
      </w:r>
      <w:r>
        <w:rPr>
          <w:color w:val="auto"/>
        </w:rPr>
        <w:t>/50</w:t>
      </w:r>
      <w:r>
        <w:rPr>
          <w:rFonts w:hint="eastAsia"/>
          <w:color w:val="auto"/>
          <w:lang w:val="en-US" w:eastAsia="zh-CN"/>
        </w:rPr>
        <w:t>≈12</w:t>
      </w:r>
      <w:r>
        <w:rPr>
          <w:rFonts w:hint="eastAsia"/>
          <w:color w:val="auto"/>
        </w:rPr>
        <w:t>车次</w:t>
      </w:r>
    </w:p>
    <w:p w14:paraId="03A22968">
      <w:pPr>
        <w:pStyle w:val="59"/>
        <w:ind w:firstLine="480"/>
        <w:rPr>
          <w:rFonts w:hint="eastAsia"/>
          <w:color w:val="auto"/>
        </w:rPr>
      </w:pPr>
      <w:r>
        <w:rPr>
          <w:rFonts w:hint="eastAsia"/>
          <w:color w:val="auto"/>
        </w:rPr>
        <w:t>其中：</w:t>
      </w:r>
      <w:r>
        <w:rPr>
          <w:color w:val="auto"/>
        </w:rPr>
        <w:t>V—</w:t>
      </w:r>
      <w:r>
        <w:rPr>
          <w:rFonts w:hint="eastAsia"/>
          <w:color w:val="auto"/>
        </w:rPr>
        <w:t>每日进场回填物</w:t>
      </w:r>
    </w:p>
    <w:p w14:paraId="7D9FCF6F">
      <w:pPr>
        <w:pStyle w:val="59"/>
        <w:ind w:firstLine="480"/>
        <w:rPr>
          <w:color w:val="auto"/>
        </w:rPr>
      </w:pPr>
      <w:r>
        <w:rPr>
          <w:rFonts w:hint="eastAsia"/>
          <w:color w:val="auto"/>
        </w:rPr>
        <w:t>总量，以</w:t>
      </w:r>
      <w:r>
        <w:rPr>
          <w:rFonts w:hint="eastAsia"/>
          <w:color w:val="auto"/>
          <w:lang w:val="en-US" w:eastAsia="zh-CN"/>
        </w:rPr>
        <w:t>300m</w:t>
      </w:r>
      <w:r>
        <w:rPr>
          <w:rFonts w:hint="eastAsia"/>
          <w:color w:val="auto"/>
          <w:vertAlign w:val="superscript"/>
          <w:lang w:val="en-US" w:eastAsia="zh-CN"/>
        </w:rPr>
        <w:t>3</w:t>
      </w:r>
      <w:r>
        <w:rPr>
          <w:rFonts w:hint="eastAsia"/>
          <w:color w:val="auto"/>
        </w:rPr>
        <w:t>计；</w:t>
      </w:r>
    </w:p>
    <w:p w14:paraId="06797150">
      <w:pPr>
        <w:pStyle w:val="59"/>
        <w:ind w:firstLine="480"/>
        <w:rPr>
          <w:color w:val="auto"/>
        </w:rPr>
      </w:pPr>
      <w:r>
        <w:rPr>
          <w:color w:val="auto"/>
        </w:rPr>
        <w:t>W1—50t</w:t>
      </w:r>
      <w:r>
        <w:rPr>
          <w:rFonts w:hint="eastAsia"/>
          <w:color w:val="auto"/>
        </w:rPr>
        <w:t>封闭运输车。</w:t>
      </w:r>
    </w:p>
    <w:p w14:paraId="7C6AAAF8">
      <w:pPr>
        <w:pStyle w:val="59"/>
        <w:ind w:firstLine="480"/>
        <w:rPr>
          <w:color w:val="auto"/>
        </w:rPr>
      </w:pPr>
      <w:r>
        <w:rPr>
          <w:rFonts w:hint="eastAsia"/>
          <w:color w:val="auto"/>
        </w:rPr>
        <w:t>根据上述分析，运输车的平均日双向交通量为</w:t>
      </w:r>
      <w:r>
        <w:rPr>
          <w:rFonts w:hint="eastAsia"/>
          <w:color w:val="auto"/>
          <w:lang w:val="en-US" w:eastAsia="zh-CN"/>
        </w:rPr>
        <w:t>12</w:t>
      </w:r>
      <w:r>
        <w:rPr>
          <w:rFonts w:hint="eastAsia"/>
          <w:color w:val="auto"/>
        </w:rPr>
        <w:t>车次，按日工作</w:t>
      </w:r>
      <w:r>
        <w:rPr>
          <w:rFonts w:hint="eastAsia"/>
          <w:color w:val="auto"/>
          <w:lang w:val="en-US" w:eastAsia="zh-CN"/>
        </w:rPr>
        <w:t>12</w:t>
      </w:r>
      <w:r>
        <w:rPr>
          <w:rFonts w:hint="eastAsia"/>
          <w:color w:val="auto"/>
        </w:rPr>
        <w:t>小时，则小时双向交通量约为</w:t>
      </w:r>
      <w:r>
        <w:rPr>
          <w:rFonts w:hint="eastAsia"/>
          <w:color w:val="auto"/>
          <w:lang w:val="en-US" w:eastAsia="zh-CN"/>
        </w:rPr>
        <w:t>0.92</w:t>
      </w:r>
      <w:r>
        <w:rPr>
          <w:rFonts w:hint="eastAsia"/>
          <w:color w:val="auto"/>
        </w:rPr>
        <w:t>辆。本项目满载拉运时间约</w:t>
      </w:r>
      <w:r>
        <w:rPr>
          <w:rFonts w:hint="eastAsia"/>
          <w:color w:val="auto"/>
          <w:lang w:val="en-US" w:eastAsia="zh-CN"/>
        </w:rPr>
        <w:t>4</w:t>
      </w:r>
      <w:r>
        <w:rPr>
          <w:rFonts w:hint="eastAsia"/>
          <w:color w:val="auto"/>
        </w:rPr>
        <w:t>0min，空载拉运时间约</w:t>
      </w:r>
      <w:r>
        <w:rPr>
          <w:rFonts w:hint="eastAsia"/>
          <w:color w:val="auto"/>
          <w:lang w:val="en-US" w:eastAsia="zh-CN"/>
        </w:rPr>
        <w:t>3</w:t>
      </w:r>
      <w:r>
        <w:rPr>
          <w:rFonts w:hint="eastAsia"/>
          <w:color w:val="auto"/>
        </w:rPr>
        <w:t>0min，装车、卸车时间约30min，单次运输时间总计1</w:t>
      </w:r>
      <w:r>
        <w:rPr>
          <w:rFonts w:hint="eastAsia"/>
          <w:color w:val="auto"/>
          <w:lang w:val="en-US" w:eastAsia="zh-CN"/>
        </w:rPr>
        <w:t>0</w:t>
      </w:r>
      <w:r>
        <w:rPr>
          <w:rFonts w:hint="eastAsia"/>
          <w:color w:val="auto"/>
        </w:rPr>
        <w:t>0min，本次设运输车辆</w:t>
      </w:r>
      <w:r>
        <w:rPr>
          <w:rFonts w:hint="eastAsia"/>
          <w:color w:val="auto"/>
          <w:lang w:val="en-US" w:eastAsia="zh-CN"/>
        </w:rPr>
        <w:t>2</w:t>
      </w:r>
      <w:r>
        <w:rPr>
          <w:rFonts w:hint="eastAsia"/>
          <w:color w:val="auto"/>
        </w:rPr>
        <w:t>辆，项目每天运输</w:t>
      </w:r>
      <w:r>
        <w:rPr>
          <w:rFonts w:hint="eastAsia"/>
          <w:color w:val="auto"/>
          <w:lang w:val="en-US" w:eastAsia="zh-CN"/>
        </w:rPr>
        <w:t>12</w:t>
      </w:r>
      <w:r>
        <w:rPr>
          <w:rFonts w:hint="eastAsia"/>
          <w:color w:val="auto"/>
        </w:rPr>
        <w:t>h，则单辆运输车辆最大</w:t>
      </w:r>
      <w:r>
        <w:rPr>
          <w:rFonts w:hint="eastAsia"/>
          <w:color w:val="auto"/>
          <w:lang w:eastAsia="zh-CN"/>
        </w:rPr>
        <w:t>可</w:t>
      </w:r>
      <w:r>
        <w:rPr>
          <w:rFonts w:hint="eastAsia"/>
          <w:color w:val="auto"/>
        </w:rPr>
        <w:t>运输次数为</w:t>
      </w:r>
      <w:r>
        <w:rPr>
          <w:rFonts w:hint="eastAsia"/>
          <w:color w:val="auto"/>
          <w:lang w:val="en-US" w:eastAsia="zh-CN"/>
        </w:rPr>
        <w:t>7</w:t>
      </w:r>
      <w:r>
        <w:rPr>
          <w:rFonts w:hint="eastAsia"/>
          <w:color w:val="auto"/>
        </w:rPr>
        <w:t>次/d，项目单日最大可运输次数</w:t>
      </w:r>
      <w:r>
        <w:rPr>
          <w:rFonts w:hint="eastAsia"/>
          <w:color w:val="auto"/>
          <w:lang w:val="en-US" w:eastAsia="zh-CN"/>
        </w:rPr>
        <w:t>14</w:t>
      </w:r>
      <w:r>
        <w:rPr>
          <w:rFonts w:hint="eastAsia"/>
          <w:color w:val="auto"/>
        </w:rPr>
        <w:t>次，本项目总计外运</w:t>
      </w:r>
      <w:r>
        <w:rPr>
          <w:rFonts w:hint="eastAsia"/>
          <w:color w:val="auto"/>
          <w:lang w:eastAsia="zh-CN"/>
        </w:rPr>
        <w:t>灰渣</w:t>
      </w:r>
      <w:r>
        <w:rPr>
          <w:rFonts w:hint="eastAsia"/>
          <w:color w:val="auto"/>
          <w:lang w:val="en-US" w:eastAsia="zh-CN"/>
        </w:rPr>
        <w:t>32.76万</w:t>
      </w:r>
      <w:r>
        <w:rPr>
          <w:rFonts w:hint="eastAsia"/>
          <w:color w:val="auto"/>
        </w:rPr>
        <w:t>m</w:t>
      </w:r>
      <w:r>
        <w:rPr>
          <w:rFonts w:hint="eastAsia"/>
          <w:color w:val="auto"/>
          <w:vertAlign w:val="superscript"/>
        </w:rPr>
        <w:t>3</w:t>
      </w:r>
      <w:r>
        <w:rPr>
          <w:rFonts w:hint="eastAsia"/>
          <w:color w:val="auto"/>
        </w:rPr>
        <w:t>，项目采用满载时载重为</w:t>
      </w:r>
      <w:r>
        <w:rPr>
          <w:color w:val="auto"/>
        </w:rPr>
        <w:t>5</w:t>
      </w:r>
      <w:r>
        <w:rPr>
          <w:rFonts w:hint="eastAsia"/>
          <w:color w:val="auto"/>
        </w:rPr>
        <w:t>0t的自卸汽车进行运输，共计回填</w:t>
      </w:r>
      <w:r>
        <w:rPr>
          <w:rFonts w:hint="eastAsia"/>
          <w:color w:val="auto"/>
          <w:lang w:val="en-US" w:eastAsia="zh-CN"/>
        </w:rPr>
        <w:t>1089</w:t>
      </w:r>
      <w:r>
        <w:rPr>
          <w:rFonts w:hint="eastAsia"/>
          <w:color w:val="auto"/>
        </w:rPr>
        <w:t>天，则每天需运输</w:t>
      </w:r>
      <w:r>
        <w:rPr>
          <w:rFonts w:hint="eastAsia"/>
          <w:color w:val="auto"/>
          <w:lang w:val="en-US" w:eastAsia="zh-CN"/>
        </w:rPr>
        <w:t>6</w:t>
      </w:r>
      <w:r>
        <w:rPr>
          <w:rFonts w:hint="eastAsia"/>
          <w:color w:val="auto"/>
        </w:rPr>
        <w:t>次（往返为</w:t>
      </w:r>
      <w:r>
        <w:rPr>
          <w:rFonts w:hint="eastAsia"/>
          <w:color w:val="auto"/>
          <w:lang w:val="en-US" w:eastAsia="zh-CN"/>
        </w:rPr>
        <w:t>12</w:t>
      </w:r>
      <w:r>
        <w:rPr>
          <w:rFonts w:hint="eastAsia"/>
          <w:color w:val="auto"/>
        </w:rPr>
        <w:t>车次），项目运输车辆可满足项目需求，各运输车辆间隔出发不同时运输。</w:t>
      </w:r>
    </w:p>
    <w:p w14:paraId="14E3432F">
      <w:pPr>
        <w:pStyle w:val="135"/>
        <w:rPr>
          <w:color w:val="auto"/>
        </w:rPr>
      </w:pPr>
      <w:r>
        <w:rPr>
          <w:color w:val="auto"/>
        </w:rPr>
        <w:t>3.1.5.4</w:t>
      </w:r>
      <w:r>
        <w:rPr>
          <w:rFonts w:hint="eastAsia"/>
          <w:color w:val="auto"/>
        </w:rPr>
        <w:t>回填运行管理</w:t>
      </w:r>
    </w:p>
    <w:p w14:paraId="554AB104">
      <w:pPr>
        <w:pStyle w:val="59"/>
        <w:ind w:firstLine="480"/>
        <w:rPr>
          <w:color w:val="auto"/>
        </w:rPr>
      </w:pPr>
      <w:r>
        <w:rPr>
          <w:rFonts w:hint="eastAsia"/>
          <w:color w:val="auto"/>
        </w:rPr>
        <w:t>本项目回填用</w:t>
      </w:r>
      <w:r>
        <w:rPr>
          <w:rFonts w:hint="eastAsia"/>
          <w:color w:val="auto"/>
          <w:lang w:eastAsia="zh-CN"/>
        </w:rPr>
        <w:t>灰渣</w:t>
      </w:r>
      <w:r>
        <w:rPr>
          <w:rFonts w:hint="eastAsia"/>
          <w:color w:val="auto"/>
        </w:rPr>
        <w:t>运输采用封闭运输车，运至本项目场地，直接运入治理场地，经推摊铺平，再用压路机碾压。</w:t>
      </w:r>
    </w:p>
    <w:p w14:paraId="7FFC8BE7">
      <w:pPr>
        <w:pStyle w:val="59"/>
        <w:ind w:firstLine="480"/>
        <w:rPr>
          <w:color w:val="auto"/>
        </w:rPr>
      </w:pPr>
      <w:r>
        <w:rPr>
          <w:rFonts w:hint="eastAsia"/>
          <w:color w:val="auto"/>
        </w:rPr>
        <w:t>（</w:t>
      </w:r>
      <w:r>
        <w:rPr>
          <w:color w:val="auto"/>
        </w:rPr>
        <w:t>1</w:t>
      </w:r>
      <w:r>
        <w:rPr>
          <w:rFonts w:hint="eastAsia"/>
          <w:color w:val="auto"/>
        </w:rPr>
        <w:t>）防尘措施</w:t>
      </w:r>
    </w:p>
    <w:p w14:paraId="6BC474E7">
      <w:pPr>
        <w:pStyle w:val="59"/>
        <w:ind w:firstLine="480"/>
        <w:rPr>
          <w:color w:val="auto"/>
        </w:rPr>
      </w:pPr>
      <w:r>
        <w:rPr>
          <w:rFonts w:hint="eastAsia"/>
          <w:color w:val="auto"/>
        </w:rPr>
        <w:t>对暂不堆灰和已碾实的</w:t>
      </w:r>
      <w:r>
        <w:rPr>
          <w:rFonts w:hint="eastAsia"/>
          <w:color w:val="auto"/>
          <w:lang w:eastAsia="zh-CN"/>
        </w:rPr>
        <w:t>灰渣</w:t>
      </w:r>
      <w:r>
        <w:rPr>
          <w:rFonts w:hint="eastAsia"/>
          <w:color w:val="auto"/>
        </w:rPr>
        <w:t>等表面，要定时洒水。洒水周期和水量应根据季节和天气，适时洒水，避免因风吹而扬尘。一般情况下，每天至少应洒水一次。</w:t>
      </w:r>
    </w:p>
    <w:p w14:paraId="69D030E4">
      <w:pPr>
        <w:pStyle w:val="59"/>
        <w:ind w:firstLine="480"/>
        <w:rPr>
          <w:color w:val="auto"/>
        </w:rPr>
      </w:pPr>
      <w:r>
        <w:rPr>
          <w:rFonts w:hint="eastAsia"/>
          <w:color w:val="auto"/>
        </w:rPr>
        <w:t>（</w:t>
      </w:r>
      <w:r>
        <w:rPr>
          <w:color w:val="auto"/>
        </w:rPr>
        <w:t>2</w:t>
      </w:r>
      <w:r>
        <w:rPr>
          <w:rFonts w:hint="eastAsia"/>
          <w:color w:val="auto"/>
        </w:rPr>
        <w:t>）冬季运行</w:t>
      </w:r>
    </w:p>
    <w:p w14:paraId="21C7AC0D">
      <w:pPr>
        <w:pStyle w:val="59"/>
        <w:ind w:firstLine="480"/>
        <w:rPr>
          <w:color w:val="auto"/>
        </w:rPr>
      </w:pPr>
      <w:r>
        <w:rPr>
          <w:rFonts w:hint="eastAsia"/>
          <w:color w:val="auto"/>
        </w:rPr>
        <w:t>冬季结冰季节，运灰及摊铺过程宜快，以防止</w:t>
      </w:r>
      <w:r>
        <w:rPr>
          <w:rFonts w:hint="eastAsia"/>
          <w:color w:val="auto"/>
          <w:lang w:eastAsia="zh-CN"/>
        </w:rPr>
        <w:t>灰渣</w:t>
      </w:r>
      <w:r>
        <w:rPr>
          <w:rFonts w:hint="eastAsia"/>
          <w:color w:val="auto"/>
        </w:rPr>
        <w:t>等在碾压前冻结而影响碾压质量；卸车后应及时清理车厢的残留</w:t>
      </w:r>
      <w:r>
        <w:rPr>
          <w:rFonts w:hint="eastAsia"/>
          <w:color w:val="auto"/>
          <w:lang w:eastAsia="zh-CN"/>
        </w:rPr>
        <w:t>灰渣</w:t>
      </w:r>
      <w:r>
        <w:rPr>
          <w:rFonts w:hint="eastAsia"/>
          <w:color w:val="auto"/>
        </w:rPr>
        <w:t>等。</w:t>
      </w:r>
      <w:r>
        <w:rPr>
          <w:rFonts w:hint="eastAsia"/>
          <w:color w:val="auto"/>
          <w:lang w:eastAsia="zh-CN"/>
        </w:rPr>
        <w:t>灰渣</w:t>
      </w:r>
      <w:r>
        <w:rPr>
          <w:rFonts w:hint="eastAsia"/>
          <w:color w:val="auto"/>
        </w:rPr>
        <w:t>摊铺过程中，若面层颗粒出现结冰现象，应增加碾压遍数，保证压实质量。冬季集中在较小的工作面，连续铺压是减轻冻害的有效措施。有关试验表明：冬季气温在零下</w:t>
      </w:r>
      <w:r>
        <w:rPr>
          <w:color w:val="auto"/>
        </w:rPr>
        <w:t>10</w:t>
      </w:r>
      <w:r>
        <w:rPr>
          <w:rFonts w:hint="eastAsia" w:ascii="宋体" w:hAnsi="宋体" w:cs="宋体"/>
          <w:color w:val="auto"/>
        </w:rPr>
        <w:t>℃</w:t>
      </w:r>
      <w:r>
        <w:rPr>
          <w:rFonts w:hint="eastAsia"/>
          <w:color w:val="auto"/>
        </w:rPr>
        <w:t>左右时，</w:t>
      </w:r>
      <w:r>
        <w:rPr>
          <w:rFonts w:hint="eastAsia"/>
          <w:color w:val="auto"/>
          <w:lang w:eastAsia="zh-CN"/>
        </w:rPr>
        <w:t>灰渣</w:t>
      </w:r>
      <w:r>
        <w:rPr>
          <w:rFonts w:hint="eastAsia"/>
          <w:color w:val="auto"/>
        </w:rPr>
        <w:t>已在回填区冷却堆放，装车灰温约</w:t>
      </w:r>
      <w:r>
        <w:rPr>
          <w:color w:val="auto"/>
        </w:rPr>
        <w:t>0</w:t>
      </w:r>
      <w:r>
        <w:rPr>
          <w:rFonts w:hint="eastAsia" w:ascii="宋体" w:hAnsi="宋体" w:cs="宋体"/>
          <w:color w:val="auto"/>
        </w:rPr>
        <w:t>℃</w:t>
      </w:r>
      <w:r>
        <w:rPr>
          <w:rFonts w:hint="eastAsia"/>
          <w:color w:val="auto"/>
        </w:rPr>
        <w:t>，运输至卸车时实测温度约为</w:t>
      </w:r>
      <w:r>
        <w:rPr>
          <w:color w:val="auto"/>
        </w:rPr>
        <w:t>0</w:t>
      </w:r>
      <w:r>
        <w:rPr>
          <w:rFonts w:hint="eastAsia" w:ascii="宋体" w:hAnsi="宋体" w:cs="宋体"/>
          <w:color w:val="auto"/>
        </w:rPr>
        <w:t>℃</w:t>
      </w:r>
      <w:r>
        <w:rPr>
          <w:rFonts w:hint="eastAsia"/>
          <w:color w:val="auto"/>
        </w:rPr>
        <w:t>左右。</w:t>
      </w:r>
    </w:p>
    <w:p w14:paraId="0713278D">
      <w:pPr>
        <w:pStyle w:val="59"/>
        <w:ind w:firstLine="480"/>
        <w:rPr>
          <w:color w:val="auto"/>
        </w:rPr>
      </w:pPr>
      <w:r>
        <w:rPr>
          <w:rFonts w:hint="eastAsia"/>
          <w:color w:val="auto"/>
        </w:rPr>
        <w:t>冰冻季节，在有冻胀现象的灰面上继续摊灰前，应先用振动压路机不振动碾压和振动碾压各一遍，再开始新的摊碾程序。对于暂时不堆灰的灰面，形成冰层覆盖后，抑制飞灰非常明显。但表面水分蒸发风干后，质地疏松的灰极易产生飞灰。冬季应适时检查灰面，对风干的灰面及时洒水，洒水深度不宜超过</w:t>
      </w:r>
      <w:r>
        <w:rPr>
          <w:color w:val="auto"/>
        </w:rPr>
        <w:t>5.0mm</w:t>
      </w:r>
      <w:r>
        <w:rPr>
          <w:rFonts w:hint="eastAsia"/>
          <w:color w:val="auto"/>
        </w:rPr>
        <w:t>。</w:t>
      </w:r>
    </w:p>
    <w:p w14:paraId="0058DA79">
      <w:pPr>
        <w:pStyle w:val="59"/>
        <w:ind w:firstLine="480"/>
        <w:rPr>
          <w:color w:val="auto"/>
        </w:rPr>
      </w:pPr>
      <w:r>
        <w:rPr>
          <w:rFonts w:hint="eastAsia"/>
          <w:color w:val="auto"/>
        </w:rPr>
        <w:t>（</w:t>
      </w:r>
      <w:r>
        <w:rPr>
          <w:color w:val="auto"/>
        </w:rPr>
        <w:t>3</w:t>
      </w:r>
      <w:r>
        <w:rPr>
          <w:rFonts w:hint="eastAsia"/>
          <w:color w:val="auto"/>
        </w:rPr>
        <w:t>）雨季回填运行</w:t>
      </w:r>
    </w:p>
    <w:p w14:paraId="30F421D0">
      <w:pPr>
        <w:pStyle w:val="59"/>
        <w:ind w:firstLine="480"/>
        <w:rPr>
          <w:color w:val="auto"/>
        </w:rPr>
      </w:pPr>
      <w:r>
        <w:rPr>
          <w:rFonts w:hint="eastAsia"/>
          <w:color w:val="auto"/>
        </w:rPr>
        <w:t>一般雨天不影响</w:t>
      </w:r>
      <w:r>
        <w:rPr>
          <w:rFonts w:hint="eastAsia"/>
          <w:color w:val="auto"/>
          <w:lang w:eastAsia="zh-CN"/>
        </w:rPr>
        <w:t>灰渣</w:t>
      </w:r>
      <w:r>
        <w:rPr>
          <w:rFonts w:hint="eastAsia"/>
          <w:color w:val="auto"/>
        </w:rPr>
        <w:t>等的正常碾压，但对于雨后径流形成的冲蚀面需及时碾压堆筑</w:t>
      </w:r>
      <w:r>
        <w:rPr>
          <w:rFonts w:hint="eastAsia"/>
          <w:color w:val="auto"/>
          <w:lang w:eastAsia="zh-CN"/>
        </w:rPr>
        <w:t>灰渣</w:t>
      </w:r>
      <w:r>
        <w:rPr>
          <w:rFonts w:hint="eastAsia"/>
          <w:color w:val="auto"/>
        </w:rPr>
        <w:t>，对于灰面上的积水需及时疏导，以免影响</w:t>
      </w:r>
      <w:r>
        <w:rPr>
          <w:rFonts w:hint="eastAsia"/>
          <w:color w:val="auto"/>
          <w:lang w:eastAsia="zh-CN"/>
        </w:rPr>
        <w:t>灰渣</w:t>
      </w:r>
      <w:r>
        <w:rPr>
          <w:rFonts w:hint="eastAsia"/>
          <w:color w:val="auto"/>
        </w:rPr>
        <w:t>等堆筑施工。汛期前，疏浚排水沟，详细检查排水沟的安全情况，落实应急救援措施，及时了解和掌握水情和气象预报情况，并对施工现场通讯、供电及照明线路进行巡视，发现问题应及时修复。</w:t>
      </w:r>
    </w:p>
    <w:p w14:paraId="2B8D1CE1">
      <w:pPr>
        <w:pStyle w:val="59"/>
        <w:ind w:firstLine="480"/>
        <w:rPr>
          <w:color w:val="auto"/>
        </w:rPr>
      </w:pPr>
      <w:r>
        <w:rPr>
          <w:rFonts w:hint="eastAsia"/>
          <w:color w:val="auto"/>
        </w:rPr>
        <w:t>（</w:t>
      </w:r>
      <w:r>
        <w:rPr>
          <w:color w:val="auto"/>
        </w:rPr>
        <w:t>4</w:t>
      </w:r>
      <w:r>
        <w:rPr>
          <w:rFonts w:hint="eastAsia"/>
          <w:color w:val="auto"/>
        </w:rPr>
        <w:t>）大风天气回填运行</w:t>
      </w:r>
    </w:p>
    <w:p w14:paraId="335B2A46">
      <w:pPr>
        <w:pStyle w:val="59"/>
        <w:ind w:firstLine="480"/>
        <w:rPr>
          <w:color w:val="auto"/>
        </w:rPr>
      </w:pPr>
      <w:r>
        <w:rPr>
          <w:rFonts w:hint="eastAsia"/>
          <w:color w:val="auto"/>
        </w:rPr>
        <w:t>一般当风天不影响</w:t>
      </w:r>
      <w:r>
        <w:rPr>
          <w:rFonts w:hint="eastAsia"/>
          <w:color w:val="auto"/>
          <w:lang w:eastAsia="zh-CN"/>
        </w:rPr>
        <w:t>灰渣</w:t>
      </w:r>
      <w:r>
        <w:rPr>
          <w:rFonts w:hint="eastAsia"/>
          <w:color w:val="auto"/>
        </w:rPr>
        <w:t>的正常碾压，但当风力大于四级时，即风速大于</w:t>
      </w:r>
      <w:r>
        <w:rPr>
          <w:color w:val="auto"/>
        </w:rPr>
        <w:t>7.9m/s</w:t>
      </w:r>
      <w:r>
        <w:rPr>
          <w:rFonts w:hint="eastAsia"/>
          <w:color w:val="auto"/>
        </w:rPr>
        <w:t>时，企业应注意停止施工作业，并对场地的</w:t>
      </w:r>
      <w:r>
        <w:rPr>
          <w:rFonts w:hint="eastAsia"/>
          <w:color w:val="auto"/>
          <w:lang w:eastAsia="zh-CN"/>
        </w:rPr>
        <w:t>灰渣</w:t>
      </w:r>
      <w:r>
        <w:rPr>
          <w:rFonts w:hint="eastAsia"/>
          <w:color w:val="auto"/>
        </w:rPr>
        <w:t>等加强洒水降尘，灰堆进行苫盖，待风力低于四级时方可施工作业。</w:t>
      </w:r>
    </w:p>
    <w:p w14:paraId="6BB81094">
      <w:pPr>
        <w:pStyle w:val="59"/>
        <w:ind w:firstLine="480"/>
        <w:rPr>
          <w:color w:val="auto"/>
        </w:rPr>
      </w:pPr>
      <w:r>
        <w:rPr>
          <w:rFonts w:hint="eastAsia"/>
          <w:color w:val="auto"/>
        </w:rPr>
        <w:t>（</w:t>
      </w:r>
      <w:r>
        <w:rPr>
          <w:color w:val="auto"/>
        </w:rPr>
        <w:t>5</w:t>
      </w:r>
      <w:r>
        <w:rPr>
          <w:rFonts w:hint="eastAsia"/>
          <w:color w:val="auto"/>
        </w:rPr>
        <w:t>）设立警戒标志</w:t>
      </w:r>
    </w:p>
    <w:p w14:paraId="130C6797">
      <w:pPr>
        <w:pStyle w:val="59"/>
        <w:ind w:firstLine="480"/>
        <w:rPr>
          <w:color w:val="auto"/>
        </w:rPr>
      </w:pPr>
      <w:r>
        <w:rPr>
          <w:rFonts w:hint="eastAsia"/>
          <w:color w:val="auto"/>
        </w:rPr>
        <w:t>进行回填作业时，应圈定危险范围，并设立警戒标志，无关人员不应进入危险范围内。</w:t>
      </w:r>
    </w:p>
    <w:p w14:paraId="14294077">
      <w:pPr>
        <w:pStyle w:val="59"/>
        <w:ind w:firstLine="480"/>
        <w:rPr>
          <w:color w:val="auto"/>
        </w:rPr>
      </w:pPr>
      <w:r>
        <w:rPr>
          <w:rFonts w:hint="eastAsia"/>
          <w:color w:val="auto"/>
        </w:rPr>
        <w:t>（</w:t>
      </w:r>
      <w:r>
        <w:rPr>
          <w:color w:val="auto"/>
        </w:rPr>
        <w:t>6</w:t>
      </w:r>
      <w:r>
        <w:rPr>
          <w:rFonts w:hint="eastAsia"/>
          <w:color w:val="auto"/>
        </w:rPr>
        <w:t>）回填作业工作人员原则</w:t>
      </w:r>
    </w:p>
    <w:p w14:paraId="16B4DD2E">
      <w:pPr>
        <w:pStyle w:val="59"/>
        <w:ind w:firstLine="480"/>
        <w:rPr>
          <w:color w:val="auto"/>
        </w:rPr>
      </w:pPr>
      <w:r>
        <w:rPr>
          <w:rFonts w:hint="eastAsia"/>
          <w:color w:val="auto"/>
        </w:rPr>
        <w:t>机械堆置</w:t>
      </w:r>
      <w:r>
        <w:rPr>
          <w:rFonts w:hint="eastAsia"/>
          <w:color w:val="auto"/>
          <w:lang w:eastAsia="zh-CN"/>
        </w:rPr>
        <w:t>灰渣</w:t>
      </w:r>
      <w:r>
        <w:rPr>
          <w:rFonts w:hint="eastAsia"/>
          <w:color w:val="auto"/>
        </w:rPr>
        <w:t>作业时，有专人指挥，非作业人员不应进入回填作业区，进入作业区内的工作人员、车辆、工程机械，应服从指挥人员的指挥。</w:t>
      </w:r>
    </w:p>
    <w:p w14:paraId="20A96096">
      <w:pPr>
        <w:pStyle w:val="59"/>
        <w:ind w:firstLine="480"/>
        <w:rPr>
          <w:color w:val="auto"/>
        </w:rPr>
      </w:pPr>
      <w:r>
        <w:rPr>
          <w:rFonts w:hint="eastAsia"/>
          <w:color w:val="auto"/>
        </w:rPr>
        <w:t>（</w:t>
      </w:r>
      <w:r>
        <w:rPr>
          <w:color w:val="auto"/>
        </w:rPr>
        <w:t>7</w:t>
      </w:r>
      <w:r>
        <w:rPr>
          <w:rFonts w:hint="eastAsia"/>
          <w:color w:val="auto"/>
        </w:rPr>
        <w:t>）安全距离</w:t>
      </w:r>
    </w:p>
    <w:p w14:paraId="13C7B960">
      <w:pPr>
        <w:pStyle w:val="59"/>
        <w:ind w:firstLine="480"/>
        <w:rPr>
          <w:color w:val="auto"/>
        </w:rPr>
      </w:pPr>
      <w:r>
        <w:rPr>
          <w:rFonts w:hint="eastAsia"/>
          <w:color w:val="auto"/>
        </w:rPr>
        <w:t>按规定顺序排弃</w:t>
      </w:r>
      <w:r>
        <w:rPr>
          <w:rFonts w:hint="eastAsia"/>
          <w:color w:val="auto"/>
          <w:lang w:eastAsia="zh-CN"/>
        </w:rPr>
        <w:t>灰渣</w:t>
      </w:r>
      <w:r>
        <w:rPr>
          <w:rFonts w:hint="eastAsia"/>
          <w:color w:val="auto"/>
        </w:rPr>
        <w:t>，在同一地段进行卸车和</w:t>
      </w:r>
      <w:r>
        <w:rPr>
          <w:rFonts w:hint="eastAsia"/>
          <w:color w:val="auto"/>
          <w:lang w:eastAsia="zh-CN"/>
        </w:rPr>
        <w:t>推土</w:t>
      </w:r>
      <w:r>
        <w:rPr>
          <w:rFonts w:hint="eastAsia"/>
          <w:color w:val="auto"/>
        </w:rPr>
        <w:t>作业时，设备之间保持足够的安全距离。</w:t>
      </w:r>
    </w:p>
    <w:p w14:paraId="74704184">
      <w:pPr>
        <w:pStyle w:val="137"/>
        <w:rPr>
          <w:color w:val="auto"/>
          <w:szCs w:val="32"/>
        </w:rPr>
      </w:pPr>
      <w:r>
        <w:rPr>
          <w:color w:val="auto"/>
        </w:rPr>
        <w:t>3.1.6</w:t>
      </w:r>
      <w:r>
        <w:rPr>
          <w:rFonts w:hint="eastAsia"/>
          <w:color w:val="auto"/>
        </w:rPr>
        <w:t>公用工程</w:t>
      </w:r>
    </w:p>
    <w:p w14:paraId="06A87554">
      <w:pPr>
        <w:pStyle w:val="135"/>
        <w:rPr>
          <w:color w:val="auto"/>
        </w:rPr>
      </w:pPr>
      <w:r>
        <w:rPr>
          <w:color w:val="auto"/>
        </w:rPr>
        <w:t>3.1.6.1</w:t>
      </w:r>
      <w:r>
        <w:rPr>
          <w:rFonts w:hint="eastAsia"/>
          <w:color w:val="auto"/>
        </w:rPr>
        <w:t>给水</w:t>
      </w:r>
    </w:p>
    <w:p w14:paraId="66DD9BCF">
      <w:pPr>
        <w:pStyle w:val="59"/>
        <w:ind w:firstLine="480"/>
        <w:rPr>
          <w:color w:val="auto"/>
        </w:rPr>
      </w:pPr>
      <w:r>
        <w:rPr>
          <w:rFonts w:hint="eastAsia"/>
          <w:color w:val="auto"/>
        </w:rPr>
        <w:t>用水环节主要为作业洒水抑尘用水、道路洒水用水，用水优先利用暂存池收集的雨水和淋溶水，不足部分取新鲜水，供水依托</w:t>
      </w:r>
      <w:r>
        <w:rPr>
          <w:rFonts w:hint="eastAsia"/>
          <w:color w:val="auto"/>
          <w:lang w:val="en-US" w:eastAsia="zh-CN"/>
        </w:rPr>
        <w:t>新泉村五队</w:t>
      </w:r>
      <w:r>
        <w:rPr>
          <w:rFonts w:hint="eastAsia"/>
          <w:color w:val="auto"/>
        </w:rPr>
        <w:t>水井；员工生活用水主要为饮用水，购买瓶装饮用水。</w:t>
      </w:r>
    </w:p>
    <w:p w14:paraId="241EAA1E">
      <w:pPr>
        <w:pStyle w:val="59"/>
        <w:ind w:firstLine="480"/>
        <w:rPr>
          <w:color w:val="auto"/>
        </w:rPr>
      </w:pPr>
      <w:r>
        <w:rPr>
          <w:rFonts w:hint="eastAsia"/>
          <w:color w:val="auto"/>
        </w:rPr>
        <w:t>（1）生活用水</w:t>
      </w:r>
    </w:p>
    <w:p w14:paraId="24A0AB54">
      <w:pPr>
        <w:pStyle w:val="59"/>
        <w:ind w:firstLine="480"/>
        <w:rPr>
          <w:color w:val="auto"/>
        </w:rPr>
      </w:pPr>
      <w:r>
        <w:rPr>
          <w:rFonts w:hint="eastAsia"/>
          <w:color w:val="auto"/>
        </w:rPr>
        <w:t>项目配置工作人员</w:t>
      </w:r>
      <w:r>
        <w:rPr>
          <w:rFonts w:hint="eastAsia"/>
          <w:color w:val="auto"/>
          <w:lang w:val="en-US" w:eastAsia="zh-CN"/>
        </w:rPr>
        <w:t>1</w:t>
      </w:r>
      <w:r>
        <w:rPr>
          <w:color w:val="auto"/>
        </w:rPr>
        <w:t>5</w:t>
      </w:r>
      <w:r>
        <w:rPr>
          <w:rFonts w:hint="eastAsia"/>
          <w:color w:val="auto"/>
        </w:rPr>
        <w:t>人，</w:t>
      </w:r>
      <w:r>
        <w:rPr>
          <w:rFonts w:hint="eastAsia"/>
          <w:color w:val="auto"/>
          <w:lang w:val="en-US" w:eastAsia="zh-CN"/>
        </w:rPr>
        <w:t>休息</w:t>
      </w:r>
      <w:r>
        <w:rPr>
          <w:rFonts w:hint="eastAsia"/>
          <w:color w:val="auto"/>
        </w:rPr>
        <w:t>依托</w:t>
      </w:r>
      <w:r>
        <w:rPr>
          <w:rFonts w:hint="eastAsia"/>
          <w:color w:val="auto"/>
          <w:lang w:val="en-US" w:eastAsia="zh-CN"/>
        </w:rPr>
        <w:t>新泉村五队</w:t>
      </w:r>
      <w:r>
        <w:rPr>
          <w:rFonts w:hint="eastAsia"/>
          <w:color w:val="auto"/>
        </w:rPr>
        <w:t>民房，生活用水按黑龙江省</w:t>
      </w:r>
      <w:r>
        <w:rPr>
          <w:rFonts w:hint="eastAsia"/>
          <w:color w:val="auto"/>
          <w:lang w:val="en-US" w:eastAsia="zh-CN"/>
        </w:rPr>
        <w:t>地方标准</w:t>
      </w:r>
      <w:r>
        <w:rPr>
          <w:rFonts w:hint="eastAsia"/>
          <w:color w:val="auto"/>
        </w:rPr>
        <w:t>《用水定额》（D</w:t>
      </w:r>
      <w:r>
        <w:rPr>
          <w:color w:val="auto"/>
        </w:rPr>
        <w:t>B23/T727-202</w:t>
      </w:r>
      <w:r>
        <w:rPr>
          <w:rFonts w:hint="eastAsia"/>
          <w:color w:val="auto"/>
          <w:lang w:val="en-US" w:eastAsia="zh-CN"/>
        </w:rPr>
        <w:t>5</w:t>
      </w:r>
      <w:r>
        <w:rPr>
          <w:rFonts w:hint="eastAsia"/>
          <w:color w:val="auto"/>
        </w:rPr>
        <w:t>）中的农村居民生活，取8</w:t>
      </w:r>
      <w:r>
        <w:rPr>
          <w:color w:val="auto"/>
        </w:rPr>
        <w:t>0L/</w:t>
      </w:r>
      <w:r>
        <w:rPr>
          <w:rFonts w:hint="eastAsia"/>
          <w:color w:val="auto"/>
        </w:rPr>
        <w:t>（人</w:t>
      </w:r>
      <w:r>
        <w:rPr>
          <w:rFonts w:hint="eastAsia" w:ascii="宋体" w:hAnsi="宋体"/>
          <w:color w:val="auto"/>
        </w:rPr>
        <w:t>﹒</w:t>
      </w:r>
      <w:r>
        <w:rPr>
          <w:rFonts w:hint="eastAsia"/>
          <w:color w:val="auto"/>
        </w:rPr>
        <w:t>d），则工作人员生活用水为</w:t>
      </w:r>
      <w:r>
        <w:rPr>
          <w:rFonts w:hint="eastAsia"/>
          <w:color w:val="auto"/>
          <w:lang w:val="en-US" w:eastAsia="zh-CN"/>
        </w:rPr>
        <w:t>1.</w:t>
      </w:r>
      <w:r>
        <w:rPr>
          <w:color w:val="auto"/>
        </w:rPr>
        <w:t>2</w:t>
      </w:r>
      <w:r>
        <w:rPr>
          <w:rFonts w:hint="eastAsia"/>
          <w:color w:val="auto"/>
        </w:rPr>
        <w:t>t/d，</w:t>
      </w:r>
      <w:r>
        <w:rPr>
          <w:rFonts w:hint="eastAsia"/>
          <w:color w:val="auto"/>
          <w:lang w:val="en-US" w:eastAsia="zh-CN"/>
        </w:rPr>
        <w:t>435.6</w:t>
      </w:r>
      <w:r>
        <w:rPr>
          <w:rFonts w:hint="eastAsia"/>
          <w:color w:val="auto"/>
        </w:rPr>
        <w:t>t/a，用水来源为购买瓶装水。</w:t>
      </w:r>
    </w:p>
    <w:p w14:paraId="1D224E6B">
      <w:pPr>
        <w:pStyle w:val="59"/>
        <w:ind w:firstLine="480"/>
        <w:rPr>
          <w:color w:val="auto"/>
        </w:rPr>
      </w:pPr>
      <w:r>
        <w:rPr>
          <w:rFonts w:hint="eastAsia"/>
          <w:color w:val="auto"/>
        </w:rPr>
        <w:t>（2）作业抑尘用水</w:t>
      </w:r>
    </w:p>
    <w:p w14:paraId="092D36EC">
      <w:pPr>
        <w:pStyle w:val="59"/>
        <w:ind w:firstLine="480"/>
        <w:rPr>
          <w:color w:val="auto"/>
        </w:rPr>
      </w:pPr>
      <w:r>
        <w:rPr>
          <w:rFonts w:hint="eastAsia"/>
          <w:color w:val="auto"/>
          <w:lang w:val="en-US" w:eastAsia="zh-CN"/>
        </w:rPr>
        <w:t>本项目回填过程采用分层摊铺、分层碾压、分单元洒水的作业方式，回填作</w:t>
      </w:r>
    </w:p>
    <w:p w14:paraId="42BE7A6B">
      <w:pPr>
        <w:pStyle w:val="59"/>
        <w:ind w:left="0" w:leftChars="0" w:firstLine="0" w:firstLineChars="0"/>
        <w:rPr>
          <w:rFonts w:hint="default"/>
          <w:color w:val="auto"/>
          <w:lang w:val="en-US"/>
        </w:rPr>
      </w:pPr>
      <w:r>
        <w:rPr>
          <w:rFonts w:hint="eastAsia"/>
          <w:color w:val="auto"/>
          <w:lang w:val="en-US" w:eastAsia="zh-CN"/>
        </w:rPr>
        <w:t>业区洒水用量约20</w:t>
      </w:r>
      <w:r>
        <w:rPr>
          <w:rFonts w:hint="default"/>
          <w:color w:val="auto"/>
          <w:lang w:val="en-US" w:eastAsia="zh-CN"/>
        </w:rPr>
        <w:t>L/m</w:t>
      </w:r>
      <w:r>
        <w:rPr>
          <w:rFonts w:hint="default"/>
          <w:color w:val="auto"/>
          <w:vertAlign w:val="superscript"/>
          <w:lang w:val="en-US" w:eastAsia="zh-CN"/>
        </w:rPr>
        <w:t>2</w:t>
      </w:r>
      <w:r>
        <w:rPr>
          <w:rFonts w:hint="default"/>
          <w:color w:val="auto"/>
          <w:lang w:val="en-US" w:eastAsia="zh-CN"/>
        </w:rPr>
        <w:t>·</w:t>
      </w:r>
      <w:r>
        <w:rPr>
          <w:rFonts w:hint="eastAsia"/>
          <w:color w:val="auto"/>
          <w:lang w:val="en-US" w:eastAsia="zh-CN"/>
        </w:rPr>
        <w:t>次，每天</w:t>
      </w:r>
      <w:r>
        <w:rPr>
          <w:rFonts w:hint="default"/>
          <w:color w:val="auto"/>
          <w:lang w:val="en-US" w:eastAsia="zh-CN"/>
        </w:rPr>
        <w:t>4</w:t>
      </w:r>
      <w:r>
        <w:rPr>
          <w:rFonts w:hint="eastAsia"/>
          <w:color w:val="auto"/>
          <w:lang w:val="en-US" w:eastAsia="zh-CN"/>
        </w:rPr>
        <w:t>次（项目回填区单个单元面积按4</w:t>
      </w:r>
      <w:r>
        <w:rPr>
          <w:rFonts w:hint="default"/>
          <w:color w:val="auto"/>
          <w:lang w:val="en-US" w:eastAsia="zh-CN"/>
        </w:rPr>
        <w:t>00m</w:t>
      </w:r>
      <w:r>
        <w:rPr>
          <w:rFonts w:hint="default"/>
          <w:color w:val="auto"/>
          <w:vertAlign w:val="superscript"/>
          <w:lang w:val="en-US" w:eastAsia="zh-CN"/>
        </w:rPr>
        <w:t>2</w:t>
      </w:r>
      <w:r>
        <w:rPr>
          <w:rFonts w:hint="eastAsia"/>
          <w:color w:val="auto"/>
          <w:lang w:val="en-US" w:eastAsia="zh-CN"/>
        </w:rPr>
        <w:t>计），则回填作业区用水量为32</w:t>
      </w:r>
      <w:r>
        <w:rPr>
          <w:rFonts w:hint="default"/>
          <w:color w:val="auto"/>
          <w:lang w:val="en-US" w:eastAsia="zh-CN"/>
        </w:rPr>
        <w:t>m</w:t>
      </w:r>
      <w:r>
        <w:rPr>
          <w:rFonts w:hint="default"/>
          <w:color w:val="auto"/>
          <w:vertAlign w:val="superscript"/>
          <w:lang w:val="en-US" w:eastAsia="zh-CN"/>
        </w:rPr>
        <w:t>3</w:t>
      </w:r>
      <w:r>
        <w:rPr>
          <w:rFonts w:hint="default"/>
          <w:color w:val="auto"/>
          <w:lang w:val="en-US" w:eastAsia="zh-CN"/>
        </w:rPr>
        <w:t>/d</w:t>
      </w:r>
      <w:r>
        <w:rPr>
          <w:rFonts w:hint="eastAsia"/>
          <w:color w:val="auto"/>
          <w:lang w:val="en-US" w:eastAsia="zh-CN"/>
        </w:rPr>
        <w:t>，11616</w:t>
      </w:r>
      <w:r>
        <w:rPr>
          <w:rFonts w:hint="default"/>
          <w:color w:val="auto"/>
          <w:lang w:val="en-US" w:eastAsia="zh-CN"/>
        </w:rPr>
        <w:t>m</w:t>
      </w:r>
      <w:r>
        <w:rPr>
          <w:rFonts w:hint="default"/>
          <w:color w:val="auto"/>
          <w:vertAlign w:val="superscript"/>
          <w:lang w:val="en-US" w:eastAsia="zh-CN"/>
        </w:rPr>
        <w:t>3</w:t>
      </w:r>
      <w:r>
        <w:rPr>
          <w:rFonts w:hint="default"/>
          <w:color w:val="auto"/>
          <w:lang w:val="en-US" w:eastAsia="zh-CN"/>
        </w:rPr>
        <w:t>/a</w:t>
      </w:r>
      <w:r>
        <w:rPr>
          <w:rFonts w:hint="eastAsia"/>
          <w:color w:val="auto"/>
          <w:lang w:val="en-US" w:eastAsia="zh-CN"/>
        </w:rPr>
        <w:t>。雨季时可利用渗滤液收集池收集的渗滤液和雨水，产生量为</w:t>
      </w:r>
      <w:r>
        <w:rPr>
          <w:rFonts w:hint="eastAsia"/>
          <w:color w:val="auto"/>
          <w:highlight w:val="none"/>
          <w:lang w:val="en-US" w:eastAsia="zh-CN"/>
        </w:rPr>
        <w:t>19.358</w:t>
      </w:r>
      <w:r>
        <w:rPr>
          <w:rFonts w:hint="eastAsia"/>
          <w:color w:val="auto"/>
          <w:highlight w:val="none"/>
        </w:rPr>
        <w:t>t</w:t>
      </w:r>
      <w:r>
        <w:rPr>
          <w:color w:val="auto"/>
          <w:highlight w:val="none"/>
        </w:rPr>
        <w:t>/d</w:t>
      </w:r>
      <w:r>
        <w:rPr>
          <w:rFonts w:hint="eastAsia"/>
          <w:color w:val="auto"/>
          <w:highlight w:val="none"/>
        </w:rPr>
        <w:t>，</w:t>
      </w:r>
      <w:r>
        <w:rPr>
          <w:rFonts w:hint="eastAsia"/>
          <w:color w:val="auto"/>
          <w:highlight w:val="none"/>
          <w:lang w:val="en-US" w:eastAsia="zh-CN"/>
        </w:rPr>
        <w:t>7027</w:t>
      </w:r>
      <w:r>
        <w:rPr>
          <w:rFonts w:hint="eastAsia"/>
          <w:color w:val="auto"/>
          <w:highlight w:val="none"/>
        </w:rPr>
        <w:t>t</w:t>
      </w:r>
      <w:r>
        <w:rPr>
          <w:color w:val="auto"/>
          <w:highlight w:val="none"/>
        </w:rPr>
        <w:t>/</w:t>
      </w:r>
      <w:r>
        <w:rPr>
          <w:rFonts w:hint="eastAsia"/>
          <w:color w:val="auto"/>
          <w:highlight w:val="none"/>
        </w:rPr>
        <w:t>a</w:t>
      </w:r>
      <w:r>
        <w:rPr>
          <w:rFonts w:hint="eastAsia"/>
          <w:color w:val="auto"/>
          <w:lang w:val="en-US" w:eastAsia="zh-CN"/>
        </w:rPr>
        <w:t>，则补充水量为12.642t/d，4589t/a。</w:t>
      </w:r>
    </w:p>
    <w:p w14:paraId="6306EBB6">
      <w:pPr>
        <w:pStyle w:val="59"/>
        <w:ind w:firstLine="480"/>
        <w:rPr>
          <w:color w:val="auto"/>
        </w:rPr>
      </w:pPr>
      <w:r>
        <w:rPr>
          <w:rFonts w:hint="eastAsia"/>
          <w:color w:val="auto"/>
        </w:rPr>
        <w:t>（3）道路洒水用水</w:t>
      </w:r>
    </w:p>
    <w:p w14:paraId="64204786">
      <w:pPr>
        <w:pStyle w:val="59"/>
        <w:ind w:firstLine="480"/>
        <w:rPr>
          <w:color w:val="auto"/>
        </w:rPr>
      </w:pPr>
      <w:r>
        <w:rPr>
          <w:color w:val="auto"/>
        </w:rPr>
        <w:t>本项目进场道路需定期洒水抑尘，本次评价参考</w:t>
      </w:r>
      <w:r>
        <w:rPr>
          <w:rFonts w:hint="eastAsia"/>
          <w:color w:val="auto"/>
        </w:rPr>
        <w:t>黑龙江省</w:t>
      </w:r>
      <w:r>
        <w:rPr>
          <w:rFonts w:hint="eastAsia"/>
          <w:color w:val="auto"/>
          <w:lang w:val="en-US" w:eastAsia="zh-CN"/>
        </w:rPr>
        <w:t>地方标准</w:t>
      </w:r>
      <w:r>
        <w:rPr>
          <w:rFonts w:hint="eastAsia"/>
          <w:color w:val="auto"/>
        </w:rPr>
        <w:t>《用水定额》（D</w:t>
      </w:r>
      <w:r>
        <w:rPr>
          <w:color w:val="auto"/>
        </w:rPr>
        <w:t>B23/T727-202</w:t>
      </w:r>
      <w:r>
        <w:rPr>
          <w:rFonts w:hint="eastAsia"/>
          <w:color w:val="auto"/>
          <w:lang w:val="en-US" w:eastAsia="zh-CN"/>
        </w:rPr>
        <w:t>5</w:t>
      </w:r>
      <w:r>
        <w:rPr>
          <w:rFonts w:hint="eastAsia"/>
          <w:color w:val="auto"/>
        </w:rPr>
        <w:t>）</w:t>
      </w:r>
      <w:r>
        <w:rPr>
          <w:color w:val="auto"/>
        </w:rPr>
        <w:t>，道路洒水抑尘用水标准按2L/m</w:t>
      </w:r>
      <w:r>
        <w:rPr>
          <w:color w:val="auto"/>
          <w:vertAlign w:val="superscript"/>
        </w:rPr>
        <w:t>2</w:t>
      </w:r>
      <w:r>
        <w:rPr>
          <w:color w:val="auto"/>
        </w:rPr>
        <w:t>·d，道路面积为</w:t>
      </w:r>
      <w:r>
        <w:rPr>
          <w:rFonts w:hint="eastAsia"/>
          <w:color w:val="auto"/>
          <w:lang w:val="en-US" w:eastAsia="zh-CN"/>
        </w:rPr>
        <w:t>3600</w:t>
      </w:r>
      <w:r>
        <w:rPr>
          <w:color w:val="auto"/>
        </w:rPr>
        <w:t>m</w:t>
      </w:r>
      <w:r>
        <w:rPr>
          <w:color w:val="auto"/>
          <w:vertAlign w:val="superscript"/>
        </w:rPr>
        <w:t>2</w:t>
      </w:r>
      <w:r>
        <w:rPr>
          <w:rFonts w:hint="eastAsia"/>
          <w:color w:val="auto"/>
        </w:rPr>
        <w:t>，</w:t>
      </w:r>
      <w:r>
        <w:rPr>
          <w:color w:val="auto"/>
        </w:rPr>
        <w:t>则道路抑尘用水量为7.</w:t>
      </w:r>
      <w:r>
        <w:rPr>
          <w:rFonts w:hint="eastAsia"/>
          <w:color w:val="auto"/>
          <w:lang w:val="en-US" w:eastAsia="zh-CN"/>
        </w:rPr>
        <w:t>2</w:t>
      </w:r>
      <w:r>
        <w:rPr>
          <w:rFonts w:hint="eastAsia"/>
          <w:color w:val="auto"/>
        </w:rPr>
        <w:t>t</w:t>
      </w:r>
      <w:r>
        <w:rPr>
          <w:color w:val="auto"/>
        </w:rPr>
        <w:t>/d</w:t>
      </w:r>
      <w:r>
        <w:rPr>
          <w:rFonts w:hint="eastAsia"/>
          <w:color w:val="auto"/>
        </w:rPr>
        <w:t>，道路洒水每年按</w:t>
      </w:r>
      <w:r>
        <w:rPr>
          <w:color w:val="auto"/>
        </w:rPr>
        <w:t>180天考虑，</w:t>
      </w:r>
      <w:r>
        <w:rPr>
          <w:rFonts w:hint="eastAsia"/>
          <w:color w:val="auto"/>
        </w:rPr>
        <w:t>则全年用量</w:t>
      </w:r>
      <w:r>
        <w:rPr>
          <w:rFonts w:hint="eastAsia"/>
          <w:color w:val="auto"/>
          <w:lang w:val="en-US" w:eastAsia="zh-CN"/>
        </w:rPr>
        <w:t>1296</w:t>
      </w:r>
      <w:r>
        <w:rPr>
          <w:rFonts w:hint="eastAsia"/>
          <w:color w:val="auto"/>
        </w:rPr>
        <w:t>t</w:t>
      </w:r>
      <w:r>
        <w:rPr>
          <w:color w:val="auto"/>
        </w:rPr>
        <w:t>/a。</w:t>
      </w:r>
    </w:p>
    <w:p w14:paraId="23652606">
      <w:pPr>
        <w:pStyle w:val="59"/>
        <w:ind w:firstLine="480"/>
        <w:rPr>
          <w:rFonts w:hint="eastAsia"/>
          <w:color w:val="auto"/>
        </w:rPr>
      </w:pPr>
      <w:r>
        <w:rPr>
          <w:rFonts w:hint="eastAsia"/>
          <w:color w:val="auto"/>
        </w:rPr>
        <w:t>综上所述，本项目用水量为</w:t>
      </w:r>
      <w:r>
        <w:rPr>
          <w:rFonts w:hint="eastAsia"/>
          <w:color w:val="auto"/>
          <w:lang w:val="en-US" w:eastAsia="zh-CN"/>
        </w:rPr>
        <w:t>21.042</w:t>
      </w:r>
      <w:r>
        <w:rPr>
          <w:rFonts w:hint="eastAsia"/>
          <w:color w:val="auto"/>
        </w:rPr>
        <w:t>t/d，</w:t>
      </w:r>
      <w:r>
        <w:rPr>
          <w:rFonts w:hint="eastAsia"/>
          <w:color w:val="auto"/>
          <w:lang w:val="en-US" w:eastAsia="zh-CN"/>
        </w:rPr>
        <w:t>6320.6</w:t>
      </w:r>
      <w:r>
        <w:rPr>
          <w:rFonts w:hint="eastAsia"/>
          <w:color w:val="auto"/>
        </w:rPr>
        <w:t>t/a。用水优先</w:t>
      </w:r>
      <w:r>
        <w:rPr>
          <w:color w:val="auto"/>
        </w:rPr>
        <w:t>利用</w:t>
      </w:r>
      <w:r>
        <w:rPr>
          <w:rFonts w:hint="eastAsia"/>
          <w:color w:val="auto"/>
        </w:rPr>
        <w:t>暂存</w:t>
      </w:r>
      <w:r>
        <w:rPr>
          <w:color w:val="auto"/>
        </w:rPr>
        <w:t>池收集的雨水和</w:t>
      </w:r>
      <w:r>
        <w:rPr>
          <w:rFonts w:hint="eastAsia"/>
          <w:color w:val="auto"/>
        </w:rPr>
        <w:t>淋溶水，不足部分取新鲜水，供水依托</w:t>
      </w:r>
      <w:r>
        <w:rPr>
          <w:rFonts w:hint="eastAsia"/>
          <w:color w:val="auto"/>
          <w:lang w:val="en-US" w:eastAsia="zh-CN"/>
        </w:rPr>
        <w:t>新泉村</w:t>
      </w:r>
      <w:r>
        <w:rPr>
          <w:rFonts w:hint="eastAsia"/>
          <w:color w:val="auto"/>
        </w:rPr>
        <w:t>供水井，用自备洒水车拉运至厂区。</w:t>
      </w:r>
    </w:p>
    <w:p w14:paraId="39561480">
      <w:pPr>
        <w:pStyle w:val="135"/>
        <w:rPr>
          <w:color w:val="auto"/>
        </w:rPr>
      </w:pPr>
      <w:r>
        <w:rPr>
          <w:rFonts w:hint="eastAsia"/>
          <w:color w:val="auto"/>
        </w:rPr>
        <w:t>3</w:t>
      </w:r>
      <w:r>
        <w:rPr>
          <w:color w:val="auto"/>
        </w:rPr>
        <w:t>.1.6.2</w:t>
      </w:r>
      <w:r>
        <w:rPr>
          <w:rFonts w:hint="eastAsia"/>
          <w:color w:val="auto"/>
        </w:rPr>
        <w:t>排水</w:t>
      </w:r>
    </w:p>
    <w:p w14:paraId="7D42FAD1">
      <w:pPr>
        <w:pStyle w:val="59"/>
        <w:ind w:firstLine="480"/>
        <w:rPr>
          <w:color w:val="auto"/>
        </w:rPr>
      </w:pPr>
      <w:r>
        <w:rPr>
          <w:rFonts w:hint="eastAsia"/>
          <w:color w:val="auto"/>
        </w:rPr>
        <w:t>本项目不设置生产生活辅助管理区，不设置洗车区，不产生地面冲洗水及洗车废水。项目回填复垦期废水主要为回填区产生的淋溶水和工作人员生活污水。</w:t>
      </w:r>
    </w:p>
    <w:p w14:paraId="5E910AD0">
      <w:pPr>
        <w:pStyle w:val="59"/>
        <w:ind w:firstLine="480"/>
        <w:rPr>
          <w:color w:val="auto"/>
        </w:rPr>
      </w:pPr>
      <w:r>
        <w:rPr>
          <w:rFonts w:hint="eastAsia"/>
          <w:color w:val="auto"/>
        </w:rPr>
        <w:t>（1）生活污水</w:t>
      </w:r>
    </w:p>
    <w:p w14:paraId="713B745C">
      <w:pPr>
        <w:pStyle w:val="59"/>
        <w:ind w:firstLine="480"/>
        <w:rPr>
          <w:color w:val="auto"/>
          <w:highlight w:val="none"/>
        </w:rPr>
      </w:pPr>
      <w:r>
        <w:rPr>
          <w:rFonts w:hint="eastAsia"/>
          <w:color w:val="auto"/>
        </w:rPr>
        <w:t>生活污水按用水量的8</w:t>
      </w:r>
      <w:r>
        <w:rPr>
          <w:color w:val="auto"/>
        </w:rPr>
        <w:t>0</w:t>
      </w:r>
      <w:r>
        <w:rPr>
          <w:rFonts w:hint="eastAsia"/>
          <w:color w:val="auto"/>
        </w:rPr>
        <w:t>%计算，则生活污水为</w:t>
      </w:r>
      <w:r>
        <w:rPr>
          <w:rFonts w:hint="eastAsia"/>
          <w:color w:val="auto"/>
          <w:lang w:val="en-US" w:eastAsia="zh-CN"/>
        </w:rPr>
        <w:t>0.96</w:t>
      </w:r>
      <w:r>
        <w:rPr>
          <w:color w:val="auto"/>
        </w:rPr>
        <w:t>t/d，</w:t>
      </w:r>
      <w:r>
        <w:rPr>
          <w:rFonts w:hint="eastAsia"/>
          <w:color w:val="auto"/>
          <w:lang w:val="en-US" w:eastAsia="zh-CN"/>
        </w:rPr>
        <w:t>348.48</w:t>
      </w:r>
      <w:r>
        <w:rPr>
          <w:color w:val="auto"/>
        </w:rPr>
        <w:t>t/a。</w:t>
      </w:r>
      <w:r>
        <w:rPr>
          <w:rFonts w:hint="eastAsia"/>
          <w:color w:val="auto"/>
        </w:rPr>
        <w:t>生活污水</w:t>
      </w:r>
      <w:r>
        <w:rPr>
          <w:rFonts w:hint="eastAsia"/>
          <w:color w:val="auto"/>
          <w:highlight w:val="none"/>
        </w:rPr>
        <w:t>依托租赁的</w:t>
      </w:r>
      <w:r>
        <w:rPr>
          <w:rFonts w:hint="eastAsia"/>
          <w:color w:val="auto"/>
          <w:highlight w:val="none"/>
          <w:lang w:val="en-US" w:eastAsia="zh-CN"/>
        </w:rPr>
        <w:t>新泉村五队民</w:t>
      </w:r>
      <w:r>
        <w:rPr>
          <w:rFonts w:hint="eastAsia"/>
          <w:color w:val="auto"/>
          <w:highlight w:val="none"/>
        </w:rPr>
        <w:t>房配套的防渗旱厕，定期清掏，外运堆肥。</w:t>
      </w:r>
    </w:p>
    <w:p w14:paraId="17CD228E">
      <w:pPr>
        <w:pStyle w:val="59"/>
        <w:ind w:firstLine="480"/>
        <w:rPr>
          <w:color w:val="auto"/>
          <w:highlight w:val="none"/>
        </w:rPr>
      </w:pPr>
      <w:r>
        <w:rPr>
          <w:rFonts w:hint="eastAsia"/>
          <w:color w:val="auto"/>
          <w:highlight w:val="none"/>
        </w:rPr>
        <w:t>（2）</w:t>
      </w:r>
      <w:bookmarkStart w:id="91" w:name="_Hlk139889056"/>
      <w:r>
        <w:rPr>
          <w:rFonts w:hint="eastAsia"/>
          <w:color w:val="auto"/>
          <w:highlight w:val="none"/>
        </w:rPr>
        <w:t>淋溶水</w:t>
      </w:r>
    </w:p>
    <w:bookmarkEnd w:id="91"/>
    <w:p w14:paraId="412631D2">
      <w:pPr>
        <w:pStyle w:val="59"/>
        <w:ind w:firstLine="480"/>
        <w:rPr>
          <w:rFonts w:hint="eastAsia" w:eastAsia="宋体"/>
          <w:color w:val="auto"/>
          <w:highlight w:val="none"/>
          <w:lang w:eastAsia="zh-CN"/>
        </w:rPr>
      </w:pPr>
      <w:r>
        <w:rPr>
          <w:rFonts w:hint="eastAsia"/>
          <w:color w:val="auto"/>
          <w:highlight w:val="none"/>
        </w:rPr>
        <w:t>根据工程分析一节，淋溶水的产生量为</w:t>
      </w:r>
      <w:r>
        <w:rPr>
          <w:rFonts w:hint="eastAsia"/>
          <w:color w:val="auto"/>
          <w:highlight w:val="none"/>
          <w:lang w:val="en-US" w:eastAsia="zh-CN"/>
        </w:rPr>
        <w:t>19.358</w:t>
      </w:r>
      <w:r>
        <w:rPr>
          <w:rFonts w:hint="eastAsia"/>
          <w:color w:val="auto"/>
          <w:highlight w:val="none"/>
        </w:rPr>
        <w:t>t</w:t>
      </w:r>
      <w:r>
        <w:rPr>
          <w:color w:val="auto"/>
          <w:highlight w:val="none"/>
        </w:rPr>
        <w:t>/d</w:t>
      </w:r>
      <w:r>
        <w:rPr>
          <w:rFonts w:hint="eastAsia"/>
          <w:color w:val="auto"/>
          <w:highlight w:val="none"/>
        </w:rPr>
        <w:t>，</w:t>
      </w:r>
      <w:r>
        <w:rPr>
          <w:rFonts w:hint="eastAsia"/>
          <w:color w:val="auto"/>
          <w:highlight w:val="none"/>
          <w:lang w:val="en-US" w:eastAsia="zh-CN"/>
        </w:rPr>
        <w:t>7027</w:t>
      </w:r>
      <w:r>
        <w:rPr>
          <w:rFonts w:hint="eastAsia"/>
          <w:color w:val="auto"/>
          <w:highlight w:val="none"/>
        </w:rPr>
        <w:t>t</w:t>
      </w:r>
      <w:r>
        <w:rPr>
          <w:color w:val="auto"/>
          <w:highlight w:val="none"/>
        </w:rPr>
        <w:t>/</w:t>
      </w:r>
      <w:r>
        <w:rPr>
          <w:rFonts w:hint="eastAsia"/>
          <w:color w:val="auto"/>
          <w:highlight w:val="none"/>
        </w:rPr>
        <w:t>a</w:t>
      </w:r>
      <w:r>
        <w:rPr>
          <w:rFonts w:hint="eastAsia"/>
          <w:color w:val="auto"/>
          <w:highlight w:val="none"/>
          <w:lang w:eastAsia="zh-CN"/>
        </w:rPr>
        <w:t>。</w:t>
      </w:r>
    </w:p>
    <w:p w14:paraId="37E91DEC">
      <w:pPr>
        <w:pStyle w:val="59"/>
        <w:ind w:firstLine="480"/>
        <w:rPr>
          <w:color w:val="auto"/>
          <w:highlight w:val="none"/>
        </w:rPr>
      </w:pPr>
      <w:r>
        <w:rPr>
          <w:rFonts w:hint="eastAsia"/>
          <w:color w:val="auto"/>
          <w:highlight w:val="none"/>
        </w:rPr>
        <w:t>本项目水平衡见下图所示。</w:t>
      </w:r>
    </w:p>
    <w:p w14:paraId="073F8B1E">
      <w:pPr>
        <w:pStyle w:val="59"/>
        <w:spacing w:line="240" w:lineRule="auto"/>
        <w:ind w:firstLine="480"/>
        <w:jc w:val="center"/>
        <w:rPr>
          <w:color w:val="auto"/>
        </w:rPr>
      </w:pPr>
      <w:r>
        <w:rPr>
          <w:color w:val="auto"/>
        </w:rPr>
        <w:drawing>
          <wp:inline distT="0" distB="0" distL="114300" distR="114300">
            <wp:extent cx="4796155" cy="2609850"/>
            <wp:effectExtent l="0" t="0" r="4445" b="0"/>
            <wp:docPr id="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
                    <pic:cNvPicPr>
                      <a:picLocks noChangeAspect="1"/>
                    </pic:cNvPicPr>
                  </pic:nvPicPr>
                  <pic:blipFill>
                    <a:blip r:embed="rId21"/>
                    <a:stretch>
                      <a:fillRect/>
                    </a:stretch>
                  </pic:blipFill>
                  <pic:spPr>
                    <a:xfrm>
                      <a:off x="0" y="0"/>
                      <a:ext cx="4796155" cy="2609850"/>
                    </a:xfrm>
                    <a:prstGeom prst="rect">
                      <a:avLst/>
                    </a:prstGeom>
                    <a:noFill/>
                    <a:ln>
                      <a:noFill/>
                    </a:ln>
                  </pic:spPr>
                </pic:pic>
              </a:graphicData>
            </a:graphic>
          </wp:inline>
        </w:drawing>
      </w:r>
    </w:p>
    <w:p w14:paraId="1EED4746">
      <w:pPr>
        <w:pStyle w:val="76"/>
        <w:spacing w:line="240" w:lineRule="auto"/>
        <w:rPr>
          <w:color w:val="auto"/>
        </w:rPr>
      </w:pPr>
      <w:r>
        <w:rPr>
          <w:rFonts w:hint="eastAsia"/>
          <w:color w:val="auto"/>
        </w:rPr>
        <w:t>图3-</w:t>
      </w:r>
      <w:r>
        <w:rPr>
          <w:color w:val="auto"/>
        </w:rPr>
        <w:t>1</w:t>
      </w:r>
      <w:r>
        <w:rPr>
          <w:rFonts w:hint="eastAsia"/>
          <w:color w:val="auto"/>
        </w:rPr>
        <w:t>-</w:t>
      </w:r>
      <w:r>
        <w:rPr>
          <w:color w:val="auto"/>
        </w:rPr>
        <w:t>3</w:t>
      </w:r>
      <w:r>
        <w:rPr>
          <w:rFonts w:hint="eastAsia"/>
          <w:color w:val="auto"/>
        </w:rPr>
        <w:t>水平衡图（t/d）</w:t>
      </w:r>
    </w:p>
    <w:p w14:paraId="552AE43D">
      <w:pPr>
        <w:pStyle w:val="135"/>
        <w:rPr>
          <w:color w:val="auto"/>
        </w:rPr>
      </w:pPr>
      <w:r>
        <w:rPr>
          <w:rFonts w:hint="eastAsia"/>
          <w:color w:val="auto"/>
        </w:rPr>
        <w:t>3</w:t>
      </w:r>
      <w:r>
        <w:rPr>
          <w:color w:val="auto"/>
        </w:rPr>
        <w:t>.1.6.3</w:t>
      </w:r>
      <w:r>
        <w:rPr>
          <w:rFonts w:hint="eastAsia"/>
          <w:color w:val="auto"/>
        </w:rPr>
        <w:t>供电</w:t>
      </w:r>
    </w:p>
    <w:p w14:paraId="488A34A7">
      <w:pPr>
        <w:pStyle w:val="59"/>
        <w:ind w:firstLine="480"/>
        <w:rPr>
          <w:color w:val="auto"/>
        </w:rPr>
      </w:pPr>
      <w:r>
        <w:rPr>
          <w:rFonts w:hint="eastAsia"/>
          <w:color w:val="auto"/>
        </w:rPr>
        <w:t>由当地电业局连接电线提供。</w:t>
      </w:r>
    </w:p>
    <w:p w14:paraId="7C05FEE0">
      <w:pPr>
        <w:pStyle w:val="135"/>
        <w:rPr>
          <w:color w:val="auto"/>
        </w:rPr>
      </w:pPr>
      <w:r>
        <w:rPr>
          <w:rFonts w:hint="eastAsia"/>
          <w:color w:val="auto"/>
        </w:rPr>
        <w:t>3</w:t>
      </w:r>
      <w:r>
        <w:rPr>
          <w:color w:val="auto"/>
        </w:rPr>
        <w:t>.1.6.4</w:t>
      </w:r>
      <w:r>
        <w:rPr>
          <w:rFonts w:hint="eastAsia"/>
          <w:color w:val="auto"/>
        </w:rPr>
        <w:t>供热</w:t>
      </w:r>
    </w:p>
    <w:p w14:paraId="631B363A">
      <w:pPr>
        <w:pStyle w:val="59"/>
        <w:ind w:firstLine="480"/>
        <w:rPr>
          <w:color w:val="auto"/>
        </w:rPr>
      </w:pPr>
      <w:r>
        <w:rPr>
          <w:rFonts w:hint="eastAsia"/>
          <w:color w:val="auto"/>
        </w:rPr>
        <w:t>本项目无办公室等构筑物，无需采暖。</w:t>
      </w:r>
    </w:p>
    <w:p w14:paraId="53B5A94B">
      <w:pPr>
        <w:pStyle w:val="137"/>
        <w:rPr>
          <w:color w:val="auto"/>
        </w:rPr>
      </w:pPr>
      <w:r>
        <w:rPr>
          <w:color w:val="auto"/>
        </w:rPr>
        <w:t>3.1.7</w:t>
      </w:r>
      <w:r>
        <w:rPr>
          <w:rFonts w:hint="eastAsia"/>
          <w:color w:val="auto"/>
        </w:rPr>
        <w:t>主要设备</w:t>
      </w:r>
    </w:p>
    <w:p w14:paraId="035F71E6">
      <w:pPr>
        <w:pStyle w:val="76"/>
        <w:rPr>
          <w:color w:val="auto"/>
        </w:rPr>
      </w:pPr>
      <w:r>
        <w:rPr>
          <w:rFonts w:hint="eastAsia"/>
          <w:color w:val="auto"/>
        </w:rPr>
        <w:t>表3-</w:t>
      </w:r>
      <w:r>
        <w:rPr>
          <w:color w:val="auto"/>
        </w:rPr>
        <w:t>1</w:t>
      </w:r>
      <w:r>
        <w:rPr>
          <w:rFonts w:hint="eastAsia"/>
          <w:color w:val="auto"/>
        </w:rPr>
        <w:t>-</w:t>
      </w:r>
      <w:r>
        <w:rPr>
          <w:color w:val="auto"/>
        </w:rPr>
        <w:t>5</w:t>
      </w:r>
      <w:r>
        <w:rPr>
          <w:rFonts w:hint="eastAsia"/>
          <w:color w:val="auto"/>
        </w:rPr>
        <w:t>主要设备一览表</w:t>
      </w:r>
    </w:p>
    <w:tbl>
      <w:tblPr>
        <w:tblStyle w:val="76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2"/>
        <w:gridCol w:w="1281"/>
        <w:gridCol w:w="962"/>
        <w:gridCol w:w="1598"/>
        <w:gridCol w:w="3503"/>
      </w:tblGrid>
      <w:tr w14:paraId="16DDD9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7" w:hRule="atLeast"/>
        </w:trPr>
        <w:tc>
          <w:tcPr>
            <w:tcW w:w="579" w:type="pct"/>
            <w:vAlign w:val="center"/>
          </w:tcPr>
          <w:p w14:paraId="5258C1D5">
            <w:pPr>
              <w:pStyle w:val="84"/>
              <w:rPr>
                <w:color w:val="auto"/>
              </w:rPr>
            </w:pPr>
            <w:r>
              <w:rPr>
                <w:color w:val="auto"/>
              </w:rPr>
              <w:t>序号</w:t>
            </w:r>
          </w:p>
        </w:tc>
        <w:tc>
          <w:tcPr>
            <w:tcW w:w="771" w:type="pct"/>
            <w:vAlign w:val="center"/>
          </w:tcPr>
          <w:p w14:paraId="29D20261">
            <w:pPr>
              <w:pStyle w:val="84"/>
              <w:rPr>
                <w:color w:val="auto"/>
              </w:rPr>
            </w:pPr>
            <w:r>
              <w:rPr>
                <w:color w:val="auto"/>
              </w:rPr>
              <w:t>名称</w:t>
            </w:r>
          </w:p>
        </w:tc>
        <w:tc>
          <w:tcPr>
            <w:tcW w:w="579" w:type="pct"/>
            <w:vAlign w:val="center"/>
          </w:tcPr>
          <w:p w14:paraId="41B5739D">
            <w:pPr>
              <w:pStyle w:val="84"/>
              <w:rPr>
                <w:color w:val="auto"/>
              </w:rPr>
            </w:pPr>
            <w:r>
              <w:rPr>
                <w:color w:val="auto"/>
              </w:rPr>
              <w:t>数量</w:t>
            </w:r>
          </w:p>
        </w:tc>
        <w:tc>
          <w:tcPr>
            <w:tcW w:w="962" w:type="pct"/>
            <w:vAlign w:val="center"/>
          </w:tcPr>
          <w:p w14:paraId="788E653B">
            <w:pPr>
              <w:pStyle w:val="84"/>
              <w:rPr>
                <w:color w:val="auto"/>
              </w:rPr>
            </w:pPr>
            <w:r>
              <w:rPr>
                <w:color w:val="auto"/>
              </w:rPr>
              <w:t>型号规格</w:t>
            </w:r>
          </w:p>
        </w:tc>
        <w:tc>
          <w:tcPr>
            <w:tcW w:w="2109" w:type="pct"/>
            <w:vAlign w:val="center"/>
          </w:tcPr>
          <w:p w14:paraId="5176075B">
            <w:pPr>
              <w:pStyle w:val="84"/>
              <w:rPr>
                <w:color w:val="auto"/>
              </w:rPr>
            </w:pPr>
            <w:r>
              <w:rPr>
                <w:color w:val="auto"/>
              </w:rPr>
              <w:t>备注</w:t>
            </w:r>
          </w:p>
        </w:tc>
      </w:tr>
      <w:tr w14:paraId="3A268F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0C52F8BE">
            <w:pPr>
              <w:pStyle w:val="84"/>
              <w:rPr>
                <w:color w:val="auto"/>
              </w:rPr>
            </w:pPr>
            <w:r>
              <w:rPr>
                <w:color w:val="auto"/>
              </w:rPr>
              <w:t>1</w:t>
            </w:r>
          </w:p>
        </w:tc>
        <w:tc>
          <w:tcPr>
            <w:tcW w:w="771" w:type="pct"/>
            <w:vAlign w:val="center"/>
          </w:tcPr>
          <w:p w14:paraId="6ADE5E3C">
            <w:pPr>
              <w:pStyle w:val="84"/>
              <w:rPr>
                <w:color w:val="auto"/>
              </w:rPr>
            </w:pPr>
            <w:r>
              <w:rPr>
                <w:color w:val="auto"/>
              </w:rPr>
              <w:t>推土机</w:t>
            </w:r>
          </w:p>
        </w:tc>
        <w:tc>
          <w:tcPr>
            <w:tcW w:w="579" w:type="pct"/>
            <w:vAlign w:val="center"/>
          </w:tcPr>
          <w:p w14:paraId="2C40F67F">
            <w:pPr>
              <w:pStyle w:val="84"/>
              <w:rPr>
                <w:color w:val="auto"/>
              </w:rPr>
            </w:pPr>
            <w:r>
              <w:rPr>
                <w:color w:val="auto"/>
              </w:rPr>
              <w:t>1台</w:t>
            </w:r>
          </w:p>
        </w:tc>
        <w:tc>
          <w:tcPr>
            <w:tcW w:w="962" w:type="pct"/>
            <w:vAlign w:val="center"/>
          </w:tcPr>
          <w:p w14:paraId="7C0DAE41">
            <w:pPr>
              <w:pStyle w:val="84"/>
              <w:rPr>
                <w:color w:val="auto"/>
              </w:rPr>
            </w:pPr>
            <w:r>
              <w:rPr>
                <w:color w:val="auto"/>
              </w:rPr>
              <w:t>/</w:t>
            </w:r>
          </w:p>
        </w:tc>
        <w:tc>
          <w:tcPr>
            <w:tcW w:w="2109" w:type="pct"/>
            <w:vAlign w:val="center"/>
          </w:tcPr>
          <w:p w14:paraId="245BAE19">
            <w:pPr>
              <w:pStyle w:val="84"/>
              <w:rPr>
                <w:rFonts w:hint="eastAsia" w:eastAsia="宋体"/>
                <w:color w:val="auto"/>
                <w:lang w:eastAsia="zh-CN"/>
              </w:rPr>
            </w:pPr>
            <w:r>
              <w:rPr>
                <w:color w:val="auto"/>
              </w:rPr>
              <w:t>平铺</w:t>
            </w:r>
            <w:r>
              <w:rPr>
                <w:rFonts w:hint="eastAsia"/>
                <w:color w:val="auto"/>
                <w:lang w:eastAsia="zh-CN"/>
              </w:rPr>
              <w:t>灰渣</w:t>
            </w:r>
          </w:p>
        </w:tc>
      </w:tr>
      <w:tr w14:paraId="5CA4CA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496EB630">
            <w:pPr>
              <w:pStyle w:val="84"/>
              <w:rPr>
                <w:color w:val="auto"/>
              </w:rPr>
            </w:pPr>
            <w:r>
              <w:rPr>
                <w:color w:val="auto"/>
              </w:rPr>
              <w:t>2</w:t>
            </w:r>
          </w:p>
        </w:tc>
        <w:tc>
          <w:tcPr>
            <w:tcW w:w="771" w:type="pct"/>
            <w:vAlign w:val="center"/>
          </w:tcPr>
          <w:p w14:paraId="692209D5">
            <w:pPr>
              <w:pStyle w:val="84"/>
              <w:rPr>
                <w:color w:val="auto"/>
              </w:rPr>
            </w:pPr>
            <w:r>
              <w:rPr>
                <w:rFonts w:hint="eastAsia"/>
                <w:color w:val="auto"/>
              </w:rPr>
              <w:t>压实机</w:t>
            </w:r>
          </w:p>
        </w:tc>
        <w:tc>
          <w:tcPr>
            <w:tcW w:w="579" w:type="pct"/>
            <w:vAlign w:val="center"/>
          </w:tcPr>
          <w:p w14:paraId="04030D00">
            <w:pPr>
              <w:pStyle w:val="84"/>
              <w:rPr>
                <w:color w:val="auto"/>
              </w:rPr>
            </w:pPr>
            <w:r>
              <w:rPr>
                <w:color w:val="auto"/>
              </w:rPr>
              <w:t>1台</w:t>
            </w:r>
          </w:p>
        </w:tc>
        <w:tc>
          <w:tcPr>
            <w:tcW w:w="962" w:type="pct"/>
            <w:vAlign w:val="center"/>
          </w:tcPr>
          <w:p w14:paraId="1F8202D8">
            <w:pPr>
              <w:pStyle w:val="84"/>
              <w:rPr>
                <w:color w:val="auto"/>
              </w:rPr>
            </w:pPr>
            <w:r>
              <w:rPr>
                <w:color w:val="auto"/>
              </w:rPr>
              <w:t>/</w:t>
            </w:r>
          </w:p>
        </w:tc>
        <w:tc>
          <w:tcPr>
            <w:tcW w:w="2109" w:type="pct"/>
            <w:vAlign w:val="center"/>
          </w:tcPr>
          <w:p w14:paraId="51F77F02">
            <w:pPr>
              <w:pStyle w:val="84"/>
              <w:rPr>
                <w:rFonts w:hint="eastAsia" w:eastAsia="宋体"/>
                <w:color w:val="auto"/>
                <w:lang w:eastAsia="zh-CN"/>
              </w:rPr>
            </w:pPr>
            <w:r>
              <w:rPr>
                <w:color w:val="auto"/>
              </w:rPr>
              <w:t>压实</w:t>
            </w:r>
            <w:r>
              <w:rPr>
                <w:rFonts w:hint="eastAsia"/>
                <w:color w:val="auto"/>
                <w:lang w:eastAsia="zh-CN"/>
              </w:rPr>
              <w:t>灰渣</w:t>
            </w:r>
          </w:p>
        </w:tc>
      </w:tr>
      <w:tr w14:paraId="6442DCB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06447E53">
            <w:pPr>
              <w:pStyle w:val="84"/>
              <w:rPr>
                <w:color w:val="auto"/>
              </w:rPr>
            </w:pPr>
            <w:r>
              <w:rPr>
                <w:rFonts w:hint="eastAsia"/>
                <w:color w:val="auto"/>
              </w:rPr>
              <w:t>3</w:t>
            </w:r>
          </w:p>
        </w:tc>
        <w:tc>
          <w:tcPr>
            <w:tcW w:w="771" w:type="pct"/>
            <w:vAlign w:val="center"/>
          </w:tcPr>
          <w:p w14:paraId="682B6841">
            <w:pPr>
              <w:pStyle w:val="84"/>
              <w:rPr>
                <w:color w:val="auto"/>
              </w:rPr>
            </w:pPr>
            <w:r>
              <w:rPr>
                <w:rFonts w:hint="eastAsia"/>
                <w:color w:val="auto"/>
              </w:rPr>
              <w:t>自卸翻斗车</w:t>
            </w:r>
          </w:p>
        </w:tc>
        <w:tc>
          <w:tcPr>
            <w:tcW w:w="579" w:type="pct"/>
            <w:vAlign w:val="center"/>
          </w:tcPr>
          <w:p w14:paraId="1002107A">
            <w:pPr>
              <w:pStyle w:val="84"/>
              <w:rPr>
                <w:color w:val="auto"/>
              </w:rPr>
            </w:pPr>
            <w:r>
              <w:rPr>
                <w:rFonts w:hint="eastAsia"/>
                <w:color w:val="auto"/>
              </w:rPr>
              <w:t>1辆</w:t>
            </w:r>
          </w:p>
        </w:tc>
        <w:tc>
          <w:tcPr>
            <w:tcW w:w="962" w:type="pct"/>
            <w:vAlign w:val="center"/>
          </w:tcPr>
          <w:p w14:paraId="0C9A067B">
            <w:pPr>
              <w:pStyle w:val="84"/>
              <w:rPr>
                <w:color w:val="auto"/>
              </w:rPr>
            </w:pPr>
            <w:r>
              <w:rPr>
                <w:color w:val="auto"/>
              </w:rPr>
              <w:t>/</w:t>
            </w:r>
          </w:p>
        </w:tc>
        <w:tc>
          <w:tcPr>
            <w:tcW w:w="2109" w:type="pct"/>
            <w:vAlign w:val="center"/>
          </w:tcPr>
          <w:p w14:paraId="2E728F7C">
            <w:pPr>
              <w:pStyle w:val="84"/>
              <w:rPr>
                <w:rFonts w:hint="eastAsia" w:eastAsia="宋体"/>
                <w:color w:val="auto"/>
                <w:lang w:eastAsia="zh-CN"/>
              </w:rPr>
            </w:pPr>
            <w:r>
              <w:rPr>
                <w:rFonts w:hint="eastAsia"/>
                <w:color w:val="auto"/>
              </w:rPr>
              <w:t>装卸</w:t>
            </w:r>
            <w:r>
              <w:rPr>
                <w:rFonts w:hint="eastAsia"/>
                <w:color w:val="auto"/>
                <w:lang w:eastAsia="zh-CN"/>
              </w:rPr>
              <w:t>灰渣</w:t>
            </w:r>
          </w:p>
        </w:tc>
      </w:tr>
      <w:tr w14:paraId="23B769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2E207A7B">
            <w:pPr>
              <w:pStyle w:val="84"/>
              <w:rPr>
                <w:color w:val="auto"/>
              </w:rPr>
            </w:pPr>
            <w:r>
              <w:rPr>
                <w:color w:val="auto"/>
              </w:rPr>
              <w:t>4</w:t>
            </w:r>
          </w:p>
        </w:tc>
        <w:tc>
          <w:tcPr>
            <w:tcW w:w="771" w:type="pct"/>
            <w:vAlign w:val="center"/>
          </w:tcPr>
          <w:p w14:paraId="58FCFA24">
            <w:pPr>
              <w:pStyle w:val="84"/>
              <w:rPr>
                <w:color w:val="auto"/>
              </w:rPr>
            </w:pPr>
            <w:r>
              <w:rPr>
                <w:rFonts w:hint="eastAsia"/>
                <w:color w:val="auto"/>
              </w:rPr>
              <w:t>铲车</w:t>
            </w:r>
          </w:p>
        </w:tc>
        <w:tc>
          <w:tcPr>
            <w:tcW w:w="579" w:type="pct"/>
            <w:vAlign w:val="center"/>
          </w:tcPr>
          <w:p w14:paraId="6F52D406">
            <w:pPr>
              <w:pStyle w:val="84"/>
              <w:rPr>
                <w:color w:val="auto"/>
              </w:rPr>
            </w:pPr>
            <w:r>
              <w:rPr>
                <w:color w:val="auto"/>
              </w:rPr>
              <w:t>1</w:t>
            </w:r>
            <w:r>
              <w:rPr>
                <w:rFonts w:hint="eastAsia"/>
                <w:color w:val="auto"/>
              </w:rPr>
              <w:t>台</w:t>
            </w:r>
          </w:p>
        </w:tc>
        <w:tc>
          <w:tcPr>
            <w:tcW w:w="962" w:type="pct"/>
            <w:vAlign w:val="center"/>
          </w:tcPr>
          <w:p w14:paraId="0E81BC32">
            <w:pPr>
              <w:pStyle w:val="84"/>
              <w:rPr>
                <w:color w:val="auto"/>
              </w:rPr>
            </w:pPr>
            <w:r>
              <w:rPr>
                <w:color w:val="auto"/>
              </w:rPr>
              <w:t>/</w:t>
            </w:r>
          </w:p>
        </w:tc>
        <w:tc>
          <w:tcPr>
            <w:tcW w:w="2109" w:type="pct"/>
            <w:vAlign w:val="center"/>
          </w:tcPr>
          <w:p w14:paraId="20616667">
            <w:pPr>
              <w:pStyle w:val="84"/>
              <w:rPr>
                <w:rFonts w:hint="eastAsia" w:eastAsia="宋体"/>
                <w:color w:val="auto"/>
                <w:lang w:eastAsia="zh-CN"/>
              </w:rPr>
            </w:pPr>
            <w:r>
              <w:rPr>
                <w:rFonts w:hint="eastAsia"/>
                <w:color w:val="auto"/>
              </w:rPr>
              <w:t>铲运</w:t>
            </w:r>
            <w:r>
              <w:rPr>
                <w:rFonts w:hint="eastAsia"/>
                <w:color w:val="auto"/>
                <w:lang w:eastAsia="zh-CN"/>
              </w:rPr>
              <w:t>灰渣</w:t>
            </w:r>
          </w:p>
        </w:tc>
      </w:tr>
      <w:tr w14:paraId="6FCAB3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79" w:type="pct"/>
            <w:vAlign w:val="center"/>
          </w:tcPr>
          <w:p w14:paraId="33446981">
            <w:pPr>
              <w:pStyle w:val="84"/>
              <w:rPr>
                <w:color w:val="auto"/>
              </w:rPr>
            </w:pPr>
            <w:r>
              <w:rPr>
                <w:color w:val="auto"/>
              </w:rPr>
              <w:t>5</w:t>
            </w:r>
          </w:p>
        </w:tc>
        <w:tc>
          <w:tcPr>
            <w:tcW w:w="771" w:type="pct"/>
            <w:vAlign w:val="center"/>
          </w:tcPr>
          <w:p w14:paraId="0E8A3E22">
            <w:pPr>
              <w:pStyle w:val="84"/>
              <w:rPr>
                <w:color w:val="auto"/>
              </w:rPr>
            </w:pPr>
            <w:r>
              <w:rPr>
                <w:color w:val="auto"/>
              </w:rPr>
              <w:t>洒水车</w:t>
            </w:r>
          </w:p>
        </w:tc>
        <w:tc>
          <w:tcPr>
            <w:tcW w:w="579" w:type="pct"/>
            <w:vAlign w:val="center"/>
          </w:tcPr>
          <w:p w14:paraId="23EE32EB">
            <w:pPr>
              <w:pStyle w:val="84"/>
              <w:rPr>
                <w:color w:val="auto"/>
              </w:rPr>
            </w:pPr>
            <w:r>
              <w:rPr>
                <w:color w:val="auto"/>
              </w:rPr>
              <w:t>1辆</w:t>
            </w:r>
          </w:p>
        </w:tc>
        <w:tc>
          <w:tcPr>
            <w:tcW w:w="962" w:type="pct"/>
            <w:vAlign w:val="center"/>
          </w:tcPr>
          <w:p w14:paraId="2BF1EF04">
            <w:pPr>
              <w:pStyle w:val="84"/>
              <w:rPr>
                <w:color w:val="auto"/>
              </w:rPr>
            </w:pPr>
            <w:r>
              <w:rPr>
                <w:color w:val="auto"/>
              </w:rPr>
              <w:t>/</w:t>
            </w:r>
          </w:p>
        </w:tc>
        <w:tc>
          <w:tcPr>
            <w:tcW w:w="2109" w:type="pct"/>
            <w:vAlign w:val="center"/>
          </w:tcPr>
          <w:p w14:paraId="636B52BF">
            <w:pPr>
              <w:pStyle w:val="84"/>
              <w:rPr>
                <w:color w:val="auto"/>
              </w:rPr>
            </w:pPr>
            <w:r>
              <w:rPr>
                <w:rFonts w:hint="eastAsia"/>
                <w:color w:val="auto"/>
              </w:rPr>
              <w:t>洒水抑尘</w:t>
            </w:r>
          </w:p>
        </w:tc>
      </w:tr>
    </w:tbl>
    <w:p w14:paraId="2EE91C3F">
      <w:pPr>
        <w:pStyle w:val="137"/>
        <w:rPr>
          <w:color w:val="auto"/>
        </w:rPr>
      </w:pPr>
      <w:r>
        <w:rPr>
          <w:color w:val="auto"/>
        </w:rPr>
        <w:t>3.</w:t>
      </w:r>
      <w:r>
        <w:rPr>
          <w:rFonts w:hint="eastAsia"/>
          <w:color w:val="auto"/>
        </w:rPr>
        <w:t>1</w:t>
      </w:r>
      <w:r>
        <w:rPr>
          <w:color w:val="auto"/>
        </w:rPr>
        <w:t>.8总平面布置合理性</w:t>
      </w:r>
    </w:p>
    <w:p w14:paraId="265A6847">
      <w:pPr>
        <w:pStyle w:val="59"/>
        <w:ind w:firstLine="480"/>
        <w:rPr>
          <w:color w:val="auto"/>
          <w:highlight w:val="none"/>
        </w:rPr>
      </w:pPr>
      <w:bookmarkStart w:id="92" w:name="_Hlk480443431"/>
      <w:r>
        <w:rPr>
          <w:color w:val="auto"/>
        </w:rPr>
        <w:t>本项目</w:t>
      </w:r>
      <w:r>
        <w:rPr>
          <w:rFonts w:hint="eastAsia"/>
          <w:color w:val="auto"/>
          <w:lang w:eastAsia="zh-CN"/>
        </w:rPr>
        <w:t>复垦</w:t>
      </w:r>
      <w:r>
        <w:rPr>
          <w:rFonts w:hint="eastAsia"/>
          <w:color w:val="auto"/>
        </w:rPr>
        <w:t>总</w:t>
      </w:r>
      <w:r>
        <w:rPr>
          <w:color w:val="auto"/>
        </w:rPr>
        <w:t>占地面积为</w:t>
      </w:r>
      <w:r>
        <w:rPr>
          <w:rFonts w:hint="eastAsia"/>
          <w:color w:val="auto"/>
          <w:lang w:val="en-US" w:eastAsia="zh-CN"/>
        </w:rPr>
        <w:t>78594</w:t>
      </w:r>
      <w:r>
        <w:rPr>
          <w:color w:val="auto"/>
        </w:rPr>
        <w:t>m</w:t>
      </w:r>
      <w:r>
        <w:rPr>
          <w:color w:val="auto"/>
          <w:vertAlign w:val="superscript"/>
        </w:rPr>
        <w:t>2</w:t>
      </w:r>
      <w:r>
        <w:rPr>
          <w:color w:val="auto"/>
        </w:rPr>
        <w:t>，其中</w:t>
      </w:r>
      <w:r>
        <w:rPr>
          <w:rFonts w:hint="eastAsia"/>
          <w:color w:val="auto"/>
        </w:rPr>
        <w:t>修复废弃采坑</w:t>
      </w:r>
      <w:r>
        <w:rPr>
          <w:color w:val="auto"/>
        </w:rPr>
        <w:t>占地面积为</w:t>
      </w:r>
      <w:r>
        <w:rPr>
          <w:rFonts w:hint="eastAsia"/>
          <w:color w:val="auto"/>
          <w:lang w:val="en-US" w:eastAsia="zh-CN"/>
        </w:rPr>
        <w:t>52320</w:t>
      </w:r>
      <w:r>
        <w:rPr>
          <w:color w:val="auto"/>
        </w:rPr>
        <w:t>m</w:t>
      </w:r>
      <w:r>
        <w:rPr>
          <w:color w:val="auto"/>
          <w:vertAlign w:val="superscript"/>
        </w:rPr>
        <w:t>2</w:t>
      </w:r>
      <w:r>
        <w:rPr>
          <w:color w:val="auto"/>
        </w:rPr>
        <w:t>。</w:t>
      </w:r>
      <w:r>
        <w:rPr>
          <w:rFonts w:hint="eastAsia"/>
          <w:color w:val="auto"/>
        </w:rPr>
        <w:t>回</w:t>
      </w:r>
      <w:r>
        <w:rPr>
          <w:rFonts w:hint="eastAsia"/>
          <w:color w:val="auto"/>
          <w:highlight w:val="none"/>
        </w:rPr>
        <w:t>填区</w:t>
      </w:r>
      <w:r>
        <w:rPr>
          <w:color w:val="auto"/>
          <w:highlight w:val="none"/>
        </w:rPr>
        <w:t>主要包括：防渗系统、</w:t>
      </w:r>
      <w:r>
        <w:rPr>
          <w:rFonts w:hint="eastAsia"/>
          <w:color w:val="auto"/>
          <w:highlight w:val="none"/>
        </w:rPr>
        <w:t>淋溶水</w:t>
      </w:r>
      <w:r>
        <w:rPr>
          <w:color w:val="auto"/>
          <w:highlight w:val="none"/>
        </w:rPr>
        <w:t>暂存池、排水沟、</w:t>
      </w:r>
      <w:r>
        <w:rPr>
          <w:rFonts w:hint="eastAsia"/>
          <w:color w:val="auto"/>
          <w:highlight w:val="none"/>
        </w:rPr>
        <w:t>淋溶水收集</w:t>
      </w:r>
      <w:r>
        <w:rPr>
          <w:color w:val="auto"/>
          <w:highlight w:val="none"/>
        </w:rPr>
        <w:t>导排系统</w:t>
      </w:r>
      <w:r>
        <w:rPr>
          <w:rFonts w:hint="eastAsia"/>
          <w:color w:val="auto"/>
          <w:highlight w:val="none"/>
        </w:rPr>
        <w:t>、地下水监控井</w:t>
      </w:r>
      <w:r>
        <w:rPr>
          <w:color w:val="auto"/>
          <w:highlight w:val="none"/>
        </w:rPr>
        <w:t>。</w:t>
      </w:r>
    </w:p>
    <w:p w14:paraId="5E35958F">
      <w:pPr>
        <w:pStyle w:val="59"/>
        <w:ind w:firstLine="480"/>
        <w:rPr>
          <w:color w:val="auto"/>
          <w:highlight w:val="none"/>
        </w:rPr>
      </w:pPr>
      <w:r>
        <w:rPr>
          <w:rFonts w:hint="eastAsia"/>
          <w:color w:val="auto"/>
          <w:highlight w:val="none"/>
        </w:rPr>
        <w:t>暂存池设置于回填区外地势较低处，便于收集淋溶水。回填区周边设置排水沟，排水沟可使场外降水从回填区外侧排出，防止场外降水进入场内。</w:t>
      </w:r>
    </w:p>
    <w:p w14:paraId="01F13C47">
      <w:pPr>
        <w:pStyle w:val="59"/>
        <w:ind w:firstLine="480"/>
        <w:rPr>
          <w:color w:val="auto"/>
          <w:highlight w:val="none"/>
        </w:rPr>
      </w:pPr>
      <w:r>
        <w:rPr>
          <w:rFonts w:hint="eastAsia"/>
          <w:color w:val="auto"/>
          <w:highlight w:val="none"/>
        </w:rPr>
        <w:t>本项目不设置生活辅助区，员工食宿依托</w:t>
      </w:r>
      <w:r>
        <w:rPr>
          <w:rFonts w:hint="eastAsia"/>
          <w:color w:val="auto"/>
          <w:highlight w:val="none"/>
          <w:lang w:eastAsia="zh-CN"/>
        </w:rPr>
        <w:t>新泉</w:t>
      </w:r>
      <w:r>
        <w:rPr>
          <w:rFonts w:hint="eastAsia"/>
          <w:color w:val="auto"/>
          <w:highlight w:val="none"/>
        </w:rPr>
        <w:t>村</w:t>
      </w:r>
      <w:r>
        <w:rPr>
          <w:rFonts w:hint="eastAsia"/>
          <w:color w:val="auto"/>
          <w:highlight w:val="none"/>
          <w:lang w:eastAsia="zh-CN"/>
        </w:rPr>
        <w:t>五队</w:t>
      </w:r>
      <w:r>
        <w:rPr>
          <w:rFonts w:hint="eastAsia"/>
          <w:color w:val="auto"/>
          <w:highlight w:val="none"/>
        </w:rPr>
        <w:t>租赁的民房</w:t>
      </w:r>
      <w:r>
        <w:rPr>
          <w:rFonts w:hint="eastAsia"/>
          <w:color w:val="auto"/>
          <w:highlight w:val="none"/>
          <w:lang w:eastAsia="zh-CN"/>
        </w:rPr>
        <w:t>。</w:t>
      </w:r>
      <w:r>
        <w:rPr>
          <w:color w:val="auto"/>
          <w:highlight w:val="none"/>
        </w:rPr>
        <w:t>本项目</w:t>
      </w:r>
      <w:r>
        <w:rPr>
          <w:rFonts w:hint="eastAsia"/>
          <w:color w:val="auto"/>
          <w:highlight w:val="none"/>
        </w:rPr>
        <w:t>厂区</w:t>
      </w:r>
      <w:r>
        <w:rPr>
          <w:color w:val="auto"/>
          <w:highlight w:val="none"/>
        </w:rPr>
        <w:t>平面布局基本合理。</w:t>
      </w:r>
      <w:bookmarkEnd w:id="92"/>
      <w:r>
        <w:rPr>
          <w:color w:val="auto"/>
          <w:highlight w:val="none"/>
        </w:rPr>
        <w:t>具体见附图2。</w:t>
      </w:r>
    </w:p>
    <w:p w14:paraId="7F15428A">
      <w:pPr>
        <w:pStyle w:val="137"/>
        <w:rPr>
          <w:color w:val="auto"/>
        </w:rPr>
      </w:pPr>
      <w:r>
        <w:rPr>
          <w:rFonts w:hint="eastAsia"/>
          <w:color w:val="auto"/>
        </w:rPr>
        <w:t>3</w:t>
      </w:r>
      <w:r>
        <w:rPr>
          <w:color w:val="auto"/>
        </w:rPr>
        <w:t>.1.9</w:t>
      </w:r>
      <w:r>
        <w:rPr>
          <w:rFonts w:hint="eastAsia"/>
          <w:color w:val="auto"/>
        </w:rPr>
        <w:t>劳动定员与工作制度</w:t>
      </w:r>
    </w:p>
    <w:p w14:paraId="0BFB1895">
      <w:pPr>
        <w:pStyle w:val="59"/>
        <w:ind w:firstLine="480"/>
        <w:rPr>
          <w:color w:val="auto"/>
        </w:rPr>
      </w:pPr>
      <w:r>
        <w:rPr>
          <w:rFonts w:hint="eastAsia"/>
          <w:color w:val="auto"/>
        </w:rPr>
        <w:t>（1）劳动定员</w:t>
      </w:r>
    </w:p>
    <w:p w14:paraId="242DBC33">
      <w:pPr>
        <w:pStyle w:val="59"/>
        <w:ind w:firstLine="480"/>
        <w:rPr>
          <w:color w:val="auto"/>
        </w:rPr>
      </w:pPr>
      <w:r>
        <w:rPr>
          <w:rFonts w:hint="eastAsia"/>
          <w:color w:val="auto"/>
        </w:rPr>
        <w:t>本项目劳动定员共计</w:t>
      </w:r>
      <w:r>
        <w:rPr>
          <w:rFonts w:hint="eastAsia"/>
          <w:color w:val="auto"/>
          <w:lang w:val="en-US" w:eastAsia="zh-CN"/>
        </w:rPr>
        <w:t>1</w:t>
      </w:r>
      <w:r>
        <w:rPr>
          <w:rFonts w:hint="eastAsia"/>
          <w:color w:val="auto"/>
        </w:rPr>
        <w:t>5人。</w:t>
      </w:r>
    </w:p>
    <w:p w14:paraId="64BF7D4A">
      <w:pPr>
        <w:pStyle w:val="59"/>
        <w:ind w:firstLine="480"/>
        <w:rPr>
          <w:color w:val="auto"/>
        </w:rPr>
      </w:pPr>
      <w:r>
        <w:rPr>
          <w:rFonts w:hint="eastAsia"/>
          <w:color w:val="auto"/>
        </w:rPr>
        <w:t>（2）工作制度</w:t>
      </w:r>
    </w:p>
    <w:p w14:paraId="2F4B9FA7">
      <w:pPr>
        <w:pStyle w:val="59"/>
        <w:ind w:firstLine="480"/>
        <w:rPr>
          <w:rFonts w:hint="eastAsia"/>
          <w:color w:val="auto"/>
          <w:highlight w:val="none"/>
        </w:rPr>
      </w:pPr>
      <w:r>
        <w:rPr>
          <w:rFonts w:hint="eastAsia"/>
          <w:color w:val="auto"/>
          <w:highlight w:val="none"/>
        </w:rPr>
        <w:t>回填复垦期年工作</w:t>
      </w:r>
      <w:r>
        <w:rPr>
          <w:rFonts w:hint="eastAsia"/>
          <w:color w:val="auto"/>
          <w:highlight w:val="none"/>
          <w:lang w:val="en-US" w:eastAsia="zh-CN"/>
        </w:rPr>
        <w:t>363</w:t>
      </w:r>
      <w:r>
        <w:rPr>
          <w:rFonts w:hint="eastAsia"/>
          <w:color w:val="auto"/>
          <w:highlight w:val="none"/>
        </w:rPr>
        <w:t>天，</w:t>
      </w:r>
      <w:r>
        <w:rPr>
          <w:rFonts w:hint="eastAsia"/>
          <w:color w:val="auto"/>
          <w:highlight w:val="none"/>
          <w:lang w:eastAsia="zh-CN"/>
        </w:rPr>
        <w:t>一</w:t>
      </w:r>
      <w:r>
        <w:rPr>
          <w:rFonts w:hint="eastAsia"/>
          <w:color w:val="auto"/>
          <w:highlight w:val="none"/>
        </w:rPr>
        <w:t>班制，每班</w:t>
      </w:r>
      <w:r>
        <w:rPr>
          <w:rFonts w:hint="eastAsia"/>
          <w:color w:val="auto"/>
          <w:highlight w:val="none"/>
          <w:lang w:val="en-US" w:eastAsia="zh-CN"/>
        </w:rPr>
        <w:t>12</w:t>
      </w:r>
      <w:r>
        <w:rPr>
          <w:rFonts w:hint="eastAsia"/>
          <w:color w:val="auto"/>
          <w:highlight w:val="none"/>
        </w:rPr>
        <w:t>小时。</w:t>
      </w:r>
    </w:p>
    <w:p w14:paraId="0F6CB6A1">
      <w:pPr>
        <w:pStyle w:val="59"/>
        <w:ind w:firstLine="480"/>
        <w:rPr>
          <w:color w:val="auto"/>
          <w:highlight w:val="none"/>
        </w:rPr>
      </w:pPr>
      <w:r>
        <w:rPr>
          <w:rFonts w:hint="eastAsia"/>
          <w:color w:val="auto"/>
          <w:highlight w:val="none"/>
        </w:rPr>
        <w:t>（3）施工期、回填复垦期及生态恢复期</w:t>
      </w:r>
    </w:p>
    <w:p w14:paraId="62511A9C">
      <w:pPr>
        <w:pStyle w:val="59"/>
        <w:ind w:firstLine="480"/>
        <w:rPr>
          <w:color w:val="auto"/>
          <w:highlight w:val="none"/>
        </w:rPr>
      </w:pPr>
      <w:r>
        <w:rPr>
          <w:rFonts w:hint="eastAsia"/>
          <w:color w:val="auto"/>
          <w:highlight w:val="none"/>
        </w:rPr>
        <w:t>施工期1个月，为202</w:t>
      </w:r>
      <w:r>
        <w:rPr>
          <w:rFonts w:hint="eastAsia"/>
          <w:color w:val="auto"/>
          <w:highlight w:val="none"/>
          <w:lang w:val="en-US" w:eastAsia="zh-CN"/>
        </w:rPr>
        <w:t>7</w:t>
      </w:r>
      <w:r>
        <w:rPr>
          <w:rFonts w:hint="eastAsia"/>
          <w:color w:val="auto"/>
          <w:highlight w:val="none"/>
        </w:rPr>
        <w:t>年</w:t>
      </w:r>
      <w:r>
        <w:rPr>
          <w:rFonts w:hint="eastAsia"/>
          <w:color w:val="auto"/>
          <w:highlight w:val="none"/>
          <w:lang w:val="en-US" w:eastAsia="zh-CN"/>
        </w:rPr>
        <w:t>10</w:t>
      </w:r>
      <w:r>
        <w:rPr>
          <w:rFonts w:hint="eastAsia"/>
          <w:color w:val="auto"/>
          <w:highlight w:val="none"/>
        </w:rPr>
        <w:t>月-</w:t>
      </w:r>
      <w:r>
        <w:rPr>
          <w:color w:val="auto"/>
          <w:highlight w:val="none"/>
        </w:rPr>
        <w:t>202</w:t>
      </w:r>
      <w:r>
        <w:rPr>
          <w:rFonts w:hint="eastAsia"/>
          <w:color w:val="auto"/>
          <w:highlight w:val="none"/>
          <w:lang w:val="en-US" w:eastAsia="zh-CN"/>
        </w:rPr>
        <w:t>7</w:t>
      </w:r>
      <w:r>
        <w:rPr>
          <w:rFonts w:hint="eastAsia"/>
          <w:color w:val="auto"/>
          <w:highlight w:val="none"/>
        </w:rPr>
        <w:t>年</w:t>
      </w:r>
      <w:r>
        <w:rPr>
          <w:rFonts w:hint="eastAsia"/>
          <w:color w:val="auto"/>
          <w:highlight w:val="none"/>
          <w:lang w:val="en-US" w:eastAsia="zh-CN"/>
        </w:rPr>
        <w:t>11</w:t>
      </w:r>
      <w:r>
        <w:rPr>
          <w:rFonts w:hint="eastAsia"/>
          <w:color w:val="auto"/>
          <w:highlight w:val="none"/>
        </w:rPr>
        <w:t>月；</w:t>
      </w:r>
    </w:p>
    <w:p w14:paraId="50F8A0F0">
      <w:pPr>
        <w:pStyle w:val="59"/>
        <w:ind w:firstLine="480"/>
        <w:rPr>
          <w:color w:val="auto"/>
          <w:highlight w:val="none"/>
        </w:rPr>
      </w:pPr>
      <w:r>
        <w:rPr>
          <w:rFonts w:hint="eastAsia"/>
          <w:color w:val="auto"/>
          <w:highlight w:val="none"/>
        </w:rPr>
        <w:t>回填复垦期：约</w:t>
      </w:r>
      <w:r>
        <w:rPr>
          <w:rFonts w:hint="eastAsia"/>
          <w:color w:val="auto"/>
          <w:highlight w:val="none"/>
          <w:lang w:val="en-US" w:eastAsia="zh-CN"/>
        </w:rPr>
        <w:t>3</w:t>
      </w:r>
      <w:r>
        <w:rPr>
          <w:rFonts w:hint="eastAsia"/>
          <w:color w:val="auto"/>
          <w:highlight w:val="none"/>
        </w:rPr>
        <w:t>年，为202</w:t>
      </w:r>
      <w:r>
        <w:rPr>
          <w:rFonts w:hint="eastAsia"/>
          <w:color w:val="auto"/>
          <w:highlight w:val="none"/>
          <w:lang w:val="en-US" w:eastAsia="zh-CN"/>
        </w:rPr>
        <w:t>7</w:t>
      </w:r>
      <w:r>
        <w:rPr>
          <w:rFonts w:hint="eastAsia"/>
          <w:color w:val="auto"/>
          <w:highlight w:val="none"/>
        </w:rPr>
        <w:t>年-20</w:t>
      </w:r>
      <w:r>
        <w:rPr>
          <w:rFonts w:hint="eastAsia"/>
          <w:color w:val="auto"/>
          <w:highlight w:val="none"/>
          <w:lang w:val="en-US" w:eastAsia="zh-CN"/>
        </w:rPr>
        <w:t>30</w:t>
      </w:r>
      <w:r>
        <w:rPr>
          <w:rFonts w:hint="eastAsia"/>
          <w:color w:val="auto"/>
          <w:highlight w:val="none"/>
        </w:rPr>
        <w:t>年；</w:t>
      </w:r>
    </w:p>
    <w:p w14:paraId="6D156A69">
      <w:pPr>
        <w:pStyle w:val="59"/>
        <w:ind w:firstLine="480"/>
        <w:rPr>
          <w:color w:val="auto"/>
          <w:highlight w:val="none"/>
        </w:rPr>
      </w:pPr>
      <w:r>
        <w:rPr>
          <w:rFonts w:hint="eastAsia"/>
          <w:color w:val="auto"/>
          <w:highlight w:val="none"/>
        </w:rPr>
        <w:t>生态恢复期：回填复垦结束后。</w:t>
      </w:r>
    </w:p>
    <w:p w14:paraId="1A8B3E14">
      <w:pPr>
        <w:pStyle w:val="137"/>
        <w:rPr>
          <w:color w:val="auto"/>
          <w:highlight w:val="none"/>
        </w:rPr>
      </w:pPr>
      <w:r>
        <w:rPr>
          <w:rFonts w:hint="eastAsia"/>
          <w:color w:val="auto"/>
          <w:highlight w:val="none"/>
        </w:rPr>
        <w:t>3</w:t>
      </w:r>
      <w:r>
        <w:rPr>
          <w:color w:val="auto"/>
          <w:highlight w:val="none"/>
        </w:rPr>
        <w:t>.1.10</w:t>
      </w:r>
      <w:r>
        <w:rPr>
          <w:rFonts w:hint="eastAsia"/>
          <w:color w:val="auto"/>
          <w:highlight w:val="none"/>
        </w:rPr>
        <w:t>土石方平衡</w:t>
      </w:r>
    </w:p>
    <w:p w14:paraId="5F23CC86">
      <w:pPr>
        <w:pStyle w:val="76"/>
        <w:rPr>
          <w:color w:val="auto"/>
          <w:highlight w:val="none"/>
        </w:rPr>
      </w:pPr>
      <w:r>
        <w:rPr>
          <w:color w:val="auto"/>
          <w:highlight w:val="none"/>
        </w:rPr>
        <w:t>表3-1-6本工程土方平衡一览表</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6"/>
        <w:gridCol w:w="813"/>
        <w:gridCol w:w="676"/>
        <w:gridCol w:w="1004"/>
        <w:gridCol w:w="1004"/>
        <w:gridCol w:w="737"/>
        <w:gridCol w:w="886"/>
        <w:gridCol w:w="913"/>
        <w:gridCol w:w="776"/>
        <w:gridCol w:w="851"/>
      </w:tblGrid>
      <w:tr w14:paraId="25334D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95" w:type="pct"/>
            <w:gridSpan w:val="2"/>
            <w:vMerge w:val="restart"/>
            <w:vAlign w:val="center"/>
          </w:tcPr>
          <w:p w14:paraId="25BA925B">
            <w:pPr>
              <w:pStyle w:val="84"/>
              <w:rPr>
                <w:rFonts w:ascii="Times New Roman" w:hAnsi="Times New Roman"/>
                <w:color w:val="auto"/>
                <w:highlight w:val="none"/>
              </w:rPr>
            </w:pPr>
            <w:r>
              <w:rPr>
                <w:rFonts w:ascii="Times New Roman" w:hAnsi="Times New Roman"/>
                <w:color w:val="auto"/>
                <w:highlight w:val="none"/>
              </w:rPr>
              <w:t>工程名称</w:t>
            </w:r>
          </w:p>
        </w:tc>
        <w:tc>
          <w:tcPr>
            <w:tcW w:w="415" w:type="pct"/>
            <w:vMerge w:val="restart"/>
            <w:vAlign w:val="center"/>
          </w:tcPr>
          <w:p w14:paraId="320FA0CB">
            <w:pPr>
              <w:pStyle w:val="84"/>
              <w:rPr>
                <w:rFonts w:ascii="Times New Roman" w:hAnsi="Times New Roman"/>
                <w:color w:val="auto"/>
                <w:highlight w:val="none"/>
              </w:rPr>
            </w:pPr>
            <w:r>
              <w:rPr>
                <w:rFonts w:ascii="Times New Roman" w:hAnsi="Times New Roman"/>
                <w:color w:val="auto"/>
                <w:highlight w:val="none"/>
              </w:rPr>
              <w:t>挖方</w:t>
            </w:r>
          </w:p>
        </w:tc>
        <w:tc>
          <w:tcPr>
            <w:tcW w:w="572" w:type="pct"/>
            <w:vMerge w:val="restart"/>
            <w:vAlign w:val="center"/>
          </w:tcPr>
          <w:p w14:paraId="4E306102">
            <w:pPr>
              <w:pStyle w:val="84"/>
              <w:rPr>
                <w:rFonts w:ascii="Times New Roman" w:hAnsi="Times New Roman"/>
                <w:color w:val="auto"/>
                <w:highlight w:val="none"/>
              </w:rPr>
            </w:pPr>
            <w:r>
              <w:rPr>
                <w:rFonts w:ascii="Times New Roman" w:hAnsi="Times New Roman"/>
                <w:color w:val="auto"/>
                <w:highlight w:val="none"/>
              </w:rPr>
              <w:t>填方</w:t>
            </w:r>
          </w:p>
        </w:tc>
        <w:tc>
          <w:tcPr>
            <w:tcW w:w="572" w:type="pct"/>
            <w:vMerge w:val="restart"/>
            <w:vAlign w:val="center"/>
          </w:tcPr>
          <w:p w14:paraId="7223C551">
            <w:pPr>
              <w:pStyle w:val="84"/>
              <w:rPr>
                <w:rFonts w:ascii="Calibri" w:hAnsi="Calibri"/>
                <w:color w:val="auto"/>
                <w:highlight w:val="none"/>
              </w:rPr>
            </w:pPr>
            <w:r>
              <w:rPr>
                <w:rFonts w:hint="eastAsia" w:ascii="Calibri" w:hAnsi="Calibri"/>
                <w:color w:val="auto"/>
                <w:highlight w:val="none"/>
              </w:rPr>
              <w:t>外借方</w:t>
            </w:r>
          </w:p>
        </w:tc>
        <w:tc>
          <w:tcPr>
            <w:tcW w:w="452" w:type="pct"/>
            <w:vMerge w:val="restart"/>
            <w:vAlign w:val="center"/>
          </w:tcPr>
          <w:p w14:paraId="049A7416">
            <w:pPr>
              <w:pStyle w:val="84"/>
              <w:rPr>
                <w:rFonts w:ascii="Times New Roman" w:hAnsi="Times New Roman"/>
                <w:color w:val="auto"/>
                <w:highlight w:val="none"/>
              </w:rPr>
            </w:pPr>
            <w:r>
              <w:rPr>
                <w:rFonts w:ascii="Times New Roman" w:hAnsi="Times New Roman"/>
                <w:color w:val="auto"/>
                <w:highlight w:val="none"/>
              </w:rPr>
              <w:t>弃方</w:t>
            </w:r>
          </w:p>
        </w:tc>
        <w:tc>
          <w:tcPr>
            <w:tcW w:w="1098" w:type="pct"/>
            <w:gridSpan w:val="2"/>
            <w:vAlign w:val="center"/>
          </w:tcPr>
          <w:p w14:paraId="19E049FF">
            <w:pPr>
              <w:pStyle w:val="84"/>
              <w:rPr>
                <w:rFonts w:ascii="Times New Roman" w:hAnsi="Times New Roman"/>
                <w:color w:val="auto"/>
                <w:highlight w:val="none"/>
              </w:rPr>
            </w:pPr>
            <w:r>
              <w:rPr>
                <w:rFonts w:ascii="Times New Roman" w:hAnsi="Times New Roman"/>
                <w:color w:val="auto"/>
                <w:highlight w:val="none"/>
              </w:rPr>
              <w:t>调入方</w:t>
            </w:r>
          </w:p>
        </w:tc>
        <w:tc>
          <w:tcPr>
            <w:tcW w:w="995" w:type="pct"/>
            <w:gridSpan w:val="2"/>
            <w:vAlign w:val="center"/>
          </w:tcPr>
          <w:p w14:paraId="52C25F18">
            <w:pPr>
              <w:pStyle w:val="84"/>
              <w:rPr>
                <w:rFonts w:ascii="Times New Roman" w:hAnsi="Times New Roman"/>
                <w:color w:val="auto"/>
                <w:highlight w:val="none"/>
              </w:rPr>
            </w:pPr>
            <w:r>
              <w:rPr>
                <w:rFonts w:ascii="Times New Roman" w:hAnsi="Times New Roman"/>
                <w:color w:val="auto"/>
                <w:highlight w:val="none"/>
              </w:rPr>
              <w:t>调出方</w:t>
            </w:r>
          </w:p>
        </w:tc>
      </w:tr>
      <w:tr w14:paraId="4E88E9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95" w:type="pct"/>
            <w:gridSpan w:val="2"/>
            <w:vMerge w:val="continue"/>
            <w:vAlign w:val="center"/>
          </w:tcPr>
          <w:p w14:paraId="18988C9F">
            <w:pPr>
              <w:pStyle w:val="84"/>
              <w:rPr>
                <w:rFonts w:ascii="Times New Roman" w:hAnsi="Times New Roman"/>
                <w:color w:val="auto"/>
                <w:highlight w:val="none"/>
              </w:rPr>
            </w:pPr>
          </w:p>
        </w:tc>
        <w:tc>
          <w:tcPr>
            <w:tcW w:w="415" w:type="pct"/>
            <w:vMerge w:val="continue"/>
            <w:vAlign w:val="center"/>
          </w:tcPr>
          <w:p w14:paraId="30BABE76">
            <w:pPr>
              <w:pStyle w:val="84"/>
              <w:rPr>
                <w:rFonts w:ascii="Times New Roman" w:hAnsi="Times New Roman"/>
                <w:color w:val="auto"/>
                <w:highlight w:val="none"/>
              </w:rPr>
            </w:pPr>
          </w:p>
        </w:tc>
        <w:tc>
          <w:tcPr>
            <w:tcW w:w="572" w:type="pct"/>
            <w:vMerge w:val="continue"/>
            <w:vAlign w:val="center"/>
          </w:tcPr>
          <w:p w14:paraId="7D03F42E">
            <w:pPr>
              <w:pStyle w:val="84"/>
              <w:rPr>
                <w:rFonts w:ascii="Times New Roman" w:hAnsi="Times New Roman"/>
                <w:color w:val="auto"/>
                <w:highlight w:val="none"/>
              </w:rPr>
            </w:pPr>
          </w:p>
        </w:tc>
        <w:tc>
          <w:tcPr>
            <w:tcW w:w="572" w:type="pct"/>
            <w:vMerge w:val="continue"/>
            <w:vAlign w:val="center"/>
          </w:tcPr>
          <w:p w14:paraId="6BEFF30A">
            <w:pPr>
              <w:pStyle w:val="84"/>
              <w:rPr>
                <w:rFonts w:ascii="Calibri" w:hAnsi="Calibri"/>
                <w:color w:val="auto"/>
                <w:highlight w:val="none"/>
              </w:rPr>
            </w:pPr>
          </w:p>
        </w:tc>
        <w:tc>
          <w:tcPr>
            <w:tcW w:w="452" w:type="pct"/>
            <w:vMerge w:val="continue"/>
            <w:vAlign w:val="center"/>
          </w:tcPr>
          <w:p w14:paraId="4C2BA5B2">
            <w:pPr>
              <w:pStyle w:val="84"/>
              <w:rPr>
                <w:rFonts w:ascii="Times New Roman" w:hAnsi="Times New Roman"/>
                <w:color w:val="auto"/>
                <w:highlight w:val="none"/>
              </w:rPr>
            </w:pPr>
          </w:p>
        </w:tc>
        <w:tc>
          <w:tcPr>
            <w:tcW w:w="541" w:type="pct"/>
            <w:vAlign w:val="center"/>
          </w:tcPr>
          <w:p w14:paraId="7D2B3CF8">
            <w:pPr>
              <w:pStyle w:val="84"/>
              <w:rPr>
                <w:rFonts w:ascii="Times New Roman" w:hAnsi="Times New Roman"/>
                <w:color w:val="auto"/>
                <w:highlight w:val="none"/>
              </w:rPr>
            </w:pPr>
            <w:r>
              <w:rPr>
                <w:rFonts w:ascii="Times New Roman" w:hAnsi="Times New Roman"/>
                <w:color w:val="auto"/>
                <w:highlight w:val="none"/>
              </w:rPr>
              <w:t>数量</w:t>
            </w:r>
          </w:p>
        </w:tc>
        <w:tc>
          <w:tcPr>
            <w:tcW w:w="557" w:type="pct"/>
            <w:vAlign w:val="center"/>
          </w:tcPr>
          <w:p w14:paraId="572A9B83">
            <w:pPr>
              <w:pStyle w:val="84"/>
              <w:rPr>
                <w:rFonts w:ascii="Times New Roman" w:hAnsi="Times New Roman"/>
                <w:color w:val="auto"/>
                <w:highlight w:val="none"/>
              </w:rPr>
            </w:pPr>
            <w:r>
              <w:rPr>
                <w:rFonts w:ascii="Times New Roman" w:hAnsi="Times New Roman"/>
                <w:color w:val="auto"/>
                <w:highlight w:val="none"/>
              </w:rPr>
              <w:t>来源</w:t>
            </w:r>
          </w:p>
        </w:tc>
        <w:tc>
          <w:tcPr>
            <w:tcW w:w="475" w:type="pct"/>
            <w:vAlign w:val="center"/>
          </w:tcPr>
          <w:p w14:paraId="795EDF0B">
            <w:pPr>
              <w:pStyle w:val="84"/>
              <w:rPr>
                <w:rFonts w:ascii="Times New Roman" w:hAnsi="Times New Roman"/>
                <w:color w:val="auto"/>
                <w:highlight w:val="none"/>
              </w:rPr>
            </w:pPr>
            <w:r>
              <w:rPr>
                <w:rFonts w:ascii="Times New Roman" w:hAnsi="Times New Roman"/>
                <w:color w:val="auto"/>
                <w:highlight w:val="none"/>
              </w:rPr>
              <w:t>数量</w:t>
            </w:r>
          </w:p>
        </w:tc>
        <w:tc>
          <w:tcPr>
            <w:tcW w:w="520" w:type="pct"/>
            <w:vAlign w:val="center"/>
          </w:tcPr>
          <w:p w14:paraId="026C5E44">
            <w:pPr>
              <w:pStyle w:val="84"/>
              <w:rPr>
                <w:rFonts w:ascii="Times New Roman" w:hAnsi="Times New Roman"/>
                <w:color w:val="auto"/>
                <w:highlight w:val="none"/>
              </w:rPr>
            </w:pPr>
            <w:r>
              <w:rPr>
                <w:rFonts w:ascii="Times New Roman" w:hAnsi="Times New Roman"/>
                <w:color w:val="auto"/>
                <w:highlight w:val="none"/>
              </w:rPr>
              <w:t>去向</w:t>
            </w:r>
          </w:p>
        </w:tc>
      </w:tr>
      <w:tr w14:paraId="7270BE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7" w:type="pct"/>
            <w:vMerge w:val="restart"/>
            <w:vAlign w:val="center"/>
          </w:tcPr>
          <w:p w14:paraId="64E779F2">
            <w:pPr>
              <w:pStyle w:val="84"/>
              <w:rPr>
                <w:rFonts w:ascii="Times New Roman" w:hAnsi="Times New Roman"/>
                <w:color w:val="auto"/>
                <w:highlight w:val="none"/>
              </w:rPr>
            </w:pPr>
            <w:r>
              <w:rPr>
                <w:rFonts w:ascii="Times New Roman" w:hAnsi="Times New Roman"/>
                <w:color w:val="auto"/>
                <w:highlight w:val="none"/>
              </w:rPr>
              <w:t>施工期</w:t>
            </w:r>
          </w:p>
        </w:tc>
        <w:tc>
          <w:tcPr>
            <w:tcW w:w="498" w:type="pct"/>
            <w:vAlign w:val="center"/>
          </w:tcPr>
          <w:p w14:paraId="2D3E9987">
            <w:pPr>
              <w:pStyle w:val="84"/>
              <w:rPr>
                <w:rFonts w:ascii="Times New Roman" w:hAnsi="Times New Roman"/>
                <w:color w:val="auto"/>
                <w:highlight w:val="none"/>
              </w:rPr>
            </w:pPr>
            <w:r>
              <w:rPr>
                <w:rFonts w:hint="eastAsia" w:ascii="Times New Roman" w:hAnsi="Times New Roman"/>
                <w:color w:val="auto"/>
                <w:highlight w:val="none"/>
              </w:rPr>
              <w:t>暂存</w:t>
            </w:r>
            <w:r>
              <w:rPr>
                <w:rFonts w:ascii="Times New Roman" w:hAnsi="Times New Roman"/>
                <w:color w:val="auto"/>
                <w:highlight w:val="none"/>
              </w:rPr>
              <w:t>池</w:t>
            </w:r>
          </w:p>
        </w:tc>
        <w:tc>
          <w:tcPr>
            <w:tcW w:w="415" w:type="pct"/>
            <w:vAlign w:val="center"/>
          </w:tcPr>
          <w:p w14:paraId="6653DE3D">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230</w:t>
            </w:r>
          </w:p>
        </w:tc>
        <w:tc>
          <w:tcPr>
            <w:tcW w:w="572" w:type="pct"/>
            <w:vAlign w:val="center"/>
          </w:tcPr>
          <w:p w14:paraId="4295C8F4">
            <w:pPr>
              <w:pStyle w:val="84"/>
              <w:rPr>
                <w:rFonts w:ascii="Times New Roman" w:hAnsi="Times New Roman"/>
                <w:color w:val="auto"/>
                <w:highlight w:val="none"/>
              </w:rPr>
            </w:pPr>
          </w:p>
        </w:tc>
        <w:tc>
          <w:tcPr>
            <w:tcW w:w="572" w:type="pct"/>
            <w:vAlign w:val="center"/>
          </w:tcPr>
          <w:p w14:paraId="3D405A29">
            <w:pPr>
              <w:pStyle w:val="84"/>
              <w:rPr>
                <w:rFonts w:ascii="Calibri" w:hAnsi="Calibri"/>
                <w:color w:val="auto"/>
                <w:highlight w:val="none"/>
              </w:rPr>
            </w:pPr>
          </w:p>
        </w:tc>
        <w:tc>
          <w:tcPr>
            <w:tcW w:w="452" w:type="pct"/>
            <w:vAlign w:val="center"/>
          </w:tcPr>
          <w:p w14:paraId="15E37B7F">
            <w:pPr>
              <w:pStyle w:val="84"/>
              <w:rPr>
                <w:rFonts w:ascii="Times New Roman" w:hAnsi="Times New Roman"/>
                <w:color w:val="auto"/>
                <w:highlight w:val="none"/>
              </w:rPr>
            </w:pPr>
            <w:r>
              <w:rPr>
                <w:rFonts w:ascii="Times New Roman" w:hAnsi="Times New Roman"/>
                <w:color w:val="auto"/>
                <w:highlight w:val="none"/>
              </w:rPr>
              <w:t>0</w:t>
            </w:r>
          </w:p>
        </w:tc>
        <w:tc>
          <w:tcPr>
            <w:tcW w:w="541" w:type="pct"/>
            <w:vAlign w:val="center"/>
          </w:tcPr>
          <w:p w14:paraId="524CCC97">
            <w:pPr>
              <w:pStyle w:val="84"/>
              <w:rPr>
                <w:rFonts w:ascii="Times New Roman" w:hAnsi="Times New Roman"/>
                <w:color w:val="auto"/>
                <w:highlight w:val="none"/>
              </w:rPr>
            </w:pPr>
            <w:r>
              <w:rPr>
                <w:rFonts w:ascii="Times New Roman" w:hAnsi="Times New Roman"/>
                <w:color w:val="auto"/>
                <w:highlight w:val="none"/>
              </w:rPr>
              <w:t>0</w:t>
            </w:r>
          </w:p>
        </w:tc>
        <w:tc>
          <w:tcPr>
            <w:tcW w:w="557" w:type="pct"/>
            <w:vAlign w:val="center"/>
          </w:tcPr>
          <w:p w14:paraId="2FA258A5">
            <w:pPr>
              <w:pStyle w:val="84"/>
              <w:rPr>
                <w:rFonts w:ascii="Times New Roman" w:hAnsi="Times New Roman"/>
                <w:color w:val="auto"/>
                <w:highlight w:val="none"/>
              </w:rPr>
            </w:pPr>
            <w:r>
              <w:rPr>
                <w:rFonts w:ascii="Times New Roman" w:hAnsi="Times New Roman"/>
                <w:color w:val="auto"/>
                <w:highlight w:val="none"/>
              </w:rPr>
              <w:t>/</w:t>
            </w:r>
          </w:p>
        </w:tc>
        <w:tc>
          <w:tcPr>
            <w:tcW w:w="789" w:type="dxa"/>
            <w:vAlign w:val="center"/>
          </w:tcPr>
          <w:p w14:paraId="071251D9">
            <w:pPr>
              <w:pStyle w:val="84"/>
              <w:rPr>
                <w:rFonts w:ascii="Times New Roman" w:hAnsi="Times New Roman"/>
                <w:color w:val="auto"/>
                <w:highlight w:val="none"/>
              </w:rPr>
            </w:pPr>
            <w:r>
              <w:rPr>
                <w:rFonts w:hint="eastAsia"/>
                <w:color w:val="auto"/>
                <w:highlight w:val="none"/>
                <w:lang w:val="en-US" w:eastAsia="zh-CN"/>
              </w:rPr>
              <w:t>230</w:t>
            </w:r>
          </w:p>
        </w:tc>
        <w:tc>
          <w:tcPr>
            <w:tcW w:w="520" w:type="pct"/>
            <w:vAlign w:val="center"/>
          </w:tcPr>
          <w:p w14:paraId="14336A30">
            <w:pPr>
              <w:pStyle w:val="84"/>
              <w:rPr>
                <w:rFonts w:ascii="Times New Roman" w:hAnsi="Times New Roman"/>
                <w:color w:val="auto"/>
                <w:highlight w:val="none"/>
              </w:rPr>
            </w:pPr>
            <w:r>
              <w:rPr>
                <w:rFonts w:hint="eastAsia" w:ascii="Times New Roman" w:hAnsi="Times New Roman"/>
                <w:color w:val="auto"/>
                <w:highlight w:val="none"/>
              </w:rPr>
              <w:t>防渗工程</w:t>
            </w:r>
          </w:p>
        </w:tc>
      </w:tr>
      <w:tr w14:paraId="1742F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7" w:type="pct"/>
            <w:vMerge w:val="continue"/>
            <w:vAlign w:val="center"/>
          </w:tcPr>
          <w:p w14:paraId="611E6DE3">
            <w:pPr>
              <w:pStyle w:val="84"/>
              <w:rPr>
                <w:rFonts w:ascii="Times New Roman" w:hAnsi="Times New Roman"/>
                <w:color w:val="auto"/>
                <w:highlight w:val="none"/>
              </w:rPr>
            </w:pPr>
          </w:p>
        </w:tc>
        <w:tc>
          <w:tcPr>
            <w:tcW w:w="498" w:type="pct"/>
            <w:vAlign w:val="center"/>
          </w:tcPr>
          <w:p w14:paraId="39038B2A">
            <w:pPr>
              <w:pStyle w:val="84"/>
              <w:rPr>
                <w:rFonts w:ascii="Times New Roman" w:hAnsi="Times New Roman"/>
                <w:color w:val="auto"/>
                <w:highlight w:val="none"/>
              </w:rPr>
            </w:pPr>
            <w:r>
              <w:rPr>
                <w:rFonts w:ascii="Times New Roman" w:hAnsi="Times New Roman"/>
                <w:color w:val="auto"/>
                <w:highlight w:val="none"/>
              </w:rPr>
              <w:t>防渗工程</w:t>
            </w:r>
          </w:p>
        </w:tc>
        <w:tc>
          <w:tcPr>
            <w:tcW w:w="415" w:type="pct"/>
            <w:vAlign w:val="center"/>
          </w:tcPr>
          <w:p w14:paraId="230D774B">
            <w:pPr>
              <w:pStyle w:val="84"/>
              <w:rPr>
                <w:rFonts w:hint="eastAsia" w:ascii="Times New Roman" w:hAnsi="Times New Roman" w:eastAsia="宋体"/>
                <w:color w:val="auto"/>
                <w:highlight w:val="none"/>
                <w:lang w:val="en-US" w:eastAsia="zh-CN"/>
              </w:rPr>
            </w:pPr>
            <w:r>
              <w:rPr>
                <w:rFonts w:hint="eastAsia"/>
                <w:color w:val="auto"/>
                <w:highlight w:val="none"/>
                <w:lang w:val="en-US" w:eastAsia="zh-CN"/>
              </w:rPr>
              <w:t>/</w:t>
            </w:r>
          </w:p>
        </w:tc>
        <w:tc>
          <w:tcPr>
            <w:tcW w:w="572" w:type="pct"/>
            <w:vAlign w:val="center"/>
          </w:tcPr>
          <w:p w14:paraId="106E6C0C">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15696</w:t>
            </w:r>
          </w:p>
        </w:tc>
        <w:tc>
          <w:tcPr>
            <w:tcW w:w="951" w:type="dxa"/>
            <w:vAlign w:val="center"/>
          </w:tcPr>
          <w:p w14:paraId="147A2951">
            <w:pPr>
              <w:pStyle w:val="84"/>
              <w:rPr>
                <w:rFonts w:hint="default" w:ascii="Calibri" w:hAnsi="Calibri"/>
                <w:color w:val="auto"/>
                <w:highlight w:val="none"/>
                <w:lang w:val="en-US"/>
              </w:rPr>
            </w:pPr>
            <w:r>
              <w:rPr>
                <w:rFonts w:hint="eastAsia"/>
                <w:color w:val="auto"/>
                <w:highlight w:val="none"/>
                <w:lang w:val="en-US" w:eastAsia="zh-CN"/>
              </w:rPr>
              <w:t>14467</w:t>
            </w:r>
          </w:p>
        </w:tc>
        <w:tc>
          <w:tcPr>
            <w:tcW w:w="452" w:type="pct"/>
            <w:vAlign w:val="center"/>
          </w:tcPr>
          <w:p w14:paraId="134E8B57">
            <w:pPr>
              <w:pStyle w:val="84"/>
              <w:rPr>
                <w:rFonts w:ascii="Times New Roman" w:hAnsi="Times New Roman"/>
                <w:color w:val="auto"/>
                <w:highlight w:val="none"/>
              </w:rPr>
            </w:pPr>
            <w:r>
              <w:rPr>
                <w:rFonts w:hint="eastAsia" w:ascii="Times New Roman" w:hAnsi="Times New Roman"/>
                <w:color w:val="auto"/>
                <w:highlight w:val="none"/>
              </w:rPr>
              <w:t>0</w:t>
            </w:r>
          </w:p>
        </w:tc>
        <w:tc>
          <w:tcPr>
            <w:tcW w:w="541" w:type="pct"/>
            <w:vAlign w:val="center"/>
          </w:tcPr>
          <w:p w14:paraId="310482C6">
            <w:pPr>
              <w:pStyle w:val="84"/>
              <w:rPr>
                <w:rFonts w:ascii="Times New Roman" w:hAnsi="Times New Roman"/>
                <w:color w:val="auto"/>
                <w:highlight w:val="none"/>
              </w:rPr>
            </w:pPr>
            <w:r>
              <w:rPr>
                <w:rFonts w:ascii="Times New Roman" w:hAnsi="Times New Roman"/>
                <w:color w:val="auto"/>
                <w:highlight w:val="none"/>
              </w:rPr>
              <w:t>869</w:t>
            </w:r>
          </w:p>
        </w:tc>
        <w:tc>
          <w:tcPr>
            <w:tcW w:w="557" w:type="pct"/>
            <w:vAlign w:val="center"/>
          </w:tcPr>
          <w:p w14:paraId="4D08E57C">
            <w:pPr>
              <w:pStyle w:val="84"/>
              <w:rPr>
                <w:rFonts w:ascii="Times New Roman" w:hAnsi="Times New Roman"/>
                <w:color w:val="auto"/>
                <w:highlight w:val="none"/>
              </w:rPr>
            </w:pPr>
            <w:r>
              <w:rPr>
                <w:rFonts w:hint="eastAsia" w:ascii="Times New Roman" w:hAnsi="Times New Roman"/>
                <w:color w:val="auto"/>
                <w:highlight w:val="none"/>
              </w:rPr>
              <w:t>暂存池、排水沟</w:t>
            </w:r>
          </w:p>
        </w:tc>
        <w:tc>
          <w:tcPr>
            <w:tcW w:w="475" w:type="pct"/>
            <w:vAlign w:val="center"/>
          </w:tcPr>
          <w:p w14:paraId="7FF436AB">
            <w:pPr>
              <w:pStyle w:val="84"/>
              <w:rPr>
                <w:rFonts w:ascii="Times New Roman" w:hAnsi="Times New Roman"/>
                <w:color w:val="auto"/>
                <w:highlight w:val="none"/>
              </w:rPr>
            </w:pPr>
            <w:r>
              <w:rPr>
                <w:rFonts w:ascii="Times New Roman" w:hAnsi="Times New Roman"/>
                <w:color w:val="auto"/>
                <w:highlight w:val="none"/>
              </w:rPr>
              <w:t>/</w:t>
            </w:r>
          </w:p>
        </w:tc>
        <w:tc>
          <w:tcPr>
            <w:tcW w:w="520" w:type="pct"/>
            <w:vAlign w:val="center"/>
          </w:tcPr>
          <w:p w14:paraId="57BBB2D0">
            <w:pPr>
              <w:pStyle w:val="84"/>
              <w:rPr>
                <w:rFonts w:ascii="Times New Roman" w:hAnsi="Times New Roman"/>
                <w:color w:val="auto"/>
                <w:highlight w:val="none"/>
              </w:rPr>
            </w:pPr>
            <w:r>
              <w:rPr>
                <w:rFonts w:ascii="Times New Roman" w:hAnsi="Times New Roman"/>
                <w:color w:val="auto"/>
                <w:highlight w:val="none"/>
              </w:rPr>
              <w:t>/</w:t>
            </w:r>
          </w:p>
        </w:tc>
      </w:tr>
      <w:tr w14:paraId="5AE804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1" w:hRule="atLeast"/>
        </w:trPr>
        <w:tc>
          <w:tcPr>
            <w:tcW w:w="397" w:type="pct"/>
            <w:vMerge w:val="continue"/>
            <w:vAlign w:val="center"/>
          </w:tcPr>
          <w:p w14:paraId="3D0C5F5F">
            <w:pPr>
              <w:pStyle w:val="84"/>
              <w:rPr>
                <w:rFonts w:ascii="Calibri" w:hAnsi="Calibri"/>
                <w:color w:val="auto"/>
                <w:highlight w:val="none"/>
              </w:rPr>
            </w:pPr>
          </w:p>
        </w:tc>
        <w:tc>
          <w:tcPr>
            <w:tcW w:w="498" w:type="pct"/>
            <w:vAlign w:val="center"/>
          </w:tcPr>
          <w:p w14:paraId="251C62F2">
            <w:pPr>
              <w:pStyle w:val="84"/>
              <w:rPr>
                <w:rFonts w:ascii="Calibri" w:hAnsi="Calibri"/>
                <w:color w:val="auto"/>
                <w:highlight w:val="none"/>
              </w:rPr>
            </w:pPr>
            <w:r>
              <w:rPr>
                <w:rFonts w:hint="eastAsia" w:ascii="Calibri" w:hAnsi="Calibri"/>
                <w:color w:val="auto"/>
                <w:highlight w:val="none"/>
              </w:rPr>
              <w:t>排水沟</w:t>
            </w:r>
          </w:p>
        </w:tc>
        <w:tc>
          <w:tcPr>
            <w:tcW w:w="415" w:type="pct"/>
            <w:vAlign w:val="center"/>
          </w:tcPr>
          <w:p w14:paraId="324AF1E7">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360</w:t>
            </w:r>
          </w:p>
        </w:tc>
        <w:tc>
          <w:tcPr>
            <w:tcW w:w="572" w:type="pct"/>
            <w:vAlign w:val="center"/>
          </w:tcPr>
          <w:p w14:paraId="69397866">
            <w:pPr>
              <w:jc w:val="center"/>
              <w:rPr>
                <w:rFonts w:ascii="Calibri" w:hAnsi="Calibri"/>
                <w:color w:val="auto"/>
                <w:highlight w:val="none"/>
              </w:rPr>
            </w:pPr>
            <w:r>
              <w:rPr>
                <w:rFonts w:ascii="Times New Roman" w:hAnsi="Times New Roman"/>
                <w:color w:val="auto"/>
                <w:highlight w:val="none"/>
              </w:rPr>
              <w:t>/</w:t>
            </w:r>
          </w:p>
        </w:tc>
        <w:tc>
          <w:tcPr>
            <w:tcW w:w="572" w:type="pct"/>
            <w:vAlign w:val="center"/>
          </w:tcPr>
          <w:p w14:paraId="5D36CF78">
            <w:pPr>
              <w:jc w:val="center"/>
              <w:rPr>
                <w:rFonts w:ascii="Calibri" w:hAnsi="Calibri"/>
                <w:color w:val="auto"/>
                <w:highlight w:val="none"/>
              </w:rPr>
            </w:pPr>
            <w:r>
              <w:rPr>
                <w:rFonts w:ascii="Times New Roman" w:hAnsi="Times New Roman"/>
                <w:color w:val="auto"/>
                <w:highlight w:val="none"/>
              </w:rPr>
              <w:t>/</w:t>
            </w:r>
          </w:p>
        </w:tc>
        <w:tc>
          <w:tcPr>
            <w:tcW w:w="452" w:type="pct"/>
            <w:vAlign w:val="center"/>
          </w:tcPr>
          <w:p w14:paraId="60BA7CCB">
            <w:pPr>
              <w:jc w:val="center"/>
              <w:rPr>
                <w:rFonts w:ascii="Calibri" w:hAnsi="Calibri"/>
                <w:color w:val="auto"/>
                <w:highlight w:val="none"/>
              </w:rPr>
            </w:pPr>
            <w:r>
              <w:rPr>
                <w:rFonts w:ascii="Times New Roman" w:hAnsi="Times New Roman"/>
                <w:color w:val="auto"/>
                <w:highlight w:val="none"/>
              </w:rPr>
              <w:t>/</w:t>
            </w:r>
          </w:p>
        </w:tc>
        <w:tc>
          <w:tcPr>
            <w:tcW w:w="541" w:type="pct"/>
            <w:vAlign w:val="center"/>
          </w:tcPr>
          <w:p w14:paraId="3103778D">
            <w:pPr>
              <w:jc w:val="center"/>
              <w:rPr>
                <w:rFonts w:ascii="Calibri" w:hAnsi="Calibri"/>
                <w:color w:val="auto"/>
                <w:highlight w:val="none"/>
              </w:rPr>
            </w:pPr>
            <w:r>
              <w:rPr>
                <w:rFonts w:ascii="Times New Roman" w:hAnsi="Times New Roman"/>
                <w:color w:val="auto"/>
                <w:highlight w:val="none"/>
              </w:rPr>
              <w:t>/</w:t>
            </w:r>
          </w:p>
        </w:tc>
        <w:tc>
          <w:tcPr>
            <w:tcW w:w="557" w:type="pct"/>
            <w:vAlign w:val="center"/>
          </w:tcPr>
          <w:p w14:paraId="60E85C88">
            <w:pPr>
              <w:jc w:val="center"/>
              <w:rPr>
                <w:rFonts w:ascii="Calibri" w:hAnsi="Calibri"/>
                <w:color w:val="auto"/>
                <w:highlight w:val="none"/>
              </w:rPr>
            </w:pPr>
            <w:r>
              <w:rPr>
                <w:rFonts w:ascii="Times New Roman" w:hAnsi="Times New Roman"/>
                <w:color w:val="auto"/>
                <w:highlight w:val="none"/>
              </w:rPr>
              <w:t>/</w:t>
            </w:r>
          </w:p>
        </w:tc>
        <w:tc>
          <w:tcPr>
            <w:tcW w:w="475" w:type="pct"/>
            <w:vAlign w:val="center"/>
          </w:tcPr>
          <w:p w14:paraId="1409A3E0">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360</w:t>
            </w:r>
          </w:p>
        </w:tc>
        <w:tc>
          <w:tcPr>
            <w:tcW w:w="520" w:type="pct"/>
            <w:vAlign w:val="center"/>
          </w:tcPr>
          <w:p w14:paraId="10A7122F">
            <w:pPr>
              <w:pStyle w:val="84"/>
              <w:rPr>
                <w:rFonts w:ascii="Calibri" w:hAnsi="Calibri"/>
                <w:color w:val="auto"/>
                <w:highlight w:val="none"/>
              </w:rPr>
            </w:pPr>
            <w:r>
              <w:rPr>
                <w:rFonts w:hint="eastAsia" w:ascii="Times New Roman" w:hAnsi="Times New Roman"/>
                <w:color w:val="auto"/>
                <w:highlight w:val="none"/>
              </w:rPr>
              <w:t>防渗工程</w:t>
            </w:r>
          </w:p>
        </w:tc>
      </w:tr>
      <w:tr w14:paraId="5EB328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97" w:type="pct"/>
            <w:vAlign w:val="center"/>
          </w:tcPr>
          <w:p w14:paraId="7920B158">
            <w:pPr>
              <w:pStyle w:val="84"/>
              <w:rPr>
                <w:rFonts w:ascii="Times New Roman" w:hAnsi="Times New Roman"/>
                <w:color w:val="auto"/>
                <w:highlight w:val="none"/>
              </w:rPr>
            </w:pPr>
            <w:r>
              <w:rPr>
                <w:rFonts w:hint="eastAsia" w:ascii="Times New Roman" w:hAnsi="Times New Roman"/>
                <w:color w:val="auto"/>
                <w:highlight w:val="none"/>
              </w:rPr>
              <w:t>回填复垦期</w:t>
            </w:r>
          </w:p>
        </w:tc>
        <w:tc>
          <w:tcPr>
            <w:tcW w:w="498" w:type="pct"/>
            <w:vAlign w:val="center"/>
          </w:tcPr>
          <w:p w14:paraId="2222AF81">
            <w:pPr>
              <w:pStyle w:val="84"/>
              <w:rPr>
                <w:rFonts w:ascii="Times New Roman" w:hAnsi="Times New Roman"/>
                <w:color w:val="auto"/>
                <w:highlight w:val="none"/>
              </w:rPr>
            </w:pPr>
            <w:r>
              <w:rPr>
                <w:rFonts w:ascii="Times New Roman" w:hAnsi="Times New Roman"/>
                <w:color w:val="auto"/>
                <w:highlight w:val="none"/>
              </w:rPr>
              <w:t>回填</w:t>
            </w:r>
            <w:r>
              <w:rPr>
                <w:rFonts w:hint="eastAsia" w:ascii="Times New Roman" w:hAnsi="Times New Roman"/>
                <w:color w:val="auto"/>
                <w:highlight w:val="none"/>
              </w:rPr>
              <w:t>工程</w:t>
            </w:r>
          </w:p>
        </w:tc>
        <w:tc>
          <w:tcPr>
            <w:tcW w:w="415" w:type="pct"/>
            <w:vAlign w:val="center"/>
          </w:tcPr>
          <w:p w14:paraId="1C4EE34B">
            <w:pPr>
              <w:pStyle w:val="84"/>
              <w:rPr>
                <w:rFonts w:ascii="Times New Roman" w:hAnsi="Times New Roman"/>
                <w:color w:val="auto"/>
                <w:highlight w:val="none"/>
              </w:rPr>
            </w:pPr>
            <w:r>
              <w:rPr>
                <w:rFonts w:ascii="Times New Roman" w:hAnsi="Times New Roman"/>
                <w:color w:val="auto"/>
                <w:highlight w:val="none"/>
              </w:rPr>
              <w:t>0</w:t>
            </w:r>
          </w:p>
        </w:tc>
        <w:tc>
          <w:tcPr>
            <w:tcW w:w="572" w:type="pct"/>
            <w:vAlign w:val="center"/>
          </w:tcPr>
          <w:p w14:paraId="417F71C1">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542600</w:t>
            </w:r>
          </w:p>
        </w:tc>
        <w:tc>
          <w:tcPr>
            <w:tcW w:w="951" w:type="dxa"/>
            <w:vAlign w:val="center"/>
          </w:tcPr>
          <w:p w14:paraId="7845A36B">
            <w:pPr>
              <w:pStyle w:val="84"/>
              <w:rPr>
                <w:rFonts w:hint="default" w:ascii="Times New Roman" w:hAnsi="Times New Roman"/>
                <w:color w:val="auto"/>
                <w:highlight w:val="none"/>
                <w:lang w:val="en-US"/>
              </w:rPr>
            </w:pPr>
            <w:r>
              <w:rPr>
                <w:rFonts w:hint="eastAsia"/>
                <w:color w:val="auto"/>
                <w:highlight w:val="none"/>
                <w:lang w:val="en-US" w:eastAsia="zh-CN"/>
              </w:rPr>
              <w:t>327600</w:t>
            </w:r>
          </w:p>
        </w:tc>
        <w:tc>
          <w:tcPr>
            <w:tcW w:w="452" w:type="pct"/>
            <w:vAlign w:val="center"/>
          </w:tcPr>
          <w:p w14:paraId="099237A5">
            <w:pPr>
              <w:pStyle w:val="84"/>
              <w:rPr>
                <w:rFonts w:ascii="Times New Roman" w:hAnsi="Times New Roman"/>
                <w:color w:val="auto"/>
                <w:highlight w:val="none"/>
              </w:rPr>
            </w:pPr>
            <w:r>
              <w:rPr>
                <w:rFonts w:ascii="Times New Roman" w:hAnsi="Times New Roman"/>
                <w:color w:val="auto"/>
                <w:highlight w:val="none"/>
              </w:rPr>
              <w:t>0</w:t>
            </w:r>
          </w:p>
        </w:tc>
        <w:tc>
          <w:tcPr>
            <w:tcW w:w="541" w:type="pct"/>
            <w:vAlign w:val="center"/>
          </w:tcPr>
          <w:p w14:paraId="4A714AB3">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215000</w:t>
            </w:r>
          </w:p>
        </w:tc>
        <w:tc>
          <w:tcPr>
            <w:tcW w:w="557" w:type="pct"/>
            <w:vAlign w:val="center"/>
          </w:tcPr>
          <w:p w14:paraId="2415C654">
            <w:pPr>
              <w:pStyle w:val="84"/>
              <w:rPr>
                <w:rFonts w:ascii="Times New Roman" w:hAnsi="Times New Roman"/>
                <w:color w:val="auto"/>
                <w:highlight w:val="none"/>
              </w:rPr>
            </w:pPr>
            <w:r>
              <w:rPr>
                <w:rFonts w:ascii="Times New Roman" w:hAnsi="Times New Roman"/>
                <w:color w:val="auto"/>
                <w:highlight w:val="none"/>
              </w:rPr>
              <w:t>/</w:t>
            </w:r>
          </w:p>
        </w:tc>
        <w:tc>
          <w:tcPr>
            <w:tcW w:w="475" w:type="pct"/>
            <w:vAlign w:val="center"/>
          </w:tcPr>
          <w:p w14:paraId="695C0010">
            <w:pPr>
              <w:pStyle w:val="84"/>
              <w:rPr>
                <w:rFonts w:ascii="Times New Roman" w:hAnsi="Times New Roman"/>
                <w:color w:val="auto"/>
                <w:highlight w:val="none"/>
              </w:rPr>
            </w:pPr>
            <w:r>
              <w:rPr>
                <w:rFonts w:ascii="Times New Roman" w:hAnsi="Times New Roman"/>
                <w:color w:val="auto"/>
                <w:highlight w:val="none"/>
              </w:rPr>
              <w:t>0</w:t>
            </w:r>
          </w:p>
        </w:tc>
        <w:tc>
          <w:tcPr>
            <w:tcW w:w="520" w:type="pct"/>
            <w:vAlign w:val="center"/>
          </w:tcPr>
          <w:p w14:paraId="2D9F321E">
            <w:pPr>
              <w:pStyle w:val="84"/>
              <w:rPr>
                <w:rFonts w:ascii="Times New Roman" w:hAnsi="Times New Roman"/>
                <w:color w:val="auto"/>
                <w:highlight w:val="none"/>
              </w:rPr>
            </w:pPr>
            <w:r>
              <w:rPr>
                <w:rFonts w:ascii="Times New Roman" w:hAnsi="Times New Roman"/>
                <w:color w:val="auto"/>
                <w:highlight w:val="none"/>
              </w:rPr>
              <w:t>/</w:t>
            </w:r>
          </w:p>
        </w:tc>
      </w:tr>
      <w:tr w14:paraId="7EF6E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397" w:type="pct"/>
            <w:vAlign w:val="center"/>
          </w:tcPr>
          <w:p w14:paraId="14A97388">
            <w:pPr>
              <w:pStyle w:val="84"/>
              <w:rPr>
                <w:rFonts w:ascii="Times New Roman" w:hAnsi="Times New Roman"/>
                <w:color w:val="auto"/>
                <w:highlight w:val="none"/>
              </w:rPr>
            </w:pPr>
            <w:r>
              <w:rPr>
                <w:rFonts w:ascii="Times New Roman" w:hAnsi="Times New Roman"/>
                <w:color w:val="auto"/>
                <w:highlight w:val="none"/>
              </w:rPr>
              <w:t>生态恢复期</w:t>
            </w:r>
          </w:p>
        </w:tc>
        <w:tc>
          <w:tcPr>
            <w:tcW w:w="498" w:type="pct"/>
            <w:vAlign w:val="center"/>
          </w:tcPr>
          <w:p w14:paraId="295121BC">
            <w:pPr>
              <w:pStyle w:val="84"/>
              <w:rPr>
                <w:rFonts w:ascii="Times New Roman" w:hAnsi="Times New Roman"/>
                <w:color w:val="auto"/>
                <w:highlight w:val="none"/>
              </w:rPr>
            </w:pPr>
            <w:r>
              <w:rPr>
                <w:rFonts w:ascii="Times New Roman" w:hAnsi="Times New Roman"/>
                <w:color w:val="auto"/>
                <w:highlight w:val="none"/>
              </w:rPr>
              <w:t>覆土复垦</w:t>
            </w:r>
          </w:p>
        </w:tc>
        <w:tc>
          <w:tcPr>
            <w:tcW w:w="415" w:type="pct"/>
            <w:vAlign w:val="center"/>
          </w:tcPr>
          <w:p w14:paraId="2B531AF6">
            <w:pPr>
              <w:pStyle w:val="84"/>
              <w:rPr>
                <w:rFonts w:ascii="Times New Roman" w:hAnsi="Times New Roman"/>
                <w:color w:val="auto"/>
                <w:highlight w:val="none"/>
              </w:rPr>
            </w:pPr>
            <w:r>
              <w:rPr>
                <w:rFonts w:ascii="Times New Roman" w:hAnsi="Times New Roman"/>
                <w:color w:val="auto"/>
                <w:highlight w:val="none"/>
              </w:rPr>
              <w:t>0</w:t>
            </w:r>
          </w:p>
        </w:tc>
        <w:tc>
          <w:tcPr>
            <w:tcW w:w="572" w:type="pct"/>
            <w:vAlign w:val="center"/>
          </w:tcPr>
          <w:p w14:paraId="4DA464E6">
            <w:pPr>
              <w:pStyle w:val="84"/>
              <w:rPr>
                <w:rFonts w:ascii="Times New Roman" w:hAnsi="Times New Roman"/>
                <w:color w:val="auto"/>
                <w:highlight w:val="none"/>
              </w:rPr>
            </w:pPr>
            <w:r>
              <w:rPr>
                <w:rFonts w:hint="eastAsia"/>
                <w:color w:val="auto"/>
                <w:lang w:val="en-US" w:eastAsia="zh-CN"/>
              </w:rPr>
              <w:t>28308.2</w:t>
            </w:r>
          </w:p>
        </w:tc>
        <w:tc>
          <w:tcPr>
            <w:tcW w:w="572" w:type="pct"/>
            <w:vAlign w:val="center"/>
          </w:tcPr>
          <w:p w14:paraId="572407E2">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23308.2</w:t>
            </w:r>
          </w:p>
        </w:tc>
        <w:tc>
          <w:tcPr>
            <w:tcW w:w="452" w:type="pct"/>
            <w:vAlign w:val="center"/>
          </w:tcPr>
          <w:p w14:paraId="08CEA9F6">
            <w:pPr>
              <w:pStyle w:val="84"/>
              <w:rPr>
                <w:rFonts w:ascii="Times New Roman" w:hAnsi="Times New Roman"/>
                <w:color w:val="auto"/>
                <w:highlight w:val="none"/>
              </w:rPr>
            </w:pPr>
            <w:r>
              <w:rPr>
                <w:rFonts w:ascii="Times New Roman" w:hAnsi="Times New Roman"/>
                <w:color w:val="auto"/>
                <w:highlight w:val="none"/>
              </w:rPr>
              <w:t>0</w:t>
            </w:r>
          </w:p>
        </w:tc>
        <w:tc>
          <w:tcPr>
            <w:tcW w:w="541" w:type="pct"/>
            <w:vAlign w:val="center"/>
          </w:tcPr>
          <w:p w14:paraId="1F01A149">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5000</w:t>
            </w:r>
          </w:p>
        </w:tc>
        <w:tc>
          <w:tcPr>
            <w:tcW w:w="557" w:type="pct"/>
            <w:vAlign w:val="center"/>
          </w:tcPr>
          <w:p w14:paraId="10F1C5E9">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采矿期表土剥离</w:t>
            </w:r>
          </w:p>
        </w:tc>
        <w:tc>
          <w:tcPr>
            <w:tcW w:w="475" w:type="pct"/>
            <w:vAlign w:val="center"/>
          </w:tcPr>
          <w:p w14:paraId="1EFEC1E2">
            <w:pPr>
              <w:pStyle w:val="84"/>
              <w:rPr>
                <w:rFonts w:ascii="Times New Roman" w:hAnsi="Times New Roman"/>
                <w:color w:val="auto"/>
                <w:highlight w:val="none"/>
              </w:rPr>
            </w:pPr>
            <w:r>
              <w:rPr>
                <w:rFonts w:ascii="Times New Roman" w:hAnsi="Times New Roman"/>
                <w:color w:val="auto"/>
                <w:highlight w:val="none"/>
              </w:rPr>
              <w:t>0</w:t>
            </w:r>
          </w:p>
        </w:tc>
        <w:tc>
          <w:tcPr>
            <w:tcW w:w="520" w:type="pct"/>
            <w:vAlign w:val="center"/>
          </w:tcPr>
          <w:p w14:paraId="3CCDAF1F">
            <w:pPr>
              <w:pStyle w:val="84"/>
              <w:rPr>
                <w:rFonts w:ascii="Times New Roman" w:hAnsi="Times New Roman"/>
                <w:color w:val="auto"/>
                <w:highlight w:val="none"/>
              </w:rPr>
            </w:pPr>
            <w:r>
              <w:rPr>
                <w:rFonts w:ascii="Times New Roman" w:hAnsi="Times New Roman"/>
                <w:color w:val="auto"/>
                <w:highlight w:val="none"/>
              </w:rPr>
              <w:t>/</w:t>
            </w:r>
          </w:p>
        </w:tc>
      </w:tr>
      <w:tr w14:paraId="5290DB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0" w:hRule="atLeast"/>
        </w:trPr>
        <w:tc>
          <w:tcPr>
            <w:tcW w:w="895" w:type="pct"/>
            <w:gridSpan w:val="2"/>
            <w:vAlign w:val="center"/>
          </w:tcPr>
          <w:p w14:paraId="673F06A4">
            <w:pPr>
              <w:pStyle w:val="84"/>
              <w:rPr>
                <w:rFonts w:ascii="Times New Roman" w:hAnsi="Times New Roman"/>
                <w:color w:val="auto"/>
                <w:highlight w:val="none"/>
              </w:rPr>
            </w:pPr>
            <w:bookmarkStart w:id="93" w:name="_Hlk148536501"/>
            <w:r>
              <w:rPr>
                <w:rFonts w:ascii="Times New Roman" w:hAnsi="Times New Roman"/>
                <w:color w:val="auto"/>
                <w:highlight w:val="none"/>
              </w:rPr>
              <w:t>合计</w:t>
            </w:r>
          </w:p>
        </w:tc>
        <w:tc>
          <w:tcPr>
            <w:tcW w:w="415" w:type="pct"/>
            <w:tcBorders>
              <w:top w:val="nil"/>
              <w:left w:val="nil"/>
              <w:bottom w:val="single" w:color="000000" w:sz="12" w:space="0"/>
              <w:right w:val="single" w:color="000000" w:sz="8" w:space="0"/>
            </w:tcBorders>
            <w:shd w:val="clear" w:color="auto" w:fill="auto"/>
            <w:vAlign w:val="center"/>
          </w:tcPr>
          <w:p w14:paraId="608D5DD9">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590</w:t>
            </w:r>
          </w:p>
        </w:tc>
        <w:tc>
          <w:tcPr>
            <w:tcW w:w="572" w:type="pct"/>
            <w:tcBorders>
              <w:top w:val="nil"/>
              <w:left w:val="nil"/>
              <w:bottom w:val="single" w:color="000000" w:sz="12" w:space="0"/>
              <w:right w:val="single" w:color="000000" w:sz="8" w:space="0"/>
            </w:tcBorders>
            <w:shd w:val="clear" w:color="auto" w:fill="auto"/>
            <w:vAlign w:val="center"/>
          </w:tcPr>
          <w:p w14:paraId="23592041">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586604.2</w:t>
            </w:r>
          </w:p>
        </w:tc>
        <w:tc>
          <w:tcPr>
            <w:tcW w:w="572" w:type="pct"/>
            <w:tcBorders>
              <w:top w:val="nil"/>
              <w:left w:val="nil"/>
              <w:bottom w:val="single" w:color="000000" w:sz="12" w:space="0"/>
              <w:right w:val="single" w:color="000000" w:sz="8" w:space="0"/>
            </w:tcBorders>
            <w:shd w:val="clear" w:color="auto" w:fill="auto"/>
            <w:vAlign w:val="center"/>
          </w:tcPr>
          <w:p w14:paraId="4F5D9E41">
            <w:pPr>
              <w:pStyle w:val="84"/>
              <w:rPr>
                <w:rFonts w:hint="default" w:ascii="Calibri" w:hAnsi="Calibri" w:eastAsia="宋体"/>
                <w:color w:val="auto"/>
                <w:highlight w:val="none"/>
                <w:lang w:val="en-US" w:eastAsia="zh-CN"/>
              </w:rPr>
            </w:pPr>
            <w:r>
              <w:rPr>
                <w:rFonts w:hint="eastAsia"/>
                <w:color w:val="auto"/>
                <w:highlight w:val="none"/>
                <w:lang w:val="en-US" w:eastAsia="zh-CN"/>
              </w:rPr>
              <w:t>365375.2</w:t>
            </w:r>
          </w:p>
        </w:tc>
        <w:tc>
          <w:tcPr>
            <w:tcW w:w="452" w:type="pct"/>
            <w:tcBorders>
              <w:top w:val="nil"/>
              <w:left w:val="nil"/>
              <w:bottom w:val="single" w:color="000000" w:sz="12" w:space="0"/>
              <w:right w:val="single" w:color="000000" w:sz="8" w:space="0"/>
            </w:tcBorders>
            <w:shd w:val="clear" w:color="auto" w:fill="auto"/>
            <w:vAlign w:val="center"/>
          </w:tcPr>
          <w:p w14:paraId="1C45A12F">
            <w:pPr>
              <w:pStyle w:val="84"/>
              <w:rPr>
                <w:rFonts w:ascii="Times New Roman" w:hAnsi="Times New Roman"/>
                <w:color w:val="auto"/>
                <w:highlight w:val="none"/>
              </w:rPr>
            </w:pPr>
            <w:r>
              <w:rPr>
                <w:rFonts w:ascii="Times New Roman" w:hAnsi="Times New Roman"/>
                <w:color w:val="auto"/>
                <w:highlight w:val="none"/>
              </w:rPr>
              <w:t>0</w:t>
            </w:r>
          </w:p>
        </w:tc>
        <w:tc>
          <w:tcPr>
            <w:tcW w:w="541" w:type="pct"/>
            <w:tcBorders>
              <w:top w:val="nil"/>
              <w:left w:val="nil"/>
              <w:bottom w:val="single" w:color="000000" w:sz="12" w:space="0"/>
              <w:right w:val="single" w:color="000000" w:sz="8" w:space="0"/>
            </w:tcBorders>
            <w:shd w:val="clear" w:color="auto" w:fill="auto"/>
            <w:vAlign w:val="center"/>
          </w:tcPr>
          <w:p w14:paraId="22324981">
            <w:pPr>
              <w:pStyle w:val="84"/>
              <w:rPr>
                <w:rFonts w:hint="default" w:ascii="Times New Roman" w:hAnsi="Times New Roman" w:eastAsia="宋体"/>
                <w:color w:val="auto"/>
                <w:highlight w:val="none"/>
                <w:lang w:val="en-US" w:eastAsia="zh-CN"/>
              </w:rPr>
            </w:pPr>
            <w:r>
              <w:rPr>
                <w:rFonts w:hint="eastAsia"/>
                <w:color w:val="auto"/>
                <w:highlight w:val="none"/>
                <w:lang w:val="en-US" w:eastAsia="zh-CN"/>
              </w:rPr>
              <w:t>220869</w:t>
            </w:r>
          </w:p>
        </w:tc>
        <w:tc>
          <w:tcPr>
            <w:tcW w:w="557" w:type="pct"/>
            <w:tcBorders>
              <w:top w:val="nil"/>
              <w:left w:val="nil"/>
              <w:bottom w:val="single" w:color="000000" w:sz="12" w:space="0"/>
              <w:right w:val="single" w:color="000000" w:sz="8" w:space="0"/>
            </w:tcBorders>
            <w:shd w:val="clear" w:color="auto" w:fill="auto"/>
            <w:vAlign w:val="center"/>
          </w:tcPr>
          <w:p w14:paraId="1A79CCE5">
            <w:pPr>
              <w:pStyle w:val="84"/>
              <w:rPr>
                <w:rFonts w:ascii="Times New Roman" w:hAnsi="Times New Roman"/>
                <w:color w:val="auto"/>
                <w:highlight w:val="none"/>
              </w:rPr>
            </w:pPr>
            <w:r>
              <w:rPr>
                <w:rFonts w:ascii="Times New Roman" w:hAnsi="Times New Roman"/>
                <w:color w:val="auto"/>
                <w:highlight w:val="none"/>
              </w:rPr>
              <w:t>0</w:t>
            </w:r>
          </w:p>
        </w:tc>
        <w:tc>
          <w:tcPr>
            <w:tcW w:w="750" w:type="dxa"/>
            <w:tcBorders>
              <w:top w:val="nil"/>
              <w:left w:val="nil"/>
              <w:bottom w:val="single" w:color="000000" w:sz="12" w:space="0"/>
              <w:right w:val="single" w:color="000000" w:sz="8" w:space="0"/>
            </w:tcBorders>
            <w:shd w:val="clear" w:color="auto" w:fill="auto"/>
            <w:vAlign w:val="center"/>
          </w:tcPr>
          <w:p w14:paraId="0C8D8AB2">
            <w:pPr>
              <w:pStyle w:val="84"/>
              <w:rPr>
                <w:rFonts w:ascii="Times New Roman" w:hAnsi="Times New Roman"/>
                <w:color w:val="auto"/>
                <w:highlight w:val="none"/>
              </w:rPr>
            </w:pPr>
            <w:r>
              <w:rPr>
                <w:rFonts w:hint="eastAsia"/>
                <w:color w:val="auto"/>
                <w:highlight w:val="none"/>
                <w:lang w:val="en-US" w:eastAsia="zh-CN"/>
              </w:rPr>
              <w:t>590</w:t>
            </w:r>
          </w:p>
        </w:tc>
        <w:tc>
          <w:tcPr>
            <w:tcW w:w="520" w:type="pct"/>
            <w:tcBorders>
              <w:top w:val="nil"/>
              <w:left w:val="nil"/>
              <w:bottom w:val="single" w:color="000000" w:sz="12" w:space="0"/>
              <w:right w:val="single" w:color="000000" w:sz="8" w:space="0"/>
            </w:tcBorders>
            <w:shd w:val="clear" w:color="auto" w:fill="auto"/>
            <w:vAlign w:val="center"/>
          </w:tcPr>
          <w:p w14:paraId="1716998C">
            <w:pPr>
              <w:pStyle w:val="84"/>
              <w:rPr>
                <w:rFonts w:ascii="Times New Roman" w:hAnsi="Times New Roman"/>
                <w:color w:val="auto"/>
                <w:highlight w:val="none"/>
              </w:rPr>
            </w:pPr>
            <w:r>
              <w:rPr>
                <w:rFonts w:ascii="Times New Roman" w:hAnsi="Times New Roman"/>
                <w:color w:val="auto"/>
                <w:highlight w:val="none"/>
              </w:rPr>
              <w:t>0</w:t>
            </w:r>
          </w:p>
        </w:tc>
      </w:tr>
      <w:bookmarkEnd w:id="93"/>
    </w:tbl>
    <w:p w14:paraId="0F67F3E5">
      <w:pPr>
        <w:pStyle w:val="59"/>
        <w:ind w:firstLine="480"/>
        <w:rPr>
          <w:color w:val="auto"/>
          <w:highlight w:val="none"/>
        </w:rPr>
      </w:pPr>
      <w:r>
        <w:rPr>
          <w:rFonts w:hint="eastAsia"/>
          <w:color w:val="auto"/>
          <w:highlight w:val="none"/>
        </w:rPr>
        <w:t>由上表可知，本工程开挖土方量约为</w:t>
      </w:r>
      <w:r>
        <w:rPr>
          <w:rFonts w:hint="eastAsia"/>
          <w:color w:val="auto"/>
          <w:highlight w:val="none"/>
          <w:lang w:val="en-US" w:eastAsia="zh-CN"/>
        </w:rPr>
        <w:t>590</w:t>
      </w:r>
      <w:r>
        <w:rPr>
          <w:rFonts w:hint="eastAsia"/>
          <w:color w:val="auto"/>
          <w:highlight w:val="none"/>
        </w:rPr>
        <w:t>m</w:t>
      </w:r>
      <w:r>
        <w:rPr>
          <w:rFonts w:hint="eastAsia"/>
          <w:color w:val="auto"/>
          <w:highlight w:val="none"/>
          <w:vertAlign w:val="superscript"/>
        </w:rPr>
        <w:t>3</w:t>
      </w:r>
      <w:r>
        <w:rPr>
          <w:rFonts w:hint="eastAsia"/>
          <w:color w:val="auto"/>
          <w:highlight w:val="none"/>
        </w:rPr>
        <w:t>，借方量约为</w:t>
      </w:r>
      <w:r>
        <w:rPr>
          <w:rFonts w:hint="eastAsia"/>
          <w:color w:val="auto"/>
          <w:highlight w:val="none"/>
          <w:lang w:val="en-US" w:eastAsia="zh-CN"/>
        </w:rPr>
        <w:t>365375.2</w:t>
      </w:r>
      <w:r>
        <w:rPr>
          <w:rFonts w:hint="eastAsia"/>
          <w:color w:val="auto"/>
          <w:highlight w:val="none"/>
        </w:rPr>
        <w:t>m</w:t>
      </w:r>
      <w:r>
        <w:rPr>
          <w:rFonts w:hint="eastAsia"/>
          <w:color w:val="auto"/>
          <w:highlight w:val="none"/>
          <w:vertAlign w:val="superscript"/>
        </w:rPr>
        <w:t>3</w:t>
      </w:r>
      <w:r>
        <w:rPr>
          <w:rFonts w:hint="eastAsia"/>
          <w:color w:val="auto"/>
          <w:highlight w:val="none"/>
        </w:rPr>
        <w:t>，填方量约为</w:t>
      </w:r>
      <w:r>
        <w:rPr>
          <w:rFonts w:hint="eastAsia"/>
          <w:color w:val="auto"/>
          <w:highlight w:val="none"/>
          <w:lang w:val="en-US" w:eastAsia="zh-CN"/>
        </w:rPr>
        <w:t>586604.2</w:t>
      </w:r>
      <w:r>
        <w:rPr>
          <w:rFonts w:hint="eastAsia"/>
          <w:color w:val="auto"/>
          <w:highlight w:val="none"/>
        </w:rPr>
        <w:t>m</w:t>
      </w:r>
      <w:r>
        <w:rPr>
          <w:rFonts w:hint="eastAsia"/>
          <w:color w:val="auto"/>
          <w:highlight w:val="none"/>
          <w:vertAlign w:val="superscript"/>
        </w:rPr>
        <w:t>3</w:t>
      </w:r>
      <w:r>
        <w:rPr>
          <w:rFonts w:hint="eastAsia"/>
          <w:color w:val="auto"/>
          <w:highlight w:val="none"/>
        </w:rPr>
        <w:t>，无弃方，本项目不设取土场，所需覆土外购。</w:t>
      </w:r>
    </w:p>
    <w:p w14:paraId="180B1840">
      <w:pPr>
        <w:pStyle w:val="548"/>
        <w:rPr>
          <w:color w:val="auto"/>
        </w:rPr>
      </w:pPr>
      <w:bookmarkStart w:id="94" w:name="_Toc149054201"/>
      <w:bookmarkStart w:id="95" w:name="_Toc140149421"/>
      <w:r>
        <w:rPr>
          <w:color w:val="auto"/>
        </w:rPr>
        <w:t>3.2工艺流程及产污环节</w:t>
      </w:r>
      <w:bookmarkEnd w:id="94"/>
      <w:bookmarkEnd w:id="95"/>
    </w:p>
    <w:p w14:paraId="0400706B">
      <w:pPr>
        <w:pStyle w:val="137"/>
        <w:rPr>
          <w:rStyle w:val="765"/>
          <w:color w:val="auto"/>
          <w:szCs w:val="32"/>
        </w:rPr>
      </w:pPr>
      <w:r>
        <w:rPr>
          <w:rStyle w:val="765"/>
          <w:color w:val="auto"/>
          <w:szCs w:val="32"/>
        </w:rPr>
        <w:t>3.2.1</w:t>
      </w:r>
      <w:r>
        <w:rPr>
          <w:rStyle w:val="765"/>
          <w:rFonts w:hint="eastAsia"/>
          <w:color w:val="auto"/>
          <w:szCs w:val="32"/>
        </w:rPr>
        <w:t>施工方案</w:t>
      </w:r>
    </w:p>
    <w:p w14:paraId="01FF0592">
      <w:pPr>
        <w:pStyle w:val="59"/>
        <w:ind w:firstLine="480"/>
        <w:rPr>
          <w:color w:val="auto"/>
        </w:rPr>
      </w:pPr>
      <w:r>
        <w:rPr>
          <w:rFonts w:hint="eastAsia"/>
          <w:color w:val="auto"/>
        </w:rPr>
        <w:t>本项目施工期主要进行场地清理、暂存池和排水沟的建设。现场无崩塌、滑坡、地面沉陷等地质环境问题，因此，不需要进行边坡削坡、加固工程和护坡工程。在实施回填修复前，先进行场地清理，清理矿坑内的所有杂草、草木根茎、杂物等，处理后的场底基础面达到平整、坚实、无裂缝、无松土，坡面稳定，过渡平缓。暂存池建设在回填区外东侧地势低洼处，排水沟沿废弃采坑四周修建，可满足雨季雨水导排要求。</w:t>
      </w:r>
    </w:p>
    <w:p w14:paraId="56380124">
      <w:pPr>
        <w:pStyle w:val="59"/>
        <w:ind w:firstLine="480"/>
        <w:rPr>
          <w:color w:val="auto"/>
          <w:highlight w:val="none"/>
        </w:rPr>
      </w:pPr>
      <w:r>
        <w:rPr>
          <w:rFonts w:hint="eastAsia"/>
          <w:color w:val="auto"/>
          <w:highlight w:val="none"/>
        </w:rPr>
        <w:t>本项目建筑材料由当地购买，采用商品砼，不设置预制场和拌合场。施工人员为附近的村庄居民，不另设施工生产生活区。运输车辆</w:t>
      </w:r>
      <w:r>
        <w:rPr>
          <w:color w:val="auto"/>
          <w:highlight w:val="none"/>
        </w:rPr>
        <w:t>的清洗和维修依托青山村现有</w:t>
      </w:r>
      <w:r>
        <w:rPr>
          <w:rFonts w:hint="eastAsia"/>
          <w:color w:val="auto"/>
          <w:highlight w:val="none"/>
        </w:rPr>
        <w:t>社会</w:t>
      </w:r>
      <w:r>
        <w:rPr>
          <w:color w:val="auto"/>
          <w:highlight w:val="none"/>
        </w:rPr>
        <w:t>设施，不设置洗车区。</w:t>
      </w:r>
      <w:r>
        <w:rPr>
          <w:rFonts w:hint="eastAsia"/>
          <w:color w:val="auto"/>
          <w:highlight w:val="none"/>
        </w:rPr>
        <w:t>本项目开挖土方均用于防渗工程覆土，无弃方产生，因此不设置弃土场。</w:t>
      </w:r>
    </w:p>
    <w:p w14:paraId="4C316560">
      <w:pPr>
        <w:pStyle w:val="59"/>
        <w:ind w:firstLine="480"/>
        <w:rPr>
          <w:color w:val="auto"/>
        </w:rPr>
      </w:pPr>
      <w:r>
        <w:rPr>
          <w:color w:val="auto"/>
        </w:rPr>
        <mc:AlternateContent>
          <mc:Choice Requires="wpg">
            <w:drawing>
              <wp:anchor distT="0" distB="0" distL="114300" distR="114300" simplePos="0" relativeHeight="251667456" behindDoc="0" locked="0" layoutInCell="1" allowOverlap="1">
                <wp:simplePos x="0" y="0"/>
                <wp:positionH relativeFrom="column">
                  <wp:posOffset>666750</wp:posOffset>
                </wp:positionH>
                <wp:positionV relativeFrom="paragraph">
                  <wp:posOffset>176530</wp:posOffset>
                </wp:positionV>
                <wp:extent cx="4265295" cy="1003935"/>
                <wp:effectExtent l="0" t="0" r="1905" b="24765"/>
                <wp:wrapNone/>
                <wp:docPr id="693990760" name="组合 14"/>
                <wp:cNvGraphicFramePr/>
                <a:graphic xmlns:a="http://schemas.openxmlformats.org/drawingml/2006/main">
                  <a:graphicData uri="http://schemas.microsoft.com/office/word/2010/wordprocessingGroup">
                    <wpg:wgp>
                      <wpg:cNvGrpSpPr/>
                      <wpg:grpSpPr>
                        <a:xfrm>
                          <a:off x="0" y="0"/>
                          <a:ext cx="4265295" cy="1003935"/>
                          <a:chOff x="0" y="0"/>
                          <a:chExt cx="4265295" cy="1003935"/>
                        </a:xfrm>
                      </wpg:grpSpPr>
                      <wps:wsp>
                        <wps:cNvPr id="2025361044" name="直接连接符 3"/>
                        <wps:cNvCnPr>
                          <a:cxnSpLocks noChangeShapeType="1"/>
                        </wps:cNvCnPr>
                        <wps:spPr bwMode="auto">
                          <a:xfrm flipV="1">
                            <a:off x="3705225" y="123825"/>
                            <a:ext cx="635" cy="351790"/>
                          </a:xfrm>
                          <a:prstGeom prst="line">
                            <a:avLst/>
                          </a:prstGeom>
                          <a:noFill/>
                          <a:ln w="9525" cap="sq" cmpd="sng">
                            <a:solidFill>
                              <a:srgbClr val="000000"/>
                            </a:solidFill>
                            <a:prstDash val="sysDot"/>
                            <a:round/>
                            <a:tailEnd type="triangle" w="med" len="med"/>
                          </a:ln>
                        </wps:spPr>
                        <wps:bodyPr/>
                      </wps:wsp>
                      <wps:wsp>
                        <wps:cNvPr id="1176250198" name="直接连接符 4"/>
                        <wps:cNvCnPr>
                          <a:cxnSpLocks noChangeShapeType="1"/>
                        </wps:cNvCnPr>
                        <wps:spPr bwMode="auto">
                          <a:xfrm flipV="1">
                            <a:off x="2152650" y="152400"/>
                            <a:ext cx="635" cy="351790"/>
                          </a:xfrm>
                          <a:prstGeom prst="line">
                            <a:avLst/>
                          </a:prstGeom>
                          <a:noFill/>
                          <a:ln w="9525" cap="sq" cmpd="sng">
                            <a:solidFill>
                              <a:srgbClr val="000000"/>
                            </a:solidFill>
                            <a:prstDash val="sysDot"/>
                            <a:round/>
                            <a:tailEnd type="triangle" w="med" len="med"/>
                          </a:ln>
                        </wps:spPr>
                        <wps:bodyPr/>
                      </wps:wsp>
                      <wps:wsp>
                        <wps:cNvPr id="85572455" name="矩形 5"/>
                        <wps:cNvSpPr>
                          <a:spLocks noChangeArrowheads="1"/>
                        </wps:cNvSpPr>
                        <wps:spPr bwMode="auto">
                          <a:xfrm>
                            <a:off x="9525" y="533400"/>
                            <a:ext cx="1020445" cy="467360"/>
                          </a:xfrm>
                          <a:prstGeom prst="rect">
                            <a:avLst/>
                          </a:prstGeom>
                          <a:noFill/>
                          <a:ln w="15875" cmpd="sng">
                            <a:solidFill>
                              <a:srgbClr val="000000"/>
                            </a:solidFill>
                            <a:miter lim="800000"/>
                          </a:ln>
                        </wps:spPr>
                        <wps:txbx>
                          <w:txbxContent>
                            <w:p w14:paraId="1289AF65">
                              <w:pPr>
                                <w:jc w:val="center"/>
                                <w:rPr>
                                  <w:rFonts w:ascii="宋体" w:hAnsi="宋体"/>
                                  <w:szCs w:val="21"/>
                                </w:rPr>
                              </w:pPr>
                              <w:r>
                                <w:rPr>
                                  <w:rFonts w:hint="eastAsia" w:ascii="宋体" w:hAnsi="宋体"/>
                                  <w:szCs w:val="21"/>
                                </w:rPr>
                                <w:t>场地清理</w:t>
                              </w:r>
                            </w:p>
                          </w:txbxContent>
                        </wps:txbx>
                        <wps:bodyPr rot="0" vert="horz" wrap="square" lIns="36000" tIns="45720" rIns="0" bIns="45720" anchor="t" anchorCtr="0" upright="1">
                          <a:noAutofit/>
                        </wps:bodyPr>
                      </wps:wsp>
                      <wps:wsp>
                        <wps:cNvPr id="234006652" name="矩形 6"/>
                        <wps:cNvSpPr>
                          <a:spLocks noChangeArrowheads="1"/>
                        </wps:cNvSpPr>
                        <wps:spPr bwMode="auto">
                          <a:xfrm>
                            <a:off x="1495425" y="523875"/>
                            <a:ext cx="1303020" cy="478790"/>
                          </a:xfrm>
                          <a:prstGeom prst="rect">
                            <a:avLst/>
                          </a:prstGeom>
                          <a:noFill/>
                          <a:ln w="15875" cmpd="sng">
                            <a:solidFill>
                              <a:srgbClr val="000000"/>
                            </a:solidFill>
                            <a:miter lim="800000"/>
                          </a:ln>
                          <a:effectLst/>
                        </wps:spPr>
                        <wps:txbx>
                          <w:txbxContent>
                            <w:p w14:paraId="23CB52FB">
                              <w:pPr>
                                <w:jc w:val="center"/>
                                <w:rPr>
                                  <w:rFonts w:ascii="宋体" w:hAnsi="宋体"/>
                                  <w:szCs w:val="21"/>
                                </w:rPr>
                              </w:pPr>
                              <w:r>
                                <w:rPr>
                                  <w:rFonts w:hint="eastAsia" w:ascii="宋体" w:hAnsi="宋体"/>
                                  <w:szCs w:val="21"/>
                                </w:rPr>
                                <w:t>材料运输</w:t>
                              </w:r>
                            </w:p>
                          </w:txbxContent>
                        </wps:txbx>
                        <wps:bodyPr rot="0" vert="horz" wrap="square" lIns="0" tIns="45720" rIns="0" bIns="45720" anchor="t" anchorCtr="0" upright="1">
                          <a:noAutofit/>
                        </wps:bodyPr>
                      </wps:wsp>
                      <wps:wsp>
                        <wps:cNvPr id="847796814" name="矩形 7"/>
                        <wps:cNvSpPr>
                          <a:spLocks noChangeArrowheads="1"/>
                        </wps:cNvSpPr>
                        <wps:spPr bwMode="auto">
                          <a:xfrm>
                            <a:off x="3248025" y="495300"/>
                            <a:ext cx="962660" cy="508635"/>
                          </a:xfrm>
                          <a:prstGeom prst="rect">
                            <a:avLst/>
                          </a:prstGeom>
                          <a:noFill/>
                          <a:ln w="15875" cmpd="sng">
                            <a:solidFill>
                              <a:srgbClr val="000000"/>
                            </a:solidFill>
                            <a:miter lim="800000"/>
                          </a:ln>
                          <a:effectLst/>
                        </wps:spPr>
                        <wps:txbx>
                          <w:txbxContent>
                            <w:p w14:paraId="747C835D">
                              <w:pPr>
                                <w:rPr>
                                  <w:rFonts w:ascii="宋体" w:hAnsi="宋体"/>
                                  <w:szCs w:val="21"/>
                                </w:rPr>
                              </w:pPr>
                              <w:r>
                                <w:rPr>
                                  <w:rFonts w:hint="eastAsia" w:ascii="宋体" w:hAnsi="宋体"/>
                                  <w:szCs w:val="21"/>
                                </w:rPr>
                                <w:t>暂存池、排水沟施工</w:t>
                              </w:r>
                            </w:p>
                          </w:txbxContent>
                        </wps:txbx>
                        <wps:bodyPr rot="0" vert="horz" wrap="square" lIns="91440" tIns="45720" rIns="91440" bIns="45720" anchor="t" anchorCtr="0" upright="1">
                          <a:noAutofit/>
                        </wps:bodyPr>
                      </wps:wsp>
                      <wps:wsp>
                        <wps:cNvPr id="605305246" name="直接连接符 8"/>
                        <wps:cNvCnPr>
                          <a:cxnSpLocks noChangeShapeType="1"/>
                        </wps:cNvCnPr>
                        <wps:spPr bwMode="auto">
                          <a:xfrm>
                            <a:off x="1038225" y="733425"/>
                            <a:ext cx="457200" cy="635"/>
                          </a:xfrm>
                          <a:prstGeom prst="line">
                            <a:avLst/>
                          </a:prstGeom>
                          <a:noFill/>
                          <a:ln w="9525" cmpd="sng">
                            <a:solidFill>
                              <a:srgbClr val="000000"/>
                            </a:solidFill>
                            <a:round/>
                            <a:tailEnd type="triangle" w="med" len="med"/>
                          </a:ln>
                        </wps:spPr>
                        <wps:bodyPr/>
                      </wps:wsp>
                      <wps:wsp>
                        <wps:cNvPr id="1346590378" name="矩形 11"/>
                        <wps:cNvSpPr>
                          <a:spLocks noChangeArrowheads="1"/>
                        </wps:cNvSpPr>
                        <wps:spPr bwMode="auto">
                          <a:xfrm>
                            <a:off x="0" y="0"/>
                            <a:ext cx="1131570" cy="298450"/>
                          </a:xfrm>
                          <a:prstGeom prst="rect">
                            <a:avLst/>
                          </a:prstGeom>
                          <a:noFill/>
                          <a:ln>
                            <a:noFill/>
                          </a:ln>
                        </wps:spPr>
                        <wps:txbx>
                          <w:txbxContent>
                            <w:p w14:paraId="24871678">
                              <w:pPr>
                                <w:jc w:val="center"/>
                                <w:rPr>
                                  <w:rFonts w:ascii="宋体" w:hAnsi="宋体"/>
                                  <w:szCs w:val="21"/>
                                </w:rPr>
                              </w:pPr>
                              <w:r>
                                <w:rPr>
                                  <w:rFonts w:hint="eastAsia" w:ascii="宋体" w:hAnsi="宋体"/>
                                  <w:szCs w:val="21"/>
                                </w:rPr>
                                <w:t>废气、噪声、固废</w:t>
                              </w:r>
                            </w:p>
                          </w:txbxContent>
                        </wps:txbx>
                        <wps:bodyPr rot="0" vert="horz" wrap="square" lIns="0" tIns="0" rIns="0" bIns="0" anchor="t" anchorCtr="0" upright="1">
                          <a:noAutofit/>
                        </wps:bodyPr>
                      </wps:wsp>
                      <wps:wsp>
                        <wps:cNvPr id="812969663" name="矩形 12"/>
                        <wps:cNvSpPr>
                          <a:spLocks noChangeArrowheads="1"/>
                        </wps:cNvSpPr>
                        <wps:spPr bwMode="auto">
                          <a:xfrm>
                            <a:off x="1581150" y="0"/>
                            <a:ext cx="1131570" cy="298450"/>
                          </a:xfrm>
                          <a:prstGeom prst="rect">
                            <a:avLst/>
                          </a:prstGeom>
                          <a:noFill/>
                          <a:ln>
                            <a:noFill/>
                          </a:ln>
                        </wps:spPr>
                        <wps:txbx>
                          <w:txbxContent>
                            <w:p w14:paraId="66CF88E3">
                              <w:pPr>
                                <w:jc w:val="center"/>
                                <w:rPr>
                                  <w:rFonts w:ascii="宋体" w:hAnsi="宋体"/>
                                  <w:szCs w:val="21"/>
                                </w:rPr>
                              </w:pPr>
                              <w:r>
                                <w:rPr>
                                  <w:rFonts w:hint="eastAsia" w:ascii="宋体" w:hAnsi="宋体"/>
                                  <w:szCs w:val="21"/>
                                </w:rPr>
                                <w:t>废气、噪声</w:t>
                              </w:r>
                            </w:p>
                          </w:txbxContent>
                        </wps:txbx>
                        <wps:bodyPr rot="0" vert="horz" wrap="square" lIns="0" tIns="0" rIns="0" bIns="0" anchor="t" anchorCtr="0" upright="1">
                          <a:noAutofit/>
                        </wps:bodyPr>
                      </wps:wsp>
                      <wps:wsp>
                        <wps:cNvPr id="2063581465" name="矩形 13"/>
                        <wps:cNvSpPr>
                          <a:spLocks noChangeArrowheads="1"/>
                        </wps:cNvSpPr>
                        <wps:spPr bwMode="auto">
                          <a:xfrm>
                            <a:off x="3133725" y="0"/>
                            <a:ext cx="1131570" cy="298450"/>
                          </a:xfrm>
                          <a:prstGeom prst="rect">
                            <a:avLst/>
                          </a:prstGeom>
                          <a:noFill/>
                          <a:ln>
                            <a:noFill/>
                          </a:ln>
                        </wps:spPr>
                        <wps:txbx>
                          <w:txbxContent>
                            <w:p w14:paraId="25AF12EA">
                              <w:pPr>
                                <w:jc w:val="center"/>
                                <w:rPr>
                                  <w:rFonts w:ascii="宋体" w:hAnsi="宋体"/>
                                  <w:szCs w:val="21"/>
                                </w:rPr>
                              </w:pPr>
                              <w:r>
                                <w:rPr>
                                  <w:rFonts w:hint="eastAsia" w:ascii="宋体" w:hAnsi="宋体"/>
                                  <w:szCs w:val="21"/>
                                </w:rPr>
                                <w:t>废气、噪声、固废</w:t>
                              </w:r>
                            </w:p>
                          </w:txbxContent>
                        </wps:txbx>
                        <wps:bodyPr rot="0" vert="horz" wrap="square" lIns="0" tIns="0" rIns="0" bIns="0" anchor="t" anchorCtr="0" upright="1">
                          <a:noAutofit/>
                        </wps:bodyPr>
                      </wps:wsp>
                      <wps:wsp>
                        <wps:cNvPr id="450631194" name="直接连接符 10"/>
                        <wps:cNvCnPr>
                          <a:cxnSpLocks noChangeShapeType="1"/>
                        </wps:cNvCnPr>
                        <wps:spPr bwMode="auto">
                          <a:xfrm flipV="1">
                            <a:off x="533400" y="180975"/>
                            <a:ext cx="635" cy="351790"/>
                          </a:xfrm>
                          <a:prstGeom prst="line">
                            <a:avLst/>
                          </a:prstGeom>
                          <a:noFill/>
                          <a:ln w="9525" cap="sq" cmpd="sng">
                            <a:solidFill>
                              <a:srgbClr val="000000"/>
                            </a:solidFill>
                            <a:prstDash val="sysDot"/>
                            <a:round/>
                            <a:tailEnd type="triangle" w="med" len="med"/>
                          </a:ln>
                        </wps:spPr>
                        <wps:bodyPr/>
                      </wps:wsp>
                      <wps:wsp>
                        <wps:cNvPr id="1846592063" name="直接连接符 9"/>
                        <wps:cNvCnPr>
                          <a:cxnSpLocks noChangeShapeType="1"/>
                        </wps:cNvCnPr>
                        <wps:spPr bwMode="auto">
                          <a:xfrm>
                            <a:off x="2800350" y="723900"/>
                            <a:ext cx="429895" cy="635"/>
                          </a:xfrm>
                          <a:prstGeom prst="line">
                            <a:avLst/>
                          </a:prstGeom>
                          <a:noFill/>
                          <a:ln w="9525" cmpd="sng">
                            <a:solidFill>
                              <a:srgbClr val="000000"/>
                            </a:solidFill>
                            <a:round/>
                            <a:tailEnd type="triangle" w="med" len="med"/>
                          </a:ln>
                        </wps:spPr>
                        <wps:bodyPr/>
                      </wps:wsp>
                    </wpg:wgp>
                  </a:graphicData>
                </a:graphic>
              </wp:anchor>
            </w:drawing>
          </mc:Choice>
          <mc:Fallback>
            <w:pict>
              <v:group id="组合 14" o:spid="_x0000_s1026" o:spt="203" style="position:absolute;left:0pt;margin-left:52.5pt;margin-top:13.9pt;height:79.05pt;width:335.85pt;z-index:251667456;mso-width-relative:page;mso-height-relative:page;" coordsize="4265295,1003935" o:gfxdata="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">
                <o:lock v:ext="edit" aspectratio="f"/>
                <v:line id="直接连接符 3" o:spid="_x0000_s1026" o:spt="20" style="position:absolute;left:3705225;top:123825;flip:y;height:351790;width:635;" filled="f" stroked="t" coordsize="21600,21600" o:gfxdata="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QuYldxgAAAOMAAAAPAAAAAAAAAAEAIAAAACIAAABkcnMvZG93bnJldi54bWxQSwECFAAUAAAA&#10;CACHTuJAMy8FnjsAAAA5AAAAEAAAAAAAAAABACAAAAAVAQAAZHJzL3NoYXBleG1sLnhtbFBLBQYA&#10;AAAABgAGAFsBAAC/AwAAAAA=&#10;">
                  <v:fill on="f" focussize="0,0"/>
                  <v:stroke color="#000000" joinstyle="round" dashstyle="1 1" endcap="square" endarrow="block"/>
                  <v:imagedata o:title=""/>
                  <o:lock v:ext="edit" aspectratio="f"/>
                </v:line>
                <v:line id="直接连接符 4" o:spid="_x0000_s1026" o:spt="20" style="position:absolute;left:2152650;top:152400;flip:y;height:351790;width:635;" filled="f" stroked="t" coordsize="21600,21600" o:gfxdata="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A9OEBfxgAAAOMAAAAPAAAAAAAAAAEAIAAAACIAAABkcnMvZG93bnJldi54bWxQSwECFAAUAAAA&#10;CACHTuJAMy8FnjsAAAA5AAAAEAAAAAAAAAABACAAAAAVAQAAZHJzL3NoYXBleG1sLnhtbFBLBQYA&#10;AAAABgAGAFsBAAC/AwAAAAA=&#10;">
                  <v:fill on="f" focussize="0,0"/>
                  <v:stroke color="#000000" joinstyle="round" dashstyle="1 1" endcap="square" endarrow="block"/>
                  <v:imagedata o:title=""/>
                  <o:lock v:ext="edit" aspectratio="f"/>
                </v:line>
                <v:rect id="矩形 5" o:spid="_x0000_s1026" o:spt="1" style="position:absolute;left:9525;top:533400;height:467360;width:1020445;" filled="f" stroked="t" coordsize="21600,21600" o:gfxdata="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Co&#10;xeWxwwAAAOEAAAAPAAAAAAAAAAEAIAAAACIAAABkcnMvZG93bnJldi54bWxQSwECFAAUAAAACACH&#10;TuJAMy8FnjsAAAA5AAAAEAAAAAAAAAABACAAAAASAQAAZHJzL3NoYXBleG1sLnhtbFBLBQYAAAAA&#10;BgAGAFsBAAC8AwAAAAA=&#10;">
                  <v:fill on="f" focussize="0,0"/>
                  <v:stroke weight="1.25pt" color="#000000" miterlimit="8" joinstyle="miter"/>
                  <v:imagedata o:title=""/>
                  <o:lock v:ext="edit" aspectratio="f"/>
                  <v:textbox inset="1mm,1.27mm,0mm,1.27mm">
                    <w:txbxContent>
                      <w:p w14:paraId="1289AF65">
                        <w:pPr>
                          <w:jc w:val="center"/>
                          <w:rPr>
                            <w:rFonts w:ascii="宋体" w:hAnsi="宋体"/>
                            <w:szCs w:val="21"/>
                          </w:rPr>
                        </w:pPr>
                        <w:r>
                          <w:rPr>
                            <w:rFonts w:hint="eastAsia" w:ascii="宋体" w:hAnsi="宋体"/>
                            <w:szCs w:val="21"/>
                          </w:rPr>
                          <w:t>场地清理</w:t>
                        </w:r>
                      </w:p>
                    </w:txbxContent>
                  </v:textbox>
                </v:rect>
                <v:rect id="矩形 6" o:spid="_x0000_s1026" o:spt="1" style="position:absolute;left:1495425;top:523875;height:478790;width:1303020;" filled="f" stroked="t" coordsize="21600,21600" o:gfxdata="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">
                  <v:fill on="f" focussize="0,0"/>
                  <v:stroke weight="1.25pt" color="#000000" miterlimit="8" joinstyle="miter"/>
                  <v:imagedata o:title=""/>
                  <o:lock v:ext="edit" aspectratio="f"/>
                  <v:textbox inset="0mm,1.27mm,0mm,1.27mm">
                    <w:txbxContent>
                      <w:p w14:paraId="23CB52FB">
                        <w:pPr>
                          <w:jc w:val="center"/>
                          <w:rPr>
                            <w:rFonts w:ascii="宋体" w:hAnsi="宋体"/>
                            <w:szCs w:val="21"/>
                          </w:rPr>
                        </w:pPr>
                        <w:r>
                          <w:rPr>
                            <w:rFonts w:hint="eastAsia" w:ascii="宋体" w:hAnsi="宋体"/>
                            <w:szCs w:val="21"/>
                          </w:rPr>
                          <w:t>材料运输</w:t>
                        </w:r>
                      </w:p>
                    </w:txbxContent>
                  </v:textbox>
                </v:rect>
                <v:rect id="矩形 7" o:spid="_x0000_s1026" o:spt="1" style="position:absolute;left:3248025;top:495300;height:508635;width:962660;" filled="f" stroked="t" coordsize="21600,21600" o:gfxdata="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KXm&#10;58bCAAAA4gAAAA8AAAAAAAAAAQAgAAAAIgAAAGRycy9kb3ducmV2LnhtbFBLAQIUABQAAAAIAIdO&#10;4kAzLwWeOwAAADkAAAAQAAAAAAAAAAEAIAAAABEBAABkcnMvc2hhcGV4bWwueG1sUEsFBgAAAAAG&#10;AAYAWwEAALsDAAAAAA==&#10;">
                  <v:fill on="f" focussize="0,0"/>
                  <v:stroke weight="1.25pt" color="#000000" miterlimit="8" joinstyle="miter"/>
                  <v:imagedata o:title=""/>
                  <o:lock v:ext="edit" aspectratio="f"/>
                  <v:textbox>
                    <w:txbxContent>
                      <w:p w14:paraId="747C835D">
                        <w:pPr>
                          <w:rPr>
                            <w:rFonts w:ascii="宋体" w:hAnsi="宋体"/>
                            <w:szCs w:val="21"/>
                          </w:rPr>
                        </w:pPr>
                        <w:r>
                          <w:rPr>
                            <w:rFonts w:hint="eastAsia" w:ascii="宋体" w:hAnsi="宋体"/>
                            <w:szCs w:val="21"/>
                          </w:rPr>
                          <w:t>暂存池、排水沟施工</w:t>
                        </w:r>
                      </w:p>
                    </w:txbxContent>
                  </v:textbox>
                </v:rect>
                <v:line id="直接连接符 8" o:spid="_x0000_s1026" o:spt="20" style="position:absolute;left:1038225;top:733425;height:635;width:457200;" filled="f" stroked="t" coordsize="21600,21600" o:gfxdata="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">
                  <v:fill on="f" focussize="0,0"/>
                  <v:stroke color="#000000" joinstyle="round" endarrow="block"/>
                  <v:imagedata o:title=""/>
                  <o:lock v:ext="edit" aspectratio="f"/>
                </v:line>
                <v:rect id="矩形 11" o:spid="_x0000_s1026" o:spt="1" style="position:absolute;left:0;top:0;height:298450;width:1131570;" filled="f" stroked="f" coordsize="21600,21600" o:gfxdata="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Bkz0dExgAAAOMAAAAPAAAAAAAAAAEAIAAAACIAAABkcnMvZG93bnJldi54bWxQSwECFAAUAAAA&#10;CACHTuJAMy8FnjsAAAA5AAAAEAAAAAAAAAABACAAAAAVAQAAZHJzL3NoYXBleG1sLnhtbFBLBQYA&#10;AAAABgAGAFsBAAC/AwAAAAA=&#10;">
                  <v:fill on="f" focussize="0,0"/>
                  <v:stroke on="f"/>
                  <v:imagedata o:title=""/>
                  <o:lock v:ext="edit" aspectratio="f"/>
                  <v:textbox inset="0mm,0mm,0mm,0mm">
                    <w:txbxContent>
                      <w:p w14:paraId="24871678">
                        <w:pPr>
                          <w:jc w:val="center"/>
                          <w:rPr>
                            <w:rFonts w:ascii="宋体" w:hAnsi="宋体"/>
                            <w:szCs w:val="21"/>
                          </w:rPr>
                        </w:pPr>
                        <w:r>
                          <w:rPr>
                            <w:rFonts w:hint="eastAsia" w:ascii="宋体" w:hAnsi="宋体"/>
                            <w:szCs w:val="21"/>
                          </w:rPr>
                          <w:t>废气、噪声、固废</w:t>
                        </w:r>
                      </w:p>
                    </w:txbxContent>
                  </v:textbox>
                </v:rect>
                <v:rect id="矩形 12" o:spid="_x0000_s1026" o:spt="1" style="position:absolute;left:1581150;top:0;height:298450;width:1131570;" filled="f" stroked="f" coordsize="21600,21600" o:gfxdata="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AC&#10;l5hBwwAAAOIAAAAPAAAAAAAAAAEAIAAAACIAAABkcnMvZG93bnJldi54bWxQSwECFAAUAAAACACH&#10;TuJAMy8FnjsAAAA5AAAAEAAAAAAAAAABACAAAAASAQAAZHJzL3NoYXBleG1sLnhtbFBLBQYAAAAA&#10;BgAGAFsBAAC8AwAAAAA=&#10;">
                  <v:fill on="f" focussize="0,0"/>
                  <v:stroke on="f"/>
                  <v:imagedata o:title=""/>
                  <o:lock v:ext="edit" aspectratio="f"/>
                  <v:textbox inset="0mm,0mm,0mm,0mm">
                    <w:txbxContent>
                      <w:p w14:paraId="66CF88E3">
                        <w:pPr>
                          <w:jc w:val="center"/>
                          <w:rPr>
                            <w:rFonts w:ascii="宋体" w:hAnsi="宋体"/>
                            <w:szCs w:val="21"/>
                          </w:rPr>
                        </w:pPr>
                        <w:r>
                          <w:rPr>
                            <w:rFonts w:hint="eastAsia" w:ascii="宋体" w:hAnsi="宋体"/>
                            <w:szCs w:val="21"/>
                          </w:rPr>
                          <w:t>废气、噪声</w:t>
                        </w:r>
                      </w:p>
                    </w:txbxContent>
                  </v:textbox>
                </v:rect>
                <v:rect id="矩形 13" o:spid="_x0000_s1026" o:spt="1" style="position:absolute;left:3133725;top:0;height:298450;width:1131570;" filled="f" stroked="f" coordsize="21600,21600" o:gfxdata="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JX9kxxgAAAOMAAAAPAAAAAAAAAAEAIAAAACIAAABkcnMvZG93bnJldi54bWxQSwECFAAUAAAA&#10;CACHTuJAMy8FnjsAAAA5AAAAEAAAAAAAAAABACAAAAAVAQAAZHJzL3NoYXBleG1sLnhtbFBLBQYA&#10;AAAABgAGAFsBAAC/AwAAAAA=&#10;">
                  <v:fill on="f" focussize="0,0"/>
                  <v:stroke on="f"/>
                  <v:imagedata o:title=""/>
                  <o:lock v:ext="edit" aspectratio="f"/>
                  <v:textbox inset="0mm,0mm,0mm,0mm">
                    <w:txbxContent>
                      <w:p w14:paraId="25AF12EA">
                        <w:pPr>
                          <w:jc w:val="center"/>
                          <w:rPr>
                            <w:rFonts w:ascii="宋体" w:hAnsi="宋体"/>
                            <w:szCs w:val="21"/>
                          </w:rPr>
                        </w:pPr>
                        <w:r>
                          <w:rPr>
                            <w:rFonts w:hint="eastAsia" w:ascii="宋体" w:hAnsi="宋体"/>
                            <w:szCs w:val="21"/>
                          </w:rPr>
                          <w:t>废气、噪声、固废</w:t>
                        </w:r>
                      </w:p>
                    </w:txbxContent>
                  </v:textbox>
                </v:rect>
                <v:line id="直接连接符 10" o:spid="_x0000_s1026" o:spt="20" style="position:absolute;left:533400;top:180975;flip:y;height:351790;width:635;" filled="f" stroked="t" coordsize="21600,21600" o:gfxdata="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">
                  <v:fill on="f" focussize="0,0"/>
                  <v:stroke color="#000000" joinstyle="round" dashstyle="1 1" endcap="square" endarrow="block"/>
                  <v:imagedata o:title=""/>
                  <o:lock v:ext="edit" aspectratio="f"/>
                </v:line>
                <v:line id="直接连接符 9" o:spid="_x0000_s1026" o:spt="20" style="position:absolute;left:2800350;top:723900;height:635;width:429895;" filled="f" stroked="t" coordsize="21600,21600" o:gfxdata="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Bq&#10;KtB+wwAAAOMAAAAPAAAAAAAAAAEAIAAAACIAAABkcnMvZG93bnJldi54bWxQSwECFAAUAAAACACH&#10;TuJAMy8FnjsAAAA5AAAAEAAAAAAAAAABACAAAAASAQAAZHJzL3NoYXBleG1sLnhtbFBLBQYAAAAA&#10;BgAGAFsBAAC8AwAAAAA=&#10;">
                  <v:fill on="f" focussize="0,0"/>
                  <v:stroke color="#000000" joinstyle="round" endarrow="block"/>
                  <v:imagedata o:title=""/>
                  <o:lock v:ext="edit" aspectratio="f"/>
                </v:line>
              </v:group>
            </w:pict>
          </mc:Fallback>
        </mc:AlternateContent>
      </w:r>
    </w:p>
    <w:p w14:paraId="737CD5EF">
      <w:pPr>
        <w:pStyle w:val="59"/>
        <w:ind w:firstLine="480"/>
        <w:rPr>
          <w:color w:val="auto"/>
        </w:rPr>
      </w:pPr>
    </w:p>
    <w:p w14:paraId="11FE6C1B">
      <w:pPr>
        <w:pStyle w:val="59"/>
        <w:ind w:firstLine="480"/>
        <w:rPr>
          <w:color w:val="auto"/>
        </w:rPr>
      </w:pPr>
    </w:p>
    <w:p w14:paraId="266F5A15">
      <w:pPr>
        <w:pStyle w:val="59"/>
        <w:ind w:firstLine="480"/>
        <w:rPr>
          <w:color w:val="auto"/>
        </w:rPr>
      </w:pPr>
    </w:p>
    <w:p w14:paraId="6F409285">
      <w:pPr>
        <w:pStyle w:val="76"/>
        <w:rPr>
          <w:color w:val="auto"/>
        </w:rPr>
      </w:pPr>
      <w:r>
        <w:rPr>
          <w:rFonts w:hint="eastAsia"/>
          <w:color w:val="auto"/>
        </w:rPr>
        <w:t>图</w:t>
      </w:r>
      <w:r>
        <w:rPr>
          <w:color w:val="auto"/>
        </w:rPr>
        <w:t>3-2-1</w:t>
      </w:r>
      <w:r>
        <w:rPr>
          <w:rFonts w:hint="eastAsia"/>
          <w:color w:val="auto"/>
        </w:rPr>
        <w:t>施工期流程图</w:t>
      </w:r>
    </w:p>
    <w:p w14:paraId="28CA6F50">
      <w:pPr>
        <w:pStyle w:val="137"/>
        <w:rPr>
          <w:color w:val="auto"/>
        </w:rPr>
      </w:pPr>
      <w:bookmarkStart w:id="96" w:name="_Toc119316797"/>
      <w:r>
        <w:rPr>
          <w:color w:val="auto"/>
        </w:rPr>
        <w:t>3.</w:t>
      </w:r>
      <w:r>
        <w:rPr>
          <w:rFonts w:hint="eastAsia"/>
          <w:color w:val="auto"/>
        </w:rPr>
        <w:t>2</w:t>
      </w:r>
      <w:r>
        <w:rPr>
          <w:color w:val="auto"/>
        </w:rPr>
        <w:t>.2</w:t>
      </w:r>
      <w:r>
        <w:rPr>
          <w:rFonts w:hint="eastAsia"/>
          <w:color w:val="auto"/>
        </w:rPr>
        <w:t>回填</w:t>
      </w:r>
      <w:r>
        <w:rPr>
          <w:color w:val="auto"/>
        </w:rPr>
        <w:t>作业工艺</w:t>
      </w:r>
      <w:bookmarkEnd w:id="96"/>
    </w:p>
    <w:p w14:paraId="427C16C1">
      <w:pPr>
        <w:pStyle w:val="59"/>
        <w:ind w:firstLine="480"/>
        <w:rPr>
          <w:color w:val="auto"/>
        </w:rPr>
      </w:pPr>
      <w:r>
        <w:rPr>
          <w:rFonts w:hint="eastAsia"/>
          <w:color w:val="auto"/>
        </w:rPr>
        <w:t>本项目</w:t>
      </w:r>
      <w:r>
        <w:rPr>
          <w:rFonts w:hint="eastAsia"/>
          <w:color w:val="auto"/>
          <w:lang w:eastAsia="zh-CN"/>
        </w:rPr>
        <w:t>灰渣</w:t>
      </w:r>
      <w:r>
        <w:rPr>
          <w:rFonts w:hint="eastAsia"/>
          <w:color w:val="auto"/>
        </w:rPr>
        <w:t>由</w:t>
      </w:r>
      <w:r>
        <w:rPr>
          <w:rFonts w:hint="eastAsia"/>
          <w:snapToGrid w:val="0"/>
          <w:color w:val="auto"/>
          <w:lang w:val="en-US" w:eastAsia="zh-CN"/>
        </w:rPr>
        <w:t>鸡东县嘉翼商贸有限公司</w:t>
      </w:r>
      <w:r>
        <w:rPr>
          <w:rFonts w:hint="eastAsia"/>
          <w:color w:val="auto"/>
        </w:rPr>
        <w:t>负责运输至回填区堆填作业面。环评要求</w:t>
      </w:r>
      <w:r>
        <w:rPr>
          <w:rFonts w:hint="eastAsia"/>
          <w:color w:val="auto"/>
          <w:lang w:eastAsia="zh-CN"/>
        </w:rPr>
        <w:t>灰渣</w:t>
      </w:r>
      <w:r>
        <w:rPr>
          <w:rFonts w:hint="eastAsia"/>
          <w:color w:val="auto"/>
        </w:rPr>
        <w:t>收运</w:t>
      </w:r>
      <w:r>
        <w:rPr>
          <w:rFonts w:hint="eastAsia"/>
          <w:color w:val="auto"/>
          <w:lang w:eastAsia="zh-CN"/>
        </w:rPr>
        <w:t>时</w:t>
      </w:r>
      <w:r>
        <w:rPr>
          <w:rFonts w:hint="eastAsia"/>
          <w:color w:val="auto"/>
        </w:rPr>
        <w:t>由密闭运输车完成。根据固废减量化、资源化、无害化原则，本项目一般工业固体废物处理采用场内分区回填的方式进行作业。</w:t>
      </w:r>
    </w:p>
    <w:p w14:paraId="39AF60B5">
      <w:pPr>
        <w:pStyle w:val="59"/>
        <w:ind w:firstLine="480"/>
        <w:rPr>
          <w:color w:val="auto"/>
        </w:rPr>
      </w:pPr>
      <w:r>
        <w:rPr>
          <w:rFonts w:hint="eastAsia"/>
          <w:color w:val="auto"/>
          <w:lang w:eastAsia="zh-CN"/>
        </w:rPr>
        <w:t>灰渣</w:t>
      </w:r>
      <w:r>
        <w:rPr>
          <w:rFonts w:hint="eastAsia"/>
          <w:color w:val="auto"/>
        </w:rPr>
        <w:t>的回填作业工艺流程为：卸料、推铺、洒水、压实、覆盖。</w:t>
      </w:r>
      <w:r>
        <w:rPr>
          <w:rFonts w:hint="eastAsia"/>
          <w:color w:val="auto"/>
          <w:lang w:eastAsia="zh-CN"/>
        </w:rPr>
        <w:t>灰渣</w:t>
      </w:r>
      <w:r>
        <w:rPr>
          <w:rFonts w:hint="eastAsia"/>
          <w:color w:val="auto"/>
        </w:rPr>
        <w:t>运输车将废物运输进入回填区，在管理人员的指挥下，进行卸料，推土机将废物摊铺推平后，由洒水车进行洒水降尘作业，之后压实机进行压实处理，可防止废物水分过快挥发并起到降尘作用</w:t>
      </w:r>
      <w:r>
        <w:rPr>
          <w:color w:val="auto"/>
        </w:rPr>
        <w:t>。</w:t>
      </w:r>
    </w:p>
    <w:p w14:paraId="404D99BA">
      <w:pPr>
        <w:pStyle w:val="59"/>
        <w:ind w:firstLine="480"/>
        <w:rPr>
          <w:color w:val="auto"/>
        </w:rPr>
      </w:pPr>
      <w:r>
        <w:rPr>
          <w:color w:val="auto"/>
        </w:rPr>
        <w:t>（1）</w:t>
      </w:r>
      <w:r>
        <w:rPr>
          <w:rFonts w:hint="eastAsia"/>
          <w:color w:val="auto"/>
          <w:lang w:eastAsia="zh-CN"/>
        </w:rPr>
        <w:t>灰渣</w:t>
      </w:r>
      <w:r>
        <w:rPr>
          <w:rFonts w:hint="eastAsia"/>
          <w:color w:val="auto"/>
        </w:rPr>
        <w:t>等</w:t>
      </w:r>
      <w:r>
        <w:rPr>
          <w:color w:val="auto"/>
        </w:rPr>
        <w:t>的运输、装卸</w:t>
      </w:r>
    </w:p>
    <w:p w14:paraId="7F0D1A53">
      <w:pPr>
        <w:pStyle w:val="59"/>
        <w:ind w:firstLine="480"/>
        <w:rPr>
          <w:color w:val="auto"/>
        </w:rPr>
      </w:pPr>
      <w:r>
        <w:rPr>
          <w:rFonts w:hint="eastAsia"/>
          <w:color w:val="auto"/>
          <w:lang w:eastAsia="zh-CN"/>
        </w:rPr>
        <w:t>灰渣</w:t>
      </w:r>
      <w:r>
        <w:rPr>
          <w:rFonts w:hint="eastAsia"/>
          <w:color w:val="auto"/>
        </w:rPr>
        <w:t>出厂前会进行调湿，调湿至含水率2</w:t>
      </w:r>
      <w:r>
        <w:rPr>
          <w:color w:val="auto"/>
        </w:rPr>
        <w:t>0%</w:t>
      </w:r>
      <w:r>
        <w:rPr>
          <w:rFonts w:hint="eastAsia"/>
          <w:color w:val="auto"/>
        </w:rPr>
        <w:t>左右，由运输车封闭运至本项目回填区。运输车辆进入场地后按指定地点卸灰；运来的</w:t>
      </w:r>
      <w:r>
        <w:rPr>
          <w:rFonts w:hint="eastAsia"/>
          <w:color w:val="auto"/>
          <w:lang w:eastAsia="zh-CN"/>
        </w:rPr>
        <w:t>灰渣</w:t>
      </w:r>
      <w:r>
        <w:rPr>
          <w:rFonts w:hint="eastAsia"/>
          <w:color w:val="auto"/>
        </w:rPr>
        <w:t>及时推平，碾压平整，保证不留存。</w:t>
      </w:r>
    </w:p>
    <w:p w14:paraId="609DF9B1">
      <w:pPr>
        <w:pStyle w:val="59"/>
        <w:ind w:firstLine="480"/>
        <w:rPr>
          <w:color w:val="auto"/>
        </w:rPr>
      </w:pPr>
      <w:r>
        <w:rPr>
          <w:color w:val="auto"/>
        </w:rPr>
        <w:t>（2）碾压</w:t>
      </w:r>
    </w:p>
    <w:p w14:paraId="1511E9C3">
      <w:pPr>
        <w:pStyle w:val="59"/>
        <w:ind w:firstLine="480"/>
        <w:rPr>
          <w:color w:val="auto"/>
        </w:rPr>
      </w:pPr>
      <w:r>
        <w:rPr>
          <w:rFonts w:hint="eastAsia"/>
          <w:color w:val="auto"/>
        </w:rPr>
        <w:t>采用汽车将掺合一定水分的固废</w:t>
      </w:r>
      <w:r>
        <w:rPr>
          <w:color w:val="auto"/>
        </w:rPr>
        <w:t>(调湿灰含水率为20%</w:t>
      </w:r>
      <w:r>
        <w:rPr>
          <w:rFonts w:hint="eastAsia"/>
          <w:color w:val="auto"/>
        </w:rPr>
        <w:t>左右</w:t>
      </w:r>
      <w:r>
        <w:rPr>
          <w:color w:val="auto"/>
        </w:rPr>
        <w:t>)，从厂区直接运入</w:t>
      </w:r>
      <w:r>
        <w:rPr>
          <w:rFonts w:hint="eastAsia"/>
          <w:color w:val="auto"/>
        </w:rPr>
        <w:t>治理区，汽车将</w:t>
      </w:r>
      <w:r>
        <w:rPr>
          <w:rFonts w:hint="eastAsia"/>
          <w:color w:val="auto"/>
          <w:lang w:eastAsia="zh-CN"/>
        </w:rPr>
        <w:t>灰渣</w:t>
      </w:r>
      <w:r>
        <w:rPr>
          <w:rFonts w:hint="eastAsia"/>
          <w:color w:val="auto"/>
        </w:rPr>
        <w:t>由入场口进入，通过场内临时道路运至作业区，汽车将调湿的</w:t>
      </w:r>
      <w:r>
        <w:rPr>
          <w:rFonts w:hint="eastAsia"/>
          <w:color w:val="auto"/>
          <w:lang w:eastAsia="zh-CN"/>
        </w:rPr>
        <w:t>灰渣</w:t>
      </w:r>
      <w:r>
        <w:rPr>
          <w:rFonts w:hint="eastAsia"/>
          <w:color w:val="auto"/>
        </w:rPr>
        <w:t>缓慢卸至作业区，采用推土机推摊碾平，堆而贮之。整个填筑应根据碾压设备，事先做现场碾压试验，确定铺层厚度，碾压遍数。根据试验结论，方可大面积施工。压实机</w:t>
      </w:r>
      <w:r>
        <w:rPr>
          <w:color w:val="auto"/>
        </w:rPr>
        <w:t>采用进退错距法和振静结合碾压，碾压</w:t>
      </w:r>
      <w:r>
        <w:rPr>
          <w:rFonts w:hint="eastAsia"/>
          <w:color w:val="auto"/>
        </w:rPr>
        <w:t>质量按设计要求严格控制。</w:t>
      </w:r>
    </w:p>
    <w:p w14:paraId="26AFA681">
      <w:pPr>
        <w:pStyle w:val="59"/>
        <w:ind w:firstLine="480"/>
        <w:rPr>
          <w:color w:val="auto"/>
        </w:rPr>
      </w:pPr>
      <w:r>
        <w:rPr>
          <w:rFonts w:hint="eastAsia"/>
          <w:color w:val="auto"/>
        </w:rPr>
        <w:t>（3）摊铺</w:t>
      </w:r>
    </w:p>
    <w:p w14:paraId="43A8A3A9">
      <w:pPr>
        <w:pStyle w:val="59"/>
        <w:ind w:firstLine="480"/>
        <w:rPr>
          <w:color w:val="auto"/>
        </w:rPr>
      </w:pPr>
      <w:bookmarkStart w:id="97" w:name="_Hlk40135273"/>
      <w:r>
        <w:rPr>
          <w:color w:val="auto"/>
        </w:rPr>
        <w:t>可依据原有地形坡度对</w:t>
      </w:r>
      <w:r>
        <w:rPr>
          <w:rFonts w:hint="eastAsia"/>
          <w:color w:val="auto"/>
        </w:rPr>
        <w:t>废弃采坑</w:t>
      </w:r>
      <w:r>
        <w:rPr>
          <w:color w:val="auto"/>
        </w:rPr>
        <w:t>进行分区块回填</w:t>
      </w:r>
      <w:bookmarkEnd w:id="97"/>
      <w:r>
        <w:rPr>
          <w:color w:val="auto"/>
        </w:rPr>
        <w:t>，</w:t>
      </w:r>
      <w:r>
        <w:rPr>
          <w:rFonts w:hint="eastAsia"/>
          <w:color w:val="auto"/>
        </w:rPr>
        <w:t>由南向北</w:t>
      </w:r>
      <w:r>
        <w:rPr>
          <w:color w:val="auto"/>
          <w:lang w:bidi="ar"/>
        </w:rPr>
        <w:t>将回填作业区划分</w:t>
      </w:r>
      <w:r>
        <w:rPr>
          <w:rFonts w:hint="eastAsia"/>
          <w:color w:val="auto"/>
          <w:lang w:bidi="ar"/>
        </w:rPr>
        <w:t>3</w:t>
      </w:r>
      <w:r>
        <w:rPr>
          <w:color w:val="auto"/>
          <w:lang w:bidi="ar"/>
        </w:rPr>
        <w:t>个区域，然后按顺序逐区进行单元回填作业，</w:t>
      </w:r>
      <w:r>
        <w:rPr>
          <w:rFonts w:hint="eastAsia"/>
          <w:color w:val="auto"/>
          <w:lang w:bidi="ar"/>
        </w:rPr>
        <w:t>三部分之间不做分区坝。</w:t>
      </w:r>
      <w:r>
        <w:rPr>
          <w:color w:val="auto"/>
          <w:lang w:bidi="ar"/>
        </w:rPr>
        <w:t>标准单元由每天回填的</w:t>
      </w:r>
      <w:r>
        <w:rPr>
          <w:rFonts w:hint="eastAsia"/>
          <w:color w:val="auto"/>
          <w:lang w:eastAsia="zh-CN" w:bidi="ar"/>
        </w:rPr>
        <w:t>灰渣</w:t>
      </w:r>
      <w:r>
        <w:rPr>
          <w:color w:val="auto"/>
          <w:lang w:bidi="ar"/>
        </w:rPr>
        <w:t>量决定</w:t>
      </w:r>
      <w:r>
        <w:rPr>
          <w:rFonts w:hint="eastAsia"/>
          <w:color w:val="auto"/>
          <w:lang w:bidi="ar"/>
        </w:rPr>
        <w:t>，</w:t>
      </w:r>
      <w:r>
        <w:rPr>
          <w:rFonts w:hint="eastAsia"/>
          <w:color w:val="auto"/>
          <w:lang w:eastAsia="zh-CN" w:bidi="ar"/>
        </w:rPr>
        <w:t>灰渣</w:t>
      </w:r>
      <w:r>
        <w:rPr>
          <w:rFonts w:hint="eastAsia"/>
          <w:color w:val="auto"/>
          <w:lang w:bidi="ar"/>
        </w:rPr>
        <w:t>回填量为每天</w:t>
      </w:r>
      <w:r>
        <w:rPr>
          <w:rFonts w:hint="eastAsia"/>
          <w:color w:val="auto"/>
          <w:lang w:val="en-US" w:eastAsia="zh-CN" w:bidi="ar"/>
        </w:rPr>
        <w:t>300m</w:t>
      </w:r>
      <w:r>
        <w:rPr>
          <w:rFonts w:hint="eastAsia"/>
          <w:color w:val="auto"/>
          <w:vertAlign w:val="superscript"/>
          <w:lang w:val="en-US" w:eastAsia="zh-CN" w:bidi="ar"/>
        </w:rPr>
        <w:t>3</w:t>
      </w:r>
      <w:r>
        <w:rPr>
          <w:rFonts w:hint="eastAsia"/>
          <w:color w:val="auto"/>
          <w:lang w:bidi="ar"/>
        </w:rPr>
        <w:t>/d，为减少摊铺过程中产生的扬尘，并减少雨水渗透量，并方便施工机械及施工作业方便，单元大小一般以一日一层作业量计算，回填区域划分为近似矩形网格，拟定作业单元面积</w:t>
      </w:r>
      <w:r>
        <w:rPr>
          <w:rFonts w:hint="eastAsia"/>
          <w:color w:val="auto"/>
          <w:lang w:val="en-US" w:eastAsia="zh-CN" w:bidi="ar"/>
        </w:rPr>
        <w:t>400</w:t>
      </w:r>
      <w:r>
        <w:rPr>
          <w:rFonts w:hint="eastAsia"/>
          <w:color w:val="auto"/>
          <w:lang w:bidi="ar"/>
        </w:rPr>
        <w:t>m</w:t>
      </w:r>
      <w:r>
        <w:rPr>
          <w:color w:val="auto"/>
          <w:vertAlign w:val="superscript"/>
          <w:lang w:bidi="ar"/>
        </w:rPr>
        <w:t>2</w:t>
      </w:r>
      <w:r>
        <w:rPr>
          <w:rFonts w:hint="eastAsia"/>
          <w:color w:val="auto"/>
          <w:lang w:bidi="ar"/>
        </w:rPr>
        <w:t>，</w:t>
      </w:r>
      <w:r>
        <w:rPr>
          <w:rFonts w:hint="eastAsia"/>
          <w:color w:val="auto"/>
          <w:lang w:val="zh-CN"/>
        </w:rPr>
        <w:t>回填第二单元时，一边紧靠已填高的第一单元外</w:t>
      </w:r>
      <w:r>
        <w:rPr>
          <w:color w:val="auto"/>
          <w:lang w:val="zh-CN"/>
        </w:rPr>
        <w:t>。</w:t>
      </w:r>
    </w:p>
    <w:p w14:paraId="63F76B63">
      <w:pPr>
        <w:pStyle w:val="59"/>
        <w:ind w:firstLine="480"/>
        <w:rPr>
          <w:color w:val="auto"/>
          <w:lang w:val="zh-CN"/>
        </w:rPr>
      </w:pPr>
      <w:r>
        <w:rPr>
          <w:color w:val="auto"/>
          <w:lang w:bidi="ar"/>
        </w:rPr>
        <w:t>操作顺序的总体规划为按单元按区依次每层推进，层层压实，每层摊铺厚度不大于1m，</w:t>
      </w:r>
      <w:r>
        <w:rPr>
          <w:rFonts w:hint="eastAsia"/>
          <w:color w:val="auto"/>
          <w:lang w:bidi="ar"/>
        </w:rPr>
        <w:t>一个单元回填完成后，进入下个单元的回填，</w:t>
      </w:r>
      <w:r>
        <w:rPr>
          <w:rFonts w:hint="eastAsia"/>
          <w:color w:val="auto"/>
          <w:lang w:eastAsia="zh-CN" w:bidi="ar"/>
        </w:rPr>
        <w:t>灰渣</w:t>
      </w:r>
      <w:r>
        <w:rPr>
          <w:color w:val="auto"/>
          <w:lang w:bidi="ar"/>
        </w:rPr>
        <w:t>压实的主要作用在于增加回填区库容，延长使用年限</w:t>
      </w:r>
      <w:r>
        <w:rPr>
          <w:rFonts w:hint="eastAsia"/>
          <w:color w:val="auto"/>
          <w:lang w:bidi="ar"/>
        </w:rPr>
        <w:t>，</w:t>
      </w:r>
      <w:r>
        <w:rPr>
          <w:color w:val="auto"/>
          <w:lang w:bidi="ar"/>
        </w:rPr>
        <w:t>减少地表水向下渗入</w:t>
      </w:r>
      <w:r>
        <w:rPr>
          <w:rFonts w:hint="eastAsia"/>
          <w:color w:val="auto"/>
          <w:lang w:bidi="ar"/>
        </w:rPr>
        <w:t>，</w:t>
      </w:r>
      <w:r>
        <w:rPr>
          <w:color w:val="auto"/>
          <w:lang w:bidi="ar"/>
        </w:rPr>
        <w:t>有利于运输车辆进入作业面作业。</w:t>
      </w:r>
      <w:r>
        <w:rPr>
          <w:rFonts w:hint="eastAsia"/>
          <w:color w:val="auto"/>
          <w:lang w:bidi="ar"/>
        </w:rPr>
        <w:t>由于</w:t>
      </w:r>
      <w:r>
        <w:rPr>
          <w:rFonts w:hint="eastAsia"/>
          <w:color w:val="auto"/>
          <w:lang w:eastAsia="zh-CN" w:bidi="ar"/>
        </w:rPr>
        <w:t>灰渣</w:t>
      </w:r>
      <w:r>
        <w:rPr>
          <w:rFonts w:hint="eastAsia"/>
          <w:color w:val="auto"/>
          <w:lang w:bidi="ar"/>
        </w:rPr>
        <w:t>已加湿至含水率2</w:t>
      </w:r>
      <w:r>
        <w:rPr>
          <w:color w:val="auto"/>
          <w:lang w:bidi="ar"/>
        </w:rPr>
        <w:t>0%</w:t>
      </w:r>
      <w:r>
        <w:rPr>
          <w:rFonts w:hint="eastAsia"/>
          <w:color w:val="auto"/>
          <w:lang w:bidi="ar"/>
        </w:rPr>
        <w:t>，且</w:t>
      </w:r>
      <w:r>
        <w:rPr>
          <w:color w:val="auto"/>
          <w:lang w:val="zh-CN"/>
        </w:rPr>
        <w:t>压实系数不小于0.9</w:t>
      </w:r>
      <w:r>
        <w:rPr>
          <w:rFonts w:hint="eastAsia"/>
          <w:color w:val="auto"/>
          <w:lang w:val="zh-CN"/>
        </w:rPr>
        <w:t>，在此条件下可保证回填区地质的稳定性，因此，在回填至设计标高后统一进行覆土，可以与周边环境持平。</w:t>
      </w:r>
    </w:p>
    <w:p w14:paraId="48802440">
      <w:pPr>
        <w:pStyle w:val="59"/>
        <w:ind w:firstLine="480"/>
        <w:rPr>
          <w:color w:val="auto"/>
        </w:rPr>
      </w:pPr>
      <w:r>
        <w:rPr>
          <w:color w:val="auto"/>
          <w:lang w:bidi="ar"/>
        </w:rPr>
        <w:t>回填物在摊铺碾压过程中，根据现场气候条件进行洒水碾</w:t>
      </w:r>
      <w:r>
        <w:rPr>
          <w:rFonts w:hint="eastAsia"/>
          <w:color w:val="auto"/>
          <w:lang w:bidi="ar"/>
        </w:rPr>
        <w:t>压</w:t>
      </w:r>
      <w:r>
        <w:rPr>
          <w:color w:val="auto"/>
          <w:lang w:bidi="ar"/>
        </w:rPr>
        <w:t>。</w:t>
      </w:r>
      <w:r>
        <w:rPr>
          <w:rFonts w:hint="eastAsia"/>
          <w:color w:val="auto"/>
        </w:rPr>
        <w:t>铺筑的作业面坡度1:</w:t>
      </w:r>
      <w:r>
        <w:rPr>
          <w:color w:val="auto"/>
        </w:rPr>
        <w:t>5~1</w:t>
      </w:r>
      <w:r>
        <w:rPr>
          <w:rFonts w:hint="eastAsia"/>
          <w:color w:val="auto"/>
        </w:rPr>
        <w:t>:</w:t>
      </w:r>
      <w:r>
        <w:rPr>
          <w:color w:val="auto"/>
        </w:rPr>
        <w:t>7，以方便运灰车辆在灰面上的行驶。</w:t>
      </w:r>
      <w:r>
        <w:rPr>
          <w:rFonts w:hint="eastAsia"/>
          <w:color w:val="auto"/>
        </w:rPr>
        <w:t>进入</w:t>
      </w:r>
      <w:r>
        <w:rPr>
          <w:rFonts w:hint="eastAsia"/>
          <w:color w:val="auto"/>
          <w:lang w:eastAsia="zh-CN"/>
        </w:rPr>
        <w:t>灰渣</w:t>
      </w:r>
      <w:r>
        <w:rPr>
          <w:rFonts w:hint="eastAsia"/>
          <w:color w:val="auto"/>
        </w:rPr>
        <w:t>场的运灰车辆应沿临时作业道路行驶，且车辆转弯时应尽量加大转弯半径。临时作业道路采用推铺</w:t>
      </w:r>
      <w:r>
        <w:rPr>
          <w:rFonts w:hint="eastAsia"/>
          <w:color w:val="auto"/>
          <w:lang w:eastAsia="zh-CN"/>
        </w:rPr>
        <w:t>灰渣</w:t>
      </w:r>
      <w:r>
        <w:rPr>
          <w:rFonts w:hint="eastAsia"/>
          <w:color w:val="auto"/>
        </w:rPr>
        <w:t>的方式在场底建造，场底临时作业道路厚度不小于</w:t>
      </w:r>
      <w:r>
        <w:rPr>
          <w:color w:val="auto"/>
        </w:rPr>
        <w:t>2m，表面铺设</w:t>
      </w:r>
      <w:r>
        <w:rPr>
          <w:rFonts w:hint="eastAsia"/>
          <w:color w:val="auto"/>
          <w:lang w:eastAsia="zh-CN"/>
        </w:rPr>
        <w:t>灰渣</w:t>
      </w:r>
      <w:r>
        <w:rPr>
          <w:color w:val="auto"/>
        </w:rPr>
        <w:t>、碎石等材料。</w:t>
      </w:r>
    </w:p>
    <w:p w14:paraId="7C8AD2F9">
      <w:pPr>
        <w:pStyle w:val="59"/>
        <w:ind w:firstLine="480"/>
        <w:rPr>
          <w:color w:val="auto"/>
        </w:rPr>
      </w:pPr>
      <w:r>
        <w:rPr>
          <w:rFonts w:hint="eastAsia"/>
          <w:color w:val="auto"/>
          <w:lang w:eastAsia="zh-CN"/>
        </w:rPr>
        <w:t>灰渣</w:t>
      </w:r>
      <w:r>
        <w:rPr>
          <w:color w:val="auto"/>
        </w:rPr>
        <w:t>从卸车平台倾卸后由推土机向下推，其推距控制在20m以内，并将</w:t>
      </w:r>
      <w:r>
        <w:rPr>
          <w:rFonts w:hint="eastAsia"/>
          <w:color w:val="auto"/>
          <w:lang w:eastAsia="zh-CN"/>
        </w:rPr>
        <w:t>灰渣</w:t>
      </w:r>
      <w:r>
        <w:rPr>
          <w:color w:val="auto"/>
        </w:rPr>
        <w:t>层分层摊铺，铺匀后用压实机进行4～6次压实，</w:t>
      </w:r>
      <w:r>
        <w:rPr>
          <w:rFonts w:hint="eastAsia"/>
          <w:color w:val="auto"/>
        </w:rPr>
        <w:t>第一遍为平碾，第二、三遍为振动碾，第四遍为平碾，以使作业完成后的灰表面平整光滑，</w:t>
      </w:r>
      <w:r>
        <w:rPr>
          <w:color w:val="auto"/>
        </w:rPr>
        <w:t>压实系数不小于0.9</w:t>
      </w:r>
      <w:r>
        <w:rPr>
          <w:rFonts w:hint="eastAsia"/>
          <w:color w:val="auto"/>
        </w:rPr>
        <w:t>（压实系数是指现场单位体积压实后重量与实验室作出的单位体积最大击实重量的比值，土方回填的压实系数具体范围值</w:t>
      </w:r>
      <w:r>
        <w:rPr>
          <w:color w:val="auto"/>
        </w:rPr>
        <w:t>0.9到0.98，</w:t>
      </w:r>
      <w:r>
        <w:rPr>
          <w:rFonts w:hint="eastAsia"/>
          <w:color w:val="auto"/>
        </w:rPr>
        <w:t>普通房建工程基础一般是</w:t>
      </w:r>
      <w:r>
        <w:rPr>
          <w:color w:val="auto"/>
        </w:rPr>
        <w:t>0.95，房心和室外一般是0.93，本项目属于一般回填复垦项目，压实系数不低于0.9</w:t>
      </w:r>
      <w:r>
        <w:rPr>
          <w:rFonts w:hint="eastAsia"/>
          <w:color w:val="auto"/>
        </w:rPr>
        <w:t>）</w:t>
      </w:r>
      <w:r>
        <w:rPr>
          <w:color w:val="auto"/>
        </w:rPr>
        <w:t>。</w:t>
      </w:r>
      <w:r>
        <w:rPr>
          <w:rFonts w:hint="eastAsia"/>
          <w:color w:val="auto"/>
        </w:rPr>
        <w:t>对于边角部位及其它不易碾压的部位，应使用手扶夯实机进行碾压，其碾压控制参数需经现场试验确定，碾压后的灰面应注意保护，避免扰动。</w:t>
      </w:r>
    </w:p>
    <w:p w14:paraId="34FD2FD5">
      <w:pPr>
        <w:pStyle w:val="59"/>
        <w:ind w:firstLine="480"/>
        <w:rPr>
          <w:color w:val="auto"/>
        </w:rPr>
      </w:pPr>
      <w:r>
        <w:rPr>
          <w:color w:val="auto"/>
        </w:rPr>
        <w:t>每天在回填作业结束时在作业面洒水降尘。</w:t>
      </w:r>
      <w:r>
        <w:rPr>
          <w:rFonts w:hint="eastAsia"/>
          <w:color w:val="auto"/>
        </w:rPr>
        <w:t>回填</w:t>
      </w:r>
      <w:r>
        <w:rPr>
          <w:color w:val="auto"/>
        </w:rPr>
        <w:t>作业过程分层压实图见图3-2-2：</w:t>
      </w:r>
      <w:r>
        <w:rPr>
          <w:rFonts w:hint="eastAsia"/>
          <w:color w:val="auto"/>
          <w:lang w:eastAsia="zh-CN"/>
        </w:rPr>
        <w:t>灰渣</w:t>
      </w:r>
      <w:r>
        <w:rPr>
          <w:color w:val="auto"/>
        </w:rPr>
        <w:t>摊铺作业方法示意图（下推法）见图3-2-3</w:t>
      </w:r>
      <w:r>
        <w:rPr>
          <w:rFonts w:hint="eastAsia"/>
          <w:color w:val="auto"/>
        </w:rPr>
        <w:t>。</w:t>
      </w:r>
    </w:p>
    <w:p w14:paraId="5DED5693">
      <w:pPr>
        <w:pStyle w:val="59"/>
        <w:spacing w:line="240" w:lineRule="auto"/>
        <w:ind w:firstLine="480"/>
        <w:rPr>
          <w:color w:val="auto"/>
        </w:rPr>
      </w:pPr>
      <w:r>
        <w:rPr>
          <w:color w:val="auto"/>
        </w:rPr>
        <w:drawing>
          <wp:inline distT="0" distB="0" distL="0" distR="0">
            <wp:extent cx="4448175" cy="952500"/>
            <wp:effectExtent l="0" t="0" r="9525" b="0"/>
            <wp:docPr id="462" name="图片 462" descr="QQ截图20180201154225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 name="图片 462" descr="QQ截图20180201154225副本"/>
                    <pic:cNvPicPr>
                      <a:picLocks noChangeAspect="1" noChangeArrowheads="1"/>
                    </pic:cNvPicPr>
                  </pic:nvPicPr>
                  <pic:blipFill>
                    <a:blip r:embed="rId22">
                      <a:extLst>
                        <a:ext uri="{28A0092B-C50C-407E-A947-70E740481C1C}">
                          <a14:useLocalDpi xmlns:a14="http://schemas.microsoft.com/office/drawing/2010/main" val="0"/>
                        </a:ext>
                      </a:extLst>
                    </a:blip>
                    <a:srcRect b="28571"/>
                    <a:stretch>
                      <a:fillRect/>
                    </a:stretch>
                  </pic:blipFill>
                  <pic:spPr>
                    <a:xfrm>
                      <a:off x="0" y="0"/>
                      <a:ext cx="4448175" cy="952500"/>
                    </a:xfrm>
                    <a:prstGeom prst="rect">
                      <a:avLst/>
                    </a:prstGeom>
                    <a:noFill/>
                    <a:ln>
                      <a:noFill/>
                    </a:ln>
                  </pic:spPr>
                </pic:pic>
              </a:graphicData>
            </a:graphic>
          </wp:inline>
        </w:drawing>
      </w:r>
    </w:p>
    <w:p w14:paraId="263666C7">
      <w:pPr>
        <w:pStyle w:val="76"/>
        <w:rPr>
          <w:color w:val="auto"/>
        </w:rPr>
      </w:pPr>
      <w:r>
        <w:rPr>
          <w:color w:val="auto"/>
        </w:rPr>
        <w:t>图3-2-2</w:t>
      </w:r>
      <w:r>
        <w:rPr>
          <w:rFonts w:hint="eastAsia"/>
          <w:color w:val="auto"/>
        </w:rPr>
        <w:t>回填</w:t>
      </w:r>
      <w:r>
        <w:rPr>
          <w:color w:val="auto"/>
        </w:rPr>
        <w:t>作业过程分层压实图</w:t>
      </w:r>
    </w:p>
    <w:p w14:paraId="3EAA7C1F">
      <w:pPr>
        <w:pStyle w:val="59"/>
        <w:spacing w:line="240" w:lineRule="auto"/>
        <w:ind w:firstLine="482"/>
        <w:rPr>
          <w:color w:val="auto"/>
        </w:rPr>
      </w:pPr>
      <w:r>
        <w:rPr>
          <w:b/>
          <w:bCs/>
          <w:color w:val="auto"/>
        </w:rPr>
        <w:drawing>
          <wp:inline distT="0" distB="0" distL="0" distR="0">
            <wp:extent cx="4600575" cy="1438275"/>
            <wp:effectExtent l="0" t="0" r="9525" b="9525"/>
            <wp:docPr id="461" name="图片 461" descr="QQ截图20180201154235副本"/>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1" name="图片 461" descr="QQ截图20180201154235副本"/>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4600575" cy="1438275"/>
                    </a:xfrm>
                    <a:prstGeom prst="rect">
                      <a:avLst/>
                    </a:prstGeom>
                    <a:noFill/>
                    <a:ln>
                      <a:noFill/>
                    </a:ln>
                  </pic:spPr>
                </pic:pic>
              </a:graphicData>
            </a:graphic>
          </wp:inline>
        </w:drawing>
      </w:r>
    </w:p>
    <w:p w14:paraId="2223C1B6">
      <w:pPr>
        <w:pStyle w:val="76"/>
        <w:rPr>
          <w:color w:val="auto"/>
        </w:rPr>
      </w:pPr>
      <w:bookmarkStart w:id="98" w:name="_Hlk40135512"/>
      <w:r>
        <w:rPr>
          <w:color w:val="auto"/>
        </w:rPr>
        <w:t>图3-2-3</w:t>
      </w:r>
      <w:r>
        <w:rPr>
          <w:rFonts w:hint="eastAsia"/>
          <w:color w:val="auto"/>
          <w:lang w:eastAsia="zh-CN"/>
        </w:rPr>
        <w:t>灰渣</w:t>
      </w:r>
      <w:r>
        <w:rPr>
          <w:color w:val="auto"/>
        </w:rPr>
        <w:t>摊铺作业方法示意图（下推法）</w:t>
      </w:r>
      <w:bookmarkEnd w:id="98"/>
    </w:p>
    <w:p w14:paraId="6BE0B062">
      <w:pPr>
        <w:pStyle w:val="137"/>
        <w:rPr>
          <w:color w:val="auto"/>
        </w:rPr>
      </w:pPr>
      <w:r>
        <w:rPr>
          <w:rFonts w:hint="eastAsia"/>
          <w:color w:val="auto"/>
        </w:rPr>
        <w:t>3</w:t>
      </w:r>
      <w:r>
        <w:rPr>
          <w:color w:val="auto"/>
        </w:rPr>
        <w:t>.2.3</w:t>
      </w:r>
      <w:r>
        <w:rPr>
          <w:rFonts w:hint="eastAsia"/>
          <w:color w:val="auto"/>
        </w:rPr>
        <w:t>回填结束后土地复垦方案</w:t>
      </w:r>
    </w:p>
    <w:p w14:paraId="4832B94F">
      <w:pPr>
        <w:pStyle w:val="59"/>
        <w:ind w:firstLine="480"/>
        <w:rPr>
          <w:color w:val="auto"/>
          <w:highlight w:val="none"/>
        </w:rPr>
      </w:pPr>
      <w:r>
        <w:rPr>
          <w:rFonts w:hint="eastAsia"/>
          <w:color w:val="auto"/>
          <w:highlight w:val="none"/>
        </w:rPr>
        <w:t>回填</w:t>
      </w:r>
      <w:r>
        <w:rPr>
          <w:color w:val="auto"/>
          <w:highlight w:val="none"/>
        </w:rPr>
        <w:t>结束后，根据《一般工业固体废物贮存和填埋污染控制标准》（GB 18599-2020）</w:t>
      </w:r>
      <w:r>
        <w:rPr>
          <w:rFonts w:hint="eastAsia"/>
          <w:color w:val="auto"/>
          <w:highlight w:val="none"/>
        </w:rPr>
        <w:t>及《土地复垦质量控制标准》（</w:t>
      </w:r>
      <w:r>
        <w:rPr>
          <w:color w:val="auto"/>
          <w:highlight w:val="none"/>
        </w:rPr>
        <w:t>TD/T1036-2013）规定的相关土地复垦质量控制要求</w:t>
      </w:r>
      <w:r>
        <w:rPr>
          <w:rFonts w:hint="eastAsia"/>
          <w:color w:val="auto"/>
          <w:highlight w:val="none"/>
        </w:rPr>
        <w:t>，</w:t>
      </w:r>
      <w:r>
        <w:rPr>
          <w:color w:val="auto"/>
          <w:highlight w:val="none"/>
        </w:rPr>
        <w:t>在回填压实完成的基础上表层覆土，</w:t>
      </w:r>
      <w:r>
        <w:rPr>
          <w:rFonts w:hint="eastAsia"/>
          <w:color w:val="auto"/>
          <w:highlight w:val="none"/>
          <w:lang w:val="en-US" w:eastAsia="zh-CN"/>
        </w:rPr>
        <w:t>回填复垦旱地有效土层厚度不低于80cm，回填复垦乔木林地有效土层厚度不低于30cm，需要回填土约28308.2m</w:t>
      </w:r>
      <w:r>
        <w:rPr>
          <w:rFonts w:hint="eastAsia"/>
          <w:color w:val="auto"/>
          <w:highlight w:val="none"/>
          <w:vertAlign w:val="superscript"/>
          <w:lang w:val="en-US" w:eastAsia="zh-CN"/>
        </w:rPr>
        <w:t>3</w:t>
      </w:r>
      <w:r>
        <w:rPr>
          <w:rFonts w:hint="eastAsia"/>
          <w:color w:val="auto"/>
          <w:highlight w:val="none"/>
          <w:lang w:val="en-US" w:eastAsia="zh-CN"/>
        </w:rPr>
        <w:t>，其中矿区剥离表土回覆5000m</w:t>
      </w:r>
      <w:r>
        <w:rPr>
          <w:rFonts w:hint="eastAsia"/>
          <w:color w:val="auto"/>
          <w:highlight w:val="none"/>
          <w:vertAlign w:val="superscript"/>
          <w:lang w:val="en-US" w:eastAsia="zh-CN"/>
        </w:rPr>
        <w:t>3</w:t>
      </w:r>
      <w:r>
        <w:rPr>
          <w:rFonts w:hint="eastAsia"/>
          <w:color w:val="auto"/>
          <w:highlight w:val="none"/>
          <w:lang w:val="en-US" w:eastAsia="zh-CN"/>
        </w:rPr>
        <w:t>，剩余全部外购，</w:t>
      </w:r>
      <w:r>
        <w:rPr>
          <w:rFonts w:hint="eastAsia"/>
          <w:color w:val="auto"/>
          <w:highlight w:val="none"/>
        </w:rPr>
        <w:t>覆土后利用自然降水、机械压实等方法让土壤沉降，使土壤密实度达到</w:t>
      </w:r>
      <w:r>
        <w:rPr>
          <w:color w:val="auto"/>
          <w:highlight w:val="none"/>
        </w:rPr>
        <w:t>80%左右</w:t>
      </w:r>
      <w:r>
        <w:rPr>
          <w:rFonts w:hint="eastAsia"/>
          <w:color w:val="auto"/>
          <w:highlight w:val="none"/>
        </w:rPr>
        <w:t>，最终恢复成</w:t>
      </w:r>
      <w:r>
        <w:rPr>
          <w:rFonts w:hint="eastAsia"/>
          <w:color w:val="auto"/>
          <w:highlight w:val="none"/>
          <w:lang w:val="en-US" w:eastAsia="zh-CN"/>
        </w:rPr>
        <w:t>乔木林地、旱地</w:t>
      </w:r>
      <w:r>
        <w:rPr>
          <w:color w:val="auto"/>
          <w:highlight w:val="none"/>
        </w:rPr>
        <w:t>。</w:t>
      </w:r>
    </w:p>
    <w:p w14:paraId="30D3CF59">
      <w:pPr>
        <w:pStyle w:val="18"/>
        <w:rPr>
          <w:color w:val="auto"/>
        </w:rPr>
      </w:pPr>
      <w:r>
        <w:rPr>
          <w:color w:val="auto"/>
        </w:rPr>
        <mc:AlternateContent>
          <mc:Choice Requires="wpc">
            <w:drawing>
              <wp:inline distT="0" distB="0" distL="0" distR="0">
                <wp:extent cx="5274310" cy="5659120"/>
                <wp:effectExtent l="0" t="0" r="2540" b="0"/>
                <wp:docPr id="5" name="画布 2"/>
                <wp:cNvGraphicFramePr/>
                <a:graphic xmlns:a="http://schemas.openxmlformats.org/drawingml/2006/main">
                  <a:graphicData uri="http://schemas.microsoft.com/office/word/2010/wordprocessingCanvas">
                    <wpc:wpc>
                      <wpc:bg>
                        <a:noFill/>
                      </wpc:bg>
                      <wpc:whole/>
                      <wps:wsp>
                        <wps:cNvPr id="8" name="Rectangle 339135"/>
                        <wps:cNvSpPr>
                          <a:spLocks noChangeArrowheads="1"/>
                        </wps:cNvSpPr>
                        <wps:spPr bwMode="auto">
                          <a:xfrm>
                            <a:off x="1367103" y="204401"/>
                            <a:ext cx="752501" cy="285801"/>
                          </a:xfrm>
                          <a:prstGeom prst="rect">
                            <a:avLst/>
                          </a:prstGeom>
                          <a:noFill/>
                          <a:ln w="9525">
                            <a:solidFill>
                              <a:srgbClr val="000000"/>
                            </a:solidFill>
                            <a:miter lim="800000"/>
                          </a:ln>
                        </wps:spPr>
                        <wps:txbx>
                          <w:txbxContent>
                            <w:p w14:paraId="5E3513F1">
                              <w:pPr>
                                <w:jc w:val="center"/>
                              </w:pPr>
                              <w:r>
                                <w:rPr>
                                  <w:rFonts w:hint="eastAsia"/>
                                </w:rPr>
                                <w:t>场地清理</w:t>
                              </w:r>
                            </w:p>
                          </w:txbxContent>
                        </wps:txbx>
                        <wps:bodyPr rot="0" vert="horz" wrap="square" lIns="91440" tIns="45720" rIns="91440" bIns="45720" anchor="t" anchorCtr="0" upright="1">
                          <a:noAutofit/>
                        </wps:bodyPr>
                      </wps:wsp>
                      <wps:wsp>
                        <wps:cNvPr id="23" name="Rectangle 339136"/>
                        <wps:cNvSpPr>
                          <a:spLocks noChangeArrowheads="1"/>
                        </wps:cNvSpPr>
                        <wps:spPr bwMode="auto">
                          <a:xfrm>
                            <a:off x="2894305" y="9526"/>
                            <a:ext cx="948702" cy="487678"/>
                          </a:xfrm>
                          <a:prstGeom prst="rect">
                            <a:avLst/>
                          </a:prstGeom>
                          <a:noFill/>
                          <a:ln w="9525">
                            <a:solidFill>
                              <a:srgbClr val="000000"/>
                            </a:solidFill>
                            <a:miter lim="800000"/>
                          </a:ln>
                        </wps:spPr>
                        <wps:txbx>
                          <w:txbxContent>
                            <w:p w14:paraId="72948C92">
                              <w:pPr>
                                <w:jc w:val="center"/>
                              </w:pPr>
                              <w:r>
                                <w:rPr>
                                  <w:rFonts w:hint="eastAsia"/>
                                </w:rPr>
                                <w:t>暂存池排水沟施工</w:t>
                              </w:r>
                            </w:p>
                          </w:txbxContent>
                        </wps:txbx>
                        <wps:bodyPr rot="0" vert="horz" wrap="square" lIns="91440" tIns="45720" rIns="91440" bIns="45720" anchor="t" anchorCtr="0" upright="1">
                          <a:noAutofit/>
                        </wps:bodyPr>
                      </wps:wsp>
                      <wps:wsp>
                        <wps:cNvPr id="33" name="Line 339137"/>
                        <wps:cNvCnPr>
                          <a:cxnSpLocks noChangeShapeType="1"/>
                        </wps:cNvCnPr>
                        <wps:spPr bwMode="auto">
                          <a:xfrm>
                            <a:off x="1719503" y="490202"/>
                            <a:ext cx="700" cy="209501"/>
                          </a:xfrm>
                          <a:prstGeom prst="line">
                            <a:avLst/>
                          </a:prstGeom>
                          <a:noFill/>
                          <a:ln w="9525">
                            <a:solidFill>
                              <a:srgbClr val="000000"/>
                            </a:solidFill>
                            <a:round/>
                          </a:ln>
                        </wps:spPr>
                        <wps:bodyPr/>
                      </wps:wsp>
                      <wps:wsp>
                        <wps:cNvPr id="34" name="Line 339138"/>
                        <wps:cNvCnPr>
                          <a:cxnSpLocks noChangeShapeType="1"/>
                        </wps:cNvCnPr>
                        <wps:spPr bwMode="auto">
                          <a:xfrm>
                            <a:off x="3370506" y="494002"/>
                            <a:ext cx="0" cy="203201"/>
                          </a:xfrm>
                          <a:prstGeom prst="line">
                            <a:avLst/>
                          </a:prstGeom>
                          <a:noFill/>
                          <a:ln w="9525">
                            <a:solidFill>
                              <a:srgbClr val="000000"/>
                            </a:solidFill>
                            <a:round/>
                          </a:ln>
                        </wps:spPr>
                        <wps:bodyPr/>
                      </wps:wsp>
                      <wps:wsp>
                        <wps:cNvPr id="35" name="Line 339139"/>
                        <wps:cNvCnPr>
                          <a:cxnSpLocks noChangeShapeType="1"/>
                        </wps:cNvCnPr>
                        <wps:spPr bwMode="auto">
                          <a:xfrm>
                            <a:off x="1719503" y="690202"/>
                            <a:ext cx="1657403" cy="600"/>
                          </a:xfrm>
                          <a:prstGeom prst="line">
                            <a:avLst/>
                          </a:prstGeom>
                          <a:noFill/>
                          <a:ln w="9525">
                            <a:solidFill>
                              <a:srgbClr val="000000"/>
                            </a:solidFill>
                            <a:round/>
                          </a:ln>
                        </wps:spPr>
                        <wps:bodyPr/>
                      </wps:wsp>
                      <wps:wsp>
                        <wps:cNvPr id="37" name="Line 339140"/>
                        <wps:cNvCnPr>
                          <a:cxnSpLocks noChangeShapeType="1"/>
                        </wps:cNvCnPr>
                        <wps:spPr bwMode="auto">
                          <a:xfrm>
                            <a:off x="2529205" y="690202"/>
                            <a:ext cx="600" cy="257201"/>
                          </a:xfrm>
                          <a:prstGeom prst="line">
                            <a:avLst/>
                          </a:prstGeom>
                          <a:noFill/>
                          <a:ln w="9525">
                            <a:solidFill>
                              <a:srgbClr val="000000"/>
                            </a:solidFill>
                            <a:round/>
                            <a:tailEnd type="triangle" w="med" len="med"/>
                          </a:ln>
                        </wps:spPr>
                        <wps:bodyPr/>
                      </wps:wsp>
                      <wps:wsp>
                        <wps:cNvPr id="42" name="Rectangle 339141"/>
                        <wps:cNvSpPr>
                          <a:spLocks noChangeArrowheads="1"/>
                        </wps:cNvSpPr>
                        <wps:spPr bwMode="auto">
                          <a:xfrm>
                            <a:off x="2132304" y="941703"/>
                            <a:ext cx="749301" cy="279401"/>
                          </a:xfrm>
                          <a:prstGeom prst="rect">
                            <a:avLst/>
                          </a:prstGeom>
                          <a:noFill/>
                          <a:ln w="9525">
                            <a:solidFill>
                              <a:srgbClr val="000000"/>
                            </a:solidFill>
                            <a:miter lim="800000"/>
                          </a:ln>
                        </wps:spPr>
                        <wps:txbx>
                          <w:txbxContent>
                            <w:p w14:paraId="18A2BEC5">
                              <w:pPr>
                                <w:jc w:val="center"/>
                              </w:pPr>
                              <w:r>
                                <w:rPr>
                                  <w:rFonts w:hint="eastAsia"/>
                                </w:rPr>
                                <w:t>运输车</w:t>
                              </w:r>
                            </w:p>
                          </w:txbxContent>
                        </wps:txbx>
                        <wps:bodyPr rot="0" vert="horz" wrap="square" lIns="91440" tIns="45720" rIns="91440" bIns="45720" anchor="t" anchorCtr="0" upright="1">
                          <a:noAutofit/>
                        </wps:bodyPr>
                      </wps:wsp>
                      <wps:wsp>
                        <wps:cNvPr id="43" name="Line 339142"/>
                        <wps:cNvCnPr>
                          <a:cxnSpLocks noChangeShapeType="1"/>
                        </wps:cNvCnPr>
                        <wps:spPr bwMode="auto">
                          <a:xfrm>
                            <a:off x="2513305" y="1227404"/>
                            <a:ext cx="0" cy="254001"/>
                          </a:xfrm>
                          <a:prstGeom prst="line">
                            <a:avLst/>
                          </a:prstGeom>
                          <a:noFill/>
                          <a:ln w="9525">
                            <a:solidFill>
                              <a:srgbClr val="000000"/>
                            </a:solidFill>
                            <a:round/>
                            <a:tailEnd type="triangle" w="med" len="med"/>
                          </a:ln>
                        </wps:spPr>
                        <wps:bodyPr/>
                      </wps:wsp>
                      <wps:wsp>
                        <wps:cNvPr id="44" name="Rectangle 339143"/>
                        <wps:cNvSpPr>
                          <a:spLocks noChangeArrowheads="1"/>
                        </wps:cNvSpPr>
                        <wps:spPr bwMode="auto">
                          <a:xfrm>
                            <a:off x="2018004" y="1475105"/>
                            <a:ext cx="939802" cy="279401"/>
                          </a:xfrm>
                          <a:prstGeom prst="rect">
                            <a:avLst/>
                          </a:prstGeom>
                          <a:noFill/>
                          <a:ln w="9525">
                            <a:solidFill>
                              <a:srgbClr val="000000"/>
                            </a:solidFill>
                            <a:miter lim="800000"/>
                          </a:ln>
                        </wps:spPr>
                        <wps:txbx>
                          <w:txbxContent>
                            <w:p w14:paraId="3F1615DA">
                              <w:pPr>
                                <w:jc w:val="center"/>
                              </w:pPr>
                              <w:r>
                                <w:rPr>
                                  <w:rFonts w:hint="eastAsia"/>
                                  <w:lang w:eastAsia="zh-CN"/>
                                </w:rPr>
                                <w:t>灰渣</w:t>
                              </w:r>
                              <w:r>
                                <w:rPr>
                                  <w:rFonts w:hint="eastAsia"/>
                                </w:rPr>
                                <w:t>入场</w:t>
                              </w:r>
                            </w:p>
                          </w:txbxContent>
                        </wps:txbx>
                        <wps:bodyPr rot="0" vert="horz" wrap="square" lIns="91440" tIns="45720" rIns="91440" bIns="45720" anchor="t" anchorCtr="0" upright="1">
                          <a:noAutofit/>
                        </wps:bodyPr>
                      </wps:wsp>
                      <wps:wsp>
                        <wps:cNvPr id="45" name="Line 339144"/>
                        <wps:cNvCnPr>
                          <a:cxnSpLocks noChangeShapeType="1"/>
                        </wps:cNvCnPr>
                        <wps:spPr bwMode="auto">
                          <a:xfrm>
                            <a:off x="2484705" y="1760806"/>
                            <a:ext cx="0" cy="254001"/>
                          </a:xfrm>
                          <a:prstGeom prst="line">
                            <a:avLst/>
                          </a:prstGeom>
                          <a:noFill/>
                          <a:ln w="9525">
                            <a:solidFill>
                              <a:srgbClr val="000000"/>
                            </a:solidFill>
                            <a:round/>
                            <a:tailEnd type="triangle" w="med" len="med"/>
                          </a:ln>
                        </wps:spPr>
                        <wps:bodyPr/>
                      </wps:wsp>
                      <wps:wsp>
                        <wps:cNvPr id="46" name="Rectangle 339145"/>
                        <wps:cNvSpPr>
                          <a:spLocks noChangeArrowheads="1"/>
                        </wps:cNvSpPr>
                        <wps:spPr bwMode="auto">
                          <a:xfrm>
                            <a:off x="2008504" y="2018007"/>
                            <a:ext cx="939802" cy="279401"/>
                          </a:xfrm>
                          <a:prstGeom prst="rect">
                            <a:avLst/>
                          </a:prstGeom>
                          <a:noFill/>
                          <a:ln w="9525">
                            <a:solidFill>
                              <a:srgbClr val="000000"/>
                            </a:solidFill>
                            <a:miter lim="800000"/>
                          </a:ln>
                        </wps:spPr>
                        <wps:txbx>
                          <w:txbxContent>
                            <w:p w14:paraId="2F8DE704">
                              <w:pPr>
                                <w:jc w:val="center"/>
                              </w:pPr>
                              <w:r>
                                <w:rPr>
                                  <w:rFonts w:hint="eastAsia"/>
                                </w:rPr>
                                <w:t>作业区倾倒</w:t>
                              </w:r>
                            </w:p>
                          </w:txbxContent>
                        </wps:txbx>
                        <wps:bodyPr rot="0" vert="horz" wrap="square" lIns="91440" tIns="45720" rIns="91440" bIns="45720" anchor="t" anchorCtr="0" upright="1">
                          <a:noAutofit/>
                        </wps:bodyPr>
                      </wps:wsp>
                      <wps:wsp>
                        <wps:cNvPr id="47" name="Rectangle 339146"/>
                        <wps:cNvSpPr>
                          <a:spLocks noChangeArrowheads="1"/>
                        </wps:cNvSpPr>
                        <wps:spPr bwMode="auto">
                          <a:xfrm>
                            <a:off x="1998904" y="2551409"/>
                            <a:ext cx="939802" cy="279401"/>
                          </a:xfrm>
                          <a:prstGeom prst="rect">
                            <a:avLst/>
                          </a:prstGeom>
                          <a:noFill/>
                          <a:ln w="9525">
                            <a:solidFill>
                              <a:srgbClr val="000000"/>
                            </a:solidFill>
                            <a:miter lim="800000"/>
                          </a:ln>
                        </wps:spPr>
                        <wps:txbx>
                          <w:txbxContent>
                            <w:p w14:paraId="7546E6B2">
                              <w:pPr>
                                <w:jc w:val="center"/>
                              </w:pPr>
                              <w:r>
                                <w:rPr>
                                  <w:rFonts w:hint="eastAsia"/>
                                  <w:lang w:eastAsia="zh-CN"/>
                                </w:rPr>
                                <w:t>灰渣</w:t>
                              </w:r>
                              <w:r>
                                <w:rPr>
                                  <w:rFonts w:hint="eastAsia"/>
                                </w:rPr>
                                <w:t>推平</w:t>
                              </w:r>
                            </w:p>
                          </w:txbxContent>
                        </wps:txbx>
                        <wps:bodyPr rot="0" vert="horz" wrap="square" lIns="91440" tIns="45720" rIns="91440" bIns="45720" anchor="t" anchorCtr="0" upright="1">
                          <a:noAutofit/>
                        </wps:bodyPr>
                      </wps:wsp>
                      <wps:wsp>
                        <wps:cNvPr id="48" name="Line 339147"/>
                        <wps:cNvCnPr>
                          <a:cxnSpLocks noChangeShapeType="1"/>
                        </wps:cNvCnPr>
                        <wps:spPr bwMode="auto">
                          <a:xfrm>
                            <a:off x="2484705" y="2303708"/>
                            <a:ext cx="0" cy="254001"/>
                          </a:xfrm>
                          <a:prstGeom prst="line">
                            <a:avLst/>
                          </a:prstGeom>
                          <a:noFill/>
                          <a:ln w="9525">
                            <a:solidFill>
                              <a:srgbClr val="000000"/>
                            </a:solidFill>
                            <a:round/>
                            <a:tailEnd type="triangle" w="med" len="med"/>
                          </a:ln>
                        </wps:spPr>
                        <wps:bodyPr/>
                      </wps:wsp>
                      <wps:wsp>
                        <wps:cNvPr id="49" name="Rectangle 339148"/>
                        <wps:cNvSpPr>
                          <a:spLocks noChangeArrowheads="1"/>
                        </wps:cNvSpPr>
                        <wps:spPr bwMode="auto">
                          <a:xfrm>
                            <a:off x="1998904" y="3094311"/>
                            <a:ext cx="939802" cy="279401"/>
                          </a:xfrm>
                          <a:prstGeom prst="rect">
                            <a:avLst/>
                          </a:prstGeom>
                          <a:noFill/>
                          <a:ln w="9525">
                            <a:solidFill>
                              <a:srgbClr val="000000"/>
                            </a:solidFill>
                            <a:miter lim="800000"/>
                          </a:ln>
                        </wps:spPr>
                        <wps:txbx>
                          <w:txbxContent>
                            <w:p w14:paraId="04B37989">
                              <w:pPr>
                                <w:jc w:val="center"/>
                              </w:pPr>
                              <w:r>
                                <w:rPr>
                                  <w:rFonts w:hint="eastAsia"/>
                                  <w:lang w:eastAsia="zh-CN"/>
                                </w:rPr>
                                <w:t>灰渣</w:t>
                              </w:r>
                              <w:r>
                                <w:rPr>
                                  <w:rFonts w:hint="eastAsia"/>
                                </w:rPr>
                                <w:t>压实</w:t>
                              </w:r>
                            </w:p>
                          </w:txbxContent>
                        </wps:txbx>
                        <wps:bodyPr rot="0" vert="horz" wrap="square" lIns="91440" tIns="45720" rIns="91440" bIns="45720" anchor="t" anchorCtr="0" upright="1">
                          <a:noAutofit/>
                        </wps:bodyPr>
                      </wps:wsp>
                      <wps:wsp>
                        <wps:cNvPr id="50" name="Line 339149"/>
                        <wps:cNvCnPr>
                          <a:cxnSpLocks noChangeShapeType="1"/>
                        </wps:cNvCnPr>
                        <wps:spPr bwMode="auto">
                          <a:xfrm>
                            <a:off x="2475205" y="2837110"/>
                            <a:ext cx="0" cy="254001"/>
                          </a:xfrm>
                          <a:prstGeom prst="line">
                            <a:avLst/>
                          </a:prstGeom>
                          <a:noFill/>
                          <a:ln w="9525">
                            <a:solidFill>
                              <a:srgbClr val="000000"/>
                            </a:solidFill>
                            <a:round/>
                            <a:tailEnd type="triangle" w="med" len="med"/>
                          </a:ln>
                        </wps:spPr>
                        <wps:bodyPr/>
                      </wps:wsp>
                      <wps:wsp>
                        <wps:cNvPr id="51" name="Line 339150"/>
                        <wps:cNvCnPr>
                          <a:cxnSpLocks noChangeShapeType="1"/>
                        </wps:cNvCnPr>
                        <wps:spPr bwMode="auto">
                          <a:xfrm>
                            <a:off x="2465705" y="3370512"/>
                            <a:ext cx="0" cy="254001"/>
                          </a:xfrm>
                          <a:prstGeom prst="line">
                            <a:avLst/>
                          </a:prstGeom>
                          <a:noFill/>
                          <a:ln w="9525">
                            <a:solidFill>
                              <a:srgbClr val="000000"/>
                            </a:solidFill>
                            <a:round/>
                            <a:tailEnd type="triangle" w="med" len="med"/>
                          </a:ln>
                        </wps:spPr>
                        <wps:bodyPr/>
                      </wps:wsp>
                      <wps:wsp>
                        <wps:cNvPr id="52" name="Rectangle 339151"/>
                        <wps:cNvSpPr>
                          <a:spLocks noChangeArrowheads="1"/>
                        </wps:cNvSpPr>
                        <wps:spPr bwMode="auto">
                          <a:xfrm>
                            <a:off x="1998904" y="3608713"/>
                            <a:ext cx="939802" cy="279401"/>
                          </a:xfrm>
                          <a:prstGeom prst="rect">
                            <a:avLst/>
                          </a:prstGeom>
                          <a:noFill/>
                          <a:ln w="9525">
                            <a:solidFill>
                              <a:srgbClr val="000000"/>
                            </a:solidFill>
                            <a:miter lim="800000"/>
                          </a:ln>
                        </wps:spPr>
                        <wps:txbx>
                          <w:txbxContent>
                            <w:p w14:paraId="1245393B">
                              <w:pPr>
                                <w:jc w:val="center"/>
                              </w:pPr>
                              <w:r>
                                <w:rPr>
                                  <w:rFonts w:hint="eastAsia"/>
                                </w:rPr>
                                <w:t>覆土</w:t>
                              </w:r>
                            </w:p>
                          </w:txbxContent>
                        </wps:txbx>
                        <wps:bodyPr rot="0" vert="horz" wrap="square" lIns="91440" tIns="45720" rIns="91440" bIns="45720" anchor="t" anchorCtr="0" upright="1">
                          <a:noAutofit/>
                        </wps:bodyPr>
                      </wps:wsp>
                      <wps:wsp>
                        <wps:cNvPr id="53" name="Rectangle 339152"/>
                        <wps:cNvSpPr>
                          <a:spLocks noChangeArrowheads="1"/>
                        </wps:cNvSpPr>
                        <wps:spPr bwMode="auto">
                          <a:xfrm>
                            <a:off x="1979904" y="4161115"/>
                            <a:ext cx="939802" cy="279401"/>
                          </a:xfrm>
                          <a:prstGeom prst="rect">
                            <a:avLst/>
                          </a:prstGeom>
                          <a:noFill/>
                          <a:ln w="9525">
                            <a:solidFill>
                              <a:srgbClr val="000000"/>
                            </a:solidFill>
                            <a:miter lim="800000"/>
                          </a:ln>
                        </wps:spPr>
                        <wps:txbx>
                          <w:txbxContent>
                            <w:p w14:paraId="2D88C883">
                              <w:pPr>
                                <w:jc w:val="center"/>
                              </w:pPr>
                              <w:r>
                                <w:rPr>
                                  <w:rFonts w:hint="eastAsia"/>
                                </w:rPr>
                                <w:t>坡面平整</w:t>
                              </w:r>
                            </w:p>
                          </w:txbxContent>
                        </wps:txbx>
                        <wps:bodyPr rot="0" vert="horz" wrap="square" lIns="91440" tIns="45720" rIns="91440" bIns="45720" anchor="t" anchorCtr="0" upright="1">
                          <a:noAutofit/>
                        </wps:bodyPr>
                      </wps:wsp>
                      <wps:wsp>
                        <wps:cNvPr id="54" name="Rectangle 339153"/>
                        <wps:cNvSpPr>
                          <a:spLocks noChangeArrowheads="1"/>
                        </wps:cNvSpPr>
                        <wps:spPr bwMode="auto">
                          <a:xfrm>
                            <a:off x="1998904" y="4713617"/>
                            <a:ext cx="939802" cy="279401"/>
                          </a:xfrm>
                          <a:prstGeom prst="rect">
                            <a:avLst/>
                          </a:prstGeom>
                          <a:noFill/>
                          <a:ln w="9525">
                            <a:solidFill>
                              <a:srgbClr val="000000"/>
                            </a:solidFill>
                            <a:miter lim="800000"/>
                          </a:ln>
                        </wps:spPr>
                        <wps:txbx>
                          <w:txbxContent>
                            <w:p w14:paraId="6A3CDB4A">
                              <w:pPr>
                                <w:jc w:val="center"/>
                              </w:pPr>
                              <w:r>
                                <w:rPr>
                                  <w:rFonts w:hint="eastAsia"/>
                                </w:rPr>
                                <w:t>土地复垦</w:t>
                              </w:r>
                            </w:p>
                          </w:txbxContent>
                        </wps:txbx>
                        <wps:bodyPr rot="0" vert="horz" wrap="square" lIns="91440" tIns="45720" rIns="91440" bIns="45720" anchor="t" anchorCtr="0" upright="1">
                          <a:noAutofit/>
                        </wps:bodyPr>
                      </wps:wsp>
                      <wps:wsp>
                        <wps:cNvPr id="55" name="Line 339154"/>
                        <wps:cNvCnPr>
                          <a:cxnSpLocks noChangeShapeType="1"/>
                        </wps:cNvCnPr>
                        <wps:spPr bwMode="auto">
                          <a:xfrm>
                            <a:off x="2465705" y="3884914"/>
                            <a:ext cx="0" cy="254001"/>
                          </a:xfrm>
                          <a:prstGeom prst="line">
                            <a:avLst/>
                          </a:prstGeom>
                          <a:noFill/>
                          <a:ln w="9525">
                            <a:solidFill>
                              <a:srgbClr val="000000"/>
                            </a:solidFill>
                            <a:round/>
                            <a:tailEnd type="triangle" w="med" len="med"/>
                          </a:ln>
                        </wps:spPr>
                        <wps:bodyPr/>
                      </wps:wsp>
                      <wps:wsp>
                        <wps:cNvPr id="59" name="Line 339155"/>
                        <wps:cNvCnPr>
                          <a:cxnSpLocks noChangeShapeType="1"/>
                        </wps:cNvCnPr>
                        <wps:spPr bwMode="auto">
                          <a:xfrm>
                            <a:off x="2475205" y="4446916"/>
                            <a:ext cx="0" cy="254001"/>
                          </a:xfrm>
                          <a:prstGeom prst="line">
                            <a:avLst/>
                          </a:prstGeom>
                          <a:noFill/>
                          <a:ln w="9525">
                            <a:solidFill>
                              <a:srgbClr val="000000"/>
                            </a:solidFill>
                            <a:round/>
                            <a:tailEnd type="triangle" w="med" len="med"/>
                          </a:ln>
                        </wps:spPr>
                        <wps:bodyPr/>
                      </wps:wsp>
                      <wps:wsp>
                        <wps:cNvPr id="60" name="Rectangle 339156"/>
                        <wps:cNvSpPr>
                          <a:spLocks noChangeArrowheads="1"/>
                        </wps:cNvSpPr>
                        <wps:spPr bwMode="auto">
                          <a:xfrm>
                            <a:off x="913102" y="2532309"/>
                            <a:ext cx="615901" cy="279401"/>
                          </a:xfrm>
                          <a:prstGeom prst="rect">
                            <a:avLst/>
                          </a:prstGeom>
                          <a:noFill/>
                          <a:ln w="9525">
                            <a:solidFill>
                              <a:srgbClr val="000000"/>
                            </a:solidFill>
                            <a:miter lim="800000"/>
                          </a:ln>
                        </wps:spPr>
                        <wps:txbx>
                          <w:txbxContent>
                            <w:p w14:paraId="51D2EC0D">
                              <w:pPr>
                                <w:jc w:val="center"/>
                              </w:pPr>
                              <w:r>
                                <w:rPr>
                                  <w:rFonts w:hint="eastAsia"/>
                                </w:rPr>
                                <w:t>推土机</w:t>
                              </w:r>
                            </w:p>
                          </w:txbxContent>
                        </wps:txbx>
                        <wps:bodyPr rot="0" vert="horz" wrap="square" lIns="91440" tIns="45720" rIns="91440" bIns="45720" anchor="t" anchorCtr="0" upright="1">
                          <a:noAutofit/>
                        </wps:bodyPr>
                      </wps:wsp>
                      <wps:wsp>
                        <wps:cNvPr id="61" name="Line 339157"/>
                        <wps:cNvCnPr>
                          <a:cxnSpLocks noChangeShapeType="1"/>
                        </wps:cNvCnPr>
                        <wps:spPr bwMode="auto">
                          <a:xfrm>
                            <a:off x="1541103" y="2676509"/>
                            <a:ext cx="466701" cy="9500"/>
                          </a:xfrm>
                          <a:prstGeom prst="line">
                            <a:avLst/>
                          </a:prstGeom>
                          <a:noFill/>
                          <a:ln w="9525">
                            <a:solidFill>
                              <a:srgbClr val="000000"/>
                            </a:solidFill>
                            <a:round/>
                            <a:tailEnd type="triangle" w="med" len="med"/>
                          </a:ln>
                        </wps:spPr>
                        <wps:bodyPr/>
                      </wps:wsp>
                      <wps:wsp>
                        <wps:cNvPr id="62" name="Rectangle 339158"/>
                        <wps:cNvSpPr>
                          <a:spLocks noChangeArrowheads="1"/>
                        </wps:cNvSpPr>
                        <wps:spPr bwMode="auto">
                          <a:xfrm>
                            <a:off x="932102" y="3103811"/>
                            <a:ext cx="609601" cy="279401"/>
                          </a:xfrm>
                          <a:prstGeom prst="rect">
                            <a:avLst/>
                          </a:prstGeom>
                          <a:noFill/>
                          <a:ln w="9525">
                            <a:solidFill>
                              <a:srgbClr val="000000"/>
                            </a:solidFill>
                            <a:miter lim="800000"/>
                          </a:ln>
                        </wps:spPr>
                        <wps:txbx>
                          <w:txbxContent>
                            <w:p w14:paraId="73D01354">
                              <w:pPr>
                                <w:jc w:val="center"/>
                              </w:pPr>
                              <w:r>
                                <w:rPr>
                                  <w:rFonts w:hint="eastAsia"/>
                                </w:rPr>
                                <w:t>压实机</w:t>
                              </w:r>
                            </w:p>
                          </w:txbxContent>
                        </wps:txbx>
                        <wps:bodyPr rot="0" vert="horz" wrap="square" lIns="91440" tIns="45720" rIns="91440" bIns="45720" anchor="t" anchorCtr="0" upright="1">
                          <a:noAutofit/>
                        </wps:bodyPr>
                      </wps:wsp>
                      <wps:wsp>
                        <wps:cNvPr id="63" name="Line 339159"/>
                        <wps:cNvCnPr>
                          <a:cxnSpLocks noChangeShapeType="1"/>
                        </wps:cNvCnPr>
                        <wps:spPr bwMode="auto">
                          <a:xfrm>
                            <a:off x="1551303" y="3256212"/>
                            <a:ext cx="457201" cy="0"/>
                          </a:xfrm>
                          <a:prstGeom prst="line">
                            <a:avLst/>
                          </a:prstGeom>
                          <a:noFill/>
                          <a:ln w="9525">
                            <a:solidFill>
                              <a:srgbClr val="000000"/>
                            </a:solidFill>
                            <a:round/>
                            <a:tailEnd type="triangle" w="med" len="med"/>
                          </a:ln>
                        </wps:spPr>
                        <wps:bodyPr/>
                      </wps:wsp>
                      <wps:wsp>
                        <wps:cNvPr id="64" name="Rectangle 339160"/>
                        <wps:cNvSpPr>
                          <a:spLocks noChangeArrowheads="1"/>
                        </wps:cNvSpPr>
                        <wps:spPr bwMode="auto">
                          <a:xfrm>
                            <a:off x="941702" y="3608713"/>
                            <a:ext cx="609601" cy="279401"/>
                          </a:xfrm>
                          <a:prstGeom prst="rect">
                            <a:avLst/>
                          </a:prstGeom>
                          <a:noFill/>
                          <a:ln w="9525">
                            <a:solidFill>
                              <a:srgbClr val="000000"/>
                            </a:solidFill>
                            <a:miter lim="800000"/>
                          </a:ln>
                        </wps:spPr>
                        <wps:txbx>
                          <w:txbxContent>
                            <w:p w14:paraId="71E69BAF">
                              <w:pPr>
                                <w:jc w:val="center"/>
                              </w:pPr>
                              <w:r>
                                <w:rPr>
                                  <w:rFonts w:hint="eastAsia"/>
                                </w:rPr>
                                <w:t>运输车</w:t>
                              </w:r>
                            </w:p>
                          </w:txbxContent>
                        </wps:txbx>
                        <wps:bodyPr rot="0" vert="horz" wrap="square" lIns="91440" tIns="45720" rIns="91440" bIns="45720" anchor="t" anchorCtr="0" upright="1">
                          <a:noAutofit/>
                        </wps:bodyPr>
                      </wps:wsp>
                      <wps:wsp>
                        <wps:cNvPr id="65" name="Line 339161"/>
                        <wps:cNvCnPr>
                          <a:cxnSpLocks noChangeShapeType="1"/>
                        </wps:cNvCnPr>
                        <wps:spPr bwMode="auto">
                          <a:xfrm>
                            <a:off x="1551303" y="3751513"/>
                            <a:ext cx="457201" cy="0"/>
                          </a:xfrm>
                          <a:prstGeom prst="line">
                            <a:avLst/>
                          </a:prstGeom>
                          <a:noFill/>
                          <a:ln w="9525">
                            <a:solidFill>
                              <a:srgbClr val="000000"/>
                            </a:solidFill>
                            <a:round/>
                            <a:tailEnd type="triangle" w="med" len="med"/>
                          </a:ln>
                        </wps:spPr>
                        <wps:bodyPr/>
                      </wps:wsp>
                      <wps:wsp>
                        <wps:cNvPr id="67" name="Rectangle 339162"/>
                        <wps:cNvSpPr>
                          <a:spLocks noChangeArrowheads="1"/>
                        </wps:cNvSpPr>
                        <wps:spPr bwMode="auto">
                          <a:xfrm>
                            <a:off x="3122906" y="2284708"/>
                            <a:ext cx="609601" cy="279401"/>
                          </a:xfrm>
                          <a:prstGeom prst="rect">
                            <a:avLst/>
                          </a:prstGeom>
                          <a:noFill/>
                          <a:ln w="9525">
                            <a:solidFill>
                              <a:srgbClr val="000000"/>
                            </a:solidFill>
                            <a:miter lim="800000"/>
                          </a:ln>
                        </wps:spPr>
                        <wps:txbx>
                          <w:txbxContent>
                            <w:p w14:paraId="69C9A633">
                              <w:pPr>
                                <w:jc w:val="center"/>
                              </w:pPr>
                              <w:r>
                                <w:rPr>
                                  <w:rFonts w:hint="eastAsia"/>
                                </w:rPr>
                                <w:t>洒水车</w:t>
                              </w:r>
                            </w:p>
                          </w:txbxContent>
                        </wps:txbx>
                        <wps:bodyPr rot="0" vert="horz" wrap="square" lIns="91440" tIns="45720" rIns="91440" bIns="45720" anchor="t" anchorCtr="0" upright="1">
                          <a:noAutofit/>
                        </wps:bodyPr>
                      </wps:wsp>
                      <wps:wsp>
                        <wps:cNvPr id="69" name="Line 339163"/>
                        <wps:cNvCnPr>
                          <a:cxnSpLocks noChangeShapeType="1"/>
                        </wps:cNvCnPr>
                        <wps:spPr bwMode="auto">
                          <a:xfrm flipH="1">
                            <a:off x="2484105" y="2432009"/>
                            <a:ext cx="629301" cy="600"/>
                          </a:xfrm>
                          <a:prstGeom prst="line">
                            <a:avLst/>
                          </a:prstGeom>
                          <a:noFill/>
                          <a:ln w="9525">
                            <a:solidFill>
                              <a:srgbClr val="000000"/>
                            </a:solidFill>
                            <a:round/>
                            <a:tailEnd type="triangle" w="med" len="med"/>
                          </a:ln>
                        </wps:spPr>
                        <wps:bodyPr/>
                      </wps:wsp>
                      <wps:wsp>
                        <wps:cNvPr id="70" name="Rectangle 339165"/>
                        <wps:cNvSpPr>
                          <a:spLocks noChangeArrowheads="1"/>
                        </wps:cNvSpPr>
                        <wps:spPr bwMode="auto">
                          <a:xfrm>
                            <a:off x="3294306" y="1960807"/>
                            <a:ext cx="857302" cy="279401"/>
                          </a:xfrm>
                          <a:prstGeom prst="rect">
                            <a:avLst/>
                          </a:prstGeom>
                          <a:noFill/>
                          <a:ln>
                            <a:noFill/>
                          </a:ln>
                        </wps:spPr>
                        <wps:txbx>
                          <w:txbxContent>
                            <w:p w14:paraId="2258B633">
                              <w:r>
                                <w:rPr>
                                  <w:rFonts w:hint="eastAsia"/>
                                </w:rPr>
                                <w:t>噪声、扬尘</w:t>
                              </w:r>
                            </w:p>
                          </w:txbxContent>
                        </wps:txbx>
                        <wps:bodyPr rot="0" vert="horz" wrap="square" lIns="91440" tIns="45720" rIns="91440" bIns="45720" anchor="t" anchorCtr="0" upright="1">
                          <a:noAutofit/>
                        </wps:bodyPr>
                      </wps:wsp>
                      <wps:wsp>
                        <wps:cNvPr id="71" name="Line 339167"/>
                        <wps:cNvCnPr>
                          <a:cxnSpLocks noChangeShapeType="1"/>
                        </wps:cNvCnPr>
                        <wps:spPr bwMode="auto">
                          <a:xfrm flipV="1">
                            <a:off x="2951406" y="3228311"/>
                            <a:ext cx="410201" cy="8900"/>
                          </a:xfrm>
                          <a:prstGeom prst="line">
                            <a:avLst/>
                          </a:prstGeom>
                          <a:noFill/>
                          <a:ln w="9525">
                            <a:solidFill>
                              <a:srgbClr val="000000"/>
                            </a:solidFill>
                            <a:prstDash val="dash"/>
                            <a:round/>
                            <a:tailEnd type="triangle" w="med" len="med"/>
                          </a:ln>
                        </wps:spPr>
                        <wps:bodyPr/>
                      </wps:wsp>
                      <wps:wsp>
                        <wps:cNvPr id="72" name="Rectangle 339170"/>
                        <wps:cNvSpPr>
                          <a:spLocks noChangeArrowheads="1"/>
                        </wps:cNvSpPr>
                        <wps:spPr bwMode="auto">
                          <a:xfrm>
                            <a:off x="1903004" y="1936707"/>
                            <a:ext cx="1095402" cy="2047907"/>
                          </a:xfrm>
                          <a:prstGeom prst="rect">
                            <a:avLst/>
                          </a:prstGeom>
                          <a:noFill/>
                          <a:ln w="9525">
                            <a:solidFill>
                              <a:schemeClr val="tx1"/>
                            </a:solidFill>
                            <a:prstDash val="dash"/>
                            <a:miter lim="800000"/>
                          </a:ln>
                        </wps:spPr>
                        <wps:bodyPr rot="0" vert="horz" wrap="square" lIns="91440" tIns="45720" rIns="91440" bIns="45720" anchor="t" anchorCtr="0" upright="1">
                          <a:noAutofit/>
                        </wps:bodyPr>
                      </wps:wsp>
                      <wps:wsp>
                        <wps:cNvPr id="73" name="Line 339171"/>
                        <wps:cNvCnPr>
                          <a:cxnSpLocks noChangeShapeType="1"/>
                        </wps:cNvCnPr>
                        <wps:spPr bwMode="auto">
                          <a:xfrm flipV="1">
                            <a:off x="2951406" y="3761113"/>
                            <a:ext cx="406401" cy="0"/>
                          </a:xfrm>
                          <a:prstGeom prst="line">
                            <a:avLst/>
                          </a:prstGeom>
                          <a:noFill/>
                          <a:ln w="9525">
                            <a:solidFill>
                              <a:srgbClr val="000000"/>
                            </a:solidFill>
                            <a:prstDash val="dash"/>
                            <a:round/>
                            <a:tailEnd type="triangle" w="med" len="med"/>
                          </a:ln>
                        </wps:spPr>
                        <wps:bodyPr/>
                      </wps:wsp>
                      <wps:wsp>
                        <wps:cNvPr id="74" name="Line 339172"/>
                        <wps:cNvCnPr>
                          <a:cxnSpLocks noChangeShapeType="1"/>
                        </wps:cNvCnPr>
                        <wps:spPr bwMode="auto">
                          <a:xfrm flipV="1">
                            <a:off x="2941906" y="2713310"/>
                            <a:ext cx="406401" cy="0"/>
                          </a:xfrm>
                          <a:prstGeom prst="line">
                            <a:avLst/>
                          </a:prstGeom>
                          <a:noFill/>
                          <a:ln w="9525">
                            <a:solidFill>
                              <a:srgbClr val="000000"/>
                            </a:solidFill>
                            <a:prstDash val="dash"/>
                            <a:round/>
                            <a:tailEnd type="triangle" w="med" len="med"/>
                          </a:ln>
                        </wps:spPr>
                        <wps:bodyPr/>
                      </wps:wsp>
                      <wps:wsp>
                        <wps:cNvPr id="75" name="Line 339173"/>
                        <wps:cNvCnPr>
                          <a:cxnSpLocks noChangeShapeType="1"/>
                        </wps:cNvCnPr>
                        <wps:spPr bwMode="auto">
                          <a:xfrm flipV="1">
                            <a:off x="2951406" y="2113207"/>
                            <a:ext cx="406401" cy="0"/>
                          </a:xfrm>
                          <a:prstGeom prst="line">
                            <a:avLst/>
                          </a:prstGeom>
                          <a:noFill/>
                          <a:ln w="9525">
                            <a:solidFill>
                              <a:srgbClr val="000000"/>
                            </a:solidFill>
                            <a:prstDash val="dash"/>
                            <a:round/>
                            <a:tailEnd type="triangle" w="med" len="med"/>
                          </a:ln>
                        </wps:spPr>
                        <wps:bodyPr/>
                      </wps:wsp>
                      <wps:wsp>
                        <wps:cNvPr id="76" name="Rectangle 339174"/>
                        <wps:cNvSpPr>
                          <a:spLocks noChangeArrowheads="1"/>
                        </wps:cNvSpPr>
                        <wps:spPr bwMode="auto">
                          <a:xfrm>
                            <a:off x="3275306" y="2560909"/>
                            <a:ext cx="850902" cy="279401"/>
                          </a:xfrm>
                          <a:prstGeom prst="rect">
                            <a:avLst/>
                          </a:prstGeom>
                          <a:noFill/>
                          <a:ln>
                            <a:noFill/>
                          </a:ln>
                        </wps:spPr>
                        <wps:txbx>
                          <w:txbxContent>
                            <w:p w14:paraId="450D50FA">
                              <w:r>
                                <w:rPr>
                                  <w:rFonts w:hint="eastAsia"/>
                                </w:rPr>
                                <w:t>噪声、扬尘</w:t>
                              </w:r>
                            </w:p>
                          </w:txbxContent>
                        </wps:txbx>
                        <wps:bodyPr rot="0" vert="horz" wrap="square" lIns="91440" tIns="45720" rIns="91440" bIns="45720" anchor="t" anchorCtr="0" upright="1">
                          <a:noAutofit/>
                        </wps:bodyPr>
                      </wps:wsp>
                      <wps:wsp>
                        <wps:cNvPr id="77" name="Rectangle 339175"/>
                        <wps:cNvSpPr>
                          <a:spLocks noChangeArrowheads="1"/>
                        </wps:cNvSpPr>
                        <wps:spPr bwMode="auto">
                          <a:xfrm>
                            <a:off x="3275306" y="3084811"/>
                            <a:ext cx="850902" cy="279401"/>
                          </a:xfrm>
                          <a:prstGeom prst="rect">
                            <a:avLst/>
                          </a:prstGeom>
                          <a:noFill/>
                          <a:ln>
                            <a:noFill/>
                          </a:ln>
                        </wps:spPr>
                        <wps:txbx>
                          <w:txbxContent>
                            <w:p w14:paraId="33C0753E">
                              <w:r>
                                <w:rPr>
                                  <w:rFonts w:hint="eastAsia"/>
                                </w:rPr>
                                <w:t>噪声、扬尘</w:t>
                              </w:r>
                            </w:p>
                          </w:txbxContent>
                        </wps:txbx>
                        <wps:bodyPr rot="0" vert="horz" wrap="square" lIns="91440" tIns="45720" rIns="91440" bIns="45720" anchor="t" anchorCtr="0" upright="1">
                          <a:noAutofit/>
                        </wps:bodyPr>
                      </wps:wsp>
                      <wps:wsp>
                        <wps:cNvPr id="78" name="Rectangle 339176"/>
                        <wps:cNvSpPr>
                          <a:spLocks noChangeArrowheads="1"/>
                        </wps:cNvSpPr>
                        <wps:spPr bwMode="auto">
                          <a:xfrm>
                            <a:off x="3284806" y="3608713"/>
                            <a:ext cx="850902" cy="279401"/>
                          </a:xfrm>
                          <a:prstGeom prst="rect">
                            <a:avLst/>
                          </a:prstGeom>
                          <a:noFill/>
                          <a:ln>
                            <a:noFill/>
                          </a:ln>
                        </wps:spPr>
                        <wps:txbx>
                          <w:txbxContent>
                            <w:p w14:paraId="5BF656C1">
                              <w:r>
                                <w:rPr>
                                  <w:rFonts w:hint="eastAsia"/>
                                </w:rPr>
                                <w:t>噪声、扬尘</w:t>
                              </w:r>
                            </w:p>
                          </w:txbxContent>
                        </wps:txbx>
                        <wps:bodyPr rot="0" vert="horz" wrap="square" lIns="91440" tIns="45720" rIns="91440" bIns="45720" anchor="t" anchorCtr="0" upright="1">
                          <a:noAutofit/>
                        </wps:bodyPr>
                      </wps:wsp>
                      <wps:wsp>
                        <wps:cNvPr id="79" name="Line 339177"/>
                        <wps:cNvCnPr>
                          <a:cxnSpLocks noChangeShapeType="1"/>
                        </wps:cNvCnPr>
                        <wps:spPr bwMode="auto">
                          <a:xfrm flipV="1">
                            <a:off x="2932406" y="4313515"/>
                            <a:ext cx="406401" cy="0"/>
                          </a:xfrm>
                          <a:prstGeom prst="line">
                            <a:avLst/>
                          </a:prstGeom>
                          <a:noFill/>
                          <a:ln w="9525">
                            <a:solidFill>
                              <a:srgbClr val="000000"/>
                            </a:solidFill>
                            <a:prstDash val="dash"/>
                            <a:round/>
                            <a:tailEnd type="triangle" w="med" len="med"/>
                          </a:ln>
                        </wps:spPr>
                        <wps:bodyPr/>
                      </wps:wsp>
                      <wps:wsp>
                        <wps:cNvPr id="80" name="Rectangle 339178"/>
                        <wps:cNvSpPr>
                          <a:spLocks noChangeArrowheads="1"/>
                        </wps:cNvSpPr>
                        <wps:spPr bwMode="auto">
                          <a:xfrm>
                            <a:off x="3275306" y="4161115"/>
                            <a:ext cx="850902" cy="279401"/>
                          </a:xfrm>
                          <a:prstGeom prst="rect">
                            <a:avLst/>
                          </a:prstGeom>
                          <a:noFill/>
                          <a:ln>
                            <a:noFill/>
                          </a:ln>
                        </wps:spPr>
                        <wps:txbx>
                          <w:txbxContent>
                            <w:p w14:paraId="76EA3A7C">
                              <w:r>
                                <w:rPr>
                                  <w:rFonts w:hint="eastAsia"/>
                                </w:rPr>
                                <w:t>噪声、扬尘</w:t>
                              </w:r>
                            </w:p>
                          </w:txbxContent>
                        </wps:txbx>
                        <wps:bodyPr rot="0" vert="horz" wrap="square" lIns="91440" tIns="45720" rIns="91440" bIns="45720" anchor="t" anchorCtr="0" upright="1">
                          <a:noAutofit/>
                        </wps:bodyPr>
                      </wps:wsp>
                      <wps:wsp>
                        <wps:cNvPr id="81" name="Line 339179"/>
                        <wps:cNvCnPr>
                          <a:cxnSpLocks noChangeShapeType="1"/>
                        </wps:cNvCnPr>
                        <wps:spPr bwMode="auto">
                          <a:xfrm flipH="1">
                            <a:off x="674301" y="2670109"/>
                            <a:ext cx="238100" cy="700"/>
                          </a:xfrm>
                          <a:prstGeom prst="line">
                            <a:avLst/>
                          </a:prstGeom>
                          <a:noFill/>
                          <a:ln w="9525">
                            <a:solidFill>
                              <a:srgbClr val="000000"/>
                            </a:solidFill>
                            <a:prstDash val="dash"/>
                            <a:round/>
                            <a:tailEnd type="triangle" w="med" len="med"/>
                          </a:ln>
                        </wps:spPr>
                        <wps:bodyPr/>
                      </wps:wsp>
                      <wps:wsp>
                        <wps:cNvPr id="82" name="Rectangle 339180"/>
                        <wps:cNvSpPr>
                          <a:spLocks noChangeArrowheads="1"/>
                        </wps:cNvSpPr>
                        <wps:spPr bwMode="auto">
                          <a:xfrm>
                            <a:off x="0" y="2427609"/>
                            <a:ext cx="783501" cy="288901"/>
                          </a:xfrm>
                          <a:prstGeom prst="rect">
                            <a:avLst/>
                          </a:prstGeom>
                          <a:noFill/>
                          <a:ln>
                            <a:noFill/>
                          </a:ln>
                        </wps:spPr>
                        <wps:txbx>
                          <w:txbxContent>
                            <w:p w14:paraId="65564427">
                              <w:r>
                                <w:rPr>
                                  <w:rFonts w:hint="eastAsia"/>
                                </w:rPr>
                                <w:t>噪声、扬尘</w:t>
                              </w:r>
                            </w:p>
                          </w:txbxContent>
                        </wps:txbx>
                        <wps:bodyPr rot="0" vert="horz" wrap="square" lIns="91440" tIns="45720" rIns="91440" bIns="45720" anchor="t" anchorCtr="0" upright="1">
                          <a:noAutofit/>
                        </wps:bodyPr>
                      </wps:wsp>
                      <wps:wsp>
                        <wps:cNvPr id="83" name="Line 339181"/>
                        <wps:cNvCnPr>
                          <a:cxnSpLocks noChangeShapeType="1"/>
                        </wps:cNvCnPr>
                        <wps:spPr bwMode="auto">
                          <a:xfrm flipH="1">
                            <a:off x="713101" y="3751513"/>
                            <a:ext cx="228600" cy="0"/>
                          </a:xfrm>
                          <a:prstGeom prst="line">
                            <a:avLst/>
                          </a:prstGeom>
                          <a:noFill/>
                          <a:ln w="9525">
                            <a:solidFill>
                              <a:srgbClr val="000000"/>
                            </a:solidFill>
                            <a:prstDash val="dash"/>
                            <a:round/>
                            <a:tailEnd type="triangle" w="med" len="med"/>
                          </a:ln>
                        </wps:spPr>
                        <wps:bodyPr/>
                      </wps:wsp>
                      <wps:wsp>
                        <wps:cNvPr id="84" name="Line 339182"/>
                        <wps:cNvCnPr>
                          <a:cxnSpLocks noChangeShapeType="1"/>
                        </wps:cNvCnPr>
                        <wps:spPr bwMode="auto">
                          <a:xfrm flipH="1">
                            <a:off x="694001" y="3265812"/>
                            <a:ext cx="228600" cy="0"/>
                          </a:xfrm>
                          <a:prstGeom prst="line">
                            <a:avLst/>
                          </a:prstGeom>
                          <a:noFill/>
                          <a:ln w="9525">
                            <a:solidFill>
                              <a:srgbClr val="000000"/>
                            </a:solidFill>
                            <a:prstDash val="dash"/>
                            <a:round/>
                            <a:tailEnd type="triangle" w="med" len="med"/>
                          </a:ln>
                        </wps:spPr>
                        <wps:bodyPr/>
                      </wps:wsp>
                      <wps:wsp>
                        <wps:cNvPr id="85" name="Rectangle 339183"/>
                        <wps:cNvSpPr>
                          <a:spLocks noChangeArrowheads="1"/>
                        </wps:cNvSpPr>
                        <wps:spPr bwMode="auto">
                          <a:xfrm>
                            <a:off x="0" y="3494412"/>
                            <a:ext cx="869902" cy="279401"/>
                          </a:xfrm>
                          <a:prstGeom prst="rect">
                            <a:avLst/>
                          </a:prstGeom>
                          <a:noFill/>
                          <a:ln>
                            <a:noFill/>
                          </a:ln>
                        </wps:spPr>
                        <wps:txbx>
                          <w:txbxContent>
                            <w:p w14:paraId="5042EB29">
                              <w:r>
                                <w:rPr>
                                  <w:rFonts w:hint="eastAsia"/>
                                </w:rPr>
                                <w:t>噪声、扬尘</w:t>
                              </w:r>
                            </w:p>
                          </w:txbxContent>
                        </wps:txbx>
                        <wps:bodyPr rot="0" vert="horz" wrap="square" lIns="91440" tIns="45720" rIns="91440" bIns="45720" anchor="t" anchorCtr="0" upright="1">
                          <a:noAutofit/>
                        </wps:bodyPr>
                      </wps:wsp>
                      <wps:wsp>
                        <wps:cNvPr id="86" name="Rectangle 339184"/>
                        <wps:cNvSpPr>
                          <a:spLocks noChangeArrowheads="1"/>
                        </wps:cNvSpPr>
                        <wps:spPr bwMode="auto">
                          <a:xfrm>
                            <a:off x="0" y="3018111"/>
                            <a:ext cx="822302" cy="279401"/>
                          </a:xfrm>
                          <a:prstGeom prst="rect">
                            <a:avLst/>
                          </a:prstGeom>
                          <a:noFill/>
                          <a:ln>
                            <a:noFill/>
                          </a:ln>
                        </wps:spPr>
                        <wps:txbx>
                          <w:txbxContent>
                            <w:p w14:paraId="1ADA214C">
                              <w:r>
                                <w:rPr>
                                  <w:rFonts w:hint="eastAsia"/>
                                </w:rPr>
                                <w:t>噪声、扬尘</w:t>
                              </w:r>
                            </w:p>
                          </w:txbxContent>
                        </wps:txbx>
                        <wps:bodyPr rot="0" vert="horz" wrap="square" lIns="91440" tIns="45720" rIns="91440" bIns="45720" anchor="t" anchorCtr="0" upright="1">
                          <a:noAutofit/>
                        </wps:bodyPr>
                      </wps:wsp>
                      <wps:wsp>
                        <wps:cNvPr id="87" name="Line 339185"/>
                        <wps:cNvCnPr>
                          <a:cxnSpLocks noChangeShapeType="1"/>
                        </wps:cNvCnPr>
                        <wps:spPr bwMode="auto">
                          <a:xfrm flipV="1">
                            <a:off x="2894305" y="1084504"/>
                            <a:ext cx="406401" cy="0"/>
                          </a:xfrm>
                          <a:prstGeom prst="line">
                            <a:avLst/>
                          </a:prstGeom>
                          <a:noFill/>
                          <a:ln w="9525">
                            <a:solidFill>
                              <a:srgbClr val="000000"/>
                            </a:solidFill>
                            <a:prstDash val="dash"/>
                            <a:round/>
                            <a:tailEnd type="triangle" w="med" len="med"/>
                          </a:ln>
                        </wps:spPr>
                        <wps:bodyPr/>
                      </wps:wsp>
                      <wps:wsp>
                        <wps:cNvPr id="88" name="Rectangle 339186"/>
                        <wps:cNvSpPr>
                          <a:spLocks noChangeArrowheads="1"/>
                        </wps:cNvSpPr>
                        <wps:spPr bwMode="auto">
                          <a:xfrm>
                            <a:off x="3227706" y="932103"/>
                            <a:ext cx="850902" cy="279401"/>
                          </a:xfrm>
                          <a:prstGeom prst="rect">
                            <a:avLst/>
                          </a:prstGeom>
                          <a:noFill/>
                          <a:ln>
                            <a:noFill/>
                          </a:ln>
                        </wps:spPr>
                        <wps:txbx>
                          <w:txbxContent>
                            <w:p w14:paraId="4297097E">
                              <w:r>
                                <w:rPr>
                                  <w:rFonts w:hint="eastAsia"/>
                                </w:rPr>
                                <w:t>噪声、扬尘</w:t>
                              </w:r>
                            </w:p>
                          </w:txbxContent>
                        </wps:txbx>
                        <wps:bodyPr rot="0" vert="horz" wrap="square" lIns="91440" tIns="45720" rIns="91440" bIns="45720" anchor="t" anchorCtr="0" upright="1">
                          <a:noAutofit/>
                        </wps:bodyPr>
                      </wps:wsp>
                      <wps:wsp>
                        <wps:cNvPr id="89" name="Line 339187"/>
                        <wps:cNvCnPr>
                          <a:cxnSpLocks noChangeShapeType="1"/>
                        </wps:cNvCnPr>
                        <wps:spPr bwMode="auto">
                          <a:xfrm flipV="1">
                            <a:off x="3846807" y="360601"/>
                            <a:ext cx="406401" cy="0"/>
                          </a:xfrm>
                          <a:prstGeom prst="line">
                            <a:avLst/>
                          </a:prstGeom>
                          <a:noFill/>
                          <a:ln w="9525">
                            <a:solidFill>
                              <a:srgbClr val="000000"/>
                            </a:solidFill>
                            <a:prstDash val="dash"/>
                            <a:round/>
                            <a:tailEnd type="triangle" w="med" len="med"/>
                          </a:ln>
                        </wps:spPr>
                        <wps:bodyPr/>
                      </wps:wsp>
                      <wps:wsp>
                        <wps:cNvPr id="90" name="Line 339188"/>
                        <wps:cNvCnPr>
                          <a:cxnSpLocks noChangeShapeType="1"/>
                        </wps:cNvCnPr>
                        <wps:spPr bwMode="auto">
                          <a:xfrm flipV="1">
                            <a:off x="979802" y="341601"/>
                            <a:ext cx="406401" cy="0"/>
                          </a:xfrm>
                          <a:prstGeom prst="line">
                            <a:avLst/>
                          </a:prstGeom>
                          <a:noFill/>
                          <a:ln w="9525">
                            <a:solidFill>
                              <a:srgbClr val="000000"/>
                            </a:solidFill>
                            <a:prstDash val="dash"/>
                            <a:round/>
                            <a:headEnd type="triangle" w="med" len="med"/>
                          </a:ln>
                        </wps:spPr>
                        <wps:bodyPr/>
                      </wps:wsp>
                      <wps:wsp>
                        <wps:cNvPr id="91" name="Rectangle 339189"/>
                        <wps:cNvSpPr>
                          <a:spLocks noChangeArrowheads="1"/>
                        </wps:cNvSpPr>
                        <wps:spPr bwMode="auto">
                          <a:xfrm>
                            <a:off x="4218308" y="122500"/>
                            <a:ext cx="1050202" cy="478802"/>
                          </a:xfrm>
                          <a:prstGeom prst="rect">
                            <a:avLst/>
                          </a:prstGeom>
                          <a:noFill/>
                          <a:ln>
                            <a:noFill/>
                          </a:ln>
                        </wps:spPr>
                        <wps:txbx>
                          <w:txbxContent>
                            <w:p w14:paraId="4C0E51C0">
                              <w:pPr>
                                <w:jc w:val="center"/>
                              </w:pPr>
                              <w:r>
                                <w:rPr>
                                  <w:rFonts w:hint="eastAsia"/>
                                </w:rPr>
                                <w:t>噪声、扬尘、固废</w:t>
                              </w:r>
                            </w:p>
                          </w:txbxContent>
                        </wps:txbx>
                        <wps:bodyPr rot="0" vert="horz" wrap="square" lIns="91440" tIns="45720" rIns="91440" bIns="45720" anchor="t" anchorCtr="0" upright="1">
                          <a:noAutofit/>
                        </wps:bodyPr>
                      </wps:wsp>
                      <wps:wsp>
                        <wps:cNvPr id="92" name="Rectangle 339190"/>
                        <wps:cNvSpPr>
                          <a:spLocks noChangeArrowheads="1"/>
                        </wps:cNvSpPr>
                        <wps:spPr bwMode="auto">
                          <a:xfrm>
                            <a:off x="227300" y="74900"/>
                            <a:ext cx="850902" cy="498502"/>
                          </a:xfrm>
                          <a:prstGeom prst="rect">
                            <a:avLst/>
                          </a:prstGeom>
                          <a:noFill/>
                          <a:ln>
                            <a:noFill/>
                          </a:ln>
                        </wps:spPr>
                        <wps:txbx>
                          <w:txbxContent>
                            <w:p w14:paraId="65186160">
                              <w:r>
                                <w:rPr>
                                  <w:rFonts w:hint="eastAsia"/>
                                </w:rPr>
                                <w:t>噪声、扬尘、固废</w:t>
                              </w:r>
                            </w:p>
                          </w:txbxContent>
                        </wps:txbx>
                        <wps:bodyPr rot="0" vert="horz" wrap="square" lIns="91440" tIns="45720" rIns="91440" bIns="45720" anchor="t" anchorCtr="0" upright="1">
                          <a:noAutofit/>
                        </wps:bodyPr>
                      </wps:wsp>
                      <wps:wsp>
                        <wps:cNvPr id="93" name="Rectangle 339191"/>
                        <wps:cNvSpPr>
                          <a:spLocks noChangeArrowheads="1"/>
                        </wps:cNvSpPr>
                        <wps:spPr bwMode="auto">
                          <a:xfrm>
                            <a:off x="751201" y="1913207"/>
                            <a:ext cx="537201" cy="279401"/>
                          </a:xfrm>
                          <a:prstGeom prst="rect">
                            <a:avLst/>
                          </a:prstGeom>
                          <a:noFill/>
                          <a:ln>
                            <a:noFill/>
                          </a:ln>
                        </wps:spPr>
                        <wps:txbx>
                          <w:txbxContent>
                            <w:p w14:paraId="66663D13">
                              <w:r>
                                <w:rPr>
                                  <w:rFonts w:hint="eastAsia"/>
                                </w:rPr>
                                <w:t>降雨</w:t>
                              </w:r>
                            </w:p>
                          </w:txbxContent>
                        </wps:txbx>
                        <wps:bodyPr rot="0" vert="horz" wrap="square" lIns="91440" tIns="45720" rIns="91440" bIns="45720" anchor="t" anchorCtr="0" upright="1">
                          <a:noAutofit/>
                        </wps:bodyPr>
                      </wps:wsp>
                      <wps:wsp>
                        <wps:cNvPr id="94" name="Line 339192"/>
                        <wps:cNvCnPr>
                          <a:cxnSpLocks noChangeShapeType="1"/>
                        </wps:cNvCnPr>
                        <wps:spPr bwMode="auto">
                          <a:xfrm>
                            <a:off x="1103602" y="2065607"/>
                            <a:ext cx="790601" cy="600"/>
                          </a:xfrm>
                          <a:prstGeom prst="line">
                            <a:avLst/>
                          </a:prstGeom>
                          <a:noFill/>
                          <a:ln w="9525">
                            <a:solidFill>
                              <a:schemeClr val="tx1"/>
                            </a:solidFill>
                            <a:prstDash val="dash"/>
                            <a:round/>
                            <a:tailEnd type="triangle" w="med" len="med"/>
                          </a:ln>
                        </wps:spPr>
                        <wps:bodyPr/>
                      </wps:wsp>
                      <wps:wsp>
                        <wps:cNvPr id="95" name="Line 339193"/>
                        <wps:cNvCnPr>
                          <a:cxnSpLocks noChangeShapeType="1"/>
                        </wps:cNvCnPr>
                        <wps:spPr bwMode="auto">
                          <a:xfrm>
                            <a:off x="3004806" y="2952710"/>
                            <a:ext cx="1628703" cy="600"/>
                          </a:xfrm>
                          <a:prstGeom prst="line">
                            <a:avLst/>
                          </a:prstGeom>
                          <a:noFill/>
                          <a:ln w="9525">
                            <a:solidFill>
                              <a:schemeClr val="tx1"/>
                            </a:solidFill>
                            <a:prstDash val="dash"/>
                            <a:round/>
                          </a:ln>
                        </wps:spPr>
                        <wps:bodyPr/>
                      </wps:wsp>
                      <wps:wsp>
                        <wps:cNvPr id="96" name="Line 339194"/>
                        <wps:cNvCnPr>
                          <a:cxnSpLocks noChangeShapeType="1"/>
                        </wps:cNvCnPr>
                        <wps:spPr bwMode="auto">
                          <a:xfrm flipV="1">
                            <a:off x="4624009" y="2676509"/>
                            <a:ext cx="700" cy="285701"/>
                          </a:xfrm>
                          <a:prstGeom prst="line">
                            <a:avLst/>
                          </a:prstGeom>
                          <a:noFill/>
                          <a:ln w="9525">
                            <a:solidFill>
                              <a:schemeClr val="tx1"/>
                            </a:solidFill>
                            <a:prstDash val="dash"/>
                            <a:round/>
                            <a:tailEnd type="triangle" w="med" len="med"/>
                          </a:ln>
                        </wps:spPr>
                        <wps:bodyPr/>
                      </wps:wsp>
                      <wps:wsp>
                        <wps:cNvPr id="97" name="Rectangle 339195"/>
                        <wps:cNvSpPr>
                          <a:spLocks noChangeArrowheads="1"/>
                        </wps:cNvSpPr>
                        <wps:spPr bwMode="auto">
                          <a:xfrm>
                            <a:off x="4313508" y="2379908"/>
                            <a:ext cx="610201" cy="310501"/>
                          </a:xfrm>
                          <a:prstGeom prst="rect">
                            <a:avLst/>
                          </a:prstGeom>
                          <a:noFill/>
                          <a:ln w="9525">
                            <a:solidFill>
                              <a:srgbClr val="000000"/>
                            </a:solidFill>
                            <a:miter lim="800000"/>
                          </a:ln>
                        </wps:spPr>
                        <wps:txbx>
                          <w:txbxContent>
                            <w:p w14:paraId="0F2BA513">
                              <w:pPr>
                                <w:jc w:val="center"/>
                              </w:pPr>
                              <w:r>
                                <w:rPr>
                                  <w:rFonts w:hint="eastAsia"/>
                                </w:rPr>
                                <w:t>排水沟</w:t>
                              </w:r>
                            </w:p>
                          </w:txbxContent>
                        </wps:txbx>
                        <wps:bodyPr rot="0" vert="horz" wrap="square" lIns="91440" tIns="45720" rIns="91440" bIns="45720" anchor="t" anchorCtr="0" upright="1">
                          <a:noAutofit/>
                        </wps:bodyPr>
                      </wps:wsp>
                      <wps:wsp>
                        <wps:cNvPr id="98" name="Line 339196"/>
                        <wps:cNvCnPr>
                          <a:cxnSpLocks noChangeShapeType="1"/>
                        </wps:cNvCnPr>
                        <wps:spPr bwMode="auto">
                          <a:xfrm flipV="1">
                            <a:off x="4618309" y="2094207"/>
                            <a:ext cx="0" cy="279401"/>
                          </a:xfrm>
                          <a:prstGeom prst="line">
                            <a:avLst/>
                          </a:prstGeom>
                          <a:noFill/>
                          <a:ln w="9525">
                            <a:solidFill>
                              <a:schemeClr val="tx1"/>
                            </a:solidFill>
                            <a:prstDash val="dash"/>
                            <a:round/>
                            <a:tailEnd type="triangle" w="med" len="med"/>
                          </a:ln>
                        </wps:spPr>
                        <wps:bodyPr/>
                      </wps:wsp>
                      <wps:wsp>
                        <wps:cNvPr id="99" name="Rectangle 339197"/>
                        <wps:cNvSpPr>
                          <a:spLocks noChangeArrowheads="1"/>
                        </wps:cNvSpPr>
                        <wps:spPr bwMode="auto">
                          <a:xfrm>
                            <a:off x="4142108" y="1837006"/>
                            <a:ext cx="923902" cy="304801"/>
                          </a:xfrm>
                          <a:prstGeom prst="rect">
                            <a:avLst/>
                          </a:prstGeom>
                          <a:noFill/>
                          <a:ln>
                            <a:noFill/>
                          </a:ln>
                        </wps:spPr>
                        <wps:txbx>
                          <w:txbxContent>
                            <w:p w14:paraId="0D9094A6">
                              <w:pPr>
                                <w:jc w:val="center"/>
                              </w:pPr>
                              <w:r>
                                <w:rPr>
                                  <w:rFonts w:hint="eastAsia"/>
                                </w:rPr>
                                <w:t>自然冲沟</w:t>
                              </w:r>
                            </w:p>
                          </w:txbxContent>
                        </wps:txbx>
                        <wps:bodyPr rot="0" vert="horz" wrap="square" lIns="91440" tIns="45720" rIns="91440" bIns="45720" anchor="t" anchorCtr="0" upright="1">
                          <a:noAutofit/>
                        </wps:bodyPr>
                      </wps:wsp>
                      <wps:wsp>
                        <wps:cNvPr id="100" name="Rectangle 339198"/>
                        <wps:cNvSpPr>
                          <a:spLocks noChangeArrowheads="1"/>
                        </wps:cNvSpPr>
                        <wps:spPr bwMode="auto">
                          <a:xfrm>
                            <a:off x="4019550" y="2703810"/>
                            <a:ext cx="449560" cy="279401"/>
                          </a:xfrm>
                          <a:prstGeom prst="rect">
                            <a:avLst/>
                          </a:prstGeom>
                          <a:noFill/>
                          <a:ln>
                            <a:noFill/>
                          </a:ln>
                        </wps:spPr>
                        <wps:txbx>
                          <w:txbxContent>
                            <w:p w14:paraId="244B6B78">
                              <w:r>
                                <w:rPr>
                                  <w:rFonts w:hint="eastAsia"/>
                                </w:rPr>
                                <w:t>雨水</w:t>
                              </w:r>
                            </w:p>
                          </w:txbxContent>
                        </wps:txbx>
                        <wps:bodyPr rot="0" vert="horz" wrap="square" lIns="91440" tIns="45720" rIns="91440" bIns="45720" anchor="t" anchorCtr="0" upright="1">
                          <a:noAutofit/>
                        </wps:bodyPr>
                      </wps:wsp>
                      <wps:wsp>
                        <wps:cNvPr id="101" name="Line 339199"/>
                        <wps:cNvCnPr>
                          <a:cxnSpLocks noChangeShapeType="1"/>
                        </wps:cNvCnPr>
                        <wps:spPr bwMode="auto">
                          <a:xfrm>
                            <a:off x="3018106" y="3542013"/>
                            <a:ext cx="1625603" cy="0"/>
                          </a:xfrm>
                          <a:prstGeom prst="line">
                            <a:avLst/>
                          </a:prstGeom>
                          <a:noFill/>
                          <a:ln w="9525">
                            <a:solidFill>
                              <a:schemeClr val="tx1"/>
                            </a:solidFill>
                            <a:prstDash val="dash"/>
                            <a:round/>
                          </a:ln>
                        </wps:spPr>
                        <wps:bodyPr/>
                      </wps:wsp>
                      <wps:wsp>
                        <wps:cNvPr id="102" name="Line 339200"/>
                        <wps:cNvCnPr>
                          <a:cxnSpLocks noChangeShapeType="1"/>
                        </wps:cNvCnPr>
                        <wps:spPr bwMode="auto">
                          <a:xfrm flipV="1">
                            <a:off x="4665909" y="3542013"/>
                            <a:ext cx="0" cy="279401"/>
                          </a:xfrm>
                          <a:prstGeom prst="line">
                            <a:avLst/>
                          </a:prstGeom>
                          <a:noFill/>
                          <a:ln w="9525">
                            <a:solidFill>
                              <a:schemeClr val="tx1"/>
                            </a:solidFill>
                            <a:prstDash val="dash"/>
                            <a:round/>
                            <a:headEnd type="triangle" w="med" len="med"/>
                          </a:ln>
                        </wps:spPr>
                        <wps:bodyPr/>
                      </wps:wsp>
                      <wps:wsp>
                        <wps:cNvPr id="103" name="Rectangle 339201"/>
                        <wps:cNvSpPr>
                          <a:spLocks noChangeArrowheads="1"/>
                        </wps:cNvSpPr>
                        <wps:spPr bwMode="auto">
                          <a:xfrm>
                            <a:off x="4142108" y="3837314"/>
                            <a:ext cx="1020402" cy="304801"/>
                          </a:xfrm>
                          <a:prstGeom prst="rect">
                            <a:avLst/>
                          </a:prstGeom>
                          <a:noFill/>
                          <a:ln w="9525">
                            <a:solidFill>
                              <a:srgbClr val="000000"/>
                            </a:solidFill>
                            <a:miter lim="800000"/>
                          </a:ln>
                        </wps:spPr>
                        <wps:txbx>
                          <w:txbxContent>
                            <w:p w14:paraId="2CB021D1">
                              <w:r>
                                <w:rPr>
                                  <w:rFonts w:hint="eastAsia"/>
                                </w:rPr>
                                <w:t>淋溶水暂存池</w:t>
                              </w:r>
                            </w:p>
                          </w:txbxContent>
                        </wps:txbx>
                        <wps:bodyPr rot="0" vert="horz" wrap="square" lIns="91440" tIns="45720" rIns="91440" bIns="45720" anchor="t" anchorCtr="0" upright="1">
                          <a:noAutofit/>
                        </wps:bodyPr>
                      </wps:wsp>
                      <wps:wsp>
                        <wps:cNvPr id="104" name="Line 339202"/>
                        <wps:cNvCnPr>
                          <a:cxnSpLocks noChangeShapeType="1"/>
                        </wps:cNvCnPr>
                        <wps:spPr bwMode="auto">
                          <a:xfrm flipV="1">
                            <a:off x="4675509" y="4161115"/>
                            <a:ext cx="600" cy="193701"/>
                          </a:xfrm>
                          <a:prstGeom prst="line">
                            <a:avLst/>
                          </a:prstGeom>
                          <a:noFill/>
                          <a:ln w="9525">
                            <a:solidFill>
                              <a:schemeClr val="tx1"/>
                            </a:solidFill>
                            <a:prstDash val="dash"/>
                            <a:round/>
                            <a:headEnd type="triangle" w="med" len="med"/>
                          </a:ln>
                        </wps:spPr>
                        <wps:bodyPr/>
                      </wps:wsp>
                      <wps:wsp>
                        <wps:cNvPr id="105" name="Line 339203"/>
                        <wps:cNvCnPr>
                          <a:cxnSpLocks noChangeShapeType="1"/>
                        </wps:cNvCnPr>
                        <wps:spPr bwMode="auto">
                          <a:xfrm flipV="1">
                            <a:off x="5008809" y="3428312"/>
                            <a:ext cx="700" cy="393101"/>
                          </a:xfrm>
                          <a:prstGeom prst="line">
                            <a:avLst/>
                          </a:prstGeom>
                          <a:noFill/>
                          <a:ln w="9525">
                            <a:solidFill>
                              <a:schemeClr val="tx1"/>
                            </a:solidFill>
                            <a:prstDash val="dash"/>
                            <a:round/>
                            <a:tailEnd type="triangle" w="med" len="med"/>
                          </a:ln>
                        </wps:spPr>
                        <wps:bodyPr/>
                      </wps:wsp>
                      <wps:wsp>
                        <wps:cNvPr id="106" name="Rectangle 339204"/>
                        <wps:cNvSpPr>
                          <a:spLocks noChangeArrowheads="1"/>
                        </wps:cNvSpPr>
                        <wps:spPr bwMode="auto">
                          <a:xfrm>
                            <a:off x="4761209" y="3170511"/>
                            <a:ext cx="485801" cy="276901"/>
                          </a:xfrm>
                          <a:prstGeom prst="rect">
                            <a:avLst/>
                          </a:prstGeom>
                          <a:noFill/>
                          <a:ln w="9525">
                            <a:solidFill>
                              <a:srgbClr val="000000"/>
                            </a:solidFill>
                            <a:miter lim="800000"/>
                          </a:ln>
                        </wps:spPr>
                        <wps:txbx>
                          <w:txbxContent>
                            <w:p w14:paraId="588AC7A2">
                              <w:r>
                                <w:rPr>
                                  <w:rFonts w:hint="eastAsia"/>
                                </w:rPr>
                                <w:t>沉渣</w:t>
                              </w:r>
                            </w:p>
                          </w:txbxContent>
                        </wps:txbx>
                        <wps:bodyPr rot="0" vert="horz" wrap="square" lIns="91440" tIns="45720" rIns="91440" bIns="45720" anchor="t" anchorCtr="0" upright="1">
                          <a:noAutofit/>
                        </wps:bodyPr>
                      </wps:wsp>
                      <wps:wsp>
                        <wps:cNvPr id="107" name="Line 339205"/>
                        <wps:cNvCnPr>
                          <a:cxnSpLocks noChangeShapeType="1"/>
                        </wps:cNvCnPr>
                        <wps:spPr bwMode="auto">
                          <a:xfrm flipH="1">
                            <a:off x="3004806" y="3356612"/>
                            <a:ext cx="1743003" cy="600"/>
                          </a:xfrm>
                          <a:prstGeom prst="line">
                            <a:avLst/>
                          </a:prstGeom>
                          <a:noFill/>
                          <a:ln w="9525">
                            <a:solidFill>
                              <a:schemeClr val="tx1"/>
                            </a:solidFill>
                            <a:prstDash val="dash"/>
                            <a:round/>
                            <a:tailEnd type="triangle" w="med" len="med"/>
                          </a:ln>
                        </wps:spPr>
                        <wps:bodyPr/>
                      </wps:wsp>
                      <wps:wsp>
                        <wps:cNvPr id="108" name="Rectangle 339206"/>
                        <wps:cNvSpPr>
                          <a:spLocks noChangeArrowheads="1"/>
                        </wps:cNvSpPr>
                        <wps:spPr bwMode="auto">
                          <a:xfrm>
                            <a:off x="4246808" y="3113411"/>
                            <a:ext cx="508001" cy="279401"/>
                          </a:xfrm>
                          <a:prstGeom prst="rect">
                            <a:avLst/>
                          </a:prstGeom>
                          <a:noFill/>
                          <a:ln>
                            <a:noFill/>
                          </a:ln>
                        </wps:spPr>
                        <wps:txbx>
                          <w:txbxContent>
                            <w:p w14:paraId="4E103498">
                              <w:r>
                                <w:rPr>
                                  <w:rFonts w:hint="eastAsia"/>
                                </w:rPr>
                                <w:t>回填</w:t>
                              </w:r>
                            </w:p>
                          </w:txbxContent>
                        </wps:txbx>
                        <wps:bodyPr rot="0" vert="horz" wrap="square" lIns="91440" tIns="45720" rIns="91440" bIns="45720" anchor="t" anchorCtr="0" upright="1">
                          <a:noAutofit/>
                        </wps:bodyPr>
                      </wps:wsp>
                      <wps:wsp>
                        <wps:cNvPr id="109" name="Rectangle 339207"/>
                        <wps:cNvSpPr>
                          <a:spLocks noChangeArrowheads="1"/>
                        </wps:cNvSpPr>
                        <wps:spPr bwMode="auto">
                          <a:xfrm>
                            <a:off x="4218308" y="4265915"/>
                            <a:ext cx="914402" cy="304801"/>
                          </a:xfrm>
                          <a:prstGeom prst="rect">
                            <a:avLst/>
                          </a:prstGeom>
                          <a:noFill/>
                          <a:ln>
                            <a:noFill/>
                          </a:ln>
                        </wps:spPr>
                        <wps:txbx>
                          <w:txbxContent>
                            <w:p w14:paraId="18A26916">
                              <w:pPr>
                                <w:jc w:val="center"/>
                              </w:pPr>
                              <w:r>
                                <w:rPr>
                                  <w:rFonts w:hint="eastAsia"/>
                                </w:rPr>
                                <w:t>淋溶水</w:t>
                              </w:r>
                            </w:p>
                          </w:txbxContent>
                        </wps:txbx>
                        <wps:bodyPr rot="0" vert="horz" wrap="square" lIns="91440" tIns="45720" rIns="91440" bIns="45720" anchor="t" anchorCtr="0" upright="1">
                          <a:noAutofit/>
                        </wps:bodyPr>
                      </wps:wsp>
                      <wps:wsp>
                        <wps:cNvPr id="110" name="Line 339208"/>
                        <wps:cNvCnPr>
                          <a:cxnSpLocks noChangeShapeType="1"/>
                        </wps:cNvCnPr>
                        <wps:spPr bwMode="auto">
                          <a:xfrm flipV="1">
                            <a:off x="4675509" y="4504016"/>
                            <a:ext cx="600" cy="184201"/>
                          </a:xfrm>
                          <a:prstGeom prst="line">
                            <a:avLst/>
                          </a:prstGeom>
                          <a:noFill/>
                          <a:ln w="9525">
                            <a:solidFill>
                              <a:schemeClr val="tx1"/>
                            </a:solidFill>
                            <a:prstDash val="dash"/>
                            <a:round/>
                            <a:headEnd type="triangle" w="med" len="med"/>
                          </a:ln>
                        </wps:spPr>
                        <wps:bodyPr/>
                      </wps:wsp>
                      <wps:wsp>
                        <wps:cNvPr id="111" name="Rectangle 339209"/>
                        <wps:cNvSpPr>
                          <a:spLocks noChangeArrowheads="1"/>
                        </wps:cNvSpPr>
                        <wps:spPr bwMode="auto">
                          <a:xfrm>
                            <a:off x="4130608" y="4632917"/>
                            <a:ext cx="1143702" cy="499802"/>
                          </a:xfrm>
                          <a:prstGeom prst="rect">
                            <a:avLst/>
                          </a:prstGeom>
                          <a:noFill/>
                          <a:ln>
                            <a:noFill/>
                          </a:ln>
                        </wps:spPr>
                        <wps:txbx>
                          <w:txbxContent>
                            <w:p w14:paraId="7138912A">
                              <w:pPr>
                                <w:jc w:val="center"/>
                                <w:rPr>
                                  <w:szCs w:val="21"/>
                                </w:rPr>
                              </w:pPr>
                              <w:r>
                                <w:rPr>
                                  <w:rFonts w:hint="eastAsia"/>
                                  <w:szCs w:val="21"/>
                                </w:rPr>
                                <w:t>回用于项目区洒水抑尘</w:t>
                              </w:r>
                            </w:p>
                          </w:txbxContent>
                        </wps:txbx>
                        <wps:bodyPr rot="0" vert="horz" wrap="square" lIns="91440" tIns="45720" rIns="91440" bIns="45720" anchor="t" anchorCtr="0" upright="1">
                          <a:noAutofit/>
                        </wps:bodyPr>
                      </wps:wsp>
                      <wps:wsp>
                        <wps:cNvPr id="112" name="Line 339272"/>
                        <wps:cNvCnPr>
                          <a:cxnSpLocks noChangeShapeType="1"/>
                        </wps:cNvCnPr>
                        <wps:spPr bwMode="auto">
                          <a:xfrm>
                            <a:off x="2484705" y="4999318"/>
                            <a:ext cx="0" cy="254001"/>
                          </a:xfrm>
                          <a:prstGeom prst="line">
                            <a:avLst/>
                          </a:prstGeom>
                          <a:noFill/>
                          <a:ln w="9525">
                            <a:solidFill>
                              <a:srgbClr val="000000"/>
                            </a:solidFill>
                            <a:round/>
                            <a:tailEnd type="triangle" w="med" len="med"/>
                          </a:ln>
                        </wps:spPr>
                        <wps:bodyPr/>
                      </wps:wsp>
                      <wps:wsp>
                        <wps:cNvPr id="113" name="Rectangle 339273"/>
                        <wps:cNvSpPr>
                          <a:spLocks noChangeArrowheads="1"/>
                        </wps:cNvSpPr>
                        <wps:spPr bwMode="auto">
                          <a:xfrm>
                            <a:off x="2018004" y="5237419"/>
                            <a:ext cx="939802" cy="279401"/>
                          </a:xfrm>
                          <a:prstGeom prst="rect">
                            <a:avLst/>
                          </a:prstGeom>
                          <a:noFill/>
                          <a:ln w="9525">
                            <a:solidFill>
                              <a:srgbClr val="000000"/>
                            </a:solidFill>
                            <a:miter lim="800000"/>
                          </a:ln>
                        </wps:spPr>
                        <wps:txbx>
                          <w:txbxContent>
                            <w:p w14:paraId="201B6F11">
                              <w:pPr>
                                <w:jc w:val="center"/>
                              </w:pPr>
                              <w:r>
                                <w:rPr>
                                  <w:rFonts w:hint="eastAsia"/>
                                </w:rPr>
                                <w:t>生态恢复期</w:t>
                              </w:r>
                            </w:p>
                          </w:txbxContent>
                        </wps:txbx>
                        <wps:bodyPr rot="0" vert="horz" wrap="square" lIns="91440" tIns="45720" rIns="91440" bIns="45720" anchor="t" anchorCtr="0" upright="1">
                          <a:noAutofit/>
                        </wps:bodyPr>
                      </wps:wsp>
                      <wps:wsp>
                        <wps:cNvPr id="114" name="Line 339274"/>
                        <wps:cNvCnPr>
                          <a:cxnSpLocks noChangeShapeType="1"/>
                        </wps:cNvCnPr>
                        <wps:spPr bwMode="auto">
                          <a:xfrm>
                            <a:off x="2970506" y="5380319"/>
                            <a:ext cx="1206502" cy="600"/>
                          </a:xfrm>
                          <a:prstGeom prst="line">
                            <a:avLst/>
                          </a:prstGeom>
                          <a:noFill/>
                          <a:ln w="9525">
                            <a:solidFill>
                              <a:schemeClr val="tx1"/>
                            </a:solidFill>
                            <a:prstDash val="dash"/>
                            <a:round/>
                          </a:ln>
                        </wps:spPr>
                        <wps:bodyPr/>
                      </wps:wsp>
                      <wps:wsp>
                        <wps:cNvPr id="115" name="Line 339275"/>
                        <wps:cNvCnPr>
                          <a:cxnSpLocks noChangeShapeType="1"/>
                        </wps:cNvCnPr>
                        <wps:spPr bwMode="auto">
                          <a:xfrm flipV="1">
                            <a:off x="4189708" y="4152215"/>
                            <a:ext cx="6300" cy="1228104"/>
                          </a:xfrm>
                          <a:prstGeom prst="line">
                            <a:avLst/>
                          </a:prstGeom>
                          <a:noFill/>
                          <a:ln w="9525">
                            <a:solidFill>
                              <a:schemeClr val="tx1"/>
                            </a:solidFill>
                            <a:prstDash val="dash"/>
                            <a:round/>
                            <a:tailEnd type="triangle" w="med" len="med"/>
                          </a:ln>
                        </wps:spPr>
                        <wps:bodyPr/>
                      </wps:wsp>
                      <wps:wsp>
                        <wps:cNvPr id="116" name="Rectangle 339276"/>
                        <wps:cNvSpPr>
                          <a:spLocks noChangeArrowheads="1"/>
                        </wps:cNvSpPr>
                        <wps:spPr bwMode="auto">
                          <a:xfrm>
                            <a:off x="3284806" y="5132718"/>
                            <a:ext cx="914402" cy="304801"/>
                          </a:xfrm>
                          <a:prstGeom prst="rect">
                            <a:avLst/>
                          </a:prstGeom>
                          <a:noFill/>
                          <a:ln>
                            <a:noFill/>
                          </a:ln>
                        </wps:spPr>
                        <wps:txbx>
                          <w:txbxContent>
                            <w:p w14:paraId="08680760">
                              <w:pPr>
                                <w:jc w:val="center"/>
                              </w:pPr>
                              <w:r>
                                <w:rPr>
                                  <w:rFonts w:hint="eastAsia"/>
                                </w:rPr>
                                <w:t>淋溶水</w:t>
                              </w:r>
                            </w:p>
                          </w:txbxContent>
                        </wps:txbx>
                        <wps:bodyPr rot="0" vert="horz" wrap="square" lIns="91440" tIns="45720" rIns="91440" bIns="45720" anchor="t" anchorCtr="0" upright="1">
                          <a:noAutofit/>
                        </wps:bodyPr>
                      </wps:wsp>
                      <wps:wsp>
                        <wps:cNvPr id="117" name="Line 339277"/>
                        <wps:cNvCnPr>
                          <a:cxnSpLocks noChangeShapeType="1"/>
                        </wps:cNvCnPr>
                        <wps:spPr bwMode="auto">
                          <a:xfrm flipV="1">
                            <a:off x="1589403" y="5389819"/>
                            <a:ext cx="406401" cy="0"/>
                          </a:xfrm>
                          <a:prstGeom prst="line">
                            <a:avLst/>
                          </a:prstGeom>
                          <a:noFill/>
                          <a:ln w="9525">
                            <a:solidFill>
                              <a:srgbClr val="000000"/>
                            </a:solidFill>
                            <a:prstDash val="dash"/>
                            <a:round/>
                            <a:headEnd type="triangle" w="med" len="med"/>
                          </a:ln>
                        </wps:spPr>
                        <wps:bodyPr/>
                      </wps:wsp>
                      <wps:wsp>
                        <wps:cNvPr id="118" name="Rectangle 339278"/>
                        <wps:cNvSpPr>
                          <a:spLocks noChangeArrowheads="1"/>
                        </wps:cNvSpPr>
                        <wps:spPr bwMode="auto">
                          <a:xfrm>
                            <a:off x="922602" y="5256519"/>
                            <a:ext cx="863602" cy="279401"/>
                          </a:xfrm>
                          <a:prstGeom prst="rect">
                            <a:avLst/>
                          </a:prstGeom>
                          <a:noFill/>
                          <a:ln>
                            <a:noFill/>
                          </a:ln>
                        </wps:spPr>
                        <wps:txbx>
                          <w:txbxContent>
                            <w:p w14:paraId="36BB7D77">
                              <w:r>
                                <w:rPr>
                                  <w:rFonts w:hint="eastAsia"/>
                                </w:rPr>
                                <w:t>水泵噪声</w:t>
                              </w:r>
                            </w:p>
                          </w:txbxContent>
                        </wps:txbx>
                        <wps:bodyPr rot="0" vert="horz" wrap="square" lIns="91440" tIns="45720" rIns="91440" bIns="45720" anchor="t" anchorCtr="0" upright="1">
                          <a:noAutofit/>
                        </wps:bodyPr>
                      </wps:wsp>
                      <wps:wsp>
                        <wps:cNvPr id="119" name="Rectangle 339276"/>
                        <wps:cNvSpPr>
                          <a:spLocks noChangeArrowheads="1"/>
                        </wps:cNvSpPr>
                        <wps:spPr bwMode="auto">
                          <a:xfrm>
                            <a:off x="3850005" y="3512185"/>
                            <a:ext cx="914400" cy="304800"/>
                          </a:xfrm>
                          <a:prstGeom prst="rect">
                            <a:avLst/>
                          </a:prstGeom>
                          <a:noFill/>
                          <a:ln>
                            <a:noFill/>
                          </a:ln>
                        </wps:spPr>
                        <wps:txbx>
                          <w:txbxContent>
                            <w:p w14:paraId="60073E09">
                              <w:pPr>
                                <w:ind w:firstLine="418"/>
                                <w:jc w:val="center"/>
                                <w:rPr>
                                  <w:szCs w:val="21"/>
                                </w:rPr>
                              </w:pPr>
                              <w:r>
                                <w:rPr>
                                  <w:rFonts w:hint="eastAsia"/>
                                  <w:szCs w:val="21"/>
                                </w:rPr>
                                <w:t>淋溶水</w:t>
                              </w:r>
                            </w:p>
                          </w:txbxContent>
                        </wps:txbx>
                        <wps:bodyPr rot="0" vert="horz" wrap="square" lIns="91440" tIns="45720" rIns="91440" bIns="45720" anchor="t" anchorCtr="0" upright="1">
                          <a:noAutofit/>
                        </wps:bodyPr>
                      </wps:wsp>
                    </wpc:wpc>
                  </a:graphicData>
                </a:graphic>
              </wp:inline>
            </w:drawing>
          </mc:Choice>
          <mc:Fallback>
            <w:pict>
              <v:group id="画布 2" o:spid="_x0000_s1026" o:spt="203" style="height:445.6pt;width:415.3pt;" coordsize="5274310,5659120" editas="canvas"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">
                <o:lock v:ext="edit" aspectratio="f"/>
                <v:shape id="画布 2" o:spid="_x0000_s1026" style="position:absolute;left:0;top:0;height:5659120;width:5274310;"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">
                  <v:fill on="f" focussize="0,0"/>
                  <v:stroke on="f"/>
                  <v:imagedata o:title=""/>
                  <o:lock v:ext="edit" aspectratio="f"/>
                </v:shape>
                <v:rect id="Rectangle 339135" o:spid="_x0000_s1026" o:spt="1" style="position:absolute;left:1367103;top:204401;height:285801;width:7525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AVNpO1AAAAAUBAAAPAAAAAAAAAAEAIAAAACIAAABkcnMvZG93bnJldi54&#10;bWxQSwECFAAUAAAACACHTuJAhDbZUjcCAABjBAAADgAAAAAAAAABACAAAAAjAQAAZHJzL2Uyb0Rv&#10;Yy54bWxQSwUGAAAAAAYABgBZAQAAzAUAAAAA&#10;">
                  <v:fill on="f" focussize="0,0"/>
                  <v:stroke color="#000000" miterlimit="8" joinstyle="miter"/>
                  <v:imagedata o:title=""/>
                  <o:lock v:ext="edit" aspectratio="f"/>
                  <v:textbox>
                    <w:txbxContent>
                      <w:p w14:paraId="5E3513F1">
                        <w:pPr>
                          <w:jc w:val="center"/>
                        </w:pPr>
                        <w:r>
                          <w:rPr>
                            <w:rFonts w:hint="eastAsia"/>
                          </w:rPr>
                          <w:t>场地清理</w:t>
                        </w:r>
                      </w:p>
                    </w:txbxContent>
                  </v:textbox>
                </v:rect>
                <v:rect id="Rectangle 339136" o:spid="_x0000_s1026" o:spt="1" style="position:absolute;left:2894305;top:9526;height:487678;width:9487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gFTaTtQAAAAFAQAADwAAAAAAAAABACAAAAAiAAAAZHJzL2Rvd25yZXYueG1s&#10;UEsBAhQAFAAAAAgAh07iQJtLgdk1AgAAYgQAAA4AAAAAAAAAAQAgAAAAIwEAAGRycy9lMm9Eb2Mu&#10;eG1sUEsFBgAAAAAGAAYAWQEAAMoFAAAAAA==&#10;">
                  <v:fill on="f" focussize="0,0"/>
                  <v:stroke color="#000000" miterlimit="8" joinstyle="miter"/>
                  <v:imagedata o:title=""/>
                  <o:lock v:ext="edit" aspectratio="f"/>
                  <v:textbox>
                    <w:txbxContent>
                      <w:p w14:paraId="72948C92">
                        <w:pPr>
                          <w:jc w:val="center"/>
                        </w:pPr>
                        <w:r>
                          <w:rPr>
                            <w:rFonts w:hint="eastAsia"/>
                          </w:rPr>
                          <w:t>暂存池排水沟施工</w:t>
                        </w:r>
                      </w:p>
                    </w:txbxContent>
                  </v:textbox>
                </v:rect>
                <v:line id="Line 339137" o:spid="_x0000_s1026" o:spt="20" style="position:absolute;left:1719503;top:490202;height:209501;width:700;" filled="f" stroked="t" coordsize="21600,21600" o:gfxdata="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oiJ3QtQAAAAFAQAADwAAAAAAAAAB&#10;ACAAAAAiAAAAZHJzL2Rvd25yZXYueG1sUEsBAhQAFAAAAAgAh07iQDf874zbAQAAsQMAAA4AAAAA&#10;AAAAAQAgAAAAIwEAAGRycy9lMm9Eb2MueG1sUEsFBgAAAAAGAAYAWQEAAHAFAAAAAA==&#10;">
                  <v:fill on="f" focussize="0,0"/>
                  <v:stroke color="#000000" joinstyle="round"/>
                  <v:imagedata o:title=""/>
                  <o:lock v:ext="edit" aspectratio="f"/>
                </v:line>
                <v:line id="Line 339138" o:spid="_x0000_s1026" o:spt="20" style="position:absolute;left:3370506;top:494002;height:203201;width:0;" filled="f" stroked="t" coordsize="21600,21600" o:gfxdata="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CiIndC1AAAAAUBAAAPAAAAAAAAAAEA&#10;IAAAACIAAABkcnMvZG93bnJldi54bWxQSwECFAAUAAAACACHTuJA5lQnZ9oBAACvAwAADgAAAAAA&#10;AAABACAAAAAjAQAAZHJzL2Uyb0RvYy54bWxQSwUGAAAAAAYABgBZAQAAbwUAAAAA&#10;">
                  <v:fill on="f" focussize="0,0"/>
                  <v:stroke color="#000000" joinstyle="round"/>
                  <v:imagedata o:title=""/>
                  <o:lock v:ext="edit" aspectratio="f"/>
                </v:line>
                <v:line id="Line 339139" o:spid="_x0000_s1026" o:spt="20" style="position:absolute;left:1719503;top:690202;height:600;width:1657403;" filled="f" stroked="t" coordsize="21600,21600" o:gfxdata="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KIid0LUAAAABQEAAA8AAAAAAAAA&#10;AQAgAAAAIgAAAGRycy9kb3ducmV2LnhtbFBLAQIUABQAAAAIAIdO4kBn1FBw3AEAALIDAAAOAAAA&#10;AAAAAAEAIAAAACMBAABkcnMvZTJvRG9jLnhtbFBLBQYAAAAABgAGAFkBAABxBQAAAAA=&#10;">
                  <v:fill on="f" focussize="0,0"/>
                  <v:stroke color="#000000" joinstyle="round"/>
                  <v:imagedata o:title=""/>
                  <o:lock v:ext="edit" aspectratio="f"/>
                </v:line>
                <v:line id="Line 339140" o:spid="_x0000_s1026" o:spt="20" style="position:absolute;left:2529205;top:690202;height:257201;width:60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VbUItYAAAAFAQAADwAAAAAAAAABACAAAAAiAAAAZHJzL2Rvd25yZXYueG1sUEsB&#10;AhQAFAAAAAgAh07iQMhoEOH3AQAA3wMAAA4AAAAAAAAAAQAgAAAAJQEAAGRycy9lMm9Eb2MueG1s&#10;UEsFBgAAAAAGAAYAWQEAAI4FAAAAAA==&#10;">
                  <v:fill on="f" focussize="0,0"/>
                  <v:stroke color="#000000" joinstyle="round" endarrow="block"/>
                  <v:imagedata o:title=""/>
                  <o:lock v:ext="edit" aspectratio="f"/>
                </v:line>
                <v:rect id="Rectangle 339141" o:spid="_x0000_s1026" o:spt="1" style="position:absolute;left:2132304;top:941703;height:279401;width:7493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IBU2k7UAAAABQEAAA8AAAAAAAAAAQAgAAAAIgAAAGRycy9kb3ducmV2Lnht&#10;bFBLAQIUABQAAAAIAIdO4kDqk/R7NgIAAGQEAAAOAAAAAAAAAAEAIAAAACMBAABkcnMvZTJvRG9j&#10;LnhtbFBLBQYAAAAABgAGAFkBAADLBQAAAAA=&#10;">
                  <v:fill on="f" focussize="0,0"/>
                  <v:stroke color="#000000" miterlimit="8" joinstyle="miter"/>
                  <v:imagedata o:title=""/>
                  <o:lock v:ext="edit" aspectratio="f"/>
                  <v:textbox>
                    <w:txbxContent>
                      <w:p w14:paraId="18A2BEC5">
                        <w:pPr>
                          <w:jc w:val="center"/>
                        </w:pPr>
                        <w:r>
                          <w:rPr>
                            <w:rFonts w:hint="eastAsia"/>
                          </w:rPr>
                          <w:t>运输车</w:t>
                        </w:r>
                      </w:p>
                    </w:txbxContent>
                  </v:textbox>
                </v:rect>
                <v:line id="Line 339142" o:spid="_x0000_s1026" o:spt="20" style="position:absolute;left:2513305;top:1227404;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VtQi1gAAAAUBAAAPAAAAAAAAAAEAIAAAACIAAABkcnMvZG93bnJldi54bWxQSwEC&#10;FAAUAAAACACHTuJAIZ+MSvYBAADeAwAADgAAAAAAAAABACAAAAAlAQAAZHJzL2Uyb0RvYy54bWxQ&#10;SwUGAAAAAAYABgBZAQAAjQUAAAAA&#10;">
                  <v:fill on="f" focussize="0,0"/>
                  <v:stroke color="#000000" joinstyle="round" endarrow="block"/>
                  <v:imagedata o:title=""/>
                  <o:lock v:ext="edit" aspectratio="f"/>
                </v:line>
                <v:rect id="Rectangle 339143" o:spid="_x0000_s1026" o:spt="1" style="position:absolute;left:2018004;top:1475105;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VNpO1AAAAAUBAAAPAAAAAAAAAAEAIAAAACIAAABkcnMvZG93bnJl&#10;di54bWxQSwECFAAUAAAACACHTuJAavbeMzoCAABlBAAADgAAAAAAAAABACAAAAAjAQAAZHJzL2Uy&#10;b0RvYy54bWxQSwUGAAAAAAYABgBZAQAAzwUAAAAA&#10;">
                  <v:fill on="f" focussize="0,0"/>
                  <v:stroke color="#000000" miterlimit="8" joinstyle="miter"/>
                  <v:imagedata o:title=""/>
                  <o:lock v:ext="edit" aspectratio="f"/>
                  <v:textbox>
                    <w:txbxContent>
                      <w:p w14:paraId="3F1615DA">
                        <w:pPr>
                          <w:jc w:val="center"/>
                        </w:pPr>
                        <w:r>
                          <w:rPr>
                            <w:rFonts w:hint="eastAsia"/>
                            <w:lang w:eastAsia="zh-CN"/>
                          </w:rPr>
                          <w:t>灰渣</w:t>
                        </w:r>
                        <w:r>
                          <w:rPr>
                            <w:rFonts w:hint="eastAsia"/>
                          </w:rPr>
                          <w:t>入场</w:t>
                        </w:r>
                      </w:p>
                    </w:txbxContent>
                  </v:textbox>
                </v:rect>
                <v:line id="Line 339144" o:spid="_x0000_s1026" o:spt="20" style="position:absolute;left:2484705;top:1760806;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VtQi1gAAAAUBAAAPAAAAAAAAAAEAIAAAACIAAABkcnMvZG93bnJldi54bWxQSwEC&#10;FAAUAAAACACHTuJA9P4b7fYBAADeAwAADgAAAAAAAAABACAAAAAlAQAAZHJzL2Uyb0RvYy54bWxQ&#10;SwUGAAAAAAYABgBZAQAAjQUAAAAA&#10;">
                  <v:fill on="f" focussize="0,0"/>
                  <v:stroke color="#000000" joinstyle="round" endarrow="block"/>
                  <v:imagedata o:title=""/>
                  <o:lock v:ext="edit" aspectratio="f"/>
                </v:line>
                <v:rect id="Rectangle 339145" o:spid="_x0000_s1026" o:spt="1" style="position:absolute;left:2008504;top:2018007;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VNpO1AAAAAUBAAAPAAAAAAAAAAEAIAAAACIAAABkcnMvZG93bnJl&#10;di54bWxQSwECFAAUAAAACACHTuJA1bVK4ToCAABlBAAADgAAAAAAAAABACAAAAAjAQAAZHJzL2Uy&#10;b0RvYy54bWxQSwUGAAAAAAYABgBZAQAAzwUAAAAA&#10;">
                  <v:fill on="f" focussize="0,0"/>
                  <v:stroke color="#000000" miterlimit="8" joinstyle="miter"/>
                  <v:imagedata o:title=""/>
                  <o:lock v:ext="edit" aspectratio="f"/>
                  <v:textbox>
                    <w:txbxContent>
                      <w:p w14:paraId="2F8DE704">
                        <w:pPr>
                          <w:jc w:val="center"/>
                        </w:pPr>
                        <w:r>
                          <w:rPr>
                            <w:rFonts w:hint="eastAsia"/>
                          </w:rPr>
                          <w:t>作业区倾倒</w:t>
                        </w:r>
                      </w:p>
                    </w:txbxContent>
                  </v:textbox>
                </v:rect>
                <v:rect id="Rectangle 339146" o:spid="_x0000_s1026" o:spt="1" style="position:absolute;left:1998904;top:2551409;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BU2k7UAAAABQEAAA8AAAAAAAAAAQAgAAAAIgAAAGRycy9kb3ducmV2&#10;LnhtbFBLAQIUABQAAAAIAIdO4kCnCsbQOQIAAGUEAAAOAAAAAAAAAAEAIAAAACMBAABkcnMvZTJv&#10;RG9jLnhtbFBLBQYAAAAABgAGAFkBAADOBQAAAAA=&#10;">
                  <v:fill on="f" focussize="0,0"/>
                  <v:stroke color="#000000" miterlimit="8" joinstyle="miter"/>
                  <v:imagedata o:title=""/>
                  <o:lock v:ext="edit" aspectratio="f"/>
                  <v:textbox>
                    <w:txbxContent>
                      <w:p w14:paraId="7546E6B2">
                        <w:pPr>
                          <w:jc w:val="center"/>
                        </w:pPr>
                        <w:r>
                          <w:rPr>
                            <w:rFonts w:hint="eastAsia"/>
                            <w:lang w:eastAsia="zh-CN"/>
                          </w:rPr>
                          <w:t>灰渣</w:t>
                        </w:r>
                        <w:r>
                          <w:rPr>
                            <w:rFonts w:hint="eastAsia"/>
                          </w:rPr>
                          <w:t>推平</w:t>
                        </w:r>
                      </w:p>
                    </w:txbxContent>
                  </v:textbox>
                </v:rect>
                <v:line id="Line 339147" o:spid="_x0000_s1026" o:spt="20" style="position:absolute;left:2484705;top:2303708;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VtQi1gAAAAUBAAAPAAAAAAAAAAEAIAAAACIAAABkcnMvZG93bnJldi54bWxQSwEC&#10;FAAUAAAACACHTuJAnOm+kvYBAADeAwAADgAAAAAAAAABACAAAAAlAQAAZHJzL2Uyb0RvYy54bWxQ&#10;SwUGAAAAAAYABgBZAQAAjQUAAAAA&#10;">
                  <v:fill on="f" focussize="0,0"/>
                  <v:stroke color="#000000" joinstyle="round" endarrow="block"/>
                  <v:imagedata o:title=""/>
                  <o:lock v:ext="edit" aspectratio="f"/>
                </v:line>
                <v:rect id="Rectangle 339148" o:spid="_x0000_s1026" o:spt="1" style="position:absolute;left:1998904;top:3094311;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VNpO1AAAAAUBAAAPAAAAAAAAAAEAIAAAACIAAABkcnMvZG93bnJl&#10;di54bWxQSwECFAAUAAAACACHTuJAfUyKKToCAABlBAAADgAAAAAAAAABACAAAAAjAQAAZHJzL2Uy&#10;b0RvYy54bWxQSwUGAAAAAAYABgBZAQAAzwUAAAAA&#10;">
                  <v:fill on="f" focussize="0,0"/>
                  <v:stroke color="#000000" miterlimit="8" joinstyle="miter"/>
                  <v:imagedata o:title=""/>
                  <o:lock v:ext="edit" aspectratio="f"/>
                  <v:textbox>
                    <w:txbxContent>
                      <w:p w14:paraId="04B37989">
                        <w:pPr>
                          <w:jc w:val="center"/>
                        </w:pPr>
                        <w:r>
                          <w:rPr>
                            <w:rFonts w:hint="eastAsia"/>
                            <w:lang w:eastAsia="zh-CN"/>
                          </w:rPr>
                          <w:t>灰渣</w:t>
                        </w:r>
                        <w:r>
                          <w:rPr>
                            <w:rFonts w:hint="eastAsia"/>
                          </w:rPr>
                          <w:t>压实</w:t>
                        </w:r>
                      </w:p>
                    </w:txbxContent>
                  </v:textbox>
                </v:rect>
                <v:line id="Line 339149" o:spid="_x0000_s1026" o:spt="20" style="position:absolute;left:2475205;top:2837110;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VbUItYAAAAFAQAADwAAAAAAAAABACAAAAAiAAAAZHJzL2Rvd25yZXYueG1sUEsBAhQA&#10;FAAAAAgAh07iQJTgx9z0AQAA3gMAAA4AAAAAAAAAAQAgAAAAJQEAAGRycy9lMm9Eb2MueG1sUEsF&#10;BgAAAAAGAAYAWQEAAIsFAAAAAA==&#10;">
                  <v:fill on="f" focussize="0,0"/>
                  <v:stroke color="#000000" joinstyle="round" endarrow="block"/>
                  <v:imagedata o:title=""/>
                  <o:lock v:ext="edit" aspectratio="f"/>
                </v:line>
                <v:line id="Line 339150" o:spid="_x0000_s1026" o:spt="20" style="position:absolute;left:2465705;top:3370512;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VbUItYAAAAFAQAADwAAAAAAAAABACAAAAAiAAAAZHJzL2Rvd25yZXYueG1sUEsB&#10;AhQAFAAAAAgAh07iQKNC11T3AQAA3gMAAA4AAAAAAAAAAQAgAAAAJQEAAGRycy9lMm9Eb2MueG1s&#10;UEsFBgAAAAAGAAYAWQEAAI4FAAAAAA==&#10;">
                  <v:fill on="f" focussize="0,0"/>
                  <v:stroke color="#000000" joinstyle="round" endarrow="block"/>
                  <v:imagedata o:title=""/>
                  <o:lock v:ext="edit" aspectratio="f"/>
                </v:line>
                <v:rect id="Rectangle 339151" o:spid="_x0000_s1026" o:spt="1" style="position:absolute;left:1998904;top:3608713;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VNpO1AAAAAUBAAAPAAAAAAAAAAEAIAAAACIAAABkcnMvZG93bnJl&#10;di54bWxQSwECFAAUAAAACACHTuJAMip6SToCAABlBAAADgAAAAAAAAABACAAAAAjAQAAZHJzL2Uy&#10;b0RvYy54bWxQSwUGAAAAAAYABgBZAQAAzwUAAAAA&#10;">
                  <v:fill on="f" focussize="0,0"/>
                  <v:stroke color="#000000" miterlimit="8" joinstyle="miter"/>
                  <v:imagedata o:title=""/>
                  <o:lock v:ext="edit" aspectratio="f"/>
                  <v:textbox>
                    <w:txbxContent>
                      <w:p w14:paraId="1245393B">
                        <w:pPr>
                          <w:jc w:val="center"/>
                        </w:pPr>
                        <w:r>
                          <w:rPr>
                            <w:rFonts w:hint="eastAsia"/>
                          </w:rPr>
                          <w:t>覆土</w:t>
                        </w:r>
                      </w:p>
                    </w:txbxContent>
                  </v:textbox>
                </v:rect>
                <v:rect id="Rectangle 339152" o:spid="_x0000_s1026" o:spt="1" style="position:absolute;left:1979904;top:4161115;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FTaTtQAAAAFAQAADwAAAAAAAAABACAAAAAiAAAAZHJzL2Rvd25y&#10;ZXYueG1sUEsBAhQAFAAAAAgAh07iQEjZlbw7AgAAZQQAAA4AAAAAAAAAAQAgAAAAIwEAAGRycy9l&#10;Mm9Eb2MueG1sUEsFBgAAAAAGAAYAWQEAANAFAAAAAA==&#10;">
                  <v:fill on="f" focussize="0,0"/>
                  <v:stroke color="#000000" miterlimit="8" joinstyle="miter"/>
                  <v:imagedata o:title=""/>
                  <o:lock v:ext="edit" aspectratio="f"/>
                  <v:textbox>
                    <w:txbxContent>
                      <w:p w14:paraId="2D88C883">
                        <w:pPr>
                          <w:jc w:val="center"/>
                        </w:pPr>
                        <w:r>
                          <w:rPr>
                            <w:rFonts w:hint="eastAsia"/>
                          </w:rPr>
                          <w:t>坡面平整</w:t>
                        </w:r>
                      </w:p>
                    </w:txbxContent>
                  </v:textbox>
                </v:rect>
                <v:rect id="Rectangle 339153" o:spid="_x0000_s1026" o:spt="1" style="position:absolute;left:1998904;top:4713617;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">
                  <v:fill on="f" focussize="0,0"/>
                  <v:stroke color="#000000" miterlimit="8" joinstyle="miter"/>
                  <v:imagedata o:title=""/>
                  <o:lock v:ext="edit" aspectratio="f"/>
                  <v:textbox>
                    <w:txbxContent>
                      <w:p w14:paraId="6A3CDB4A">
                        <w:pPr>
                          <w:jc w:val="center"/>
                        </w:pPr>
                        <w:r>
                          <w:rPr>
                            <w:rFonts w:hint="eastAsia"/>
                          </w:rPr>
                          <w:t>土地复垦</w:t>
                        </w:r>
                      </w:p>
                    </w:txbxContent>
                  </v:textbox>
                </v:rect>
                <v:line id="Line 339154" o:spid="_x0000_s1026" o:spt="20" style="position:absolute;left:2465705;top:3884914;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VbUItYAAAAFAQAADwAAAAAAAAABACAAAAAiAAAAZHJzL2Rvd25yZXYueG1sUEsB&#10;AhQAFAAAAAgAh07iQIwbLO/3AQAA3gMAAA4AAAAAAAAAAQAgAAAAJQEAAGRycy9lMm9Eb2MueG1s&#10;UEsFBgAAAAAGAAYAWQEAAI4FAAAAAA==&#10;">
                  <v:fill on="f" focussize="0,0"/>
                  <v:stroke color="#000000" joinstyle="round" endarrow="block"/>
                  <v:imagedata o:title=""/>
                  <o:lock v:ext="edit" aspectratio="f"/>
                </v:line>
                <v:line id="Line 339155" o:spid="_x0000_s1026" o:spt="20" style="position:absolute;left:2475205;top:4446916;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kVbUItYAAAAFAQAADwAAAAAAAAABACAAAAAiAAAAZHJzL2Rvd25yZXYueG1sUEsB&#10;AhQAFAAAAAgAh07iQEt/EKH3AQAA3gMAAA4AAAAAAAAAAQAgAAAAJQEAAGRycy9lMm9Eb2MueG1s&#10;UEsFBgAAAAAGAAYAWQEAAI4FAAAAAA==&#10;">
                  <v:fill on="f" focussize="0,0"/>
                  <v:stroke color="#000000" joinstyle="round" endarrow="block"/>
                  <v:imagedata o:title=""/>
                  <o:lock v:ext="edit" aspectratio="f"/>
                </v:line>
                <v:rect id="Rectangle 339156" o:spid="_x0000_s1026" o:spt="1" style="position:absolute;left:913102;top:2532309;height:279401;width:6159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AVNpO1AAAAAUBAAAPAAAAAAAAAAEAIAAAACIAAABkcnMvZG93bnJldi54&#10;bWxQSwECFAAUAAAACACHTuJArSTTrjcCAABkBAAADgAAAAAAAAABACAAAAAjAQAAZHJzL2Uyb0Rv&#10;Yy54bWxQSwUGAAAAAAYABgBZAQAAzAUAAAAA&#10;">
                  <v:fill on="f" focussize="0,0"/>
                  <v:stroke color="#000000" miterlimit="8" joinstyle="miter"/>
                  <v:imagedata o:title=""/>
                  <o:lock v:ext="edit" aspectratio="f"/>
                  <v:textbox>
                    <w:txbxContent>
                      <w:p w14:paraId="51D2EC0D">
                        <w:pPr>
                          <w:jc w:val="center"/>
                        </w:pPr>
                        <w:r>
                          <w:rPr>
                            <w:rFonts w:hint="eastAsia"/>
                          </w:rPr>
                          <w:t>推土机</w:t>
                        </w:r>
                      </w:p>
                    </w:txbxContent>
                  </v:textbox>
                </v:rect>
                <v:line id="Line 339157" o:spid="_x0000_s1026" o:spt="20" style="position:absolute;left:1541103;top:2676509;height:9500;width:466701;"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VtQi1gAAAAUBAAAPAAAAAAAAAAEAIAAAACIAAABkcnMvZG93bnJldi54bWxQ&#10;SwECFAAUAAAACACHTuJAuAbncPkBAADhAwAADgAAAAAAAAABACAAAAAlAQAAZHJzL2Uyb0RvYy54&#10;bWxQSwUGAAAAAAYABgBZAQAAkAUAAAAA&#10;">
                  <v:fill on="f" focussize="0,0"/>
                  <v:stroke color="#000000" joinstyle="round" endarrow="block"/>
                  <v:imagedata o:title=""/>
                  <o:lock v:ext="edit" aspectratio="f"/>
                </v:line>
                <v:rect id="Rectangle 339158" o:spid="_x0000_s1026" o:spt="1" style="position:absolute;left:932102;top:3103811;height:279401;width:6096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FTaTtQAAAAFAQAADwAAAAAAAAABACAAAAAiAAAAZHJzL2Rvd25yZXYu&#10;eG1sUEsBAhQAFAAAAAgAh07iQDprffc4AgAAZAQAAA4AAAAAAAAAAQAgAAAAIwEAAGRycy9lMm9E&#10;b2MueG1sUEsFBgAAAAAGAAYAWQEAAM0FAAAAAA==&#10;">
                  <v:fill on="f" focussize="0,0"/>
                  <v:stroke color="#000000" miterlimit="8" joinstyle="miter"/>
                  <v:imagedata o:title=""/>
                  <o:lock v:ext="edit" aspectratio="f"/>
                  <v:textbox>
                    <w:txbxContent>
                      <w:p w14:paraId="73D01354">
                        <w:pPr>
                          <w:jc w:val="center"/>
                        </w:pPr>
                        <w:r>
                          <w:rPr>
                            <w:rFonts w:hint="eastAsia"/>
                          </w:rPr>
                          <w:t>压实机</w:t>
                        </w:r>
                      </w:p>
                    </w:txbxContent>
                  </v:textbox>
                </v:rect>
                <v:line id="Line 339159" o:spid="_x0000_s1026" o:spt="20" style="position:absolute;left:1551303;top:3256212;height:0;width:457201;"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VtQi1gAAAAUBAAAPAAAAAAAAAAEAIAAAACIAAABkcnMvZG93bnJldi54bWxQSwEC&#10;FAAUAAAACACHTuJALDlDP/YBAADeAwAADgAAAAAAAAABACAAAAAlAQAAZHJzL2Uyb0RvYy54bWxQ&#10;SwUGAAAAAAYABgBZAQAAjQUAAAAA&#10;">
                  <v:fill on="f" focussize="0,0"/>
                  <v:stroke color="#000000" joinstyle="round" endarrow="block"/>
                  <v:imagedata o:title=""/>
                  <o:lock v:ext="edit" aspectratio="f"/>
                </v:line>
                <v:rect id="Rectangle 339160" o:spid="_x0000_s1026" o:spt="1" style="position:absolute;left:941702;top:3608713;height:279401;width:6096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gFTaTtQAAAAFAQAADwAAAAAAAAABACAAAAAiAAAAZHJzL2Rvd25yZXYu&#10;eG1sUEsBAhQAFAAAAAgAh07iQC3IN5U4AgAAZAQAAA4AAAAAAAAAAQAgAAAAIwEAAGRycy9lMm9E&#10;b2MueG1sUEsFBgAAAAAGAAYAWQEAAM0FAAAAAA==&#10;">
                  <v:fill on="f" focussize="0,0"/>
                  <v:stroke color="#000000" miterlimit="8" joinstyle="miter"/>
                  <v:imagedata o:title=""/>
                  <o:lock v:ext="edit" aspectratio="f"/>
                  <v:textbox>
                    <w:txbxContent>
                      <w:p w14:paraId="71E69BAF">
                        <w:pPr>
                          <w:jc w:val="center"/>
                        </w:pPr>
                        <w:r>
                          <w:rPr>
                            <w:rFonts w:hint="eastAsia"/>
                          </w:rPr>
                          <w:t>运输车</w:t>
                        </w:r>
                      </w:p>
                    </w:txbxContent>
                  </v:textbox>
                </v:rect>
                <v:line id="Line 339161" o:spid="_x0000_s1026" o:spt="20" style="position:absolute;left:1551303;top:3751513;height:0;width:457201;"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VbUItYAAAAFAQAADwAAAAAAAAABACAAAAAiAAAAZHJzL2Rvd25yZXYueG1sUEsBAhQA&#10;FAAAAAgAh07iQNDvixz0AQAA3gMAAA4AAAAAAAAAAQAgAAAAJQEAAGRycy9lMm9Eb2MueG1sUEsF&#10;BgAAAAAGAAYAWQEAAIsFAAAAAA==&#10;">
                  <v:fill on="f" focussize="0,0"/>
                  <v:stroke color="#000000" joinstyle="round" endarrow="block"/>
                  <v:imagedata o:title=""/>
                  <o:lock v:ext="edit" aspectratio="f"/>
                </v:line>
                <v:rect id="Rectangle 339162" o:spid="_x0000_s1026" o:spt="1" style="position:absolute;left:3122906;top:2284708;height:279401;width:6096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BU2k7UAAAABQEAAA8AAAAAAAAAAQAgAAAAIgAAAGRycy9kb3ducmV2&#10;LnhtbFBLAQIUABQAAAAIAIdO4kDHLdkuOQIAAGUEAAAOAAAAAAAAAAEAIAAAACMBAABkcnMvZTJv&#10;RG9jLnhtbFBLBQYAAAAABgAGAFkBAADOBQAAAAA=&#10;">
                  <v:fill on="f" focussize="0,0"/>
                  <v:stroke color="#000000" miterlimit="8" joinstyle="miter"/>
                  <v:imagedata o:title=""/>
                  <o:lock v:ext="edit" aspectratio="f"/>
                  <v:textbox>
                    <w:txbxContent>
                      <w:p w14:paraId="69C9A633">
                        <w:pPr>
                          <w:jc w:val="center"/>
                        </w:pPr>
                        <w:r>
                          <w:rPr>
                            <w:rFonts w:hint="eastAsia"/>
                          </w:rPr>
                          <w:t>洒水车</w:t>
                        </w:r>
                      </w:p>
                    </w:txbxContent>
                  </v:textbox>
                </v:rect>
                <v:line id="Line 339163" o:spid="_x0000_s1026" o:spt="20" style="position:absolute;left:2484105;top:2432009;flip:x;height:600;width:629301;" filled="f" stroked="t" coordsize="21600,21600" o:gfxdata="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Fk+QXHWAAAABQEAAA8AAAAAAAAAAQAgAAAAIgAAAGRycy9kb3ducmV2&#10;LnhtbFBLAQIUABQAAAAIAIdO4kD3v9HV/gEAAOoDAAAOAAAAAAAAAAEAIAAAACUBAABkcnMvZTJv&#10;RG9jLnhtbFBLBQYAAAAABgAGAFkBAACVBQAAAAA=&#10;">
                  <v:fill on="f" focussize="0,0"/>
                  <v:stroke color="#000000" joinstyle="round" endarrow="block"/>
                  <v:imagedata o:title=""/>
                  <o:lock v:ext="edit" aspectratio="f"/>
                </v:line>
                <v:rect id="Rectangle 339165" o:spid="_x0000_s1026" o:spt="1" style="position:absolute;left:3294306;top:1960807;height:279401;width:8573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HE6H/BMCAAAcBAAADgAA&#10;AAAAAAABACAAAAAmAQAAZHJzL2Uyb0RvYy54bWxQSwUGAAAAAAYABgBZAQAAqwUAAAAA&#10;">
                  <v:fill on="f" focussize="0,0"/>
                  <v:stroke on="f"/>
                  <v:imagedata o:title=""/>
                  <o:lock v:ext="edit" aspectratio="f"/>
                  <v:textbox>
                    <w:txbxContent>
                      <w:p w14:paraId="2258B633">
                        <w:r>
                          <w:rPr>
                            <w:rFonts w:hint="eastAsia"/>
                          </w:rPr>
                          <w:t>噪声、扬尘</w:t>
                        </w:r>
                      </w:p>
                    </w:txbxContent>
                  </v:textbox>
                </v:rect>
                <v:line id="Line 339167" o:spid="_x0000_s1026" o:spt="20" style="position:absolute;left:2951406;top:3228311;flip:y;height:8900;width:4102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&#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Ijs4PTTAAAABQEAAA8AAAAAAAAAAQAgAAAAIgAAAGRy&#10;cy9kb3ducmV2LnhtbFBLAQIUABQAAAAIAIdO4kBWKXC6CgIAAAMEAAAOAAAAAAAAAAEAIAAAACIB&#10;AABkcnMvZTJvRG9jLnhtbFBLBQYAAAAABgAGAFkBAACeBQAAAAA=&#10;">
                  <v:fill on="f" focussize="0,0"/>
                  <v:stroke color="#000000" joinstyle="round" dashstyle="dash" endarrow="block"/>
                  <v:imagedata o:title=""/>
                  <o:lock v:ext="edit" aspectratio="f"/>
                </v:line>
                <v:rect id="Rectangle 339170" o:spid="_x0000_s1026" o:spt="1" style="position:absolute;left:1903004;top:1936707;height:2047907;width:1095402;" filled="f" stroked="t" coordsize="21600,21600" o:gfxdata="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AvqiU0wAAAAUBAAAPAAAAAAAAAAEAIAAAACIAAABkcnMvZG93&#10;bnJldi54bWxQSwECFAAUAAAACACHTuJAxp2SQT4CAAB0BAAADgAAAAAAAAABACAAAAAiAQAAZHJz&#10;L2Uyb0RvYy54bWxQSwUGAAAAAAYABgBZAQAA0gUAAAAA&#10;">
                  <v:fill on="f" focussize="0,0"/>
                  <v:stroke color="#000000 [3213]" miterlimit="8" joinstyle="miter" dashstyle="dash"/>
                  <v:imagedata o:title=""/>
                  <o:lock v:ext="edit" aspectratio="f"/>
                </v:rect>
                <v:line id="Line 339171" o:spid="_x0000_s1026" o:spt="20" style="position:absolute;left:2951406;top:3761113;flip:y;height:0;width:4064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js4PTTAAAABQEAAA8AAAAAAAAAAQAgAAAAIgAAAGRycy9k&#10;b3ducmV2LnhtbFBLAQIUABQAAAAIAIdO4kCmSon2BwIAAAAEAAAOAAAAAAAAAAEAIAAAACIBAABk&#10;cnMvZTJvRG9jLnhtbFBLBQYAAAAABgAGAFkBAACbBQAAAAA=&#10;">
                  <v:fill on="f" focussize="0,0"/>
                  <v:stroke color="#000000" joinstyle="round" dashstyle="dash" endarrow="block"/>
                  <v:imagedata o:title=""/>
                  <o:lock v:ext="edit" aspectratio="f"/>
                </v:line>
                <v:line id="Line 339172" o:spid="_x0000_s1026" o:spt="20" style="position:absolute;left:2941906;top:2713310;flip:y;height:0;width:4064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js4PTTAAAABQEAAA8AAAAAAAAAAQAgAAAAIgAAAGRycy9k&#10;b3ducmV2LnhtbFBLAQIUABQAAAAIAIdO4kBUfU/2BwIAAAAEAAAOAAAAAAAAAAEAIAAAACIBAABk&#10;cnMvZTJvRG9jLnhtbFBLBQYAAAAABgAGAFkBAACbBQAAAAA=&#10;">
                  <v:fill on="f" focussize="0,0"/>
                  <v:stroke color="#000000" joinstyle="round" dashstyle="dash" endarrow="block"/>
                  <v:imagedata o:title=""/>
                  <o:lock v:ext="edit" aspectratio="f"/>
                </v:line>
                <v:line id="Line 339173" o:spid="_x0000_s1026" o:spt="20" style="position:absolute;left:2951406;top:2113207;flip:y;height:0;width:4064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js4PTTAAAABQEAAA8AAAAAAAAAAQAgAAAAIgAAAGRycy9k&#10;b3ducmV2LnhtbFBLAQIUABQAAAAIAIdO4kACe/enBwIAAAAEAAAOAAAAAAAAAAEAIAAAACIBAABk&#10;cnMvZTJvRG9jLnhtbFBLBQYAAAAABgAGAFkBAACbBQAAAAA=&#10;">
                  <v:fill on="f" focussize="0,0"/>
                  <v:stroke color="#000000" joinstyle="round" dashstyle="dash" endarrow="block"/>
                  <v:imagedata o:title=""/>
                  <o:lock v:ext="edit" aspectratio="f"/>
                </v:line>
                <v:rect id="Rectangle 339174" o:spid="_x0000_s1026" o:spt="1" style="position:absolute;left:3275306;top:2560909;height:279401;width:850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6FRWWhMCAAAcBAAADgAA&#10;AAAAAAABACAAAAAmAQAAZHJzL2Uyb0RvYy54bWxQSwUGAAAAAAYABgBZAQAAqwUAAAAA&#10;">
                  <v:fill on="f" focussize="0,0"/>
                  <v:stroke on="f"/>
                  <v:imagedata o:title=""/>
                  <o:lock v:ext="edit" aspectratio="f"/>
                  <v:textbox>
                    <w:txbxContent>
                      <w:p w14:paraId="450D50FA">
                        <w:r>
                          <w:rPr>
                            <w:rFonts w:hint="eastAsia"/>
                          </w:rPr>
                          <w:t>噪声、扬尘</w:t>
                        </w:r>
                      </w:p>
                    </w:txbxContent>
                  </v:textbox>
                </v:rect>
                <v:rect id="Rectangle 339175" o:spid="_x0000_s1026" o:spt="1" style="position:absolute;left:3275306;top:3084811;height:279401;width:850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CZJPdcAAAAFAQAADwAAAAAA&#10;AAABACAAAAAiAAAAZHJzL2Rvd25yZXYueG1sUEsBAhQAFAAAAAgAh07iQO0jodwUAgAAHAQAAA4A&#10;AAAAAAAAAQAgAAAAJgEAAGRycy9lMm9Eb2MueG1sUEsFBgAAAAAGAAYAWQEAAKwFAAAAAA==&#10;">
                  <v:fill on="f" focussize="0,0"/>
                  <v:stroke on="f"/>
                  <v:imagedata o:title=""/>
                  <o:lock v:ext="edit" aspectratio="f"/>
                  <v:textbox>
                    <w:txbxContent>
                      <w:p w14:paraId="33C0753E">
                        <w:r>
                          <w:rPr>
                            <w:rFonts w:hint="eastAsia"/>
                          </w:rPr>
                          <w:t>噪声、扬尘</w:t>
                        </w:r>
                      </w:p>
                    </w:txbxContent>
                  </v:textbox>
                </v:rect>
                <v:rect id="Rectangle 339176" o:spid="_x0000_s1026" o:spt="1" style="position:absolute;left:3284806;top:3608713;height:279401;width:850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CZJPdcAAAAFAQAADwAAAAAA&#10;AAABACAAAAAiAAAAZHJzL2Rvd25yZXYueG1sUEsBAhQAFAAAAAgAh07iQGhIhzEUAgAAHAQAAA4A&#10;AAAAAAAAAQAgAAAAJgEAAGRycy9lMm9Eb2MueG1sUEsFBgAAAAAGAAYAWQEAAKwFAAAAAA==&#10;">
                  <v:fill on="f" focussize="0,0"/>
                  <v:stroke on="f"/>
                  <v:imagedata o:title=""/>
                  <o:lock v:ext="edit" aspectratio="f"/>
                  <v:textbox>
                    <w:txbxContent>
                      <w:p w14:paraId="5BF656C1">
                        <w:r>
                          <w:rPr>
                            <w:rFonts w:hint="eastAsia"/>
                          </w:rPr>
                          <w:t>噪声、扬尘</w:t>
                        </w:r>
                      </w:p>
                    </w:txbxContent>
                  </v:textbox>
                </v:rect>
                <v:line id="Line 339177" o:spid="_x0000_s1026" o:spt="20" style="position:absolute;left:2932406;top:4313515;flip:y;height:0;width:4064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7OD00wAAAAUBAAAPAAAAAAAAAAEAIAAAACIAAABkcnMv&#10;ZG93bnJldi54bWxQSwECFAAUAAAACACHTuJAHyVw3ggCAAAABAAADgAAAAAAAAABACAAAAAiAQAA&#10;ZHJzL2Uyb0RvYy54bWxQSwUGAAAAAAYABgBZAQAAnAUAAAAA&#10;">
                  <v:fill on="f" focussize="0,0"/>
                  <v:stroke color="#000000" joinstyle="round" dashstyle="dash" endarrow="block"/>
                  <v:imagedata o:title=""/>
                  <o:lock v:ext="edit" aspectratio="f"/>
                </v:line>
                <v:rect id="Rectangle 339178" o:spid="_x0000_s1026" o:spt="1" style="position:absolute;left:3275306;top:4161115;height:279401;width:850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CZJPdcAAAAFAQAADwAAAAAA&#10;AAABACAAAAAiAAAAZHJzL2Rvd25yZXYueG1sUEsBAhQAFAAAAAgAh07iQLJhTdQUAgAAHAQAAA4A&#10;AAAAAAAAAQAgAAAAJgEAAGRycy9lMm9Eb2MueG1sUEsFBgAAAAAGAAYAWQEAAKwFAAAAAA==&#10;">
                  <v:fill on="f" focussize="0,0"/>
                  <v:stroke on="f"/>
                  <v:imagedata o:title=""/>
                  <o:lock v:ext="edit" aspectratio="f"/>
                  <v:textbox>
                    <w:txbxContent>
                      <w:p w14:paraId="76EA3A7C">
                        <w:r>
                          <w:rPr>
                            <w:rFonts w:hint="eastAsia"/>
                          </w:rPr>
                          <w:t>噪声、扬尘</w:t>
                        </w:r>
                      </w:p>
                    </w:txbxContent>
                  </v:textbox>
                </v:rect>
                <v:line id="Line 339179" o:spid="_x0000_s1026" o:spt="20" style="position:absolute;left:674301;top:2670109;flip:x;height:700;width:23810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7OD00wAAAAUBAAAPAAAAAAAAAAEAIAAAACIAAABkcnMv&#10;ZG93bnJldi54bWxQSwECFAAUAAAACACHTuJALc7H+ggCAAABBAAADgAAAAAAAAABACAAAAAiAQAA&#10;ZHJzL2Uyb0RvYy54bWxQSwUGAAAAAAYABgBZAQAAnAUAAAAA&#10;">
                  <v:fill on="f" focussize="0,0"/>
                  <v:stroke color="#000000" joinstyle="round" dashstyle="dash" endarrow="block"/>
                  <v:imagedata o:title=""/>
                  <o:lock v:ext="edit" aspectratio="f"/>
                </v:line>
                <v:rect id="Rectangle 339180" o:spid="_x0000_s1026" o:spt="1" style="position:absolute;left:0;top:2427609;height:288901;width:783501;"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AcJkk91wAAAAUBAAAPAAAAAAAAAAEAIAAA&#10;ACIAAABkcnMvZG93bnJldi54bWxQSwECFAAUAAAACACHTuJALp1mZg0CAAAWBAAADgAAAAAAAAAB&#10;ACAAAAAmAQAAZHJzL2Uyb0RvYy54bWxQSwUGAAAAAAYABgBZAQAApQUAAAAA&#10;">
                  <v:fill on="f" focussize="0,0"/>
                  <v:stroke on="f"/>
                  <v:imagedata o:title=""/>
                  <o:lock v:ext="edit" aspectratio="f"/>
                  <v:textbox>
                    <w:txbxContent>
                      <w:p w14:paraId="65564427">
                        <w:r>
                          <w:rPr>
                            <w:rFonts w:hint="eastAsia"/>
                          </w:rPr>
                          <w:t>噪声、扬尘</w:t>
                        </w:r>
                      </w:p>
                    </w:txbxContent>
                  </v:textbox>
                </v:rect>
                <v:line id="Line 339181" o:spid="_x0000_s1026" o:spt="20" style="position:absolute;left:713101;top:3751513;flip:x;height:0;width:22860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7OD00wAAAAUBAAAPAAAAAAAAAAEAIAAAACIAAABkcnMv&#10;ZG93bnJldi54bWxQSwECFAAUAAAACACHTuJAu8EySQgCAAD/AwAADgAAAAAAAAABACAAAAAiAQAA&#10;ZHJzL2Uyb0RvYy54bWxQSwUGAAAAAAYABgBZAQAAnAUAAAAA&#10;">
                  <v:fill on="f" focussize="0,0"/>
                  <v:stroke color="#000000" joinstyle="round" dashstyle="dash" endarrow="block"/>
                  <v:imagedata o:title=""/>
                  <o:lock v:ext="edit" aspectratio="f"/>
                </v:line>
                <v:line id="Line 339182" o:spid="_x0000_s1026" o:spt="20" style="position:absolute;left:694001;top:3265812;flip:x;height:0;width:22860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js4PTTAAAABQEAAA8AAAAAAAAAAQAgAAAAIgAAAGRycy9k&#10;b3ducmV2LnhtbFBLAQIUABQAAAAIAIdO4kBLpQcgBwIAAP8DAAAOAAAAAAAAAAEAIAAAACIBAABk&#10;cnMvZTJvRG9jLnhtbFBLBQYAAAAABgAGAFkBAACbBQAAAAA=&#10;">
                  <v:fill on="f" focussize="0,0"/>
                  <v:stroke color="#000000" joinstyle="round" dashstyle="dash" endarrow="block"/>
                  <v:imagedata o:title=""/>
                  <o:lock v:ext="edit" aspectratio="f"/>
                </v:line>
                <v:rect id="Rectangle 339183" o:spid="_x0000_s1026" o:spt="1" style="position:absolute;left:0;top:3494412;height:279401;width:869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CZJPdcAAAAFAQAADwAAAAAAAAABACAA&#10;AAAiAAAAZHJzL2Rvd25yZXYueG1sUEsBAhQAFAAAAAgAh07iQCwm+cEOAgAAFgQAAA4AAAAAAAAA&#10;AQAgAAAAJgEAAGRycy9lMm9Eb2MueG1sUEsFBgAAAAAGAAYAWQEAAKYFAAAAAA==&#10;">
                  <v:fill on="f" focussize="0,0"/>
                  <v:stroke on="f"/>
                  <v:imagedata o:title=""/>
                  <o:lock v:ext="edit" aspectratio="f"/>
                  <v:textbox>
                    <w:txbxContent>
                      <w:p w14:paraId="5042EB29">
                        <w:r>
                          <w:rPr>
                            <w:rFonts w:hint="eastAsia"/>
                          </w:rPr>
                          <w:t>噪声、扬尘</w:t>
                        </w:r>
                      </w:p>
                    </w:txbxContent>
                  </v:textbox>
                </v:rect>
                <v:rect id="Rectangle 339184" o:spid="_x0000_s1026" o:spt="1" style="position:absolute;left:0;top:3018111;height:279401;width:8223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CZJPdcAAAAFAQAADwAAAAAAAAABACAA&#10;AAAiAAAAZHJzL2Rvd25yZXYueG1sUEsBAhQAFAAAAAgAh07iQEV+z9EOAgAAFgQAAA4AAAAAAAAA&#10;AQAgAAAAJgEAAGRycy9lMm9Eb2MueG1sUEsFBgAAAAAGAAYAWQEAAKYFAAAAAA==&#10;">
                  <v:fill on="f" focussize="0,0"/>
                  <v:stroke on="f"/>
                  <v:imagedata o:title=""/>
                  <o:lock v:ext="edit" aspectratio="f"/>
                  <v:textbox>
                    <w:txbxContent>
                      <w:p w14:paraId="1ADA214C">
                        <w:r>
                          <w:rPr>
                            <w:rFonts w:hint="eastAsia"/>
                          </w:rPr>
                          <w:t>噪声、扬尘</w:t>
                        </w:r>
                      </w:p>
                    </w:txbxContent>
                  </v:textbox>
                </v:rect>
                <v:line id="Line 339185" o:spid="_x0000_s1026" o:spt="20" style="position:absolute;left:2894305;top:1084504;flip:y;height:0;width:4064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7OD00wAAAAUBAAAPAAAAAAAAAAEAIAAAACIAAABkcnMv&#10;ZG93bnJldi54bWxQSwECFAAUAAAACACHTuJA7Dxf8QgCAAAABAAADgAAAAAAAAABACAAAAAiAQAA&#10;ZHJzL2Uyb0RvYy54bWxQSwUGAAAAAAYABgBZAQAAnAUAAAAA&#10;">
                  <v:fill on="f" focussize="0,0"/>
                  <v:stroke color="#000000" joinstyle="round" dashstyle="dash" endarrow="block"/>
                  <v:imagedata o:title=""/>
                  <o:lock v:ext="edit" aspectratio="f"/>
                </v:line>
                <v:rect id="Rectangle 339186" o:spid="_x0000_s1026" o:spt="1" style="position:absolute;left:3227706;top:932103;height:279401;width:850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">
                  <v:fill on="f" focussize="0,0"/>
                  <v:stroke on="f"/>
                  <v:imagedata o:title=""/>
                  <o:lock v:ext="edit" aspectratio="f"/>
                  <v:textbox>
                    <w:txbxContent>
                      <w:p w14:paraId="4297097E">
                        <w:r>
                          <w:rPr>
                            <w:rFonts w:hint="eastAsia"/>
                          </w:rPr>
                          <w:t>噪声、扬尘</w:t>
                        </w:r>
                      </w:p>
                    </w:txbxContent>
                  </v:textbox>
                </v:rect>
                <v:line id="Line 339187" o:spid="_x0000_s1026" o:spt="20" style="position:absolute;left:3846807;top:360601;flip:y;height:0;width:406401;"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js4PTTAAAABQEAAA8AAAAAAAAAAQAgAAAAIgAAAGRycy9k&#10;b3ducmV2LnhtbFBLAQIUABQAAAAIAIdO4kAfquKNBwIAAP8DAAAOAAAAAAAAAAEAIAAAACIBAABk&#10;cnMvZTJvRG9jLnhtbFBLBQYAAAAABgAGAFkBAACbBQAAAAA=&#10;">
                  <v:fill on="f" focussize="0,0"/>
                  <v:stroke color="#000000" joinstyle="round" dashstyle="dash" endarrow="block"/>
                  <v:imagedata o:title=""/>
                  <o:lock v:ext="edit" aspectratio="f"/>
                </v:line>
                <v:line id="Line 339188" o:spid="_x0000_s1026" o:spt="20" style="position:absolute;left:979802;top:341601;flip:y;height:0;width:406401;" filled="f" stroked="t" coordsize="21600,21600" o:gfxdata="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AEDMz/VAAAABQEAAA8AAAAAAAAAAQAgAAAAIgAAAGRycy9k&#10;b3ducmV2LnhtbFBLAQIUABQAAAAIAIdO4kDRNYoKBQIAAP4DAAAOAAAAAAAAAAEAIAAAACQBAABk&#10;cnMvZTJvRG9jLnhtbFBLBQYAAAAABgAGAFkBAACbBQAAAAA=&#10;">
                  <v:fill on="f" focussize="0,0"/>
                  <v:stroke color="#000000" joinstyle="round" dashstyle="dash" startarrow="block"/>
                  <v:imagedata o:title=""/>
                  <o:lock v:ext="edit" aspectratio="f"/>
                </v:line>
                <v:rect id="Rectangle 339189" o:spid="_x0000_s1026" o:spt="1" style="position:absolute;left:4218308;top:122500;height:478802;width:10502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CZJPdcAAAAFAQAADwAAAAAAAAAB&#10;ACAAAAAiAAAAZHJzL2Rvd25yZXYueG1sUEsBAhQAFAAAAAgAh07iQPnnCUgRAgAAHAQAAA4AAAAA&#10;AAAAAQAgAAAAJgEAAGRycy9lMm9Eb2MueG1sUEsFBgAAAAAGAAYAWQEAAKkFAAAAAA==&#10;">
                  <v:fill on="f" focussize="0,0"/>
                  <v:stroke on="f"/>
                  <v:imagedata o:title=""/>
                  <o:lock v:ext="edit" aspectratio="f"/>
                  <v:textbox>
                    <w:txbxContent>
                      <w:p w14:paraId="4C0E51C0">
                        <w:pPr>
                          <w:jc w:val="center"/>
                        </w:pPr>
                        <w:r>
                          <w:rPr>
                            <w:rFonts w:hint="eastAsia"/>
                          </w:rPr>
                          <w:t>噪声、扬尘、固废</w:t>
                        </w:r>
                      </w:p>
                    </w:txbxContent>
                  </v:textbox>
                </v:rect>
                <v:rect id="Rectangle 339190" o:spid="_x0000_s1026" o:spt="1" style="position:absolute;left:227300;top:74900;height:498502;width:850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">
                  <v:fill on="f" focussize="0,0"/>
                  <v:stroke on="f"/>
                  <v:imagedata o:title=""/>
                  <o:lock v:ext="edit" aspectratio="f"/>
                  <v:textbox>
                    <w:txbxContent>
                      <w:p w14:paraId="65186160">
                        <w:r>
                          <w:rPr>
                            <w:rFonts w:hint="eastAsia"/>
                          </w:rPr>
                          <w:t>噪声、扬尘、固废</w:t>
                        </w:r>
                      </w:p>
                    </w:txbxContent>
                  </v:textbox>
                </v:rect>
                <v:rect id="Rectangle 339191" o:spid="_x0000_s1026" o:spt="1" style="position:absolute;left:751201;top:1913207;height:279401;width:537201;"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wmST3XAAAABQEAAA8AAAAAAAAAAQAg&#10;AAAAIgAAAGRycy9kb3ducmV2LnhtbFBLAQIUABQAAAAIAIdO4kBcbs1oDwIAABsEAAAOAAAAAAAA&#10;AAEAIAAAACYBAABkcnMvZTJvRG9jLnhtbFBLBQYAAAAABgAGAFkBAACnBQAAAAA=&#10;">
                  <v:fill on="f" focussize="0,0"/>
                  <v:stroke on="f"/>
                  <v:imagedata o:title=""/>
                  <o:lock v:ext="edit" aspectratio="f"/>
                  <v:textbox>
                    <w:txbxContent>
                      <w:p w14:paraId="66663D13">
                        <w:r>
                          <w:rPr>
                            <w:rFonts w:hint="eastAsia"/>
                          </w:rPr>
                          <w:t>降雨</w:t>
                        </w:r>
                      </w:p>
                    </w:txbxContent>
                  </v:textbox>
                </v:rect>
                <v:line id="Line 339192" o:spid="_x0000_s1026" o:spt="20" style="position:absolute;left:1103602;top:2065607;height:600;width:790601;" filled="f" stroked="t" coordsize="21600,21600" o:gfxdata="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NZB5gbXAAAABQEAAA8AAAAAAAAAAQAgAAAAIgAAAGRycy9k&#10;b3ducmV2LnhtbFBLAQIUABQAAAAIAIdO4kAd2dzEAwIAAPgDAAAOAAAAAAAAAAEAIAAAACYBAABk&#10;cnMvZTJvRG9jLnhtbFBLBQYAAAAABgAGAFkBAACbBQAAAAA=&#10;">
                  <v:fill on="f" focussize="0,0"/>
                  <v:stroke color="#000000 [3213]" joinstyle="round" dashstyle="dash" endarrow="block"/>
                  <v:imagedata o:title=""/>
                  <o:lock v:ext="edit" aspectratio="f"/>
                </v:line>
                <v:line id="Line 339193" o:spid="_x0000_s1026" o:spt="20" style="position:absolute;left:3004806;top:2952710;height:600;width:1628703;" filled="f" stroked="t" coordsize="21600,21600" o:gfxdata="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buvk9UA&#10;AAAFAQAADwAAAAAAAAABACAAAAAiAAAAZHJzL2Rvd25yZXYueG1sUEsBAhQAFAAAAAgAh07iQPgz&#10;vY/pAQAAywMAAA4AAAAAAAAAAQAgAAAAJAEAAGRycy9lMm9Eb2MueG1sUEsFBgAAAAAGAAYAWQEA&#10;AH8FAAAAAA==&#10;">
                  <v:fill on="f" focussize="0,0"/>
                  <v:stroke color="#000000 [3213]" joinstyle="round" dashstyle="dash"/>
                  <v:imagedata o:title=""/>
                  <o:lock v:ext="edit" aspectratio="f"/>
                </v:line>
                <v:line id="Line 339194" o:spid="_x0000_s1026" o:spt="20" style="position:absolute;left:4624009;top:2676509;flip:y;height:285701;width:70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Ijs4PTTAAAABQEAAA8AAAAAAAAAAQAgAAAAIgAAAGRycy9k&#10;b3ducmV2LnhtbFBLAQIUABQAAAAIAIdO4kArwJEIBwIAAAIEAAAOAAAAAAAAAAEAIAAAACIBAABk&#10;cnMvZTJvRG9jLnhtbFBLBQYAAAAABgAGAFkBAACbBQAAAAA=&#10;">
                  <v:fill on="f" focussize="0,0"/>
                  <v:stroke color="#000000 [3213]" joinstyle="round" dashstyle="dash" endarrow="block"/>
                  <v:imagedata o:title=""/>
                  <o:lock v:ext="edit" aspectratio="f"/>
                </v:line>
                <v:rect id="Rectangle 339195" o:spid="_x0000_s1026" o:spt="1" style="position:absolute;left:4313508;top:2379908;height:310501;width:6102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AVNpO1AAAAAUBAAAPAAAAAAAAAAEAIAAAACIAAABkcnMvZG93bnJldi54&#10;bWxQSwECFAAUAAAACACHTuJAWHcNGTcCAABlBAAADgAAAAAAAAABACAAAAAjAQAAZHJzL2Uyb0Rv&#10;Yy54bWxQSwUGAAAAAAYABgBZAQAAzAUAAAAA&#10;">
                  <v:fill on="f" focussize="0,0"/>
                  <v:stroke color="#000000" miterlimit="8" joinstyle="miter"/>
                  <v:imagedata o:title=""/>
                  <o:lock v:ext="edit" aspectratio="f"/>
                  <v:textbox>
                    <w:txbxContent>
                      <w:p w14:paraId="0F2BA513">
                        <w:pPr>
                          <w:jc w:val="center"/>
                        </w:pPr>
                        <w:r>
                          <w:rPr>
                            <w:rFonts w:hint="eastAsia"/>
                          </w:rPr>
                          <w:t>排水沟</w:t>
                        </w:r>
                      </w:p>
                    </w:txbxContent>
                  </v:textbox>
                </v:rect>
                <v:line id="Line 339196" o:spid="_x0000_s1026" o:spt="20" style="position:absolute;left:4618309;top:2094207;flip:y;height:279401;width: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iOzg9NMAAAAFAQAADwAAAAAAAAABACAAAAAiAAAAZHJzL2Rv&#10;d25yZXYueG1sUEsBAhQAFAAAAAgAh07iQFxpiY8GAgAAAAQAAA4AAAAAAAAAAQAgAAAAIgEAAGRy&#10;cy9lMm9Eb2MueG1sUEsFBgAAAAAGAAYAWQEAAJoFAAAAAA==&#10;">
                  <v:fill on="f" focussize="0,0"/>
                  <v:stroke color="#000000 [3213]" joinstyle="round" dashstyle="dash" endarrow="block"/>
                  <v:imagedata o:title=""/>
                  <o:lock v:ext="edit" aspectratio="f"/>
                </v:line>
                <v:rect id="Rectangle 339197" o:spid="_x0000_s1026" o:spt="1" style="position:absolute;left:4142108;top:1837006;height:304801;width:9239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4KB/GxMCAAAcBAAADgAA&#10;AAAAAAABACAAAAAmAQAAZHJzL2Uyb0RvYy54bWxQSwUGAAAAAAYABgBZAQAAqwUAAAAA&#10;">
                  <v:fill on="f" focussize="0,0"/>
                  <v:stroke on="f"/>
                  <v:imagedata o:title=""/>
                  <o:lock v:ext="edit" aspectratio="f"/>
                  <v:textbox>
                    <w:txbxContent>
                      <w:p w14:paraId="0D9094A6">
                        <w:pPr>
                          <w:jc w:val="center"/>
                        </w:pPr>
                        <w:r>
                          <w:rPr>
                            <w:rFonts w:hint="eastAsia"/>
                          </w:rPr>
                          <w:t>自然冲沟</w:t>
                        </w:r>
                      </w:p>
                    </w:txbxContent>
                  </v:textbox>
                </v:rect>
                <v:rect id="Rectangle 339198" o:spid="_x0000_s1026" o:spt="1" style="position:absolute;left:4019550;top:2703810;height:279401;width:449560;"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HCZJPdcAAAAFAQAADwAAAAAAAAAB&#10;ACAAAAAiAAAAZHJzL2Rvd25yZXYueG1sUEsBAhQAFAAAAAgAh07iQF9BtEwRAgAAHQQAAA4AAAAA&#10;AAAAAQAgAAAAJgEAAGRycy9lMm9Eb2MueG1sUEsFBgAAAAAGAAYAWQEAAKkFAAAAAA==&#10;">
                  <v:fill on="f" focussize="0,0"/>
                  <v:stroke on="f"/>
                  <v:imagedata o:title=""/>
                  <o:lock v:ext="edit" aspectratio="f"/>
                  <v:textbox>
                    <w:txbxContent>
                      <w:p w14:paraId="244B6B78">
                        <w:r>
                          <w:rPr>
                            <w:rFonts w:hint="eastAsia"/>
                          </w:rPr>
                          <w:t>雨水</w:t>
                        </w:r>
                      </w:p>
                    </w:txbxContent>
                  </v:textbox>
                </v:rect>
                <v:line id="Line 339199" o:spid="_x0000_s1026" o:spt="20" style="position:absolute;left:3018106;top:3542013;height:0;width:1625603;" filled="f" stroked="t" coordsize="21600,21600" o:gfxdata="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5u6+T1QAA&#10;AAUBAAAPAAAAAAAAAAEAIAAAACIAAABkcnMvZG93bnJldi54bWxQSwECFAAUAAAACACHTuJAj+cw&#10;RugBAADKAwAADgAAAAAAAAABACAAAAAkAQAAZHJzL2Uyb0RvYy54bWxQSwUGAAAAAAYABgBZAQAA&#10;fgUAAAAA&#10;">
                  <v:fill on="f" focussize="0,0"/>
                  <v:stroke color="#000000 [3213]" joinstyle="round" dashstyle="dash"/>
                  <v:imagedata o:title=""/>
                  <o:lock v:ext="edit" aspectratio="f"/>
                </v:line>
                <v:line id="Line 339200" o:spid="_x0000_s1026" o:spt="20" style="position:absolute;left:4665909;top:3542013;flip:y;height:279401;width:0;" filled="f" stroked="t" coordsize="21600,21600" o:gfxdata="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BAzM/1QAAAAUBAAAPAAAAAAAAAAEAIAAAACIAAABkcnMv&#10;ZG93bnJldi54bWxQSwECFAAUAAAACACHTuJAmLKGzwYCAAABBAAADgAAAAAAAAABACAAAAAkAQAA&#10;ZHJzL2Uyb0RvYy54bWxQSwUGAAAAAAYABgBZAQAAnAUAAAAA&#10;">
                  <v:fill on="f" focussize="0,0"/>
                  <v:stroke color="#000000 [3213]" joinstyle="round" dashstyle="dash" startarrow="block"/>
                  <v:imagedata o:title=""/>
                  <o:lock v:ext="edit" aspectratio="f"/>
                </v:line>
                <v:rect id="Rectangle 339201" o:spid="_x0000_s1026" o:spt="1" style="position:absolute;left:4142108;top:3837314;height:304801;width:10204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">
                  <v:fill on="f" focussize="0,0"/>
                  <v:stroke color="#000000" miterlimit="8" joinstyle="miter"/>
                  <v:imagedata o:title=""/>
                  <o:lock v:ext="edit" aspectratio="f"/>
                  <v:textbox>
                    <w:txbxContent>
                      <w:p w14:paraId="2CB021D1">
                        <w:r>
                          <w:rPr>
                            <w:rFonts w:hint="eastAsia"/>
                          </w:rPr>
                          <w:t>淋溶水暂存池</w:t>
                        </w:r>
                      </w:p>
                    </w:txbxContent>
                  </v:textbox>
                </v:rect>
                <v:line id="Line 339202" o:spid="_x0000_s1026" o:spt="20" style="position:absolute;left:4675509;top:4161115;flip:y;height:193701;width:600;" filled="f" stroked="t" coordsize="21600,21600" o:gfxdata="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ABAzM/1QAAAAUBAAAPAAAAAAAAAAEAIAAAACIAAABk&#10;cnMvZG93bnJldi54bWxQSwECFAAUAAAACACHTuJAAvUZhgkCAAADBAAADgAAAAAAAAABACAAAAAk&#10;AQAAZHJzL2Uyb0RvYy54bWxQSwUGAAAAAAYABgBZAQAAnwUAAAAA&#10;">
                  <v:fill on="f" focussize="0,0"/>
                  <v:stroke color="#000000 [3213]" joinstyle="round" dashstyle="dash" startarrow="block"/>
                  <v:imagedata o:title=""/>
                  <o:lock v:ext="edit" aspectratio="f"/>
                </v:line>
                <v:line id="Line 339203" o:spid="_x0000_s1026" o:spt="20" style="position:absolute;left:5008809;top:3428312;flip:y;height:393101;width:70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7OD00wAAAAUBAAAPAAAAAAAAAAEAIAAAACIAAABkcnMv&#10;ZG93bnJldi54bWxQSwECFAAUAAAACACHTuJA7fHE9QgCAAADBAAADgAAAAAAAAABACAAAAAiAQAA&#10;ZHJzL2Uyb0RvYy54bWxQSwUGAAAAAAYABgBZAQAAnAUAAAAA&#10;">
                  <v:fill on="f" focussize="0,0"/>
                  <v:stroke color="#000000 [3213]" joinstyle="round" dashstyle="dash" endarrow="block"/>
                  <v:imagedata o:title=""/>
                  <o:lock v:ext="edit" aspectratio="f"/>
                </v:line>
                <v:rect id="Rectangle 339204" o:spid="_x0000_s1026" o:spt="1" style="position:absolute;left:4761209;top:3170511;height:276901;width:485801;"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IBU2k7UAAAABQEAAA8AAAAAAAAAAQAgAAAAIgAAAGRycy9kb3ducmV2&#10;LnhtbFBLAQIUABQAAAAIAIdO4kCFW0dHOQIAAGYEAAAOAAAAAAAAAAEAIAAAACMBAABkcnMvZTJv&#10;RG9jLnhtbFBLBQYAAAAABgAGAFkBAADOBQAAAAA=&#10;">
                  <v:fill on="f" focussize="0,0"/>
                  <v:stroke color="#000000" miterlimit="8" joinstyle="miter"/>
                  <v:imagedata o:title=""/>
                  <o:lock v:ext="edit" aspectratio="f"/>
                  <v:textbox>
                    <w:txbxContent>
                      <w:p w14:paraId="588AC7A2">
                        <w:r>
                          <w:rPr>
                            <w:rFonts w:hint="eastAsia"/>
                          </w:rPr>
                          <w:t>沉渣</w:t>
                        </w:r>
                      </w:p>
                    </w:txbxContent>
                  </v:textbox>
                </v:rect>
                <v:line id="Line 339205" o:spid="_x0000_s1026" o:spt="20" style="position:absolute;left:3004806;top:3356612;flip:x;height:600;width:1743003;"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&#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I7OD00wAAAAUBAAAPAAAAAAAAAAEAIAAAACIAAABk&#10;cnMvZG93bnJldi54bWxQSwECFAAUAAAACACHTuJAFRk4kgsCAAAEBAAADgAAAAAAAAABACAAAAAi&#10;AQAAZHJzL2Uyb0RvYy54bWxQSwUGAAAAAAYABgBZAQAAnwUAAAAA&#10;">
                  <v:fill on="f" focussize="0,0"/>
                  <v:stroke color="#000000 [3213]" joinstyle="round" dashstyle="dash" endarrow="block"/>
                  <v:imagedata o:title=""/>
                  <o:lock v:ext="edit" aspectratio="f"/>
                </v:line>
                <v:rect id="Rectangle 339206" o:spid="_x0000_s1026" o:spt="1" style="position:absolute;left:4246808;top:3113411;height:279401;width:508001;"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LAVjlRMCAAAdBAAADgAA&#10;AAAAAAABACAAAAAmAQAAZHJzL2Uyb0RvYy54bWxQSwUGAAAAAAYABgBZAQAAqwUAAAAA&#10;">
                  <v:fill on="f" focussize="0,0"/>
                  <v:stroke on="f"/>
                  <v:imagedata o:title=""/>
                  <o:lock v:ext="edit" aspectratio="f"/>
                  <v:textbox>
                    <w:txbxContent>
                      <w:p w14:paraId="4E103498">
                        <w:r>
                          <w:rPr>
                            <w:rFonts w:hint="eastAsia"/>
                          </w:rPr>
                          <w:t>回填</w:t>
                        </w:r>
                      </w:p>
                    </w:txbxContent>
                  </v:textbox>
                </v:rect>
                <v:rect id="Rectangle 339207" o:spid="_x0000_s1026" o:spt="1" style="position:absolute;left:4218308;top:4265915;height:304801;width:9144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XaV1cxMCAAAdBAAADgAA&#10;AAAAAAABACAAAAAmAQAAZHJzL2Uyb0RvYy54bWxQSwUGAAAAAAYABgBZAQAAqwUAAAAA&#10;">
                  <v:fill on="f" focussize="0,0"/>
                  <v:stroke on="f"/>
                  <v:imagedata o:title=""/>
                  <o:lock v:ext="edit" aspectratio="f"/>
                  <v:textbox>
                    <w:txbxContent>
                      <w:p w14:paraId="18A26916">
                        <w:pPr>
                          <w:jc w:val="center"/>
                        </w:pPr>
                        <w:r>
                          <w:rPr>
                            <w:rFonts w:hint="eastAsia"/>
                          </w:rPr>
                          <w:t>淋溶水</w:t>
                        </w:r>
                      </w:p>
                    </w:txbxContent>
                  </v:textbox>
                </v:rect>
                <v:line id="Line 339208" o:spid="_x0000_s1026" o:spt="20" style="position:absolute;left:4675509;top:4504016;flip:y;height:184201;width:600;" filled="f" stroked="t" coordsize="21600,21600" o:gfxdata="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&#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AQMzP9UAAAAFAQAADwAAAAAAAAABACAAAAAiAAAAZHJz&#10;L2Rvd25yZXYueG1sUEsBAhQAFAAAAAgAh07iQHHNOXMHAgAAAwQAAA4AAAAAAAAAAQAgAAAAJAEA&#10;AGRycy9lMm9Eb2MueG1sUEsFBgAAAAAGAAYAWQEAAJ0FAAAAAA==&#10;">
                  <v:fill on="f" focussize="0,0"/>
                  <v:stroke color="#000000 [3213]" joinstyle="round" dashstyle="dash" startarrow="block"/>
                  <v:imagedata o:title=""/>
                  <o:lock v:ext="edit" aspectratio="f"/>
                </v:line>
                <v:rect id="Rectangle 339209" o:spid="_x0000_s1026" o:spt="1" style="position:absolute;left:4130608;top:4632917;height:499802;width:11437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zN862hMCAAAeBAAADgAA&#10;AAAAAAABACAAAAAmAQAAZHJzL2Uyb0RvYy54bWxQSwUGAAAAAAYABgBZAQAAqwUAAAAA&#10;">
                  <v:fill on="f" focussize="0,0"/>
                  <v:stroke on="f"/>
                  <v:imagedata o:title=""/>
                  <o:lock v:ext="edit" aspectratio="f"/>
                  <v:textbox>
                    <w:txbxContent>
                      <w:p w14:paraId="7138912A">
                        <w:pPr>
                          <w:jc w:val="center"/>
                          <w:rPr>
                            <w:szCs w:val="21"/>
                          </w:rPr>
                        </w:pPr>
                        <w:r>
                          <w:rPr>
                            <w:rFonts w:hint="eastAsia"/>
                            <w:szCs w:val="21"/>
                          </w:rPr>
                          <w:t>回用于项目区洒水抑尘</w:t>
                        </w:r>
                      </w:p>
                    </w:txbxContent>
                  </v:textbox>
                </v:rect>
                <v:line id="Line 339272" o:spid="_x0000_s1026" o:spt="20" style="position:absolute;left:2484705;top:4999318;height:254001;width:0;" filled="f" stroked="t" coordsize="21600,21600" o:gfxdata="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RVtQi1gAAAAUBAAAPAAAAAAAAAAEAIAAAACIAAABkcnMvZG93bnJldi54bWxQ&#10;SwECFAAUAAAACACHTuJAjZsao/kBAADfAwAADgAAAAAAAAABACAAAAAlAQAAZHJzL2Uyb0RvYy54&#10;bWxQSwUGAAAAAAYABgBZAQAAkAUAAAAA&#10;">
                  <v:fill on="f" focussize="0,0"/>
                  <v:stroke color="#000000" joinstyle="round" endarrow="block"/>
                  <v:imagedata o:title=""/>
                  <o:lock v:ext="edit" aspectratio="f"/>
                </v:line>
                <v:rect id="Rectangle 339273" o:spid="_x0000_s1026" o:spt="1" style="position:absolute;left:2018004;top:5237419;height:279401;width:939802;" filled="f" stroked="t" coordsize="21600,21600" o:gfxdata="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AAAAA&#10;ZHJzL1BLAQIUABQAAAAIAIdO4kCAVNpO1AAAAAUBAAAPAAAAAAAAAAEAIAAAACIAAABkcnMvZG93&#10;bnJldi54bWxQSwECFAAUAAAACACHTuJA0SxyFD0CAABmBAAADgAAAAAAAAABACAAAAAjAQAAZHJz&#10;L2Uyb0RvYy54bWxQSwUGAAAAAAYABgBZAQAA0gUAAAAA&#10;">
                  <v:fill on="f" focussize="0,0"/>
                  <v:stroke color="#000000" miterlimit="8" joinstyle="miter"/>
                  <v:imagedata o:title=""/>
                  <o:lock v:ext="edit" aspectratio="f"/>
                  <v:textbox>
                    <w:txbxContent>
                      <w:p w14:paraId="201B6F11">
                        <w:pPr>
                          <w:jc w:val="center"/>
                        </w:pPr>
                        <w:r>
                          <w:rPr>
                            <w:rFonts w:hint="eastAsia"/>
                          </w:rPr>
                          <w:t>生态恢复期</w:t>
                        </w:r>
                      </w:p>
                    </w:txbxContent>
                  </v:textbox>
                </v:rect>
                <v:line id="Line 339274" o:spid="_x0000_s1026" o:spt="20" style="position:absolute;left:2970506;top:5380319;height:600;width:1206502;" filled="f" stroked="t" coordsize="21600,21600" o:gfxdata="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buv&#10;k9UAAAAFAQAADwAAAAAAAAABACAAAAAiAAAAZHJzL2Rvd25yZXYueG1sUEsBAhQAFAAAAAgAh07i&#10;QBHxMjHsAQAAzAMAAA4AAAAAAAAAAQAgAAAAJAEAAGRycy9lMm9Eb2MueG1sUEsFBgAAAAAGAAYA&#10;WQEAAIIFAAAAAA==&#10;">
                  <v:fill on="f" focussize="0,0"/>
                  <v:stroke color="#000000 [3213]" joinstyle="round" dashstyle="dash"/>
                  <v:imagedata o:title=""/>
                  <o:lock v:ext="edit" aspectratio="f"/>
                </v:line>
                <v:line id="Line 339275" o:spid="_x0000_s1026" o:spt="20" style="position:absolute;left:4189708;top:4152215;flip:y;height:1228104;width:6300;" filled="f" stroked="t" coordsize="21600,21600" o:gfxdata="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CI7OD00wAAAAUBAAAPAAAAAAAAAAEAIAAAACIAAABkcnMv&#10;ZG93bnJldi54bWxQSwECFAAUAAAACACHTuJAmAxiXwgCAAAFBAAADgAAAAAAAAABACAAAAAiAQAA&#10;ZHJzL2Uyb0RvYy54bWxQSwUGAAAAAAYABgBZAQAAnAUAAAAA&#10;">
                  <v:fill on="f" focussize="0,0"/>
                  <v:stroke color="#000000 [3213]" joinstyle="round" dashstyle="dash" endarrow="block"/>
                  <v:imagedata o:title=""/>
                  <o:lock v:ext="edit" aspectratio="f"/>
                </v:line>
                <v:rect id="Rectangle 339276" o:spid="_x0000_s1026" o:spt="1" style="position:absolute;left:3284806;top:5132718;height:304801;width:9144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AcJkk91wAAAAUBAAAPAAAAAAAA&#10;AAEAIAAAACIAAABkcnMvZG93bnJldi54bWxQSwECFAAUAAAACACHTuJAo5mDLxMCAAAdBAAADgAA&#10;AAAAAAABACAAAAAmAQAAZHJzL2Uyb0RvYy54bWxQSwUGAAAAAAYABgBZAQAAqwUAAAAA&#10;">
                  <v:fill on="f" focussize="0,0"/>
                  <v:stroke on="f"/>
                  <v:imagedata o:title=""/>
                  <o:lock v:ext="edit" aspectratio="f"/>
                  <v:textbox>
                    <w:txbxContent>
                      <w:p w14:paraId="08680760">
                        <w:pPr>
                          <w:jc w:val="center"/>
                        </w:pPr>
                        <w:r>
                          <w:rPr>
                            <w:rFonts w:hint="eastAsia"/>
                          </w:rPr>
                          <w:t>淋溶水</w:t>
                        </w:r>
                      </w:p>
                    </w:txbxContent>
                  </v:textbox>
                </v:rect>
                <v:line id="Line 339277" o:spid="_x0000_s1026" o:spt="20" style="position:absolute;left:1589403;top:5389819;flip:y;height:0;width:406401;" filled="f" stroked="t" coordsize="21600,21600" o:gfxdata="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">
                  <v:fill on="f" focussize="0,0"/>
                  <v:stroke color="#000000" joinstyle="round" dashstyle="dash" startarrow="block"/>
                  <v:imagedata o:title=""/>
                  <o:lock v:ext="edit" aspectratio="f"/>
                </v:line>
                <v:rect id="Rectangle 339278" o:spid="_x0000_s1026" o:spt="1" style="position:absolute;left:922602;top:5256519;height:279401;width:863602;"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wmST3XAAAABQEAAA8AAAAAAAAA&#10;AQAgAAAAIgAAAGRycy9kb3ducmV2LnhtbFBLAQIUABQAAAAIAIdO4kAs7JevEgIAABwEAAAOAAAA&#10;AAAAAAEAIAAAACYBAABkcnMvZTJvRG9jLnhtbFBLBQYAAAAABgAGAFkBAACqBQAAAAA=&#10;">
                  <v:fill on="f" focussize="0,0"/>
                  <v:stroke on="f"/>
                  <v:imagedata o:title=""/>
                  <o:lock v:ext="edit" aspectratio="f"/>
                  <v:textbox>
                    <w:txbxContent>
                      <w:p w14:paraId="36BB7D77">
                        <w:r>
                          <w:rPr>
                            <w:rFonts w:hint="eastAsia"/>
                          </w:rPr>
                          <w:t>水泵噪声</w:t>
                        </w:r>
                      </w:p>
                    </w:txbxContent>
                  </v:textbox>
                </v:rect>
                <v:rect id="Rectangle 339276" o:spid="_x0000_s1026" o:spt="1" style="position:absolute;left:3850005;top:3512185;height:304800;width:914400;" filled="f" stroked="f" coordsize="21600,21600" o:gfxdata="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BwmST3XAAAABQEAAA8AAAAAAAAA&#10;AQAgAAAAIgAAAGRycy9kb3ducmV2LnhtbFBLAQIUABQAAAAIAIdO4kDsntiWEgIAAB0EAAAOAAAA&#10;AAAAAAEAIAAAACYBAABkcnMvZTJvRG9jLnhtbFBLBQYAAAAABgAGAFkBAACqBQAAAAA=&#10;">
                  <v:fill on="f" focussize="0,0"/>
                  <v:stroke on="f"/>
                  <v:imagedata o:title=""/>
                  <o:lock v:ext="edit" aspectratio="f"/>
                  <v:textbox>
                    <w:txbxContent>
                      <w:p w14:paraId="60073E09">
                        <w:pPr>
                          <w:ind w:firstLine="418"/>
                          <w:jc w:val="center"/>
                          <w:rPr>
                            <w:szCs w:val="21"/>
                          </w:rPr>
                        </w:pPr>
                        <w:r>
                          <w:rPr>
                            <w:rFonts w:hint="eastAsia"/>
                            <w:szCs w:val="21"/>
                          </w:rPr>
                          <w:t>淋溶水</w:t>
                        </w:r>
                      </w:p>
                    </w:txbxContent>
                  </v:textbox>
                </v:rect>
                <w10:wrap type="none"/>
                <w10:anchorlock/>
              </v:group>
            </w:pict>
          </mc:Fallback>
        </mc:AlternateContent>
      </w:r>
    </w:p>
    <w:p w14:paraId="66F1C712">
      <w:pPr>
        <w:pStyle w:val="76"/>
        <w:rPr>
          <w:color w:val="auto"/>
        </w:rPr>
      </w:pPr>
      <w:r>
        <w:rPr>
          <w:color w:val="auto"/>
        </w:rPr>
        <w:t>图3-</w:t>
      </w:r>
      <w:r>
        <w:rPr>
          <w:rFonts w:hint="eastAsia"/>
          <w:color w:val="auto"/>
        </w:rPr>
        <w:t>2-</w:t>
      </w:r>
      <w:r>
        <w:rPr>
          <w:color w:val="auto"/>
        </w:rPr>
        <w:t>4本项目主要工艺流程及产排污节点示意图</w:t>
      </w:r>
    </w:p>
    <w:p w14:paraId="19A54279">
      <w:pPr>
        <w:keepNext/>
        <w:keepLines/>
        <w:adjustRightInd w:val="0"/>
        <w:snapToGrid w:val="0"/>
        <w:spacing w:line="500" w:lineRule="exact"/>
        <w:outlineLvl w:val="1"/>
        <w:rPr>
          <w:rFonts w:eastAsia="黑体"/>
          <w:bCs/>
          <w:snapToGrid w:val="0"/>
          <w:color w:val="auto"/>
          <w:kern w:val="0"/>
          <w:sz w:val="28"/>
          <w:szCs w:val="32"/>
        </w:rPr>
      </w:pPr>
      <w:bookmarkStart w:id="99" w:name="_Toc140149422"/>
      <w:bookmarkStart w:id="100" w:name="_Toc149054202"/>
      <w:r>
        <w:rPr>
          <w:rFonts w:eastAsia="黑体"/>
          <w:bCs/>
          <w:snapToGrid w:val="0"/>
          <w:color w:val="auto"/>
          <w:kern w:val="0"/>
          <w:sz w:val="28"/>
          <w:szCs w:val="32"/>
        </w:rPr>
        <w:t>3.3</w:t>
      </w:r>
      <w:r>
        <w:rPr>
          <w:rFonts w:hint="eastAsia" w:eastAsia="黑体"/>
          <w:bCs/>
          <w:snapToGrid w:val="0"/>
          <w:color w:val="auto"/>
          <w:kern w:val="0"/>
          <w:sz w:val="28"/>
          <w:szCs w:val="32"/>
        </w:rPr>
        <w:t>工程污染源强分析</w:t>
      </w:r>
      <w:bookmarkEnd w:id="99"/>
      <w:bookmarkEnd w:id="100"/>
    </w:p>
    <w:p w14:paraId="17B766ED">
      <w:pPr>
        <w:keepNext/>
        <w:keepLines/>
        <w:adjustRightInd w:val="0"/>
        <w:snapToGrid w:val="0"/>
        <w:spacing w:line="500" w:lineRule="exact"/>
        <w:outlineLvl w:val="2"/>
        <w:rPr>
          <w:rFonts w:eastAsia="黑体"/>
          <w:bCs/>
          <w:snapToGrid w:val="0"/>
          <w:color w:val="auto"/>
          <w:kern w:val="0"/>
          <w:sz w:val="24"/>
          <w:szCs w:val="32"/>
        </w:rPr>
      </w:pPr>
      <w:r>
        <w:rPr>
          <w:rFonts w:eastAsia="黑体"/>
          <w:bCs/>
          <w:snapToGrid w:val="0"/>
          <w:color w:val="auto"/>
          <w:kern w:val="0"/>
          <w:sz w:val="24"/>
          <w:szCs w:val="32"/>
        </w:rPr>
        <w:t>3.3.1</w:t>
      </w:r>
      <w:r>
        <w:rPr>
          <w:rFonts w:hint="eastAsia" w:eastAsia="黑体"/>
          <w:bCs/>
          <w:snapToGrid w:val="0"/>
          <w:color w:val="auto"/>
          <w:kern w:val="0"/>
          <w:sz w:val="24"/>
          <w:szCs w:val="32"/>
        </w:rPr>
        <w:t>施工期污染源及源强分析</w:t>
      </w:r>
    </w:p>
    <w:p w14:paraId="0FA86310">
      <w:pPr>
        <w:spacing w:line="500" w:lineRule="exact"/>
        <w:ind w:firstLine="480" w:firstLineChars="200"/>
        <w:rPr>
          <w:color w:val="auto"/>
          <w:sz w:val="24"/>
          <w:szCs w:val="22"/>
        </w:rPr>
      </w:pPr>
      <w:r>
        <w:rPr>
          <w:rFonts w:hint="eastAsia"/>
          <w:color w:val="auto"/>
          <w:sz w:val="24"/>
          <w:szCs w:val="22"/>
        </w:rPr>
        <w:t>建设项目施工期主要内容是进行场地清理、排水沟和淋溶水暂存池的施工，</w:t>
      </w:r>
      <w:r>
        <w:rPr>
          <w:color w:val="auto"/>
          <w:sz w:val="24"/>
          <w:szCs w:val="22"/>
        </w:rPr>
        <w:t>本项目建设期为</w:t>
      </w:r>
      <w:r>
        <w:rPr>
          <w:rFonts w:hint="eastAsia"/>
          <w:color w:val="auto"/>
          <w:sz w:val="24"/>
          <w:szCs w:val="22"/>
        </w:rPr>
        <w:t>1个月</w:t>
      </w:r>
      <w:r>
        <w:rPr>
          <w:color w:val="auto"/>
          <w:sz w:val="24"/>
          <w:szCs w:val="22"/>
        </w:rPr>
        <w:t>，因此，</w:t>
      </w:r>
      <w:r>
        <w:rPr>
          <w:rFonts w:hint="eastAsia"/>
          <w:color w:val="auto"/>
          <w:sz w:val="24"/>
          <w:szCs w:val="22"/>
        </w:rPr>
        <w:t>施工作业对环境的污染影响是短期、局部和可恢复的。影响主要有以下几个方面：</w:t>
      </w:r>
    </w:p>
    <w:p w14:paraId="3E0EBA04">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.3.1.1</w:t>
      </w:r>
      <w:r>
        <w:rPr>
          <w:rFonts w:hint="eastAsia"/>
          <w:color w:val="auto"/>
          <w:sz w:val="24"/>
          <w:szCs w:val="20"/>
          <w:lang w:val="zh-CN"/>
        </w:rPr>
        <w:t>废气</w:t>
      </w:r>
    </w:p>
    <w:p w14:paraId="7DB6A38F">
      <w:pPr>
        <w:spacing w:line="500" w:lineRule="exact"/>
        <w:ind w:firstLine="480" w:firstLineChars="200"/>
        <w:rPr>
          <w:color w:val="auto"/>
          <w:sz w:val="24"/>
          <w:szCs w:val="22"/>
        </w:rPr>
      </w:pPr>
      <w:r>
        <w:rPr>
          <w:rFonts w:hint="eastAsia"/>
          <w:color w:val="auto"/>
          <w:sz w:val="24"/>
          <w:szCs w:val="22"/>
        </w:rPr>
        <w:t>施工期土方开挖、施工材料装卸和运输都会产生扬尘污染；扬尘大小与施工条件、天气条件等等因素有关。在施工现场及时洒水降尘可有效降低产尘浓度，减轻环境影响。各类施工机械、车辆将产生燃油废气，主要污染物为颗粒物、SO</w:t>
      </w:r>
      <w:r>
        <w:rPr>
          <w:rFonts w:hint="eastAsia"/>
          <w:color w:val="auto"/>
          <w:sz w:val="24"/>
          <w:szCs w:val="22"/>
          <w:vertAlign w:val="subscript"/>
        </w:rPr>
        <w:t>2</w:t>
      </w:r>
      <w:r>
        <w:rPr>
          <w:rFonts w:hint="eastAsia"/>
          <w:color w:val="auto"/>
          <w:sz w:val="24"/>
          <w:szCs w:val="22"/>
        </w:rPr>
        <w:t>、NO</w:t>
      </w:r>
      <w:r>
        <w:rPr>
          <w:rFonts w:hint="eastAsia"/>
          <w:color w:val="auto"/>
          <w:sz w:val="24"/>
          <w:szCs w:val="22"/>
          <w:vertAlign w:val="subscript"/>
        </w:rPr>
        <w:t>X</w:t>
      </w:r>
      <w:r>
        <w:rPr>
          <w:rFonts w:hint="eastAsia"/>
          <w:color w:val="auto"/>
          <w:sz w:val="24"/>
          <w:szCs w:val="22"/>
        </w:rPr>
        <w:t>、CO和烃类等。</w:t>
      </w:r>
    </w:p>
    <w:p w14:paraId="147F6F4B">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.3.1.2</w:t>
      </w:r>
      <w:r>
        <w:rPr>
          <w:rFonts w:hint="eastAsia"/>
          <w:color w:val="auto"/>
          <w:sz w:val="24"/>
          <w:szCs w:val="20"/>
          <w:lang w:val="zh-CN"/>
        </w:rPr>
        <w:t>废水</w:t>
      </w:r>
    </w:p>
    <w:p w14:paraId="3616BEA7">
      <w:pPr>
        <w:spacing w:line="500" w:lineRule="exact"/>
        <w:ind w:firstLine="480" w:firstLineChars="200"/>
        <w:rPr>
          <w:color w:val="auto"/>
          <w:sz w:val="24"/>
          <w:szCs w:val="22"/>
        </w:rPr>
      </w:pPr>
      <w:r>
        <w:rPr>
          <w:rFonts w:hint="eastAsia"/>
          <w:color w:val="auto"/>
          <w:sz w:val="24"/>
          <w:szCs w:val="22"/>
        </w:rPr>
        <w:t>施工期废水主要有施工废水和生活废水。</w:t>
      </w:r>
      <w:r>
        <w:rPr>
          <w:color w:val="auto"/>
          <w:sz w:val="24"/>
          <w:szCs w:val="22"/>
        </w:rPr>
        <w:t xml:space="preserve"> </w:t>
      </w:r>
    </w:p>
    <w:p w14:paraId="5C710692">
      <w:pPr>
        <w:spacing w:line="500" w:lineRule="exact"/>
        <w:ind w:firstLine="480" w:firstLineChars="200"/>
        <w:rPr>
          <w:color w:val="auto"/>
          <w:sz w:val="24"/>
          <w:szCs w:val="22"/>
        </w:rPr>
      </w:pPr>
      <w:r>
        <w:rPr>
          <w:rFonts w:hint="eastAsia"/>
          <w:color w:val="auto"/>
          <w:sz w:val="24"/>
          <w:szCs w:val="22"/>
        </w:rPr>
        <w:t>生产废水包括降雨产生的场地积水，这些废水悬浮物浓度较高，含沙量可达</w:t>
      </w:r>
      <w:r>
        <w:rPr>
          <w:color w:val="auto"/>
          <w:sz w:val="24"/>
          <w:szCs w:val="22"/>
        </w:rPr>
        <w:t>4</w:t>
      </w:r>
      <w:r>
        <w:rPr>
          <w:rFonts w:hint="eastAsia"/>
          <w:color w:val="auto"/>
          <w:sz w:val="24"/>
          <w:szCs w:val="22"/>
        </w:rPr>
        <w:t>～</w:t>
      </w:r>
      <w:r>
        <w:rPr>
          <w:color w:val="auto"/>
          <w:sz w:val="24"/>
          <w:szCs w:val="22"/>
        </w:rPr>
        <w:t>70kg/m</w:t>
      </w:r>
      <w:r>
        <w:rPr>
          <w:color w:val="auto"/>
          <w:szCs w:val="16"/>
          <w:vertAlign w:val="superscript"/>
        </w:rPr>
        <w:t>3</w:t>
      </w:r>
      <w:r>
        <w:rPr>
          <w:rFonts w:hint="eastAsia"/>
          <w:color w:val="auto"/>
          <w:sz w:val="24"/>
          <w:szCs w:val="22"/>
        </w:rPr>
        <w:t>。废水中的</w:t>
      </w:r>
      <w:r>
        <w:rPr>
          <w:color w:val="auto"/>
          <w:sz w:val="24"/>
          <w:szCs w:val="22"/>
        </w:rPr>
        <w:t>SS</w:t>
      </w:r>
      <w:r>
        <w:rPr>
          <w:rFonts w:hint="eastAsia"/>
          <w:color w:val="auto"/>
          <w:sz w:val="24"/>
          <w:szCs w:val="22"/>
        </w:rPr>
        <w:t>经过临时沉淀池收集、沉淀处理后可回用于施工现场洒水降尘。预计施工期生产废水产生量约为</w:t>
      </w:r>
      <w:r>
        <w:rPr>
          <w:color w:val="auto"/>
          <w:sz w:val="24"/>
          <w:szCs w:val="22"/>
        </w:rPr>
        <w:t>0.5~2m</w:t>
      </w:r>
      <w:r>
        <w:rPr>
          <w:color w:val="auto"/>
          <w:szCs w:val="16"/>
          <w:vertAlign w:val="superscript"/>
        </w:rPr>
        <w:t>3</w:t>
      </w:r>
      <w:r>
        <w:rPr>
          <w:color w:val="auto"/>
          <w:sz w:val="24"/>
          <w:szCs w:val="22"/>
        </w:rPr>
        <w:t>/h</w:t>
      </w:r>
      <w:r>
        <w:rPr>
          <w:rFonts w:hint="eastAsia"/>
          <w:color w:val="auto"/>
          <w:sz w:val="24"/>
          <w:szCs w:val="22"/>
        </w:rPr>
        <w:t>。</w:t>
      </w:r>
      <w:r>
        <w:rPr>
          <w:color w:val="auto"/>
          <w:sz w:val="24"/>
          <w:szCs w:val="22"/>
        </w:rPr>
        <w:t xml:space="preserve"> </w:t>
      </w:r>
    </w:p>
    <w:p w14:paraId="18381189">
      <w:pPr>
        <w:spacing w:line="500" w:lineRule="exact"/>
        <w:ind w:firstLine="480" w:firstLineChars="200"/>
        <w:rPr>
          <w:color w:val="auto"/>
          <w:sz w:val="24"/>
          <w:szCs w:val="22"/>
        </w:rPr>
      </w:pPr>
      <w:r>
        <w:rPr>
          <w:rFonts w:hint="eastAsia"/>
          <w:color w:val="auto"/>
          <w:sz w:val="24"/>
          <w:szCs w:val="22"/>
        </w:rPr>
        <w:t>施工人员按</w:t>
      </w:r>
      <w:r>
        <w:rPr>
          <w:color w:val="auto"/>
          <w:sz w:val="24"/>
          <w:szCs w:val="22"/>
        </w:rPr>
        <w:t>5</w:t>
      </w:r>
      <w:r>
        <w:rPr>
          <w:rFonts w:hint="eastAsia"/>
          <w:color w:val="auto"/>
          <w:sz w:val="24"/>
          <w:szCs w:val="22"/>
        </w:rPr>
        <w:t>人计，则产生的生活污水量约为</w:t>
      </w:r>
      <w:r>
        <w:rPr>
          <w:color w:val="auto"/>
          <w:sz w:val="24"/>
          <w:szCs w:val="22"/>
        </w:rPr>
        <w:t>0.5m</w:t>
      </w:r>
      <w:r>
        <w:rPr>
          <w:color w:val="auto"/>
          <w:szCs w:val="16"/>
          <w:vertAlign w:val="superscript"/>
        </w:rPr>
        <w:t>3</w:t>
      </w:r>
      <w:r>
        <w:rPr>
          <w:color w:val="auto"/>
          <w:sz w:val="24"/>
          <w:szCs w:val="22"/>
        </w:rPr>
        <w:t>/d</w:t>
      </w:r>
      <w:r>
        <w:rPr>
          <w:rFonts w:hint="eastAsia"/>
          <w:color w:val="auto"/>
          <w:sz w:val="24"/>
          <w:szCs w:val="22"/>
        </w:rPr>
        <w:t>。施工人员的生活排入民房的防渗旱厕，定期清掏，外运积肥，对周边环境影响较小。</w:t>
      </w:r>
      <w:r>
        <w:rPr>
          <w:color w:val="auto"/>
          <w:sz w:val="24"/>
          <w:szCs w:val="22"/>
        </w:rPr>
        <w:t xml:space="preserve"> </w:t>
      </w:r>
    </w:p>
    <w:p w14:paraId="561840F8">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.3.1.3</w:t>
      </w:r>
      <w:r>
        <w:rPr>
          <w:rFonts w:hint="eastAsia"/>
          <w:color w:val="auto"/>
          <w:sz w:val="24"/>
          <w:szCs w:val="20"/>
          <w:lang w:val="zh-CN"/>
        </w:rPr>
        <w:t>噪声</w:t>
      </w:r>
    </w:p>
    <w:p w14:paraId="6B1A7152">
      <w:pPr>
        <w:spacing w:line="500" w:lineRule="exact"/>
        <w:ind w:firstLine="480" w:firstLineChars="200"/>
        <w:rPr>
          <w:color w:val="auto"/>
          <w:sz w:val="24"/>
          <w:szCs w:val="22"/>
        </w:rPr>
      </w:pPr>
      <w:r>
        <w:rPr>
          <w:rFonts w:hint="eastAsia"/>
          <w:color w:val="auto"/>
          <w:sz w:val="24"/>
          <w:szCs w:val="22"/>
        </w:rPr>
        <w:t>施工噪声主要为各类施工机械产生的噪声。主要施工设备源强的噪声级类比调查结果参见表</w:t>
      </w:r>
      <w:r>
        <w:rPr>
          <w:color w:val="auto"/>
          <w:sz w:val="24"/>
          <w:szCs w:val="22"/>
        </w:rPr>
        <w:t>3</w:t>
      </w:r>
      <w:r>
        <w:rPr>
          <w:rFonts w:hint="eastAsia"/>
          <w:color w:val="auto"/>
          <w:sz w:val="24"/>
          <w:szCs w:val="22"/>
        </w:rPr>
        <w:t>-</w:t>
      </w:r>
      <w:r>
        <w:rPr>
          <w:color w:val="auto"/>
          <w:sz w:val="24"/>
          <w:szCs w:val="22"/>
        </w:rPr>
        <w:t>3</w:t>
      </w:r>
      <w:r>
        <w:rPr>
          <w:rFonts w:hint="eastAsia"/>
          <w:color w:val="auto"/>
          <w:sz w:val="24"/>
          <w:szCs w:val="22"/>
        </w:rPr>
        <w:t>-</w:t>
      </w:r>
      <w:r>
        <w:rPr>
          <w:color w:val="auto"/>
          <w:sz w:val="24"/>
          <w:szCs w:val="22"/>
        </w:rPr>
        <w:t>1</w:t>
      </w:r>
      <w:r>
        <w:rPr>
          <w:rFonts w:hint="eastAsia"/>
          <w:color w:val="auto"/>
          <w:sz w:val="24"/>
          <w:szCs w:val="22"/>
        </w:rPr>
        <w:t>。</w:t>
      </w:r>
    </w:p>
    <w:p w14:paraId="52E4F72B">
      <w:pPr>
        <w:adjustRightInd w:val="0"/>
        <w:snapToGrid w:val="0"/>
        <w:spacing w:line="500" w:lineRule="exact"/>
        <w:jc w:val="center"/>
        <w:rPr>
          <w:rFonts w:eastAsia="黑体"/>
          <w:color w:val="auto"/>
          <w:sz w:val="24"/>
          <w:szCs w:val="22"/>
          <w:lang w:val="zh-CN"/>
        </w:rPr>
      </w:pPr>
      <w:r>
        <w:rPr>
          <w:rFonts w:hint="eastAsia" w:eastAsia="黑体"/>
          <w:color w:val="auto"/>
          <w:sz w:val="24"/>
          <w:szCs w:val="22"/>
          <w:lang w:val="zh-CN"/>
        </w:rPr>
        <w:t>表</w:t>
      </w:r>
      <w:r>
        <w:rPr>
          <w:rFonts w:eastAsia="黑体"/>
          <w:color w:val="auto"/>
          <w:sz w:val="24"/>
          <w:szCs w:val="22"/>
          <w:lang w:val="zh-CN"/>
        </w:rPr>
        <w:t>3</w:t>
      </w:r>
      <w:r>
        <w:rPr>
          <w:rFonts w:hint="eastAsia" w:eastAsia="黑体"/>
          <w:color w:val="auto"/>
          <w:sz w:val="24"/>
          <w:szCs w:val="22"/>
          <w:lang w:val="zh-CN"/>
        </w:rPr>
        <w:t>-</w:t>
      </w:r>
      <w:r>
        <w:rPr>
          <w:rFonts w:eastAsia="黑体"/>
          <w:color w:val="auto"/>
          <w:sz w:val="24"/>
          <w:szCs w:val="22"/>
          <w:lang w:val="zh-CN"/>
        </w:rPr>
        <w:t>3</w:t>
      </w:r>
      <w:r>
        <w:rPr>
          <w:rFonts w:hint="eastAsia" w:eastAsia="黑体"/>
          <w:color w:val="auto"/>
          <w:sz w:val="24"/>
          <w:szCs w:val="22"/>
          <w:lang w:val="zh-CN"/>
        </w:rPr>
        <w:t>-</w:t>
      </w:r>
      <w:r>
        <w:rPr>
          <w:rFonts w:eastAsia="黑体"/>
          <w:color w:val="auto"/>
          <w:sz w:val="24"/>
          <w:szCs w:val="22"/>
          <w:lang w:val="zh-CN"/>
        </w:rPr>
        <w:t>1</w:t>
      </w:r>
      <w:r>
        <w:rPr>
          <w:rFonts w:hint="eastAsia" w:eastAsia="黑体"/>
          <w:color w:val="auto"/>
          <w:sz w:val="24"/>
          <w:szCs w:val="22"/>
          <w:lang w:val="zh-CN"/>
        </w:rPr>
        <w:t>施工期主要噪声源强统计</w:t>
      </w:r>
    </w:p>
    <w:p w14:paraId="589A0003">
      <w:pPr>
        <w:autoSpaceDE w:val="0"/>
        <w:autoSpaceDN w:val="0"/>
        <w:adjustRightInd w:val="0"/>
        <w:spacing w:before="6" w:line="90" w:lineRule="exact"/>
        <w:jc w:val="left"/>
        <w:rPr>
          <w:rFonts w:ascii="黑体" w:eastAsia="黑体" w:cs="黑体"/>
          <w:color w:val="auto"/>
          <w:kern w:val="0"/>
          <w:sz w:val="9"/>
          <w:szCs w:val="9"/>
        </w:rPr>
      </w:pPr>
    </w:p>
    <w:tbl>
      <w:tblPr>
        <w:tblStyle w:val="76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33"/>
        <w:gridCol w:w="3950"/>
        <w:gridCol w:w="2723"/>
      </w:tblGrid>
      <w:tr w14:paraId="6F5CFD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78BA82BE">
            <w:pPr>
              <w:adjustRightInd w:val="0"/>
              <w:snapToGrid w:val="0"/>
              <w:jc w:val="center"/>
              <w:rPr>
                <w:snapToGrid w:val="0"/>
                <w:color w:val="auto"/>
                <w:szCs w:val="22"/>
                <w:lang w:val="zh-CN"/>
              </w:rPr>
            </w:pPr>
            <w:r>
              <w:rPr>
                <w:rFonts w:hint="eastAsia"/>
                <w:snapToGrid w:val="0"/>
                <w:color w:val="auto"/>
                <w:szCs w:val="22"/>
                <w:lang w:val="zh-CN"/>
              </w:rPr>
              <w:t>序号</w:t>
            </w:r>
          </w:p>
        </w:tc>
        <w:tc>
          <w:tcPr>
            <w:tcW w:w="2378" w:type="pct"/>
            <w:vAlign w:val="center"/>
          </w:tcPr>
          <w:p w14:paraId="00C13326">
            <w:pPr>
              <w:adjustRightInd w:val="0"/>
              <w:snapToGrid w:val="0"/>
              <w:jc w:val="center"/>
              <w:rPr>
                <w:snapToGrid w:val="0"/>
                <w:color w:val="auto"/>
                <w:szCs w:val="22"/>
                <w:lang w:val="zh-CN"/>
              </w:rPr>
            </w:pPr>
            <w:r>
              <w:rPr>
                <w:rFonts w:hint="eastAsia"/>
                <w:snapToGrid w:val="0"/>
                <w:color w:val="auto"/>
                <w:szCs w:val="22"/>
                <w:lang w:val="zh-CN"/>
              </w:rPr>
              <w:t>设备声源</w:t>
            </w:r>
          </w:p>
        </w:tc>
        <w:tc>
          <w:tcPr>
            <w:tcW w:w="1639" w:type="pct"/>
            <w:vAlign w:val="center"/>
          </w:tcPr>
          <w:p w14:paraId="7A5B310F">
            <w:pPr>
              <w:adjustRightInd w:val="0"/>
              <w:snapToGrid w:val="0"/>
              <w:jc w:val="center"/>
              <w:rPr>
                <w:snapToGrid w:val="0"/>
                <w:color w:val="auto"/>
                <w:szCs w:val="22"/>
                <w:lang w:val="zh-CN"/>
              </w:rPr>
            </w:pPr>
            <w:r>
              <w:rPr>
                <w:rFonts w:hint="eastAsia"/>
                <w:snapToGrid w:val="0"/>
                <w:color w:val="auto"/>
                <w:szCs w:val="22"/>
                <w:lang w:val="zh-CN"/>
              </w:rPr>
              <w:t>声级</w:t>
            </w:r>
            <w:r>
              <w:rPr>
                <w:snapToGrid w:val="0"/>
                <w:color w:val="auto"/>
                <w:szCs w:val="22"/>
                <w:lang w:val="zh-CN"/>
              </w:rPr>
              <w:t>dB(A)</w:t>
            </w:r>
          </w:p>
        </w:tc>
      </w:tr>
      <w:tr w14:paraId="66F87D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77CFD74B">
            <w:pPr>
              <w:adjustRightInd w:val="0"/>
              <w:snapToGrid w:val="0"/>
              <w:jc w:val="center"/>
              <w:rPr>
                <w:snapToGrid w:val="0"/>
                <w:color w:val="auto"/>
                <w:szCs w:val="22"/>
                <w:lang w:val="zh-CN"/>
              </w:rPr>
            </w:pPr>
            <w:r>
              <w:rPr>
                <w:rFonts w:hint="eastAsia"/>
                <w:snapToGrid w:val="0"/>
                <w:color w:val="auto"/>
                <w:szCs w:val="22"/>
                <w:lang w:val="zh-CN"/>
              </w:rPr>
              <w:t>1</w:t>
            </w:r>
          </w:p>
        </w:tc>
        <w:tc>
          <w:tcPr>
            <w:tcW w:w="2378" w:type="pct"/>
            <w:vAlign w:val="center"/>
          </w:tcPr>
          <w:p w14:paraId="511469E9">
            <w:pPr>
              <w:adjustRightInd w:val="0"/>
              <w:snapToGrid w:val="0"/>
              <w:jc w:val="center"/>
              <w:rPr>
                <w:snapToGrid w:val="0"/>
                <w:color w:val="auto"/>
                <w:szCs w:val="22"/>
                <w:lang w:val="zh-CN"/>
              </w:rPr>
            </w:pPr>
            <w:r>
              <w:rPr>
                <w:rFonts w:hint="eastAsia"/>
                <w:snapToGrid w:val="0"/>
                <w:color w:val="auto"/>
                <w:szCs w:val="22"/>
                <w:lang w:val="zh-CN"/>
              </w:rPr>
              <w:t>装载机</w:t>
            </w:r>
          </w:p>
        </w:tc>
        <w:tc>
          <w:tcPr>
            <w:tcW w:w="1639" w:type="pct"/>
            <w:vAlign w:val="center"/>
          </w:tcPr>
          <w:p w14:paraId="5FE0C0EB">
            <w:pPr>
              <w:adjustRightInd w:val="0"/>
              <w:snapToGrid w:val="0"/>
              <w:jc w:val="center"/>
              <w:rPr>
                <w:snapToGrid w:val="0"/>
                <w:color w:val="auto"/>
                <w:szCs w:val="22"/>
                <w:lang w:val="zh-CN"/>
              </w:rPr>
            </w:pPr>
            <w:r>
              <w:rPr>
                <w:snapToGrid w:val="0"/>
                <w:color w:val="auto"/>
                <w:szCs w:val="22"/>
                <w:lang w:val="zh-CN"/>
              </w:rPr>
              <w:t>86</w:t>
            </w:r>
          </w:p>
        </w:tc>
      </w:tr>
      <w:tr w14:paraId="444605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5DE40755">
            <w:pPr>
              <w:adjustRightInd w:val="0"/>
              <w:snapToGrid w:val="0"/>
              <w:jc w:val="center"/>
              <w:rPr>
                <w:snapToGrid w:val="0"/>
                <w:color w:val="auto"/>
                <w:szCs w:val="22"/>
                <w:lang w:val="zh-CN"/>
              </w:rPr>
            </w:pPr>
            <w:r>
              <w:rPr>
                <w:rFonts w:hint="eastAsia"/>
                <w:snapToGrid w:val="0"/>
                <w:color w:val="auto"/>
                <w:szCs w:val="22"/>
                <w:lang w:val="zh-CN"/>
              </w:rPr>
              <w:t>2</w:t>
            </w:r>
          </w:p>
        </w:tc>
        <w:tc>
          <w:tcPr>
            <w:tcW w:w="2378" w:type="pct"/>
            <w:vAlign w:val="center"/>
          </w:tcPr>
          <w:p w14:paraId="5DF01C13">
            <w:pPr>
              <w:adjustRightInd w:val="0"/>
              <w:snapToGrid w:val="0"/>
              <w:jc w:val="center"/>
              <w:rPr>
                <w:snapToGrid w:val="0"/>
                <w:color w:val="auto"/>
                <w:szCs w:val="22"/>
                <w:lang w:val="zh-CN"/>
              </w:rPr>
            </w:pPr>
            <w:r>
              <w:rPr>
                <w:rFonts w:hint="eastAsia"/>
                <w:snapToGrid w:val="0"/>
                <w:color w:val="auto"/>
                <w:szCs w:val="22"/>
                <w:lang w:val="zh-CN"/>
              </w:rPr>
              <w:t>挖掘机</w:t>
            </w:r>
          </w:p>
        </w:tc>
        <w:tc>
          <w:tcPr>
            <w:tcW w:w="1639" w:type="pct"/>
            <w:vAlign w:val="center"/>
          </w:tcPr>
          <w:p w14:paraId="695061B8">
            <w:pPr>
              <w:adjustRightInd w:val="0"/>
              <w:snapToGrid w:val="0"/>
              <w:jc w:val="center"/>
              <w:rPr>
                <w:snapToGrid w:val="0"/>
                <w:color w:val="auto"/>
                <w:szCs w:val="22"/>
                <w:lang w:val="zh-CN"/>
              </w:rPr>
            </w:pPr>
            <w:r>
              <w:rPr>
                <w:snapToGrid w:val="0"/>
                <w:color w:val="auto"/>
                <w:szCs w:val="22"/>
                <w:lang w:val="zh-CN"/>
              </w:rPr>
              <w:t>84</w:t>
            </w:r>
          </w:p>
        </w:tc>
      </w:tr>
      <w:tr w14:paraId="593FF5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3" w:type="pct"/>
            <w:vAlign w:val="center"/>
          </w:tcPr>
          <w:p w14:paraId="462A843E">
            <w:pPr>
              <w:adjustRightInd w:val="0"/>
              <w:snapToGrid w:val="0"/>
              <w:jc w:val="center"/>
              <w:rPr>
                <w:snapToGrid w:val="0"/>
                <w:color w:val="auto"/>
                <w:szCs w:val="22"/>
                <w:lang w:val="zh-CN"/>
              </w:rPr>
            </w:pPr>
            <w:r>
              <w:rPr>
                <w:rFonts w:hint="eastAsia"/>
                <w:snapToGrid w:val="0"/>
                <w:color w:val="auto"/>
                <w:szCs w:val="22"/>
                <w:lang w:val="zh-CN"/>
              </w:rPr>
              <w:t>3</w:t>
            </w:r>
          </w:p>
        </w:tc>
        <w:tc>
          <w:tcPr>
            <w:tcW w:w="2378" w:type="pct"/>
            <w:vAlign w:val="center"/>
          </w:tcPr>
          <w:p w14:paraId="19907D81">
            <w:pPr>
              <w:adjustRightInd w:val="0"/>
              <w:snapToGrid w:val="0"/>
              <w:jc w:val="center"/>
              <w:rPr>
                <w:snapToGrid w:val="0"/>
                <w:color w:val="auto"/>
                <w:szCs w:val="22"/>
                <w:lang w:val="zh-CN"/>
              </w:rPr>
            </w:pPr>
            <w:r>
              <w:rPr>
                <w:rFonts w:hint="eastAsia"/>
                <w:snapToGrid w:val="0"/>
                <w:color w:val="auto"/>
                <w:szCs w:val="22"/>
                <w:lang w:val="zh-CN"/>
              </w:rPr>
              <w:t>推土机</w:t>
            </w:r>
          </w:p>
        </w:tc>
        <w:tc>
          <w:tcPr>
            <w:tcW w:w="1639" w:type="pct"/>
            <w:vAlign w:val="center"/>
          </w:tcPr>
          <w:p w14:paraId="52263A05">
            <w:pPr>
              <w:adjustRightInd w:val="0"/>
              <w:snapToGrid w:val="0"/>
              <w:jc w:val="center"/>
              <w:rPr>
                <w:snapToGrid w:val="0"/>
                <w:color w:val="auto"/>
                <w:szCs w:val="22"/>
                <w:lang w:val="zh-CN"/>
              </w:rPr>
            </w:pPr>
            <w:r>
              <w:rPr>
                <w:snapToGrid w:val="0"/>
                <w:color w:val="auto"/>
                <w:szCs w:val="22"/>
                <w:lang w:val="zh-CN"/>
              </w:rPr>
              <w:t>86</w:t>
            </w:r>
          </w:p>
        </w:tc>
      </w:tr>
    </w:tbl>
    <w:p w14:paraId="41F3665E">
      <w:pPr>
        <w:spacing w:line="500" w:lineRule="exact"/>
        <w:ind w:firstLine="480" w:firstLineChars="200"/>
        <w:rPr>
          <w:color w:val="auto"/>
          <w:sz w:val="24"/>
          <w:szCs w:val="22"/>
        </w:rPr>
      </w:pPr>
      <w:r>
        <w:rPr>
          <w:color w:val="auto"/>
          <w:sz w:val="24"/>
          <w:szCs w:val="22"/>
        </w:rPr>
        <w:t>施工期间，通过采用低噪声设备、合理制定施工计划、安排施工时间等措施，可减少施工噪声对区域声环境的影响。具体防治措施如下：</w:t>
      </w:r>
    </w:p>
    <w:p w14:paraId="681BB012">
      <w:pPr>
        <w:spacing w:line="500" w:lineRule="exact"/>
        <w:ind w:firstLine="480" w:firstLineChars="200"/>
        <w:rPr>
          <w:color w:val="auto"/>
          <w:sz w:val="24"/>
          <w:szCs w:val="22"/>
        </w:rPr>
      </w:pPr>
      <w:r>
        <w:rPr>
          <w:color w:val="auto"/>
          <w:sz w:val="24"/>
          <w:szCs w:val="22"/>
        </w:rPr>
        <w:t>1）施工中使用低噪声机械设备，并设专人对其保养维护；对设备操作人员进行培训，严格按操作规范进行；</w:t>
      </w:r>
    </w:p>
    <w:p w14:paraId="3B99B67B">
      <w:pPr>
        <w:spacing w:line="500" w:lineRule="exact"/>
        <w:ind w:firstLine="480" w:firstLineChars="200"/>
        <w:rPr>
          <w:color w:val="auto"/>
          <w:sz w:val="24"/>
          <w:szCs w:val="22"/>
        </w:rPr>
      </w:pPr>
      <w:r>
        <w:rPr>
          <w:color w:val="auto"/>
          <w:sz w:val="24"/>
          <w:szCs w:val="22"/>
        </w:rPr>
        <w:t>2）采取必要的隔声措施；在不影响施工情况下，对相对固定的设备尽可能设置围挡；</w:t>
      </w:r>
    </w:p>
    <w:p w14:paraId="574DC31E">
      <w:pPr>
        <w:spacing w:line="500" w:lineRule="exact"/>
        <w:ind w:firstLine="480" w:firstLineChars="200"/>
        <w:rPr>
          <w:color w:val="auto"/>
          <w:sz w:val="24"/>
          <w:szCs w:val="22"/>
        </w:rPr>
      </w:pPr>
      <w:r>
        <w:rPr>
          <w:color w:val="auto"/>
          <w:sz w:val="24"/>
          <w:szCs w:val="22"/>
        </w:rPr>
        <w:t>3）建材、物料运输车辆选择合理的运营时间、路线，尽量避开居民区和环境敏感点。</w:t>
      </w:r>
    </w:p>
    <w:p w14:paraId="22A33F61">
      <w:pPr>
        <w:spacing w:line="500" w:lineRule="exact"/>
        <w:ind w:firstLine="480" w:firstLineChars="200"/>
        <w:rPr>
          <w:color w:val="auto"/>
          <w:sz w:val="24"/>
          <w:szCs w:val="22"/>
        </w:rPr>
      </w:pPr>
      <w:r>
        <w:rPr>
          <w:color w:val="auto"/>
          <w:sz w:val="24"/>
          <w:szCs w:val="22"/>
        </w:rPr>
        <w:t>工程占地周边200m范围内没有居民等噪声敏感点，故施工噪声不会对声环境产生影响。</w:t>
      </w:r>
    </w:p>
    <w:p w14:paraId="7333F2BB">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.3.1.4固体废物</w:t>
      </w:r>
    </w:p>
    <w:p w14:paraId="4DAC9C28">
      <w:pPr>
        <w:spacing w:line="500" w:lineRule="exact"/>
        <w:ind w:firstLine="480" w:firstLineChars="200"/>
        <w:rPr>
          <w:color w:val="auto"/>
          <w:sz w:val="24"/>
          <w:szCs w:val="22"/>
        </w:rPr>
      </w:pPr>
      <w:r>
        <w:rPr>
          <w:color w:val="auto"/>
          <w:sz w:val="24"/>
          <w:szCs w:val="22"/>
        </w:rPr>
        <w:t>固体废物主要</w:t>
      </w:r>
      <w:r>
        <w:rPr>
          <w:rFonts w:hint="eastAsia"/>
          <w:color w:val="auto"/>
          <w:sz w:val="24"/>
          <w:szCs w:val="22"/>
        </w:rPr>
        <w:t>为暂存池和排水沟</w:t>
      </w:r>
      <w:r>
        <w:rPr>
          <w:color w:val="auto"/>
          <w:sz w:val="24"/>
          <w:szCs w:val="22"/>
        </w:rPr>
        <w:t>开挖产生的</w:t>
      </w:r>
      <w:r>
        <w:rPr>
          <w:rFonts w:hint="eastAsia"/>
          <w:color w:val="auto"/>
          <w:sz w:val="24"/>
          <w:szCs w:val="22"/>
        </w:rPr>
        <w:t>土方、建筑</w:t>
      </w:r>
      <w:r>
        <w:rPr>
          <w:color w:val="auto"/>
          <w:sz w:val="24"/>
          <w:szCs w:val="22"/>
        </w:rPr>
        <w:t>废弃物、</w:t>
      </w:r>
      <w:r>
        <w:rPr>
          <w:rFonts w:hint="eastAsia"/>
          <w:color w:val="auto"/>
          <w:sz w:val="24"/>
          <w:szCs w:val="22"/>
        </w:rPr>
        <w:t>清基杂物</w:t>
      </w:r>
      <w:r>
        <w:rPr>
          <w:color w:val="auto"/>
          <w:sz w:val="24"/>
          <w:szCs w:val="22"/>
        </w:rPr>
        <w:t>和生活垃圾。施工中的固废均为一般固体废物。</w:t>
      </w:r>
    </w:p>
    <w:p w14:paraId="0FE4382C">
      <w:pPr>
        <w:spacing w:line="500" w:lineRule="exact"/>
        <w:ind w:firstLine="480" w:firstLineChars="200"/>
        <w:rPr>
          <w:color w:val="auto"/>
          <w:sz w:val="24"/>
          <w:szCs w:val="22"/>
        </w:rPr>
      </w:pPr>
      <w:r>
        <w:rPr>
          <w:rFonts w:hint="eastAsia"/>
          <w:color w:val="auto"/>
          <w:sz w:val="24"/>
          <w:szCs w:val="22"/>
        </w:rPr>
        <w:t>开挖土方作为防渗工程用土回填，无弃方；清基杂物</w:t>
      </w:r>
      <w:r>
        <w:rPr>
          <w:color w:val="auto"/>
          <w:sz w:val="24"/>
          <w:szCs w:val="22"/>
        </w:rPr>
        <w:t>和生活垃圾</w:t>
      </w:r>
      <w:r>
        <w:rPr>
          <w:rFonts w:hint="eastAsia"/>
          <w:color w:val="auto"/>
          <w:sz w:val="24"/>
          <w:szCs w:val="22"/>
        </w:rPr>
        <w:t>由市政部门统一处理。</w:t>
      </w:r>
      <w:r>
        <w:rPr>
          <w:color w:val="auto"/>
          <w:sz w:val="24"/>
          <w:szCs w:val="22"/>
        </w:rPr>
        <w:t>生活垃圾产生量约为2.5kg/d，利用场区设施收集清运</w:t>
      </w:r>
      <w:r>
        <w:rPr>
          <w:rFonts w:hint="eastAsia"/>
          <w:color w:val="auto"/>
          <w:sz w:val="24"/>
          <w:szCs w:val="22"/>
        </w:rPr>
        <w:t>，</w:t>
      </w:r>
      <w:r>
        <w:rPr>
          <w:color w:val="auto"/>
          <w:sz w:val="24"/>
          <w:szCs w:val="22"/>
        </w:rPr>
        <w:t>定期送市政环卫部门</w:t>
      </w:r>
      <w:r>
        <w:rPr>
          <w:rFonts w:hint="eastAsia"/>
          <w:color w:val="auto"/>
          <w:sz w:val="24"/>
          <w:szCs w:val="22"/>
        </w:rPr>
        <w:t>统一</w:t>
      </w:r>
      <w:r>
        <w:rPr>
          <w:color w:val="auto"/>
          <w:sz w:val="24"/>
          <w:szCs w:val="22"/>
        </w:rPr>
        <w:t>处理。</w:t>
      </w:r>
      <w:r>
        <w:rPr>
          <w:bCs/>
          <w:color w:val="auto"/>
          <w:sz w:val="24"/>
          <w:szCs w:val="22"/>
        </w:rPr>
        <w:t>施工作业</w:t>
      </w:r>
      <w:r>
        <w:rPr>
          <w:rFonts w:hint="eastAsia"/>
          <w:bCs/>
          <w:color w:val="auto"/>
          <w:sz w:val="24"/>
          <w:szCs w:val="22"/>
        </w:rPr>
        <w:t>建筑</w:t>
      </w:r>
      <w:r>
        <w:rPr>
          <w:bCs/>
          <w:color w:val="auto"/>
          <w:sz w:val="24"/>
          <w:szCs w:val="22"/>
        </w:rPr>
        <w:t>废弃物包括下脚料、包装袋等，</w:t>
      </w:r>
      <w:r>
        <w:rPr>
          <w:rFonts w:hint="eastAsia"/>
          <w:bCs/>
          <w:color w:val="auto"/>
          <w:sz w:val="24"/>
          <w:szCs w:val="22"/>
        </w:rPr>
        <w:t>外售废品</w:t>
      </w:r>
      <w:r>
        <w:rPr>
          <w:bCs/>
          <w:color w:val="auto"/>
          <w:sz w:val="24"/>
          <w:szCs w:val="22"/>
        </w:rPr>
        <w:t>回收部门</w:t>
      </w:r>
      <w:r>
        <w:rPr>
          <w:rFonts w:hint="eastAsia"/>
          <w:bCs/>
          <w:color w:val="auto"/>
          <w:sz w:val="24"/>
          <w:szCs w:val="22"/>
        </w:rPr>
        <w:t>综合利用</w:t>
      </w:r>
      <w:r>
        <w:rPr>
          <w:bCs/>
          <w:color w:val="auto"/>
          <w:sz w:val="24"/>
          <w:szCs w:val="22"/>
        </w:rPr>
        <w:t>。</w:t>
      </w:r>
    </w:p>
    <w:p w14:paraId="70AEDB68">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.3.1.5生态影响</w:t>
      </w:r>
    </w:p>
    <w:p w14:paraId="6450CB41">
      <w:pPr>
        <w:spacing w:line="500" w:lineRule="exact"/>
        <w:ind w:firstLine="480" w:firstLineChars="200"/>
        <w:rPr>
          <w:color w:val="auto"/>
          <w:sz w:val="24"/>
          <w:szCs w:val="22"/>
        </w:rPr>
      </w:pPr>
      <w:r>
        <w:rPr>
          <w:color w:val="auto"/>
          <w:sz w:val="24"/>
          <w:szCs w:val="22"/>
        </w:rPr>
        <w:t>工程施工中会扰动地表，易引起水土流失</w:t>
      </w:r>
      <w:r>
        <w:rPr>
          <w:rFonts w:hint="eastAsia"/>
          <w:color w:val="auto"/>
          <w:sz w:val="24"/>
          <w:szCs w:val="22"/>
        </w:rPr>
        <w:t>，</w:t>
      </w:r>
      <w:r>
        <w:rPr>
          <w:color w:val="auto"/>
          <w:sz w:val="24"/>
          <w:szCs w:val="22"/>
        </w:rPr>
        <w:t>给场区生态环境带来不利影响。</w:t>
      </w:r>
    </w:p>
    <w:p w14:paraId="4E5B2958">
      <w:pPr>
        <w:keepNext/>
        <w:keepLines/>
        <w:adjustRightInd w:val="0"/>
        <w:snapToGrid w:val="0"/>
        <w:spacing w:line="500" w:lineRule="exact"/>
        <w:outlineLvl w:val="2"/>
        <w:rPr>
          <w:rFonts w:eastAsia="黑体"/>
          <w:bCs/>
          <w:color w:val="auto"/>
          <w:sz w:val="24"/>
          <w:szCs w:val="32"/>
        </w:rPr>
      </w:pPr>
      <w:r>
        <w:rPr>
          <w:rFonts w:hint="eastAsia" w:eastAsia="黑体"/>
          <w:bCs/>
          <w:color w:val="auto"/>
          <w:sz w:val="24"/>
          <w:szCs w:val="32"/>
        </w:rPr>
        <w:t>3</w:t>
      </w:r>
      <w:r>
        <w:rPr>
          <w:rFonts w:eastAsia="黑体"/>
          <w:bCs/>
          <w:color w:val="auto"/>
          <w:sz w:val="24"/>
          <w:szCs w:val="32"/>
        </w:rPr>
        <w:t>.3.2</w:t>
      </w:r>
      <w:r>
        <w:rPr>
          <w:rFonts w:hint="eastAsia" w:eastAsia="黑体"/>
          <w:bCs/>
          <w:color w:val="auto"/>
          <w:sz w:val="24"/>
          <w:szCs w:val="32"/>
        </w:rPr>
        <w:t>回填复垦期污染源及源强分析</w:t>
      </w:r>
    </w:p>
    <w:p w14:paraId="37BE7706">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.3.2.1</w:t>
      </w:r>
      <w:r>
        <w:rPr>
          <w:rFonts w:hint="eastAsia"/>
          <w:color w:val="auto"/>
          <w:sz w:val="24"/>
          <w:szCs w:val="20"/>
          <w:lang w:val="zh-CN"/>
        </w:rPr>
        <w:t>废气</w:t>
      </w:r>
    </w:p>
    <w:p w14:paraId="12091140">
      <w:pPr>
        <w:spacing w:line="500" w:lineRule="exact"/>
        <w:ind w:firstLine="480" w:firstLineChars="200"/>
        <w:rPr>
          <w:color w:val="auto"/>
          <w:sz w:val="24"/>
          <w:szCs w:val="22"/>
        </w:rPr>
      </w:pPr>
      <w:r>
        <w:rPr>
          <w:rFonts w:hint="eastAsia"/>
          <w:color w:val="auto"/>
          <w:sz w:val="24"/>
          <w:szCs w:val="22"/>
        </w:rPr>
        <w:t>项目区日常处置的</w:t>
      </w:r>
      <w:r>
        <w:rPr>
          <w:rFonts w:hint="eastAsia"/>
          <w:color w:val="auto"/>
          <w:sz w:val="24"/>
          <w:szCs w:val="22"/>
          <w:lang w:eastAsia="zh-CN"/>
        </w:rPr>
        <w:t>灰渣</w:t>
      </w:r>
      <w:r>
        <w:rPr>
          <w:rFonts w:hint="eastAsia"/>
          <w:color w:val="auto"/>
          <w:sz w:val="24"/>
          <w:szCs w:val="22"/>
        </w:rPr>
        <w:t>等均属无机废物，不存在生物降解性物质及易化学反应产生气体的物质，故不产生气体，无恶臭产生。本项目无锅炉和食堂等，无锅炉烟气和食堂油烟的产生。</w:t>
      </w:r>
    </w:p>
    <w:p w14:paraId="070E622F">
      <w:pPr>
        <w:spacing w:line="500" w:lineRule="exact"/>
        <w:ind w:firstLine="480" w:firstLineChars="200"/>
        <w:rPr>
          <w:color w:val="auto"/>
          <w:sz w:val="24"/>
          <w:szCs w:val="22"/>
        </w:rPr>
      </w:pPr>
      <w:r>
        <w:rPr>
          <w:rFonts w:hint="eastAsia"/>
          <w:color w:val="auto"/>
          <w:sz w:val="24"/>
          <w:szCs w:val="22"/>
        </w:rPr>
        <w:t>回填复垦期废气主要为机械运行时的尾气和</w:t>
      </w:r>
      <w:r>
        <w:rPr>
          <w:rFonts w:hint="eastAsia"/>
          <w:color w:val="auto"/>
          <w:sz w:val="24"/>
          <w:szCs w:val="22"/>
          <w:lang w:eastAsia="zh-CN"/>
        </w:rPr>
        <w:t>灰渣</w:t>
      </w:r>
      <w:r>
        <w:rPr>
          <w:rFonts w:hint="eastAsia"/>
          <w:color w:val="auto"/>
          <w:sz w:val="24"/>
          <w:szCs w:val="22"/>
        </w:rPr>
        <w:t>运输、卸车和作业过程产生的扬尘。</w:t>
      </w:r>
    </w:p>
    <w:p w14:paraId="1E90BAFB">
      <w:pPr>
        <w:spacing w:line="500" w:lineRule="exact"/>
        <w:ind w:firstLine="480" w:firstLineChars="200"/>
        <w:rPr>
          <w:color w:val="auto"/>
          <w:sz w:val="24"/>
          <w:szCs w:val="22"/>
        </w:rPr>
      </w:pPr>
      <w:r>
        <w:rPr>
          <w:rFonts w:hint="eastAsia"/>
          <w:color w:val="auto"/>
          <w:sz w:val="24"/>
          <w:szCs w:val="22"/>
        </w:rPr>
        <w:t>（1）回填作业机械尾气</w:t>
      </w:r>
    </w:p>
    <w:p w14:paraId="1BE24FA3">
      <w:pPr>
        <w:spacing w:line="500" w:lineRule="exact"/>
        <w:ind w:firstLine="480" w:firstLineChars="200"/>
        <w:rPr>
          <w:color w:val="auto"/>
          <w:sz w:val="24"/>
          <w:szCs w:val="22"/>
        </w:rPr>
      </w:pPr>
      <w:r>
        <w:rPr>
          <w:rFonts w:hint="eastAsia"/>
          <w:color w:val="auto"/>
          <w:sz w:val="24"/>
          <w:szCs w:val="22"/>
        </w:rPr>
        <w:t>作业时的废气主要由推土机、压实机、铲车、</w:t>
      </w:r>
      <w:r>
        <w:rPr>
          <w:color w:val="auto"/>
          <w:sz w:val="24"/>
          <w:szCs w:val="22"/>
        </w:rPr>
        <w:t>自卸车</w:t>
      </w:r>
      <w:r>
        <w:rPr>
          <w:rFonts w:hint="eastAsia"/>
          <w:color w:val="auto"/>
          <w:sz w:val="24"/>
          <w:szCs w:val="22"/>
        </w:rPr>
        <w:t>和洒水车运行时产生。</w:t>
      </w:r>
      <w:r>
        <w:rPr>
          <w:color w:val="auto"/>
          <w:sz w:val="24"/>
          <w:szCs w:val="22"/>
        </w:rPr>
        <w:t>参照《环境保护实用数据手册》“汽车发动机废气中有害物质质量”，每燃烧1t燃料机动车废气中主要污染物排放系数</w:t>
      </w:r>
      <w:r>
        <w:rPr>
          <w:rFonts w:hint="eastAsia"/>
          <w:color w:val="auto"/>
          <w:sz w:val="24"/>
          <w:szCs w:val="22"/>
          <w:lang w:eastAsia="zh-CN"/>
        </w:rPr>
        <w:t>如</w:t>
      </w:r>
      <w:r>
        <w:rPr>
          <w:color w:val="auto"/>
          <w:sz w:val="24"/>
          <w:szCs w:val="22"/>
        </w:rPr>
        <w:t>下表所示</w:t>
      </w:r>
      <w:r>
        <w:rPr>
          <w:rFonts w:hint="eastAsia"/>
          <w:color w:val="auto"/>
          <w:sz w:val="24"/>
          <w:szCs w:val="22"/>
        </w:rPr>
        <w:t>。</w:t>
      </w:r>
    </w:p>
    <w:p w14:paraId="439515E6">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表3</w:t>
      </w:r>
      <w:r>
        <w:rPr>
          <w:rFonts w:hint="eastAsia" w:eastAsia="黑体"/>
          <w:color w:val="auto"/>
          <w:sz w:val="24"/>
          <w:szCs w:val="22"/>
          <w:lang w:val="zh-CN"/>
        </w:rPr>
        <w:t>-</w:t>
      </w:r>
      <w:r>
        <w:rPr>
          <w:rFonts w:eastAsia="黑体"/>
          <w:color w:val="auto"/>
          <w:sz w:val="24"/>
          <w:szCs w:val="22"/>
          <w:lang w:val="zh-CN"/>
        </w:rPr>
        <w:t>3</w:t>
      </w:r>
      <w:r>
        <w:rPr>
          <w:rFonts w:hint="eastAsia" w:eastAsia="黑体"/>
          <w:color w:val="auto"/>
          <w:sz w:val="24"/>
          <w:szCs w:val="22"/>
          <w:lang w:val="zh-CN"/>
        </w:rPr>
        <w:t>-</w:t>
      </w:r>
      <w:r>
        <w:rPr>
          <w:rFonts w:eastAsia="黑体"/>
          <w:color w:val="auto"/>
          <w:sz w:val="24"/>
          <w:szCs w:val="22"/>
          <w:lang w:val="zh-CN"/>
        </w:rPr>
        <w:t>2机动车消耗单位燃料大气污染物排放系数（kg/t）</w:t>
      </w:r>
    </w:p>
    <w:tbl>
      <w:tblPr>
        <w:tblStyle w:val="768"/>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541"/>
        <w:gridCol w:w="1922"/>
        <w:gridCol w:w="1924"/>
        <w:gridCol w:w="1919"/>
      </w:tblGrid>
      <w:tr w14:paraId="2CC9CD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9" w:hRule="atLeast"/>
        </w:trPr>
        <w:tc>
          <w:tcPr>
            <w:tcW w:w="1530" w:type="pct"/>
            <w:tcBorders>
              <w:tl2br w:val="single" w:color="auto" w:sz="4" w:space="0"/>
            </w:tcBorders>
            <w:vAlign w:val="center"/>
          </w:tcPr>
          <w:p w14:paraId="4ED650F0">
            <w:pPr>
              <w:adjustRightInd w:val="0"/>
              <w:snapToGrid w:val="0"/>
              <w:jc w:val="right"/>
              <w:rPr>
                <w:snapToGrid w:val="0"/>
                <w:color w:val="auto"/>
                <w:szCs w:val="22"/>
                <w:lang w:val="zh-CN"/>
              </w:rPr>
            </w:pPr>
            <w:r>
              <w:rPr>
                <w:snapToGrid w:val="0"/>
                <w:color w:val="auto"/>
                <w:szCs w:val="22"/>
                <w:lang w:val="zh-CN"/>
              </w:rPr>
              <w:t>污染物</w:t>
            </w:r>
          </w:p>
          <w:p w14:paraId="4FB28142">
            <w:pPr>
              <w:adjustRightInd w:val="0"/>
              <w:snapToGrid w:val="0"/>
              <w:jc w:val="left"/>
              <w:rPr>
                <w:snapToGrid w:val="0"/>
                <w:color w:val="auto"/>
                <w:szCs w:val="22"/>
                <w:lang w:val="zh-CN"/>
              </w:rPr>
            </w:pPr>
            <w:r>
              <w:rPr>
                <w:snapToGrid w:val="0"/>
                <w:color w:val="auto"/>
                <w:szCs w:val="22"/>
                <w:lang w:val="zh-CN"/>
              </w:rPr>
              <w:t>车种（燃料）</w:t>
            </w:r>
          </w:p>
        </w:tc>
        <w:tc>
          <w:tcPr>
            <w:tcW w:w="1157" w:type="pct"/>
            <w:vAlign w:val="center"/>
          </w:tcPr>
          <w:p w14:paraId="74AC45A7">
            <w:pPr>
              <w:adjustRightInd w:val="0"/>
              <w:snapToGrid w:val="0"/>
              <w:jc w:val="center"/>
              <w:rPr>
                <w:snapToGrid w:val="0"/>
                <w:color w:val="auto"/>
                <w:szCs w:val="22"/>
                <w:lang w:val="zh-CN"/>
              </w:rPr>
            </w:pPr>
            <w:r>
              <w:rPr>
                <w:snapToGrid w:val="0"/>
                <w:color w:val="auto"/>
                <w:szCs w:val="22"/>
                <w:lang w:val="zh-CN"/>
              </w:rPr>
              <w:t>CO</w:t>
            </w:r>
          </w:p>
        </w:tc>
        <w:tc>
          <w:tcPr>
            <w:tcW w:w="1158" w:type="pct"/>
            <w:vAlign w:val="center"/>
          </w:tcPr>
          <w:p w14:paraId="175F40EE">
            <w:pPr>
              <w:adjustRightInd w:val="0"/>
              <w:snapToGrid w:val="0"/>
              <w:jc w:val="center"/>
              <w:rPr>
                <w:snapToGrid w:val="0"/>
                <w:color w:val="auto"/>
                <w:szCs w:val="22"/>
                <w:lang w:val="zh-CN"/>
              </w:rPr>
            </w:pPr>
            <w:r>
              <w:rPr>
                <w:snapToGrid w:val="0"/>
                <w:color w:val="auto"/>
                <w:szCs w:val="22"/>
                <w:lang w:val="zh-CN"/>
              </w:rPr>
              <w:t>NO</w:t>
            </w:r>
            <w:r>
              <w:rPr>
                <w:snapToGrid w:val="0"/>
                <w:color w:val="auto"/>
                <w:szCs w:val="22"/>
                <w:vertAlign w:val="subscript"/>
                <w:lang w:val="zh-CN"/>
              </w:rPr>
              <w:t>x</w:t>
            </w:r>
          </w:p>
        </w:tc>
        <w:tc>
          <w:tcPr>
            <w:tcW w:w="1156" w:type="pct"/>
            <w:vAlign w:val="center"/>
          </w:tcPr>
          <w:p w14:paraId="1322DA42">
            <w:pPr>
              <w:adjustRightInd w:val="0"/>
              <w:snapToGrid w:val="0"/>
              <w:jc w:val="center"/>
              <w:rPr>
                <w:snapToGrid w:val="0"/>
                <w:color w:val="auto"/>
                <w:szCs w:val="22"/>
                <w:lang w:val="zh-CN"/>
              </w:rPr>
            </w:pPr>
            <w:r>
              <w:rPr>
                <w:snapToGrid w:val="0"/>
                <w:color w:val="auto"/>
                <w:szCs w:val="22"/>
                <w:lang w:val="zh-CN"/>
              </w:rPr>
              <w:t>HC</w:t>
            </w:r>
          </w:p>
        </w:tc>
      </w:tr>
      <w:tr w14:paraId="668BA7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1530" w:type="pct"/>
            <w:vAlign w:val="center"/>
          </w:tcPr>
          <w:p w14:paraId="4B8C5F72">
            <w:pPr>
              <w:adjustRightInd w:val="0"/>
              <w:snapToGrid w:val="0"/>
              <w:jc w:val="center"/>
              <w:rPr>
                <w:snapToGrid w:val="0"/>
                <w:color w:val="auto"/>
                <w:szCs w:val="22"/>
                <w:lang w:val="zh-CN"/>
              </w:rPr>
            </w:pPr>
            <w:r>
              <w:rPr>
                <w:snapToGrid w:val="0"/>
                <w:color w:val="auto"/>
                <w:szCs w:val="22"/>
                <w:lang w:val="zh-CN"/>
              </w:rPr>
              <w:t>汽车（</w:t>
            </w:r>
            <w:r>
              <w:rPr>
                <w:rFonts w:hint="eastAsia"/>
                <w:snapToGrid w:val="0"/>
                <w:color w:val="auto"/>
                <w:szCs w:val="22"/>
                <w:lang w:val="zh-CN"/>
              </w:rPr>
              <w:t>柴</w:t>
            </w:r>
            <w:r>
              <w:rPr>
                <w:snapToGrid w:val="0"/>
                <w:color w:val="auto"/>
                <w:szCs w:val="22"/>
                <w:lang w:val="zh-CN"/>
              </w:rPr>
              <w:t>油）</w:t>
            </w:r>
          </w:p>
        </w:tc>
        <w:tc>
          <w:tcPr>
            <w:tcW w:w="1157" w:type="pct"/>
            <w:vAlign w:val="center"/>
          </w:tcPr>
          <w:p w14:paraId="11DDF4B0">
            <w:pPr>
              <w:adjustRightInd w:val="0"/>
              <w:snapToGrid w:val="0"/>
              <w:jc w:val="center"/>
              <w:rPr>
                <w:snapToGrid w:val="0"/>
                <w:color w:val="auto"/>
                <w:szCs w:val="22"/>
                <w:lang w:val="zh-CN"/>
              </w:rPr>
            </w:pPr>
            <w:r>
              <w:rPr>
                <w:snapToGrid w:val="0"/>
                <w:color w:val="auto"/>
                <w:szCs w:val="22"/>
                <w:lang w:val="zh-CN"/>
              </w:rPr>
              <w:t>28.4</w:t>
            </w:r>
          </w:p>
        </w:tc>
        <w:tc>
          <w:tcPr>
            <w:tcW w:w="1158" w:type="pct"/>
            <w:vAlign w:val="center"/>
          </w:tcPr>
          <w:p w14:paraId="4C5B8A39">
            <w:pPr>
              <w:adjustRightInd w:val="0"/>
              <w:snapToGrid w:val="0"/>
              <w:jc w:val="center"/>
              <w:rPr>
                <w:snapToGrid w:val="0"/>
                <w:color w:val="auto"/>
                <w:szCs w:val="22"/>
                <w:lang w:val="zh-CN"/>
              </w:rPr>
            </w:pPr>
            <w:r>
              <w:rPr>
                <w:snapToGrid w:val="0"/>
                <w:color w:val="auto"/>
                <w:szCs w:val="22"/>
                <w:lang w:val="zh-CN"/>
              </w:rPr>
              <w:t>40.8</w:t>
            </w:r>
          </w:p>
        </w:tc>
        <w:tc>
          <w:tcPr>
            <w:tcW w:w="1156" w:type="pct"/>
            <w:vAlign w:val="center"/>
          </w:tcPr>
          <w:p w14:paraId="00F0913E">
            <w:pPr>
              <w:adjustRightInd w:val="0"/>
              <w:snapToGrid w:val="0"/>
              <w:jc w:val="center"/>
              <w:rPr>
                <w:snapToGrid w:val="0"/>
                <w:color w:val="auto"/>
                <w:szCs w:val="22"/>
                <w:lang w:val="zh-CN"/>
              </w:rPr>
            </w:pPr>
            <w:r>
              <w:rPr>
                <w:snapToGrid w:val="0"/>
                <w:color w:val="auto"/>
                <w:szCs w:val="22"/>
                <w:lang w:val="zh-CN"/>
              </w:rPr>
              <w:t>9.1</w:t>
            </w:r>
          </w:p>
        </w:tc>
      </w:tr>
    </w:tbl>
    <w:p w14:paraId="193D0C4D">
      <w:pPr>
        <w:spacing w:line="500" w:lineRule="exact"/>
        <w:ind w:firstLine="480" w:firstLineChars="200"/>
        <w:rPr>
          <w:color w:val="auto"/>
          <w:sz w:val="24"/>
          <w:szCs w:val="22"/>
        </w:rPr>
      </w:pPr>
      <w:r>
        <w:rPr>
          <w:rFonts w:hint="eastAsia"/>
          <w:color w:val="auto"/>
          <w:sz w:val="24"/>
          <w:szCs w:val="22"/>
        </w:rPr>
        <w:t>考虑</w:t>
      </w:r>
      <w:r>
        <w:rPr>
          <w:color w:val="auto"/>
          <w:sz w:val="24"/>
          <w:szCs w:val="22"/>
        </w:rPr>
        <w:t>1</w:t>
      </w:r>
      <w:r>
        <w:rPr>
          <w:rFonts w:hint="eastAsia"/>
          <w:color w:val="auto"/>
          <w:sz w:val="24"/>
          <w:szCs w:val="22"/>
        </w:rPr>
        <w:t>台推土机、</w:t>
      </w:r>
      <w:r>
        <w:rPr>
          <w:color w:val="auto"/>
          <w:sz w:val="24"/>
          <w:szCs w:val="22"/>
        </w:rPr>
        <w:t>1</w:t>
      </w:r>
      <w:r>
        <w:rPr>
          <w:rFonts w:hint="eastAsia"/>
          <w:color w:val="auto"/>
          <w:sz w:val="24"/>
          <w:szCs w:val="22"/>
        </w:rPr>
        <w:t>台压实机、1台铲车、1辆自卸车和</w:t>
      </w:r>
      <w:r>
        <w:rPr>
          <w:color w:val="auto"/>
          <w:sz w:val="24"/>
          <w:szCs w:val="22"/>
        </w:rPr>
        <w:t>1</w:t>
      </w:r>
      <w:r>
        <w:rPr>
          <w:rFonts w:hint="eastAsia"/>
          <w:color w:val="auto"/>
          <w:sz w:val="24"/>
          <w:szCs w:val="22"/>
        </w:rPr>
        <w:t>台洒水车同时作业时，作业机械在回填</w:t>
      </w:r>
      <w:r>
        <w:rPr>
          <w:color w:val="auto"/>
          <w:sz w:val="24"/>
          <w:szCs w:val="22"/>
        </w:rPr>
        <w:t>的平均行车距离为</w:t>
      </w:r>
      <w:r>
        <w:rPr>
          <w:rFonts w:hint="eastAsia"/>
          <w:color w:val="auto"/>
          <w:sz w:val="24"/>
          <w:szCs w:val="22"/>
        </w:rPr>
        <w:t>0</w:t>
      </w:r>
      <w:r>
        <w:rPr>
          <w:color w:val="auto"/>
          <w:sz w:val="24"/>
          <w:szCs w:val="22"/>
        </w:rPr>
        <w:t>.2km，车辆耗油量为0.02L/辆（按平均车辆油耗每百公里10L计），耗</w:t>
      </w:r>
      <w:r>
        <w:rPr>
          <w:rFonts w:hint="eastAsia"/>
          <w:color w:val="auto"/>
          <w:sz w:val="24"/>
          <w:szCs w:val="22"/>
        </w:rPr>
        <w:t>柴</w:t>
      </w:r>
      <w:r>
        <w:rPr>
          <w:color w:val="auto"/>
          <w:sz w:val="24"/>
          <w:szCs w:val="22"/>
        </w:rPr>
        <w:t>油量</w:t>
      </w:r>
      <w:r>
        <w:rPr>
          <w:rFonts w:hint="eastAsia"/>
          <w:color w:val="auto"/>
          <w:sz w:val="24"/>
          <w:szCs w:val="22"/>
        </w:rPr>
        <w:t>0</w:t>
      </w:r>
      <w:r>
        <w:rPr>
          <w:color w:val="auto"/>
          <w:sz w:val="24"/>
          <w:szCs w:val="22"/>
        </w:rPr>
        <w:t>.1L/d</w:t>
      </w:r>
      <w:r>
        <w:rPr>
          <w:rFonts w:hint="eastAsia"/>
          <w:color w:val="auto"/>
          <w:sz w:val="24"/>
          <w:szCs w:val="22"/>
        </w:rPr>
        <w:t>，柴</w:t>
      </w:r>
      <w:r>
        <w:rPr>
          <w:color w:val="auto"/>
          <w:sz w:val="24"/>
          <w:szCs w:val="22"/>
        </w:rPr>
        <w:t>油的密度为0.83kg/L</w:t>
      </w:r>
      <w:r>
        <w:rPr>
          <w:rFonts w:hint="eastAsia"/>
          <w:color w:val="auto"/>
          <w:sz w:val="24"/>
          <w:szCs w:val="22"/>
        </w:rPr>
        <w:t>，则</w:t>
      </w:r>
      <w:r>
        <w:rPr>
          <w:color w:val="auto"/>
          <w:sz w:val="24"/>
          <w:szCs w:val="22"/>
        </w:rPr>
        <w:t>车辆耗油量为</w:t>
      </w:r>
      <w:r>
        <w:rPr>
          <w:rFonts w:hint="eastAsia"/>
          <w:color w:val="auto"/>
          <w:sz w:val="24"/>
          <w:szCs w:val="22"/>
        </w:rPr>
        <w:t>柴</w:t>
      </w:r>
      <w:r>
        <w:rPr>
          <w:color w:val="auto"/>
          <w:sz w:val="24"/>
          <w:szCs w:val="22"/>
        </w:rPr>
        <w:t>油0.066kg/d</w:t>
      </w:r>
      <w:r>
        <w:rPr>
          <w:rFonts w:hint="eastAsia"/>
          <w:color w:val="auto"/>
          <w:sz w:val="24"/>
          <w:szCs w:val="22"/>
        </w:rPr>
        <w:t>，继而得出</w:t>
      </w:r>
      <w:r>
        <w:rPr>
          <w:color w:val="auto"/>
          <w:sz w:val="24"/>
          <w:szCs w:val="22"/>
        </w:rPr>
        <w:t>大气污染物</w:t>
      </w:r>
      <w:r>
        <w:rPr>
          <w:rFonts w:hint="eastAsia"/>
          <w:color w:val="auto"/>
          <w:sz w:val="24"/>
          <w:szCs w:val="22"/>
        </w:rPr>
        <w:t>排放量为：</w:t>
      </w:r>
      <w:r>
        <w:rPr>
          <w:color w:val="auto"/>
          <w:sz w:val="24"/>
          <w:szCs w:val="22"/>
        </w:rPr>
        <w:t>CO 0.0019</w:t>
      </w:r>
      <w:r>
        <w:rPr>
          <w:rFonts w:hint="eastAsia"/>
          <w:color w:val="auto"/>
          <w:sz w:val="24"/>
          <w:szCs w:val="22"/>
        </w:rPr>
        <w:t>k</w:t>
      </w:r>
      <w:r>
        <w:rPr>
          <w:color w:val="auto"/>
          <w:sz w:val="24"/>
          <w:szCs w:val="22"/>
        </w:rPr>
        <w:t>g/</w:t>
      </w:r>
      <w:r>
        <w:rPr>
          <w:rFonts w:hint="eastAsia"/>
          <w:color w:val="auto"/>
          <w:sz w:val="24"/>
          <w:szCs w:val="22"/>
        </w:rPr>
        <w:t>d</w:t>
      </w:r>
      <w:r>
        <w:rPr>
          <w:color w:val="auto"/>
          <w:sz w:val="24"/>
          <w:szCs w:val="22"/>
        </w:rPr>
        <w:t>，HC 0.00064</w:t>
      </w:r>
      <w:r>
        <w:rPr>
          <w:rFonts w:hint="eastAsia"/>
          <w:color w:val="auto"/>
          <w:sz w:val="24"/>
          <w:szCs w:val="22"/>
        </w:rPr>
        <w:t>k</w:t>
      </w:r>
      <w:r>
        <w:rPr>
          <w:color w:val="auto"/>
          <w:sz w:val="24"/>
          <w:szCs w:val="22"/>
        </w:rPr>
        <w:t>g/d，NOx 0.0027</w:t>
      </w:r>
      <w:r>
        <w:rPr>
          <w:rFonts w:hint="eastAsia"/>
          <w:color w:val="auto"/>
          <w:sz w:val="24"/>
          <w:szCs w:val="22"/>
        </w:rPr>
        <w:t>k</w:t>
      </w:r>
      <w:r>
        <w:rPr>
          <w:color w:val="auto"/>
          <w:sz w:val="24"/>
          <w:szCs w:val="22"/>
        </w:rPr>
        <w:t>g/d。每天工作小时数按</w:t>
      </w:r>
      <w:r>
        <w:rPr>
          <w:rFonts w:hint="eastAsia"/>
          <w:color w:val="auto"/>
          <w:sz w:val="24"/>
          <w:szCs w:val="22"/>
          <w:lang w:val="en-US" w:eastAsia="zh-CN"/>
        </w:rPr>
        <w:t>12</w:t>
      </w:r>
      <w:r>
        <w:rPr>
          <w:color w:val="auto"/>
          <w:sz w:val="24"/>
          <w:szCs w:val="22"/>
        </w:rPr>
        <w:t>小时计，年工作</w:t>
      </w:r>
      <w:r>
        <w:rPr>
          <w:rFonts w:hint="eastAsia"/>
          <w:color w:val="auto"/>
          <w:sz w:val="24"/>
          <w:szCs w:val="22"/>
        </w:rPr>
        <w:t>天数按</w:t>
      </w:r>
      <w:r>
        <w:rPr>
          <w:rFonts w:hint="eastAsia"/>
          <w:color w:val="auto"/>
          <w:sz w:val="24"/>
          <w:szCs w:val="22"/>
          <w:lang w:val="en-US" w:eastAsia="zh-CN"/>
        </w:rPr>
        <w:t>363</w:t>
      </w:r>
      <w:r>
        <w:rPr>
          <w:color w:val="auto"/>
          <w:sz w:val="24"/>
          <w:szCs w:val="22"/>
        </w:rPr>
        <w:t>天计，则</w:t>
      </w:r>
      <w:r>
        <w:rPr>
          <w:rFonts w:hint="eastAsia"/>
          <w:color w:val="auto"/>
          <w:sz w:val="24"/>
          <w:szCs w:val="22"/>
        </w:rPr>
        <w:t>作业机械</w:t>
      </w:r>
      <w:r>
        <w:rPr>
          <w:color w:val="auto"/>
          <w:sz w:val="24"/>
          <w:szCs w:val="22"/>
        </w:rPr>
        <w:t>年产生的污染物排放量为：</w:t>
      </w:r>
      <w:bookmarkStart w:id="101" w:name="_Hlk69974169"/>
      <w:r>
        <w:rPr>
          <w:color w:val="auto"/>
          <w:sz w:val="24"/>
          <w:szCs w:val="22"/>
        </w:rPr>
        <w:t>CO 0.000</w:t>
      </w:r>
      <w:r>
        <w:rPr>
          <w:rFonts w:hint="eastAsia"/>
          <w:color w:val="auto"/>
          <w:sz w:val="24"/>
          <w:szCs w:val="22"/>
          <w:lang w:val="en-US" w:eastAsia="zh-CN"/>
        </w:rPr>
        <w:t>1</w:t>
      </w:r>
      <w:r>
        <w:rPr>
          <w:rFonts w:hint="eastAsia"/>
          <w:color w:val="auto"/>
          <w:sz w:val="24"/>
          <w:szCs w:val="22"/>
        </w:rPr>
        <w:t>kg/h</w:t>
      </w:r>
      <w:r>
        <w:rPr>
          <w:color w:val="auto"/>
          <w:sz w:val="24"/>
          <w:szCs w:val="22"/>
        </w:rPr>
        <w:t>，HC 0.0000</w:t>
      </w:r>
      <w:r>
        <w:rPr>
          <w:rFonts w:hint="eastAsia"/>
          <w:color w:val="auto"/>
          <w:sz w:val="24"/>
          <w:szCs w:val="22"/>
          <w:lang w:val="en-US" w:eastAsia="zh-CN"/>
        </w:rPr>
        <w:t>5</w:t>
      </w:r>
      <w:r>
        <w:rPr>
          <w:rFonts w:hint="eastAsia"/>
          <w:color w:val="auto"/>
          <w:sz w:val="24"/>
          <w:szCs w:val="22"/>
        </w:rPr>
        <w:t>kg/h</w:t>
      </w:r>
      <w:r>
        <w:rPr>
          <w:color w:val="auto"/>
          <w:sz w:val="24"/>
          <w:szCs w:val="22"/>
        </w:rPr>
        <w:t>，NOx 0.000</w:t>
      </w:r>
      <w:r>
        <w:rPr>
          <w:rFonts w:hint="eastAsia"/>
          <w:color w:val="auto"/>
          <w:sz w:val="24"/>
          <w:szCs w:val="22"/>
          <w:lang w:val="en-US" w:eastAsia="zh-CN"/>
        </w:rPr>
        <w:t>2</w:t>
      </w:r>
      <w:r>
        <w:rPr>
          <w:rFonts w:hint="eastAsia"/>
          <w:color w:val="auto"/>
          <w:sz w:val="24"/>
          <w:szCs w:val="22"/>
        </w:rPr>
        <w:t>kg/h；</w:t>
      </w:r>
      <w:r>
        <w:rPr>
          <w:color w:val="auto"/>
          <w:sz w:val="24"/>
          <w:szCs w:val="22"/>
        </w:rPr>
        <w:t>CO 0.000</w:t>
      </w:r>
      <w:r>
        <w:rPr>
          <w:rFonts w:hint="eastAsia"/>
          <w:color w:val="auto"/>
          <w:sz w:val="24"/>
          <w:szCs w:val="22"/>
          <w:lang w:val="en-US" w:eastAsia="zh-CN"/>
        </w:rPr>
        <w:t>7</w:t>
      </w:r>
      <w:r>
        <w:rPr>
          <w:color w:val="auto"/>
          <w:sz w:val="24"/>
          <w:szCs w:val="22"/>
        </w:rPr>
        <w:t>t</w:t>
      </w:r>
      <w:r>
        <w:rPr>
          <w:rFonts w:hint="eastAsia"/>
          <w:color w:val="auto"/>
          <w:sz w:val="24"/>
          <w:szCs w:val="22"/>
          <w:lang w:val="en-US" w:eastAsia="zh-CN"/>
        </w:rPr>
        <w:t>/a</w:t>
      </w:r>
      <w:r>
        <w:rPr>
          <w:color w:val="auto"/>
          <w:sz w:val="24"/>
          <w:szCs w:val="22"/>
        </w:rPr>
        <w:t>，HC 0.000</w:t>
      </w:r>
      <w:r>
        <w:rPr>
          <w:rFonts w:hint="eastAsia"/>
          <w:color w:val="auto"/>
          <w:sz w:val="24"/>
          <w:szCs w:val="22"/>
          <w:lang w:val="en-US" w:eastAsia="zh-CN"/>
        </w:rPr>
        <w:t>2</w:t>
      </w:r>
      <w:r>
        <w:rPr>
          <w:color w:val="auto"/>
          <w:sz w:val="24"/>
          <w:szCs w:val="22"/>
        </w:rPr>
        <w:t>3t，NOx 0.00</w:t>
      </w:r>
      <w:r>
        <w:rPr>
          <w:rFonts w:hint="eastAsia"/>
          <w:color w:val="auto"/>
          <w:sz w:val="24"/>
          <w:szCs w:val="22"/>
          <w:lang w:val="en-US" w:eastAsia="zh-CN"/>
        </w:rPr>
        <w:t>1</w:t>
      </w:r>
      <w:r>
        <w:rPr>
          <w:color w:val="auto"/>
          <w:sz w:val="24"/>
          <w:szCs w:val="22"/>
        </w:rPr>
        <w:t>t</w:t>
      </w:r>
      <w:bookmarkEnd w:id="101"/>
      <w:r>
        <w:rPr>
          <w:color w:val="auto"/>
          <w:sz w:val="24"/>
          <w:szCs w:val="22"/>
        </w:rPr>
        <w:t>。</w:t>
      </w:r>
    </w:p>
    <w:p w14:paraId="63E87057">
      <w:pPr>
        <w:spacing w:line="500" w:lineRule="exact"/>
        <w:ind w:firstLine="480" w:firstLineChars="200"/>
        <w:rPr>
          <w:color w:val="auto"/>
          <w:sz w:val="24"/>
          <w:szCs w:val="22"/>
        </w:rPr>
      </w:pPr>
      <w:r>
        <w:rPr>
          <w:rFonts w:hint="eastAsia"/>
          <w:color w:val="auto"/>
          <w:sz w:val="24"/>
          <w:szCs w:val="22"/>
        </w:rPr>
        <w:t>（</w:t>
      </w:r>
      <w:r>
        <w:rPr>
          <w:color w:val="auto"/>
          <w:sz w:val="24"/>
          <w:szCs w:val="22"/>
        </w:rPr>
        <w:t>2）</w:t>
      </w:r>
      <w:r>
        <w:rPr>
          <w:rFonts w:hint="eastAsia"/>
          <w:color w:val="auto"/>
          <w:sz w:val="24"/>
          <w:szCs w:val="22"/>
        </w:rPr>
        <w:t>回填作业过程</w:t>
      </w:r>
      <w:r>
        <w:rPr>
          <w:color w:val="auto"/>
          <w:sz w:val="24"/>
          <w:szCs w:val="22"/>
        </w:rPr>
        <w:t>扬尘</w:t>
      </w:r>
    </w:p>
    <w:p w14:paraId="54214434">
      <w:pPr>
        <w:spacing w:line="500" w:lineRule="exact"/>
        <w:ind w:firstLine="480" w:firstLineChars="200"/>
        <w:rPr>
          <w:color w:val="auto"/>
          <w:sz w:val="24"/>
        </w:rPr>
      </w:pPr>
      <w:r>
        <w:rPr>
          <w:color w:val="auto"/>
          <w:sz w:val="24"/>
          <w:szCs w:val="22"/>
        </w:rPr>
        <w:fldChar w:fldCharType="begin"/>
      </w:r>
      <w:r>
        <w:rPr>
          <w:color w:val="auto"/>
          <w:sz w:val="24"/>
          <w:szCs w:val="22"/>
        </w:rPr>
        <w:instrText xml:space="preserve"> = 1 \* GB3 </w:instrText>
      </w:r>
      <w:r>
        <w:rPr>
          <w:color w:val="auto"/>
          <w:sz w:val="24"/>
          <w:szCs w:val="22"/>
        </w:rPr>
        <w:fldChar w:fldCharType="separate"/>
      </w:r>
      <w:r>
        <w:rPr>
          <w:rFonts w:hint="eastAsia" w:ascii="宋体" w:hAnsi="宋体" w:cs="宋体"/>
          <w:color w:val="auto"/>
          <w:sz w:val="24"/>
          <w:szCs w:val="22"/>
        </w:rPr>
        <w:t>①</w:t>
      </w:r>
      <w:r>
        <w:rPr>
          <w:color w:val="auto"/>
          <w:sz w:val="24"/>
          <w:szCs w:val="22"/>
        </w:rPr>
        <w:fldChar w:fldCharType="end"/>
      </w:r>
      <w:r>
        <w:rPr>
          <w:color w:val="auto"/>
          <w:sz w:val="24"/>
          <w:szCs w:val="22"/>
        </w:rPr>
        <w:t>堆场扬尘</w:t>
      </w:r>
    </w:p>
    <w:p w14:paraId="4AED4B96">
      <w:pPr>
        <w:spacing w:line="500" w:lineRule="exact"/>
        <w:ind w:firstLine="480" w:firstLineChars="200"/>
        <w:rPr>
          <w:color w:val="auto"/>
          <w:sz w:val="24"/>
          <w:szCs w:val="22"/>
        </w:rPr>
      </w:pPr>
      <w:r>
        <w:rPr>
          <w:color w:val="auto"/>
          <w:sz w:val="24"/>
          <w:szCs w:val="22"/>
        </w:rPr>
        <w:t>根据《扬尘源颗粒物排放清单编制技术指南》（试行），堆场的扬尘源排放量是装卸、运输引起的扬尘与堆积存放期间风蚀的加和，计算公式如下：</w:t>
      </w:r>
    </w:p>
    <w:p w14:paraId="3B63F05B">
      <w:pPr>
        <w:ind w:firstLine="480" w:firstLineChars="200"/>
        <w:jc w:val="center"/>
        <w:rPr>
          <w:color w:val="auto"/>
          <w:sz w:val="24"/>
          <w:szCs w:val="22"/>
        </w:rPr>
      </w:pPr>
      <w:r>
        <w:rPr>
          <w:color w:val="auto"/>
          <w:sz w:val="24"/>
          <w:szCs w:val="22"/>
        </w:rPr>
        <w:drawing>
          <wp:inline distT="0" distB="0" distL="0" distR="0">
            <wp:extent cx="3476625" cy="533400"/>
            <wp:effectExtent l="0" t="0" r="9525" b="0"/>
            <wp:docPr id="1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3476625" cy="533400"/>
                    </a:xfrm>
                    <a:prstGeom prst="rect">
                      <a:avLst/>
                    </a:prstGeom>
                    <a:noFill/>
                    <a:ln>
                      <a:noFill/>
                    </a:ln>
                    <a:effectLst/>
                  </pic:spPr>
                </pic:pic>
              </a:graphicData>
            </a:graphic>
          </wp:inline>
        </w:drawing>
      </w:r>
    </w:p>
    <w:p w14:paraId="735F7F8F">
      <w:pPr>
        <w:spacing w:line="500" w:lineRule="exact"/>
        <w:ind w:firstLine="480" w:firstLineChars="200"/>
        <w:rPr>
          <w:color w:val="auto"/>
          <w:sz w:val="24"/>
          <w:szCs w:val="22"/>
        </w:rPr>
      </w:pPr>
      <w:r>
        <w:rPr>
          <w:color w:val="auto"/>
          <w:sz w:val="24"/>
          <w:szCs w:val="22"/>
        </w:rPr>
        <w:t>式中：W</w:t>
      </w:r>
      <w:r>
        <w:rPr>
          <w:color w:val="auto"/>
          <w:sz w:val="24"/>
          <w:szCs w:val="22"/>
          <w:vertAlign w:val="subscript"/>
        </w:rPr>
        <w:t>Y</w:t>
      </w:r>
      <w:r>
        <w:rPr>
          <w:color w:val="auto"/>
          <w:sz w:val="24"/>
          <w:szCs w:val="22"/>
        </w:rPr>
        <w:t>——堆场扬尘源中颗粒物总排放量，t/a；</w:t>
      </w:r>
    </w:p>
    <w:p w14:paraId="2979D65F">
      <w:pPr>
        <w:spacing w:line="500" w:lineRule="exact"/>
        <w:ind w:firstLine="480" w:firstLineChars="200"/>
        <w:rPr>
          <w:color w:val="auto"/>
          <w:sz w:val="24"/>
          <w:szCs w:val="22"/>
        </w:rPr>
      </w:pPr>
      <w:r>
        <w:rPr>
          <w:color w:val="auto"/>
          <w:sz w:val="24"/>
          <w:szCs w:val="22"/>
        </w:rPr>
        <w:t>E</w:t>
      </w:r>
      <w:r>
        <w:rPr>
          <w:color w:val="auto"/>
          <w:sz w:val="24"/>
          <w:szCs w:val="22"/>
          <w:vertAlign w:val="subscript"/>
        </w:rPr>
        <w:t>h</w:t>
      </w:r>
      <w:r>
        <w:rPr>
          <w:color w:val="auto"/>
          <w:sz w:val="24"/>
          <w:szCs w:val="22"/>
        </w:rPr>
        <w:t>——堆场装卸运输过程的扬尘颗粒物排放系数，kg/t；</w:t>
      </w:r>
    </w:p>
    <w:p w14:paraId="5245940B">
      <w:pPr>
        <w:spacing w:line="500" w:lineRule="exact"/>
        <w:ind w:firstLine="480" w:firstLineChars="200"/>
        <w:rPr>
          <w:color w:val="auto"/>
          <w:sz w:val="24"/>
          <w:szCs w:val="22"/>
        </w:rPr>
      </w:pPr>
      <w:r>
        <w:rPr>
          <w:color w:val="auto"/>
          <w:sz w:val="24"/>
          <w:szCs w:val="22"/>
        </w:rPr>
        <w:t>m——每年料堆物料装卸总次数，取</w:t>
      </w:r>
      <w:r>
        <w:rPr>
          <w:rFonts w:hint="eastAsia"/>
          <w:color w:val="auto"/>
          <w:sz w:val="24"/>
          <w:szCs w:val="22"/>
          <w:lang w:val="en-US" w:eastAsia="zh-CN"/>
        </w:rPr>
        <w:t>2000</w:t>
      </w:r>
      <w:r>
        <w:rPr>
          <w:color w:val="auto"/>
          <w:sz w:val="24"/>
          <w:szCs w:val="22"/>
        </w:rPr>
        <w:t>；</w:t>
      </w:r>
    </w:p>
    <w:p w14:paraId="24BF6A62">
      <w:pPr>
        <w:spacing w:line="500" w:lineRule="exact"/>
        <w:ind w:firstLine="480" w:firstLineChars="200"/>
        <w:rPr>
          <w:color w:val="auto"/>
          <w:sz w:val="24"/>
          <w:szCs w:val="22"/>
        </w:rPr>
      </w:pPr>
      <w:r>
        <w:rPr>
          <w:color w:val="auto"/>
          <w:sz w:val="24"/>
          <w:szCs w:val="22"/>
        </w:rPr>
        <w:t>G</w:t>
      </w:r>
      <w:r>
        <w:rPr>
          <w:color w:val="auto"/>
          <w:sz w:val="24"/>
          <w:szCs w:val="22"/>
          <w:vertAlign w:val="subscript"/>
        </w:rPr>
        <w:t>Yi</w:t>
      </w:r>
      <w:r>
        <w:rPr>
          <w:color w:val="auto"/>
          <w:sz w:val="24"/>
          <w:szCs w:val="22"/>
        </w:rPr>
        <w:t>——第i次装卸过程的物料装卸量，取50t；</w:t>
      </w:r>
    </w:p>
    <w:p w14:paraId="2103645C">
      <w:pPr>
        <w:spacing w:line="500" w:lineRule="exact"/>
        <w:ind w:firstLine="480" w:firstLineChars="200"/>
        <w:rPr>
          <w:color w:val="auto"/>
          <w:sz w:val="24"/>
          <w:szCs w:val="22"/>
        </w:rPr>
      </w:pPr>
      <w:r>
        <w:rPr>
          <w:color w:val="auto"/>
          <w:sz w:val="24"/>
          <w:szCs w:val="22"/>
        </w:rPr>
        <w:t>E</w:t>
      </w:r>
      <w:r>
        <w:rPr>
          <w:color w:val="auto"/>
          <w:sz w:val="24"/>
          <w:szCs w:val="22"/>
          <w:vertAlign w:val="subscript"/>
        </w:rPr>
        <w:t>w</w:t>
      </w:r>
      <w:r>
        <w:rPr>
          <w:color w:val="auto"/>
          <w:sz w:val="24"/>
          <w:szCs w:val="22"/>
        </w:rPr>
        <w:t>——料堆受到风蚀作用的颗粒物排放系数，kg/m</w:t>
      </w:r>
      <w:r>
        <w:rPr>
          <w:color w:val="auto"/>
          <w:sz w:val="24"/>
          <w:szCs w:val="22"/>
          <w:vertAlign w:val="superscript"/>
        </w:rPr>
        <w:t>2</w:t>
      </w:r>
      <w:r>
        <w:rPr>
          <w:color w:val="auto"/>
          <w:sz w:val="24"/>
          <w:szCs w:val="22"/>
        </w:rPr>
        <w:t>；</w:t>
      </w:r>
    </w:p>
    <w:p w14:paraId="768CE517">
      <w:pPr>
        <w:spacing w:line="500" w:lineRule="exact"/>
        <w:ind w:firstLine="480" w:firstLineChars="200"/>
        <w:rPr>
          <w:color w:val="auto"/>
          <w:sz w:val="24"/>
          <w:szCs w:val="22"/>
        </w:rPr>
      </w:pPr>
      <w:r>
        <w:rPr>
          <w:color w:val="auto"/>
          <w:sz w:val="24"/>
          <w:szCs w:val="22"/>
        </w:rPr>
        <w:t>A</w:t>
      </w:r>
      <w:r>
        <w:rPr>
          <w:color w:val="auto"/>
          <w:sz w:val="24"/>
          <w:szCs w:val="22"/>
          <w:vertAlign w:val="subscript"/>
        </w:rPr>
        <w:t>Y</w:t>
      </w:r>
      <w:r>
        <w:rPr>
          <w:color w:val="auto"/>
          <w:sz w:val="24"/>
          <w:szCs w:val="22"/>
        </w:rPr>
        <w:t>——料堆表面积，本项目堆场的表面积取</w:t>
      </w:r>
      <w:r>
        <w:rPr>
          <w:rFonts w:hint="eastAsia"/>
          <w:color w:val="auto"/>
          <w:sz w:val="24"/>
          <w:szCs w:val="22"/>
          <w:lang w:val="en-US" w:eastAsia="zh-CN"/>
        </w:rPr>
        <w:t>400</w:t>
      </w:r>
      <w:r>
        <w:rPr>
          <w:color w:val="auto"/>
          <w:sz w:val="24"/>
          <w:szCs w:val="22"/>
        </w:rPr>
        <w:t>m</w:t>
      </w:r>
      <w:r>
        <w:rPr>
          <w:color w:val="auto"/>
          <w:sz w:val="24"/>
          <w:szCs w:val="22"/>
          <w:vertAlign w:val="superscript"/>
        </w:rPr>
        <w:t>2</w:t>
      </w:r>
      <w:r>
        <w:rPr>
          <w:color w:val="auto"/>
          <w:sz w:val="24"/>
          <w:szCs w:val="22"/>
        </w:rPr>
        <w:t>；</w:t>
      </w:r>
    </w:p>
    <w:p w14:paraId="192C69D8">
      <w:pPr>
        <w:spacing w:line="500" w:lineRule="exact"/>
        <w:ind w:firstLine="480" w:firstLineChars="200"/>
        <w:rPr>
          <w:color w:val="auto"/>
          <w:sz w:val="24"/>
          <w:szCs w:val="22"/>
        </w:rPr>
      </w:pPr>
      <w:r>
        <w:rPr>
          <w:color w:val="auto"/>
          <w:sz w:val="24"/>
          <w:szCs w:val="22"/>
        </w:rPr>
        <w:t>装卸、运输物料过程扬尘排放系数的估算：</w:t>
      </w:r>
    </w:p>
    <w:p w14:paraId="25C4C15C">
      <w:pPr>
        <w:ind w:firstLine="480" w:firstLineChars="200"/>
        <w:jc w:val="center"/>
        <w:rPr>
          <w:color w:val="auto"/>
          <w:sz w:val="24"/>
          <w:szCs w:val="22"/>
        </w:rPr>
      </w:pPr>
      <w:r>
        <w:rPr>
          <w:color w:val="auto"/>
          <w:sz w:val="24"/>
          <w:szCs w:val="22"/>
        </w:rPr>
        <w:drawing>
          <wp:inline distT="0" distB="0" distL="0" distR="0">
            <wp:extent cx="3438525" cy="1076325"/>
            <wp:effectExtent l="0" t="0" r="9525" b="9525"/>
            <wp:docPr id="1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5"/>
                    <pic:cNvPicPr>
                      <a:picLocks noChangeAspect="1" noChangeArrowheads="1"/>
                    </pic:cNvPicPr>
                  </pic:nvPicPr>
                  <pic:blipFill>
                    <a:blip r:embed="rId25">
                      <a:lum bright="12000" contrast="12000"/>
                      <a:extLst>
                        <a:ext uri="{28A0092B-C50C-407E-A947-70E740481C1C}">
                          <a14:useLocalDpi xmlns:a14="http://schemas.microsoft.com/office/drawing/2010/main" val="0"/>
                        </a:ext>
                      </a:extLst>
                    </a:blip>
                    <a:srcRect/>
                    <a:stretch>
                      <a:fillRect/>
                    </a:stretch>
                  </pic:blipFill>
                  <pic:spPr>
                    <a:xfrm>
                      <a:off x="0" y="0"/>
                      <a:ext cx="3438525" cy="1076325"/>
                    </a:xfrm>
                    <a:prstGeom prst="rect">
                      <a:avLst/>
                    </a:prstGeom>
                    <a:noFill/>
                    <a:ln>
                      <a:noFill/>
                    </a:ln>
                    <a:effectLst/>
                  </pic:spPr>
                </pic:pic>
              </a:graphicData>
            </a:graphic>
          </wp:inline>
        </w:drawing>
      </w:r>
    </w:p>
    <w:p w14:paraId="7A09BA03">
      <w:pPr>
        <w:spacing w:line="500" w:lineRule="exact"/>
        <w:ind w:firstLine="480" w:firstLineChars="200"/>
        <w:rPr>
          <w:color w:val="auto"/>
          <w:sz w:val="24"/>
          <w:szCs w:val="22"/>
        </w:rPr>
      </w:pPr>
      <w:r>
        <w:rPr>
          <w:color w:val="auto"/>
          <w:sz w:val="24"/>
          <w:szCs w:val="22"/>
        </w:rPr>
        <w:t>式中：E</w:t>
      </w:r>
      <w:r>
        <w:rPr>
          <w:color w:val="auto"/>
          <w:sz w:val="24"/>
          <w:szCs w:val="22"/>
          <w:vertAlign w:val="subscript"/>
        </w:rPr>
        <w:t>h</w:t>
      </w:r>
      <w:r>
        <w:rPr>
          <w:color w:val="auto"/>
          <w:sz w:val="24"/>
          <w:szCs w:val="22"/>
        </w:rPr>
        <w:t>为堆场装卸扬尘的排放系数，kg/t。</w:t>
      </w:r>
    </w:p>
    <w:p w14:paraId="1D37A3DA">
      <w:pPr>
        <w:spacing w:line="500" w:lineRule="exact"/>
        <w:ind w:firstLine="480" w:firstLineChars="200"/>
        <w:rPr>
          <w:color w:val="auto"/>
          <w:sz w:val="24"/>
          <w:szCs w:val="22"/>
        </w:rPr>
      </w:pPr>
      <w:r>
        <w:rPr>
          <w:color w:val="auto"/>
          <w:sz w:val="24"/>
          <w:szCs w:val="22"/>
        </w:rPr>
        <w:t>k</w:t>
      </w:r>
      <w:r>
        <w:rPr>
          <w:color w:val="auto"/>
          <w:sz w:val="24"/>
          <w:szCs w:val="22"/>
          <w:vertAlign w:val="subscript"/>
        </w:rPr>
        <w:t>i</w:t>
      </w:r>
      <w:r>
        <w:rPr>
          <w:color w:val="auto"/>
          <w:sz w:val="24"/>
          <w:szCs w:val="22"/>
        </w:rPr>
        <w:t>为物料的粒度乘数，见表3-3-3。</w:t>
      </w:r>
    </w:p>
    <w:p w14:paraId="3FDBCF56">
      <w:pPr>
        <w:spacing w:line="500" w:lineRule="exact"/>
        <w:ind w:firstLine="480" w:firstLineChars="200"/>
        <w:rPr>
          <w:color w:val="auto"/>
          <w:sz w:val="24"/>
          <w:szCs w:val="22"/>
        </w:rPr>
      </w:pPr>
      <w:r>
        <w:rPr>
          <w:color w:val="auto"/>
          <w:sz w:val="24"/>
          <w:szCs w:val="22"/>
        </w:rPr>
        <w:t>u为平均风速</w:t>
      </w:r>
      <w:r>
        <w:rPr>
          <w:bCs/>
          <w:color w:val="auto"/>
          <w:sz w:val="24"/>
          <w:szCs w:val="22"/>
        </w:rPr>
        <w:t>，取3.1m/s</w:t>
      </w:r>
      <w:r>
        <w:rPr>
          <w:color w:val="auto"/>
          <w:sz w:val="24"/>
          <w:szCs w:val="22"/>
        </w:rPr>
        <w:t>。</w:t>
      </w:r>
    </w:p>
    <w:p w14:paraId="4F5431EA">
      <w:pPr>
        <w:spacing w:line="500" w:lineRule="exact"/>
        <w:ind w:firstLine="480" w:firstLineChars="200"/>
        <w:rPr>
          <w:color w:val="auto"/>
          <w:sz w:val="24"/>
          <w:szCs w:val="22"/>
        </w:rPr>
      </w:pPr>
      <w:r>
        <w:rPr>
          <w:color w:val="auto"/>
          <w:sz w:val="24"/>
          <w:szCs w:val="22"/>
        </w:rPr>
        <w:t>M为物料含水率，%，取20%。</w:t>
      </w:r>
    </w:p>
    <w:p w14:paraId="4621C72D">
      <w:pPr>
        <w:spacing w:line="500" w:lineRule="exact"/>
        <w:ind w:firstLine="480" w:firstLineChars="200"/>
        <w:rPr>
          <w:color w:val="auto"/>
          <w:sz w:val="24"/>
          <w:szCs w:val="22"/>
        </w:rPr>
      </w:pPr>
      <w:r>
        <w:rPr>
          <w:color w:val="auto"/>
          <w:sz w:val="24"/>
          <w:szCs w:val="22"/>
        </w:rPr>
        <w:t>η为污染控制技术对扬尘的去除效率，%，表3-3-4给出了各控制措施的效率。多种措施同时开展的，取控制效率最大值，本项目取74%。</w:t>
      </w:r>
    </w:p>
    <w:p w14:paraId="3E063396">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表3-3-3装卸过程中产生的颗粒物粒度乘数</w:t>
      </w:r>
    </w:p>
    <w:tbl>
      <w:tblPr>
        <w:tblStyle w:val="77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145"/>
        <w:gridCol w:w="4161"/>
      </w:tblGrid>
      <w:tr w14:paraId="59FEBE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95" w:type="pct"/>
            <w:vAlign w:val="center"/>
          </w:tcPr>
          <w:p w14:paraId="22784717">
            <w:pPr>
              <w:jc w:val="center"/>
              <w:rPr>
                <w:rFonts w:ascii="Times New Roman" w:hAnsi="Times New Roman"/>
                <w:color w:val="auto"/>
                <w:szCs w:val="22"/>
                <w:lang w:val="zh-CN"/>
              </w:rPr>
            </w:pPr>
            <w:r>
              <w:rPr>
                <w:rFonts w:ascii="Times New Roman" w:hAnsi="Times New Roman"/>
                <w:color w:val="auto"/>
                <w:szCs w:val="22"/>
                <w:lang w:val="zh-CN"/>
              </w:rPr>
              <w:t>粒径</w:t>
            </w:r>
          </w:p>
        </w:tc>
        <w:tc>
          <w:tcPr>
            <w:tcW w:w="2505" w:type="pct"/>
            <w:vAlign w:val="center"/>
          </w:tcPr>
          <w:p w14:paraId="3E09B731">
            <w:pPr>
              <w:jc w:val="center"/>
              <w:rPr>
                <w:rFonts w:ascii="Times New Roman" w:hAnsi="Times New Roman"/>
                <w:color w:val="auto"/>
                <w:szCs w:val="22"/>
                <w:lang w:val="zh-CN"/>
              </w:rPr>
            </w:pPr>
            <w:r>
              <w:rPr>
                <w:rFonts w:ascii="Times New Roman" w:hAnsi="Times New Roman"/>
                <w:color w:val="auto"/>
                <w:szCs w:val="22"/>
                <w:lang w:val="zh-CN"/>
              </w:rPr>
              <w:t>TSP</w:t>
            </w:r>
          </w:p>
        </w:tc>
      </w:tr>
      <w:tr w14:paraId="70AC4C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495" w:type="pct"/>
            <w:vAlign w:val="center"/>
          </w:tcPr>
          <w:p w14:paraId="68A6451C">
            <w:pPr>
              <w:jc w:val="center"/>
              <w:rPr>
                <w:rFonts w:ascii="Times New Roman" w:hAnsi="Times New Roman"/>
                <w:color w:val="auto"/>
                <w:szCs w:val="22"/>
                <w:lang w:val="zh-CN"/>
              </w:rPr>
            </w:pPr>
            <w:r>
              <w:rPr>
                <w:rFonts w:ascii="Times New Roman" w:hAnsi="Times New Roman"/>
                <w:color w:val="auto"/>
                <w:szCs w:val="22"/>
                <w:lang w:val="zh-CN"/>
              </w:rPr>
              <w:t>粒度乘数/无量纲</w:t>
            </w:r>
          </w:p>
        </w:tc>
        <w:tc>
          <w:tcPr>
            <w:tcW w:w="2505" w:type="pct"/>
            <w:vAlign w:val="center"/>
          </w:tcPr>
          <w:p w14:paraId="669BA157">
            <w:pPr>
              <w:jc w:val="center"/>
              <w:rPr>
                <w:rFonts w:ascii="Times New Roman" w:hAnsi="Times New Roman"/>
                <w:color w:val="auto"/>
                <w:szCs w:val="22"/>
                <w:lang w:val="zh-CN"/>
              </w:rPr>
            </w:pPr>
            <w:r>
              <w:rPr>
                <w:rFonts w:ascii="Times New Roman" w:hAnsi="Times New Roman"/>
                <w:color w:val="auto"/>
                <w:szCs w:val="22"/>
                <w:lang w:val="zh-CN"/>
              </w:rPr>
              <w:t>0.74</w:t>
            </w:r>
          </w:p>
        </w:tc>
      </w:tr>
    </w:tbl>
    <w:p w14:paraId="401E4F74">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表3-3-4堆场操作扬尘控制措施的控制效率</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558"/>
        <w:gridCol w:w="3748"/>
      </w:tblGrid>
      <w:tr w14:paraId="59CCDF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744" w:type="pct"/>
            <w:vAlign w:val="center"/>
          </w:tcPr>
          <w:p w14:paraId="48579D5E">
            <w:pPr>
              <w:jc w:val="center"/>
              <w:rPr>
                <w:color w:val="auto"/>
                <w:szCs w:val="22"/>
                <w:lang w:val="zh-CN"/>
              </w:rPr>
            </w:pPr>
            <w:r>
              <w:rPr>
                <w:color w:val="auto"/>
                <w:szCs w:val="22"/>
                <w:lang w:val="zh-CN"/>
              </w:rPr>
              <w:t>控制措施</w:t>
            </w:r>
          </w:p>
        </w:tc>
        <w:tc>
          <w:tcPr>
            <w:tcW w:w="2256" w:type="pct"/>
            <w:vAlign w:val="center"/>
          </w:tcPr>
          <w:p w14:paraId="28457C8C">
            <w:pPr>
              <w:jc w:val="center"/>
              <w:rPr>
                <w:color w:val="auto"/>
                <w:szCs w:val="22"/>
                <w:lang w:val="zh-CN"/>
              </w:rPr>
            </w:pPr>
            <w:r>
              <w:rPr>
                <w:color w:val="auto"/>
                <w:szCs w:val="22"/>
                <w:lang w:val="zh-CN"/>
              </w:rPr>
              <w:t>TSP控制效率</w:t>
            </w:r>
          </w:p>
        </w:tc>
      </w:tr>
      <w:tr w14:paraId="6C3FC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744" w:type="pct"/>
            <w:vAlign w:val="center"/>
          </w:tcPr>
          <w:p w14:paraId="762882B7">
            <w:pPr>
              <w:jc w:val="center"/>
              <w:rPr>
                <w:color w:val="auto"/>
                <w:szCs w:val="22"/>
                <w:lang w:val="zh-CN"/>
              </w:rPr>
            </w:pPr>
            <w:r>
              <w:rPr>
                <w:color w:val="auto"/>
                <w:szCs w:val="22"/>
                <w:lang w:val="zh-CN"/>
              </w:rPr>
              <w:t>输送点位连续洒水操作</w:t>
            </w:r>
          </w:p>
        </w:tc>
        <w:tc>
          <w:tcPr>
            <w:tcW w:w="2256" w:type="pct"/>
            <w:vAlign w:val="center"/>
          </w:tcPr>
          <w:p w14:paraId="707632A7">
            <w:pPr>
              <w:jc w:val="center"/>
              <w:rPr>
                <w:color w:val="auto"/>
                <w:szCs w:val="22"/>
                <w:lang w:val="zh-CN"/>
              </w:rPr>
            </w:pPr>
            <w:r>
              <w:rPr>
                <w:color w:val="auto"/>
                <w:szCs w:val="22"/>
                <w:lang w:val="zh-CN"/>
              </w:rPr>
              <w:t>74%</w:t>
            </w:r>
          </w:p>
        </w:tc>
      </w:tr>
    </w:tbl>
    <w:p w14:paraId="20E5482F">
      <w:pPr>
        <w:spacing w:line="500" w:lineRule="exact"/>
        <w:ind w:firstLine="480" w:firstLineChars="200"/>
        <w:rPr>
          <w:color w:val="auto"/>
          <w:sz w:val="24"/>
          <w:szCs w:val="22"/>
        </w:rPr>
      </w:pPr>
      <w:r>
        <w:rPr>
          <w:color w:val="auto"/>
          <w:sz w:val="24"/>
          <w:szCs w:val="22"/>
        </w:rPr>
        <w:t>经计算本项目E</w:t>
      </w:r>
      <w:r>
        <w:rPr>
          <w:color w:val="auto"/>
          <w:sz w:val="24"/>
          <w:szCs w:val="22"/>
          <w:vertAlign w:val="subscript"/>
        </w:rPr>
        <w:t>h（TSP）</w:t>
      </w:r>
      <w:r>
        <w:rPr>
          <w:color w:val="auto"/>
          <w:sz w:val="24"/>
          <w:szCs w:val="22"/>
        </w:rPr>
        <w:t>为0.000019kg/t。</w:t>
      </w:r>
    </w:p>
    <w:p w14:paraId="37FA0440">
      <w:pPr>
        <w:spacing w:line="500" w:lineRule="exact"/>
        <w:ind w:firstLine="480" w:firstLineChars="200"/>
        <w:rPr>
          <w:color w:val="auto"/>
          <w:sz w:val="24"/>
          <w:szCs w:val="22"/>
        </w:rPr>
      </w:pPr>
      <w:r>
        <w:rPr>
          <w:color w:val="auto"/>
          <w:sz w:val="24"/>
          <w:szCs w:val="22"/>
        </w:rPr>
        <w:t>堆场风蚀扬尘排放系数的计算方法：</w:t>
      </w:r>
    </w:p>
    <w:p w14:paraId="2E04D98E">
      <w:pPr>
        <w:ind w:firstLine="480" w:firstLineChars="200"/>
        <w:rPr>
          <w:color w:val="auto"/>
          <w:sz w:val="24"/>
          <w:szCs w:val="22"/>
        </w:rPr>
      </w:pPr>
      <w:r>
        <w:rPr>
          <w:color w:val="auto"/>
          <w:sz w:val="24"/>
          <w:szCs w:val="22"/>
        </w:rPr>
        <w:t xml:space="preserve">  </w:t>
      </w:r>
      <w:r>
        <w:rPr>
          <w:color w:val="auto"/>
          <w:sz w:val="24"/>
          <w:szCs w:val="22"/>
        </w:rPr>
        <w:drawing>
          <wp:inline distT="0" distB="0" distL="0" distR="0">
            <wp:extent cx="4038600" cy="1476375"/>
            <wp:effectExtent l="0" t="0" r="0" b="9525"/>
            <wp:docPr id="2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4038600" cy="1476375"/>
                    </a:xfrm>
                    <a:prstGeom prst="rect">
                      <a:avLst/>
                    </a:prstGeom>
                    <a:noFill/>
                    <a:ln>
                      <a:noFill/>
                    </a:ln>
                  </pic:spPr>
                </pic:pic>
              </a:graphicData>
            </a:graphic>
          </wp:inline>
        </w:drawing>
      </w:r>
    </w:p>
    <w:p w14:paraId="4982C033">
      <w:pPr>
        <w:ind w:firstLine="480" w:firstLineChars="200"/>
        <w:rPr>
          <w:color w:val="auto"/>
          <w:sz w:val="24"/>
          <w:szCs w:val="22"/>
        </w:rPr>
      </w:pPr>
      <w:r>
        <w:rPr>
          <w:color w:val="auto"/>
          <w:sz w:val="24"/>
          <w:szCs w:val="22"/>
        </w:rPr>
        <w:t xml:space="preserve">                   </w:t>
      </w:r>
      <w:r>
        <w:rPr>
          <w:color w:val="auto"/>
          <w:sz w:val="24"/>
          <w:szCs w:val="22"/>
        </w:rPr>
        <w:drawing>
          <wp:inline distT="0" distB="0" distL="0" distR="0">
            <wp:extent cx="2686050" cy="514350"/>
            <wp:effectExtent l="0" t="0" r="0" b="0"/>
            <wp:docPr id="2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686050" cy="514350"/>
                    </a:xfrm>
                    <a:prstGeom prst="rect">
                      <a:avLst/>
                    </a:prstGeom>
                    <a:noFill/>
                    <a:ln>
                      <a:noFill/>
                    </a:ln>
                  </pic:spPr>
                </pic:pic>
              </a:graphicData>
            </a:graphic>
          </wp:inline>
        </w:drawing>
      </w:r>
    </w:p>
    <w:p w14:paraId="38EA514A">
      <w:pPr>
        <w:spacing w:line="500" w:lineRule="exact"/>
        <w:ind w:firstLine="480" w:firstLineChars="200"/>
        <w:rPr>
          <w:color w:val="auto"/>
          <w:sz w:val="24"/>
          <w:szCs w:val="22"/>
        </w:rPr>
      </w:pPr>
      <w:r>
        <w:rPr>
          <w:color w:val="auto"/>
          <w:sz w:val="24"/>
          <w:szCs w:val="22"/>
        </w:rPr>
        <w:t>式中：E</w:t>
      </w:r>
      <w:r>
        <w:rPr>
          <w:color w:val="auto"/>
          <w:sz w:val="24"/>
          <w:szCs w:val="22"/>
          <w:vertAlign w:val="subscript"/>
        </w:rPr>
        <w:t>w</w:t>
      </w:r>
      <w:r>
        <w:rPr>
          <w:color w:val="auto"/>
          <w:sz w:val="24"/>
          <w:szCs w:val="22"/>
        </w:rPr>
        <w:t>——堆场风蚀扬尘的排放系数，kg/m</w:t>
      </w:r>
      <w:r>
        <w:rPr>
          <w:color w:val="auto"/>
          <w:sz w:val="24"/>
          <w:szCs w:val="22"/>
          <w:vertAlign w:val="superscript"/>
        </w:rPr>
        <w:t>2</w:t>
      </w:r>
      <w:r>
        <w:rPr>
          <w:color w:val="auto"/>
          <w:sz w:val="24"/>
          <w:szCs w:val="22"/>
        </w:rPr>
        <w:t>；</w:t>
      </w:r>
    </w:p>
    <w:p w14:paraId="2A7AC39D">
      <w:pPr>
        <w:spacing w:line="500" w:lineRule="exact"/>
        <w:ind w:firstLine="480" w:firstLineChars="200"/>
        <w:rPr>
          <w:color w:val="auto"/>
          <w:sz w:val="24"/>
          <w:szCs w:val="22"/>
        </w:rPr>
      </w:pPr>
      <w:r>
        <w:rPr>
          <w:color w:val="auto"/>
          <w:sz w:val="24"/>
          <w:szCs w:val="22"/>
        </w:rPr>
        <w:t>k</w:t>
      </w:r>
      <w:r>
        <w:rPr>
          <w:color w:val="auto"/>
          <w:sz w:val="24"/>
          <w:szCs w:val="22"/>
          <w:vertAlign w:val="subscript"/>
        </w:rPr>
        <w:t>i</w:t>
      </w:r>
      <w:r>
        <w:rPr>
          <w:color w:val="auto"/>
          <w:sz w:val="24"/>
          <w:szCs w:val="22"/>
        </w:rPr>
        <w:t>——物料的粒度乘数，见表3-3-5；</w:t>
      </w:r>
    </w:p>
    <w:p w14:paraId="7CC2537A">
      <w:pPr>
        <w:spacing w:line="500" w:lineRule="exact"/>
        <w:ind w:firstLine="480" w:firstLineChars="200"/>
        <w:rPr>
          <w:color w:val="auto"/>
          <w:sz w:val="24"/>
          <w:szCs w:val="22"/>
        </w:rPr>
      </w:pPr>
      <w:r>
        <w:rPr>
          <w:color w:val="auto"/>
          <w:sz w:val="24"/>
          <w:szCs w:val="22"/>
        </w:rPr>
        <w:t>n——料堆每年受扰动的次数</w:t>
      </w:r>
      <w:r>
        <w:rPr>
          <w:rFonts w:hint="eastAsia"/>
          <w:color w:val="auto"/>
          <w:sz w:val="24"/>
          <w:szCs w:val="22"/>
        </w:rPr>
        <w:t>，本次</w:t>
      </w:r>
      <w:r>
        <w:rPr>
          <w:color w:val="auto"/>
          <w:sz w:val="24"/>
          <w:szCs w:val="22"/>
        </w:rPr>
        <w:t>单元作业面积对应的扰动次数</w:t>
      </w:r>
      <w:r>
        <w:rPr>
          <w:rFonts w:hint="eastAsia"/>
          <w:color w:val="auto"/>
          <w:sz w:val="24"/>
          <w:szCs w:val="22"/>
        </w:rPr>
        <w:t>取</w:t>
      </w:r>
      <w:r>
        <w:rPr>
          <w:color w:val="auto"/>
          <w:sz w:val="24"/>
          <w:szCs w:val="22"/>
        </w:rPr>
        <w:t>6；</w:t>
      </w:r>
    </w:p>
    <w:p w14:paraId="20B8C62F">
      <w:pPr>
        <w:spacing w:line="500" w:lineRule="exact"/>
        <w:ind w:firstLine="480" w:firstLineChars="200"/>
        <w:rPr>
          <w:color w:val="auto"/>
          <w:sz w:val="24"/>
          <w:szCs w:val="22"/>
        </w:rPr>
      </w:pPr>
      <w:r>
        <w:rPr>
          <w:color w:val="auto"/>
          <w:sz w:val="24"/>
          <w:szCs w:val="22"/>
        </w:rPr>
        <w:t>P</w:t>
      </w:r>
      <w:r>
        <w:rPr>
          <w:color w:val="auto"/>
          <w:sz w:val="24"/>
          <w:szCs w:val="22"/>
          <w:vertAlign w:val="subscript"/>
        </w:rPr>
        <w:t>i</w:t>
      </w:r>
      <w:r>
        <w:rPr>
          <w:color w:val="auto"/>
          <w:sz w:val="24"/>
          <w:szCs w:val="22"/>
        </w:rPr>
        <w:t>——第i次扰动中观测的最大风速的风蚀潜势，g/m</w:t>
      </w:r>
      <w:r>
        <w:rPr>
          <w:color w:val="auto"/>
          <w:sz w:val="24"/>
          <w:szCs w:val="22"/>
          <w:vertAlign w:val="superscript"/>
        </w:rPr>
        <w:t>2</w:t>
      </w:r>
      <w:r>
        <w:rPr>
          <w:rFonts w:hint="eastAsia"/>
          <w:color w:val="auto"/>
          <w:sz w:val="24"/>
          <w:szCs w:val="22"/>
        </w:rPr>
        <w:t>，经计算得</w:t>
      </w:r>
      <w:r>
        <w:rPr>
          <w:color w:val="auto"/>
          <w:sz w:val="24"/>
          <w:szCs w:val="22"/>
        </w:rPr>
        <w:t>2.215；</w:t>
      </w:r>
    </w:p>
    <w:p w14:paraId="53698A79">
      <w:pPr>
        <w:spacing w:line="500" w:lineRule="exact"/>
        <w:ind w:firstLine="480" w:firstLineChars="200"/>
        <w:rPr>
          <w:color w:val="auto"/>
          <w:sz w:val="24"/>
          <w:szCs w:val="22"/>
        </w:rPr>
      </w:pPr>
      <w:r>
        <w:rPr>
          <w:color w:val="auto"/>
          <w:sz w:val="24"/>
          <w:szCs w:val="22"/>
        </w:rPr>
        <w:drawing>
          <wp:inline distT="0" distB="0" distL="0" distR="0">
            <wp:extent cx="123825" cy="209550"/>
            <wp:effectExtent l="0" t="0" r="9525" b="0"/>
            <wp:docPr id="175907907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79072" name="图片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123825" cy="209550"/>
                    </a:xfrm>
                    <a:prstGeom prst="rect">
                      <a:avLst/>
                    </a:prstGeom>
                    <a:noFill/>
                    <a:ln>
                      <a:noFill/>
                    </a:ln>
                  </pic:spPr>
                </pic:pic>
              </a:graphicData>
            </a:graphic>
          </wp:inline>
        </w:drawing>
      </w:r>
      <w:r>
        <w:rPr>
          <w:color w:val="auto"/>
          <w:sz w:val="24"/>
          <w:szCs w:val="22"/>
        </w:rPr>
        <w:t>——污染控制技术对扬尘的去除效率，本项目采取定期洒水；</w:t>
      </w:r>
    </w:p>
    <w:p w14:paraId="35CBBF47">
      <w:pPr>
        <w:spacing w:line="500" w:lineRule="exact"/>
        <w:ind w:firstLine="480" w:firstLineChars="200"/>
        <w:rPr>
          <w:color w:val="auto"/>
          <w:sz w:val="24"/>
          <w:szCs w:val="22"/>
        </w:rPr>
      </w:pPr>
      <w:r>
        <w:rPr>
          <w:color w:val="auto"/>
          <w:sz w:val="24"/>
          <w:szCs w:val="22"/>
        </w:rPr>
        <w:t>u*——摩擦风速，m/s，经计算得0.615；</w:t>
      </w:r>
    </w:p>
    <w:p w14:paraId="480B3961">
      <w:pPr>
        <w:spacing w:line="500" w:lineRule="exact"/>
        <w:ind w:firstLine="480" w:firstLineChars="200"/>
        <w:rPr>
          <w:color w:val="auto"/>
          <w:sz w:val="24"/>
          <w:szCs w:val="22"/>
        </w:rPr>
      </w:pPr>
      <w:r>
        <w:rPr>
          <w:color w:val="auto"/>
          <w:sz w:val="24"/>
          <w:szCs w:val="22"/>
        </w:rPr>
        <w:t>u</w:t>
      </w:r>
      <w:r>
        <w:rPr>
          <w:color w:val="auto"/>
          <w:sz w:val="24"/>
          <w:szCs w:val="22"/>
          <w:vertAlign w:val="subscript"/>
        </w:rPr>
        <w:t>t</w:t>
      </w:r>
      <w:r>
        <w:rPr>
          <w:color w:val="auto"/>
          <w:sz w:val="24"/>
          <w:szCs w:val="22"/>
        </w:rPr>
        <w:t>*——阈值摩擦风速，即起尘的临界摩擦风速，m/s，取0.54；</w:t>
      </w:r>
    </w:p>
    <w:p w14:paraId="448FFEDD">
      <w:pPr>
        <w:spacing w:line="500" w:lineRule="exact"/>
        <w:ind w:firstLine="480" w:firstLineChars="200"/>
        <w:rPr>
          <w:color w:val="auto"/>
          <w:sz w:val="24"/>
          <w:szCs w:val="22"/>
        </w:rPr>
      </w:pPr>
      <w:r>
        <w:rPr>
          <w:color w:val="auto"/>
          <w:sz w:val="24"/>
          <w:szCs w:val="22"/>
        </w:rPr>
        <w:t>u（z）——地面风速，取3.1m/s；</w:t>
      </w:r>
    </w:p>
    <w:p w14:paraId="16FD03C2">
      <w:pPr>
        <w:spacing w:line="500" w:lineRule="exact"/>
        <w:ind w:firstLine="480" w:firstLineChars="200"/>
        <w:rPr>
          <w:color w:val="auto"/>
          <w:sz w:val="24"/>
          <w:szCs w:val="22"/>
        </w:rPr>
      </w:pPr>
      <w:r>
        <w:rPr>
          <w:color w:val="auto"/>
          <w:sz w:val="24"/>
          <w:szCs w:val="22"/>
        </w:rPr>
        <w:t>z——地面风速检测高度，取1.5m；</w:t>
      </w:r>
    </w:p>
    <w:p w14:paraId="787A5CF6">
      <w:pPr>
        <w:spacing w:line="500" w:lineRule="exact"/>
        <w:ind w:firstLine="480" w:firstLineChars="200"/>
        <w:rPr>
          <w:color w:val="auto"/>
          <w:sz w:val="24"/>
          <w:szCs w:val="22"/>
        </w:rPr>
      </w:pPr>
      <w:r>
        <w:rPr>
          <w:color w:val="auto"/>
          <w:sz w:val="24"/>
          <w:szCs w:val="22"/>
        </w:rPr>
        <w:t>z</w:t>
      </w:r>
      <w:r>
        <w:rPr>
          <w:color w:val="auto"/>
          <w:sz w:val="24"/>
          <w:szCs w:val="22"/>
          <w:vertAlign w:val="subscript"/>
        </w:rPr>
        <w:t>0</w:t>
      </w:r>
      <w:r>
        <w:rPr>
          <w:color w:val="auto"/>
          <w:sz w:val="24"/>
          <w:szCs w:val="22"/>
        </w:rPr>
        <w:t>——地面粗糙度，m，郊区取值0.2；</w:t>
      </w:r>
    </w:p>
    <w:p w14:paraId="73D39FA6">
      <w:pPr>
        <w:spacing w:line="500" w:lineRule="exact"/>
        <w:ind w:firstLine="480" w:firstLineChars="200"/>
        <w:rPr>
          <w:color w:val="auto"/>
          <w:sz w:val="24"/>
          <w:szCs w:val="22"/>
        </w:rPr>
      </w:pPr>
      <w:r>
        <w:rPr>
          <w:color w:val="auto"/>
          <w:sz w:val="24"/>
          <w:szCs w:val="22"/>
        </w:rPr>
        <w:t>0.4——冯卡门常数，无量纲。</w:t>
      </w:r>
    </w:p>
    <w:p w14:paraId="1475E697">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表3-3-5风蚀过程中产生的颗粒物粒度乘数</w:t>
      </w:r>
    </w:p>
    <w:tbl>
      <w:tblPr>
        <w:tblStyle w:val="77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53"/>
        <w:gridCol w:w="4053"/>
      </w:tblGrid>
      <w:tr w14:paraId="449A4F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560" w:type="pct"/>
            <w:vAlign w:val="center"/>
          </w:tcPr>
          <w:p w14:paraId="7F7674F9">
            <w:pPr>
              <w:jc w:val="center"/>
              <w:rPr>
                <w:rFonts w:ascii="Times New Roman" w:hAnsi="Times New Roman"/>
                <w:color w:val="auto"/>
                <w:szCs w:val="22"/>
                <w:lang w:val="zh-CN"/>
              </w:rPr>
            </w:pPr>
            <w:r>
              <w:rPr>
                <w:rFonts w:ascii="Times New Roman" w:hAnsi="Times New Roman"/>
                <w:color w:val="auto"/>
                <w:szCs w:val="22"/>
                <w:lang w:val="zh-CN"/>
              </w:rPr>
              <w:t>粒径</w:t>
            </w:r>
          </w:p>
        </w:tc>
        <w:tc>
          <w:tcPr>
            <w:tcW w:w="2440" w:type="pct"/>
            <w:vAlign w:val="center"/>
          </w:tcPr>
          <w:p w14:paraId="34620CDB">
            <w:pPr>
              <w:jc w:val="center"/>
              <w:rPr>
                <w:rFonts w:ascii="Times New Roman" w:hAnsi="Times New Roman"/>
                <w:color w:val="auto"/>
                <w:szCs w:val="22"/>
                <w:lang w:val="zh-CN"/>
              </w:rPr>
            </w:pPr>
            <w:r>
              <w:rPr>
                <w:rFonts w:ascii="Times New Roman" w:hAnsi="Times New Roman"/>
                <w:color w:val="auto"/>
                <w:szCs w:val="22"/>
                <w:lang w:val="zh-CN"/>
              </w:rPr>
              <w:t>TSP</w:t>
            </w:r>
          </w:p>
        </w:tc>
      </w:tr>
      <w:tr w14:paraId="29BCE7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560" w:type="pct"/>
            <w:vAlign w:val="center"/>
          </w:tcPr>
          <w:p w14:paraId="1457F5DB">
            <w:pPr>
              <w:jc w:val="center"/>
              <w:rPr>
                <w:rFonts w:ascii="Times New Roman" w:hAnsi="Times New Roman"/>
                <w:color w:val="auto"/>
                <w:szCs w:val="22"/>
                <w:lang w:val="zh-CN"/>
              </w:rPr>
            </w:pPr>
            <w:r>
              <w:rPr>
                <w:rFonts w:ascii="Times New Roman" w:hAnsi="Times New Roman"/>
                <w:color w:val="auto"/>
                <w:szCs w:val="22"/>
                <w:lang w:val="zh-CN"/>
              </w:rPr>
              <w:t>粒度乘数/无量纲</w:t>
            </w:r>
          </w:p>
        </w:tc>
        <w:tc>
          <w:tcPr>
            <w:tcW w:w="2440" w:type="pct"/>
            <w:vAlign w:val="center"/>
          </w:tcPr>
          <w:p w14:paraId="6358D497">
            <w:pPr>
              <w:jc w:val="center"/>
              <w:rPr>
                <w:rFonts w:ascii="Times New Roman" w:hAnsi="Times New Roman"/>
                <w:color w:val="auto"/>
                <w:szCs w:val="22"/>
                <w:lang w:val="zh-CN"/>
              </w:rPr>
            </w:pPr>
            <w:r>
              <w:rPr>
                <w:rFonts w:ascii="Times New Roman" w:hAnsi="Times New Roman"/>
                <w:color w:val="auto"/>
                <w:szCs w:val="22"/>
                <w:lang w:val="zh-CN"/>
              </w:rPr>
              <w:t>1.0</w:t>
            </w:r>
          </w:p>
        </w:tc>
      </w:tr>
    </w:tbl>
    <w:p w14:paraId="1BF74A0D">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表3-3-6堆场风蚀扬尘控制措施的控制效率</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216"/>
        <w:gridCol w:w="2037"/>
        <w:gridCol w:w="4053"/>
      </w:tblGrid>
      <w:tr w14:paraId="4C6AB3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2560" w:type="pct"/>
            <w:gridSpan w:val="2"/>
            <w:vAlign w:val="center"/>
          </w:tcPr>
          <w:p w14:paraId="589C416F">
            <w:pPr>
              <w:jc w:val="center"/>
              <w:rPr>
                <w:color w:val="auto"/>
                <w:szCs w:val="22"/>
                <w:lang w:val="zh-CN"/>
              </w:rPr>
            </w:pPr>
            <w:r>
              <w:rPr>
                <w:color w:val="auto"/>
                <w:szCs w:val="22"/>
                <w:lang w:val="zh-CN"/>
              </w:rPr>
              <w:t>控制措施</w:t>
            </w:r>
          </w:p>
        </w:tc>
        <w:tc>
          <w:tcPr>
            <w:tcW w:w="2440" w:type="pct"/>
            <w:vAlign w:val="center"/>
          </w:tcPr>
          <w:p w14:paraId="298DBD99">
            <w:pPr>
              <w:jc w:val="center"/>
              <w:rPr>
                <w:color w:val="auto"/>
                <w:szCs w:val="22"/>
                <w:lang w:val="zh-CN"/>
              </w:rPr>
            </w:pPr>
            <w:r>
              <w:rPr>
                <w:color w:val="auto"/>
                <w:szCs w:val="22"/>
                <w:lang w:val="zh-CN"/>
              </w:rPr>
              <w:t>TSP控制效率</w:t>
            </w:r>
          </w:p>
        </w:tc>
      </w:tr>
      <w:tr w14:paraId="15494B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exact"/>
        </w:trPr>
        <w:tc>
          <w:tcPr>
            <w:tcW w:w="1334" w:type="pct"/>
            <w:vAlign w:val="center"/>
          </w:tcPr>
          <w:p w14:paraId="527AB96C">
            <w:pPr>
              <w:jc w:val="center"/>
              <w:rPr>
                <w:color w:val="auto"/>
                <w:szCs w:val="22"/>
                <w:lang w:val="zh-CN"/>
              </w:rPr>
            </w:pPr>
            <w:r>
              <w:rPr>
                <w:color w:val="auto"/>
                <w:szCs w:val="22"/>
                <w:lang w:val="zh-CN"/>
              </w:rPr>
              <w:t>堆场</w:t>
            </w:r>
          </w:p>
        </w:tc>
        <w:tc>
          <w:tcPr>
            <w:tcW w:w="1226" w:type="pct"/>
            <w:vAlign w:val="center"/>
          </w:tcPr>
          <w:p w14:paraId="44BF635B">
            <w:pPr>
              <w:jc w:val="center"/>
              <w:rPr>
                <w:color w:val="auto"/>
                <w:szCs w:val="22"/>
                <w:lang w:val="zh-CN"/>
              </w:rPr>
            </w:pPr>
            <w:r>
              <w:rPr>
                <w:color w:val="auto"/>
                <w:szCs w:val="22"/>
                <w:lang w:val="zh-CN"/>
              </w:rPr>
              <w:t>定期洒水</w:t>
            </w:r>
          </w:p>
        </w:tc>
        <w:tc>
          <w:tcPr>
            <w:tcW w:w="2440" w:type="pct"/>
            <w:vAlign w:val="center"/>
          </w:tcPr>
          <w:p w14:paraId="714BA65D">
            <w:pPr>
              <w:jc w:val="center"/>
              <w:rPr>
                <w:color w:val="auto"/>
                <w:szCs w:val="22"/>
                <w:lang w:val="zh-CN"/>
              </w:rPr>
            </w:pPr>
            <w:r>
              <w:rPr>
                <w:color w:val="auto"/>
                <w:szCs w:val="22"/>
                <w:lang w:val="zh-CN"/>
              </w:rPr>
              <w:t>61%</w:t>
            </w:r>
          </w:p>
        </w:tc>
      </w:tr>
    </w:tbl>
    <w:p w14:paraId="5595C29B">
      <w:pPr>
        <w:spacing w:line="500" w:lineRule="exact"/>
        <w:ind w:firstLine="480" w:firstLineChars="200"/>
        <w:rPr>
          <w:color w:val="auto"/>
          <w:sz w:val="24"/>
          <w:szCs w:val="22"/>
        </w:rPr>
      </w:pPr>
      <w:r>
        <w:rPr>
          <w:color w:val="auto"/>
          <w:sz w:val="24"/>
          <w:szCs w:val="22"/>
        </w:rPr>
        <w:t>经计算本项目E</w:t>
      </w:r>
      <w:r>
        <w:rPr>
          <w:color w:val="auto"/>
          <w:sz w:val="24"/>
          <w:szCs w:val="22"/>
          <w:vertAlign w:val="subscript"/>
        </w:rPr>
        <w:t>w（TSP）</w:t>
      </w:r>
      <w:r>
        <w:rPr>
          <w:color w:val="auto"/>
          <w:sz w:val="24"/>
          <w:szCs w:val="22"/>
        </w:rPr>
        <w:t>为0.0</w:t>
      </w:r>
      <w:r>
        <w:rPr>
          <w:rFonts w:hint="eastAsia"/>
          <w:color w:val="auto"/>
          <w:sz w:val="24"/>
          <w:szCs w:val="22"/>
          <w:lang w:val="en-US" w:eastAsia="zh-CN"/>
        </w:rPr>
        <w:t>05</w:t>
      </w:r>
      <w:r>
        <w:rPr>
          <w:color w:val="auto"/>
          <w:sz w:val="24"/>
          <w:szCs w:val="22"/>
        </w:rPr>
        <w:t>kg/m</w:t>
      </w:r>
      <w:r>
        <w:rPr>
          <w:color w:val="auto"/>
          <w:sz w:val="24"/>
          <w:szCs w:val="22"/>
          <w:vertAlign w:val="superscript"/>
        </w:rPr>
        <w:t>2</w:t>
      </w:r>
      <w:r>
        <w:rPr>
          <w:rFonts w:hint="eastAsia"/>
          <w:color w:val="auto"/>
          <w:sz w:val="24"/>
          <w:szCs w:val="22"/>
        </w:rPr>
        <w:t>，</w:t>
      </w:r>
      <w:r>
        <w:rPr>
          <w:color w:val="auto"/>
          <w:sz w:val="24"/>
          <w:szCs w:val="22"/>
        </w:rPr>
        <w:t>堆场起尘量排放量W</w:t>
      </w:r>
      <w:r>
        <w:rPr>
          <w:color w:val="auto"/>
          <w:sz w:val="24"/>
          <w:szCs w:val="22"/>
          <w:vertAlign w:val="subscript"/>
        </w:rPr>
        <w:t>Y（TSP）</w:t>
      </w:r>
      <w:r>
        <w:rPr>
          <w:color w:val="auto"/>
          <w:sz w:val="24"/>
          <w:szCs w:val="22"/>
        </w:rPr>
        <w:t>为0.00</w:t>
      </w:r>
      <w:r>
        <w:rPr>
          <w:rFonts w:hint="eastAsia"/>
          <w:color w:val="auto"/>
          <w:sz w:val="24"/>
          <w:szCs w:val="22"/>
          <w:lang w:val="en-US" w:eastAsia="zh-CN"/>
        </w:rPr>
        <w:t>4</w:t>
      </w:r>
      <w:r>
        <w:rPr>
          <w:color w:val="auto"/>
          <w:sz w:val="24"/>
          <w:szCs w:val="22"/>
        </w:rPr>
        <w:t>t/a（0.00</w:t>
      </w:r>
      <w:r>
        <w:rPr>
          <w:rFonts w:hint="eastAsia"/>
          <w:color w:val="auto"/>
          <w:sz w:val="24"/>
          <w:szCs w:val="22"/>
          <w:lang w:val="en-US" w:eastAsia="zh-CN"/>
        </w:rPr>
        <w:t>09</w:t>
      </w:r>
      <w:r>
        <w:rPr>
          <w:color w:val="auto"/>
          <w:sz w:val="24"/>
          <w:szCs w:val="22"/>
        </w:rPr>
        <w:t>kg/h）</w:t>
      </w:r>
    </w:p>
    <w:p w14:paraId="08CB0F72">
      <w:pPr>
        <w:spacing w:line="500" w:lineRule="exact"/>
        <w:ind w:firstLine="480" w:firstLineChars="200"/>
        <w:rPr>
          <w:color w:val="auto"/>
          <w:sz w:val="24"/>
          <w:szCs w:val="22"/>
        </w:rPr>
      </w:pPr>
      <w:r>
        <w:rPr>
          <w:color w:val="auto"/>
          <w:sz w:val="24"/>
          <w:szCs w:val="22"/>
        </w:rPr>
        <w:t>本项目采用分区、分块运行</w:t>
      </w:r>
      <w:r>
        <w:rPr>
          <w:color w:val="auto"/>
          <w:sz w:val="24"/>
          <w:szCs w:val="22"/>
          <w:highlight w:val="none"/>
        </w:rPr>
        <w:t>方式（每次作业面积按</w:t>
      </w:r>
      <w:r>
        <w:rPr>
          <w:rFonts w:hint="eastAsia"/>
          <w:color w:val="auto"/>
          <w:sz w:val="24"/>
          <w:szCs w:val="22"/>
          <w:highlight w:val="none"/>
          <w:lang w:val="en-US" w:eastAsia="zh-CN"/>
        </w:rPr>
        <w:t>20</w:t>
      </w:r>
      <w:r>
        <w:rPr>
          <w:color w:val="auto"/>
          <w:sz w:val="24"/>
          <w:szCs w:val="22"/>
          <w:highlight w:val="none"/>
        </w:rPr>
        <w:t>×</w:t>
      </w:r>
      <w:r>
        <w:rPr>
          <w:rFonts w:hint="eastAsia"/>
          <w:color w:val="auto"/>
          <w:sz w:val="24"/>
          <w:szCs w:val="22"/>
          <w:highlight w:val="none"/>
          <w:lang w:val="en-US" w:eastAsia="zh-CN"/>
        </w:rPr>
        <w:t>20</w:t>
      </w:r>
      <w:r>
        <w:rPr>
          <w:color w:val="auto"/>
          <w:sz w:val="24"/>
          <w:szCs w:val="22"/>
          <w:highlight w:val="none"/>
        </w:rPr>
        <w:t>m计算），运行过程中使暴露面最小，堆满一块覆盖一块从而一次形成永久性覆盖面，最大限度的</w:t>
      </w:r>
      <w:r>
        <w:rPr>
          <w:color w:val="auto"/>
          <w:sz w:val="24"/>
          <w:szCs w:val="22"/>
        </w:rPr>
        <w:t>减小扬尘。评价要求本项目作业时要及时进行铺平、碾压。碾压方向平行于分区填充的长边，碾压搭接长度不得小于25cm，不得漏压和欠压，减少二次扬尘的产生。另外表面的含水量是制约二次扬尘的主要因素，评价要求建设单位在碾压表面及时掌握</w:t>
      </w:r>
      <w:r>
        <w:rPr>
          <w:rFonts w:hint="eastAsia"/>
          <w:color w:val="auto"/>
          <w:sz w:val="24"/>
          <w:szCs w:val="22"/>
          <w:lang w:eastAsia="zh-CN"/>
        </w:rPr>
        <w:t>灰渣</w:t>
      </w:r>
      <w:r>
        <w:rPr>
          <w:color w:val="auto"/>
          <w:sz w:val="24"/>
          <w:szCs w:val="22"/>
        </w:rPr>
        <w:t>的表面含水情况，根据天气情况适时调整加大洒水强度。环评要求在场地设置一辆洒水车，以保证洒水面积能覆盖整个工作面。</w:t>
      </w:r>
    </w:p>
    <w:p w14:paraId="5A933970">
      <w:pPr>
        <w:spacing w:line="500" w:lineRule="exact"/>
        <w:ind w:firstLine="480" w:firstLineChars="200"/>
        <w:rPr>
          <w:color w:val="auto"/>
          <w:sz w:val="24"/>
          <w:szCs w:val="22"/>
        </w:rPr>
      </w:pPr>
      <w:r>
        <w:rPr>
          <w:rFonts w:ascii="宋体" w:hAnsi="宋体"/>
          <w:color w:val="auto"/>
          <w:sz w:val="24"/>
          <w:szCs w:val="22"/>
        </w:rPr>
        <w:fldChar w:fldCharType="begin"/>
      </w:r>
      <w:r>
        <w:rPr>
          <w:rFonts w:ascii="宋体" w:hAnsi="宋体"/>
          <w:color w:val="auto"/>
          <w:sz w:val="24"/>
          <w:szCs w:val="22"/>
        </w:rPr>
        <w:instrText xml:space="preserve"> </w:instrText>
      </w:r>
      <w:r>
        <w:rPr>
          <w:rFonts w:hint="eastAsia" w:ascii="宋体" w:hAnsi="宋体"/>
          <w:color w:val="auto"/>
          <w:sz w:val="24"/>
          <w:szCs w:val="22"/>
        </w:rPr>
        <w:instrText xml:space="preserve">= 2 \* GB3</w:instrText>
      </w:r>
      <w:r>
        <w:rPr>
          <w:rFonts w:ascii="宋体" w:hAnsi="宋体"/>
          <w:color w:val="auto"/>
          <w:sz w:val="24"/>
          <w:szCs w:val="22"/>
        </w:rPr>
        <w:instrText xml:space="preserve"> </w:instrText>
      </w:r>
      <w:r>
        <w:rPr>
          <w:rFonts w:ascii="宋体" w:hAnsi="宋体"/>
          <w:color w:val="auto"/>
          <w:sz w:val="24"/>
          <w:szCs w:val="22"/>
        </w:rPr>
        <w:fldChar w:fldCharType="separate"/>
      </w:r>
      <w:r>
        <w:rPr>
          <w:rFonts w:hint="eastAsia" w:ascii="宋体" w:hAnsi="宋体"/>
          <w:color w:val="auto"/>
          <w:sz w:val="24"/>
          <w:szCs w:val="22"/>
        </w:rPr>
        <w:t>②</w:t>
      </w:r>
      <w:r>
        <w:rPr>
          <w:rFonts w:ascii="宋体" w:hAnsi="宋体"/>
          <w:color w:val="auto"/>
          <w:sz w:val="24"/>
          <w:szCs w:val="22"/>
        </w:rPr>
        <w:fldChar w:fldCharType="end"/>
      </w:r>
      <w:r>
        <w:rPr>
          <w:rFonts w:ascii="宋体" w:hAnsi="宋体"/>
          <w:color w:val="auto"/>
          <w:sz w:val="24"/>
          <w:szCs w:val="22"/>
        </w:rPr>
        <w:t>运输扬尘</w:t>
      </w:r>
    </w:p>
    <w:p w14:paraId="3E27F39E">
      <w:pPr>
        <w:pStyle w:val="59"/>
        <w:ind w:firstLine="480"/>
        <w:rPr>
          <w:color w:val="auto"/>
        </w:rPr>
      </w:pPr>
      <w:r>
        <w:rPr>
          <w:color w:val="auto"/>
        </w:rPr>
        <w:t>根据《扬尘源颗粒物排放清单编制技术指南（试行）》，计算本项目</w:t>
      </w:r>
      <w:r>
        <w:rPr>
          <w:rFonts w:hint="eastAsia"/>
          <w:color w:val="auto"/>
        </w:rPr>
        <w:t>进场</w:t>
      </w:r>
      <w:r>
        <w:rPr>
          <w:color w:val="auto"/>
        </w:rPr>
        <w:t>运输道路产生的粉尘公式：</w:t>
      </w:r>
    </w:p>
    <w:p w14:paraId="12A1E731">
      <w:pPr>
        <w:spacing w:line="360" w:lineRule="auto"/>
        <w:ind w:firstLine="480" w:firstLineChars="200"/>
        <w:jc w:val="center"/>
        <w:rPr>
          <w:rFonts w:eastAsiaTheme="minorEastAsia"/>
          <w:bCs/>
          <w:color w:val="auto"/>
          <w:sz w:val="24"/>
        </w:rPr>
      </w:pPr>
      <w:r>
        <w:rPr>
          <w:rFonts w:eastAsiaTheme="minorEastAsia"/>
          <w:bCs/>
          <w:color w:val="auto"/>
          <w:sz w:val="24"/>
        </w:rPr>
        <w:drawing>
          <wp:inline distT="0" distB="0" distL="0" distR="0">
            <wp:extent cx="3276600" cy="367665"/>
            <wp:effectExtent l="19050" t="0" r="0" b="0"/>
            <wp:docPr id="1759079073"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79073" name="图片 21"/>
                    <pic:cNvPicPr>
                      <a:picLocks noChangeAspect="1" noChangeArrowheads="1"/>
                    </pic:cNvPicPr>
                  </pic:nvPicPr>
                  <pic:blipFill>
                    <a:blip r:embed="rId29"/>
                    <a:srcRect/>
                    <a:stretch>
                      <a:fillRect/>
                    </a:stretch>
                  </pic:blipFill>
                  <pic:spPr>
                    <a:xfrm>
                      <a:off x="0" y="0"/>
                      <a:ext cx="3329918" cy="373885"/>
                    </a:xfrm>
                    <a:prstGeom prst="rect">
                      <a:avLst/>
                    </a:prstGeom>
                    <a:noFill/>
                    <a:ln w="9525">
                      <a:noFill/>
                      <a:miter lim="800000"/>
                      <a:headEnd/>
                      <a:tailEnd/>
                    </a:ln>
                  </pic:spPr>
                </pic:pic>
              </a:graphicData>
            </a:graphic>
          </wp:inline>
        </w:drawing>
      </w:r>
    </w:p>
    <w:p w14:paraId="48DCA305">
      <w:pPr>
        <w:pStyle w:val="59"/>
        <w:ind w:firstLine="480"/>
        <w:rPr>
          <w:color w:val="auto"/>
        </w:rPr>
      </w:pPr>
      <w:r>
        <w:rPr>
          <w:color w:val="auto"/>
        </w:rPr>
        <w:t>式中：E</w:t>
      </w:r>
      <w:r>
        <w:rPr>
          <w:color w:val="auto"/>
          <w:vertAlign w:val="subscript"/>
        </w:rPr>
        <w:t>Pi</w:t>
      </w:r>
      <w:r>
        <w:rPr>
          <w:color w:val="auto"/>
        </w:rPr>
        <w:t>—铺装道路扬尘中P</w:t>
      </w:r>
      <w:r>
        <w:rPr>
          <w:color w:val="auto"/>
          <w:vertAlign w:val="subscript"/>
        </w:rPr>
        <w:t>Mi</w:t>
      </w:r>
      <w:r>
        <w:rPr>
          <w:color w:val="auto"/>
        </w:rPr>
        <w:t>排放系数，g/km；</w:t>
      </w:r>
    </w:p>
    <w:p w14:paraId="65374978">
      <w:pPr>
        <w:pStyle w:val="59"/>
        <w:ind w:firstLine="480"/>
        <w:rPr>
          <w:color w:val="auto"/>
        </w:rPr>
      </w:pPr>
      <w:r>
        <w:rPr>
          <w:color w:val="auto"/>
        </w:rPr>
        <w:t>k</w:t>
      </w:r>
      <w:r>
        <w:rPr>
          <w:color w:val="auto"/>
          <w:vertAlign w:val="subscript"/>
        </w:rPr>
        <w:t>i</w:t>
      </w:r>
      <w:r>
        <w:rPr>
          <w:color w:val="auto"/>
        </w:rPr>
        <w:t>—产生的扬尘中P</w:t>
      </w:r>
      <w:r>
        <w:rPr>
          <w:color w:val="auto"/>
          <w:vertAlign w:val="subscript"/>
        </w:rPr>
        <w:t>Mi</w:t>
      </w:r>
      <w:r>
        <w:rPr>
          <w:color w:val="auto"/>
        </w:rPr>
        <w:t>的粒度乘数，TSP取</w:t>
      </w:r>
      <w:r>
        <w:rPr>
          <w:rFonts w:hint="eastAsia"/>
          <w:color w:val="auto"/>
        </w:rPr>
        <w:t>3.23</w:t>
      </w:r>
      <w:r>
        <w:rPr>
          <w:color w:val="auto"/>
        </w:rPr>
        <w:t>g/km；</w:t>
      </w:r>
    </w:p>
    <w:p w14:paraId="7AEF0B0B">
      <w:pPr>
        <w:pStyle w:val="59"/>
        <w:ind w:firstLine="480"/>
        <w:rPr>
          <w:color w:val="auto"/>
        </w:rPr>
      </w:pPr>
      <w:r>
        <w:rPr>
          <w:color w:val="auto"/>
        </w:rPr>
        <w:t>s</w:t>
      </w:r>
      <w:r>
        <w:rPr>
          <w:rFonts w:hint="eastAsia"/>
          <w:color w:val="auto"/>
        </w:rPr>
        <w:t>L</w:t>
      </w:r>
      <w:r>
        <w:rPr>
          <w:color w:val="auto"/>
        </w:rPr>
        <w:t>—</w:t>
      </w:r>
      <w:r>
        <w:rPr>
          <w:rFonts w:hint="eastAsia" w:hAnsi="宋体"/>
          <w:color w:val="auto"/>
        </w:rPr>
        <w:t>道路积尘负荷，</w:t>
      </w:r>
      <w:r>
        <w:rPr>
          <w:rFonts w:hAnsi="宋体"/>
          <w:color w:val="auto"/>
        </w:rPr>
        <w:t>g/m</w:t>
      </w:r>
      <w:r>
        <w:rPr>
          <w:rFonts w:hAnsi="宋体"/>
          <w:color w:val="auto"/>
          <w:vertAlign w:val="superscript"/>
        </w:rPr>
        <w:t>2</w:t>
      </w:r>
      <w:r>
        <w:rPr>
          <w:rFonts w:hint="eastAsia" w:hAnsi="宋体"/>
          <w:color w:val="auto"/>
        </w:rPr>
        <w:t>；取</w:t>
      </w:r>
      <w:r>
        <w:rPr>
          <w:rFonts w:hAnsi="宋体"/>
          <w:color w:val="auto"/>
        </w:rPr>
        <w:t>1g/m</w:t>
      </w:r>
      <w:r>
        <w:rPr>
          <w:rFonts w:hAnsi="宋体"/>
          <w:color w:val="auto"/>
          <w:vertAlign w:val="superscript"/>
        </w:rPr>
        <w:t>2</w:t>
      </w:r>
      <w:r>
        <w:rPr>
          <w:color w:val="auto"/>
        </w:rPr>
        <w:t>。</w:t>
      </w:r>
    </w:p>
    <w:p w14:paraId="0A59D457">
      <w:pPr>
        <w:pStyle w:val="59"/>
        <w:ind w:firstLine="480"/>
        <w:rPr>
          <w:color w:val="auto"/>
        </w:rPr>
      </w:pPr>
      <w:r>
        <w:rPr>
          <w:color w:val="auto"/>
        </w:rPr>
        <w:t>W—平均车重，63t。</w:t>
      </w:r>
    </w:p>
    <w:p w14:paraId="13575592">
      <w:pPr>
        <w:pStyle w:val="59"/>
        <w:ind w:firstLine="480"/>
        <w:rPr>
          <w:color w:val="auto"/>
        </w:rPr>
      </w:pPr>
      <w:r>
        <w:rPr>
          <w:color w:val="auto"/>
        </w:rPr>
        <w:drawing>
          <wp:inline distT="0" distB="0" distL="0" distR="0">
            <wp:extent cx="123825" cy="209550"/>
            <wp:effectExtent l="19050" t="0" r="9525" b="0"/>
            <wp:docPr id="175907907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79074" name="图片 18"/>
                    <pic:cNvPicPr>
                      <a:picLocks noChangeAspect="1" noChangeArrowheads="1"/>
                    </pic:cNvPicPr>
                  </pic:nvPicPr>
                  <pic:blipFill>
                    <a:blip r:embed="rId28"/>
                    <a:srcRect/>
                    <a:stretch>
                      <a:fillRect/>
                    </a:stretch>
                  </pic:blipFill>
                  <pic:spPr>
                    <a:xfrm>
                      <a:off x="0" y="0"/>
                      <a:ext cx="123825" cy="209550"/>
                    </a:xfrm>
                    <a:prstGeom prst="rect">
                      <a:avLst/>
                    </a:prstGeom>
                    <a:noFill/>
                    <a:ln w="9525">
                      <a:noFill/>
                      <a:miter lim="800000"/>
                      <a:headEnd/>
                      <a:tailEnd/>
                    </a:ln>
                  </pic:spPr>
                </pic:pic>
              </a:graphicData>
            </a:graphic>
          </wp:inline>
        </w:drawing>
      </w:r>
      <w:r>
        <w:rPr>
          <w:color w:val="auto"/>
        </w:rPr>
        <w:t>—污染控制技术对扬尘的去除效率，</w:t>
      </w:r>
      <w:r>
        <w:rPr>
          <w:rFonts w:hint="eastAsia"/>
          <w:color w:val="auto"/>
        </w:rPr>
        <w:t>根据</w:t>
      </w:r>
      <w:r>
        <w:rPr>
          <w:color w:val="auto"/>
        </w:rPr>
        <w:t>《扬尘源颗粒物排放清单编制技术指南（试行）》</w:t>
      </w:r>
      <w:r>
        <w:rPr>
          <w:rFonts w:hint="eastAsia"/>
          <w:color w:val="auto"/>
        </w:rPr>
        <w:t>，TSP洒水控制效率为66%</w:t>
      </w:r>
      <w:r>
        <w:rPr>
          <w:color w:val="auto"/>
        </w:rPr>
        <w:t>。</w:t>
      </w:r>
    </w:p>
    <w:p w14:paraId="34D43AB5">
      <w:pPr>
        <w:pStyle w:val="59"/>
        <w:ind w:firstLine="480"/>
        <w:rPr>
          <w:color w:val="auto"/>
          <w:szCs w:val="22"/>
        </w:rPr>
      </w:pPr>
      <w:r>
        <w:rPr>
          <w:color w:val="auto"/>
        </w:rPr>
        <w:t>通过上式计算，E</w:t>
      </w:r>
      <w:r>
        <w:rPr>
          <w:color w:val="auto"/>
          <w:vertAlign w:val="subscript"/>
        </w:rPr>
        <w:t>Pi</w:t>
      </w:r>
      <w:r>
        <w:rPr>
          <w:color w:val="auto"/>
        </w:rPr>
        <w:t>为75.2g/km，进场道路长度约550m，运输次数约为</w:t>
      </w:r>
      <w:r>
        <w:rPr>
          <w:rFonts w:hint="eastAsia"/>
          <w:color w:val="auto"/>
          <w:lang w:val="en-US" w:eastAsia="zh-CN"/>
        </w:rPr>
        <w:t>4356</w:t>
      </w:r>
      <w:r>
        <w:rPr>
          <w:color w:val="auto"/>
        </w:rPr>
        <w:t>次/a，产生道路扬尘0.</w:t>
      </w:r>
      <w:r>
        <w:rPr>
          <w:rFonts w:hint="eastAsia"/>
          <w:color w:val="auto"/>
          <w:lang w:val="en-US" w:eastAsia="zh-CN"/>
        </w:rPr>
        <w:t>18</w:t>
      </w:r>
      <w:r>
        <w:rPr>
          <w:color w:val="auto"/>
        </w:rPr>
        <w:t>t/a</w:t>
      </w:r>
      <w:r>
        <w:rPr>
          <w:rFonts w:hint="eastAsia"/>
          <w:color w:val="auto"/>
        </w:rPr>
        <w:t>（0.</w:t>
      </w:r>
      <w:r>
        <w:rPr>
          <w:rFonts w:hint="eastAsia"/>
          <w:color w:val="auto"/>
          <w:lang w:val="en-US" w:eastAsia="zh-CN"/>
        </w:rPr>
        <w:t>041</w:t>
      </w:r>
      <w:r>
        <w:rPr>
          <w:color w:val="auto"/>
        </w:rPr>
        <w:t>kg/h</w:t>
      </w:r>
      <w:r>
        <w:rPr>
          <w:rFonts w:hint="eastAsia"/>
          <w:color w:val="auto"/>
        </w:rPr>
        <w:t>）</w:t>
      </w:r>
      <w:r>
        <w:rPr>
          <w:color w:val="auto"/>
        </w:rPr>
        <w:t>。</w:t>
      </w:r>
    </w:p>
    <w:p w14:paraId="26A04792">
      <w:pPr>
        <w:spacing w:line="500" w:lineRule="exact"/>
        <w:ind w:firstLine="480" w:firstLineChars="200"/>
        <w:rPr>
          <w:color w:val="auto"/>
          <w:sz w:val="24"/>
          <w:szCs w:val="22"/>
        </w:rPr>
      </w:pPr>
      <w:r>
        <w:rPr>
          <w:rFonts w:hint="eastAsia" w:ascii="宋体" w:hAnsi="宋体"/>
          <w:color w:val="auto"/>
          <w:sz w:val="24"/>
          <w:szCs w:val="22"/>
        </w:rPr>
        <w:t>运输过程</w:t>
      </w:r>
      <w:r>
        <w:rPr>
          <w:rFonts w:ascii="宋体" w:hAnsi="宋体"/>
          <w:color w:val="auto"/>
          <w:sz w:val="24"/>
          <w:szCs w:val="22"/>
        </w:rPr>
        <w:t>中影响：本项目</w:t>
      </w:r>
      <w:r>
        <w:rPr>
          <w:rFonts w:hint="eastAsia" w:ascii="宋体" w:hAnsi="宋体"/>
          <w:color w:val="auto"/>
          <w:sz w:val="24"/>
          <w:szCs w:val="22"/>
          <w:lang w:eastAsia="zh-CN"/>
        </w:rPr>
        <w:t>灰渣</w:t>
      </w:r>
      <w:r>
        <w:rPr>
          <w:rFonts w:hint="eastAsia" w:ascii="宋体" w:hAnsi="宋体"/>
          <w:color w:val="auto"/>
          <w:sz w:val="24"/>
          <w:szCs w:val="22"/>
        </w:rPr>
        <w:t>在</w:t>
      </w:r>
      <w:r>
        <w:rPr>
          <w:rFonts w:hint="eastAsia" w:ascii="宋体" w:hAnsi="宋体"/>
          <w:color w:val="auto"/>
          <w:sz w:val="24"/>
          <w:szCs w:val="22"/>
          <w:lang w:val="en-US" w:eastAsia="zh-CN"/>
        </w:rPr>
        <w:t>黑龙江醇能热电有限公司</w:t>
      </w:r>
      <w:r>
        <w:rPr>
          <w:rFonts w:hint="eastAsia" w:ascii="宋体" w:hAnsi="宋体"/>
          <w:color w:val="auto"/>
          <w:sz w:val="24"/>
          <w:szCs w:val="22"/>
        </w:rPr>
        <w:t>加</w:t>
      </w:r>
      <w:r>
        <w:rPr>
          <w:rFonts w:ascii="宋体" w:hAnsi="宋体"/>
          <w:color w:val="auto"/>
          <w:sz w:val="24"/>
          <w:szCs w:val="22"/>
        </w:rPr>
        <w:t>湿后采用封闭自卸车运输至回填</w:t>
      </w:r>
      <w:r>
        <w:rPr>
          <w:rFonts w:hint="eastAsia" w:ascii="宋体" w:hAnsi="宋体"/>
          <w:color w:val="auto"/>
          <w:sz w:val="24"/>
          <w:szCs w:val="22"/>
        </w:rPr>
        <w:t>区</w:t>
      </w:r>
      <w:r>
        <w:rPr>
          <w:rFonts w:ascii="宋体" w:hAnsi="宋体"/>
          <w:color w:val="auto"/>
          <w:sz w:val="24"/>
          <w:szCs w:val="22"/>
        </w:rPr>
        <w:t>，因此，运灰过程中</w:t>
      </w:r>
      <w:r>
        <w:rPr>
          <w:rFonts w:hint="eastAsia" w:ascii="宋体" w:hAnsi="宋体"/>
          <w:color w:val="auto"/>
          <w:sz w:val="24"/>
          <w:szCs w:val="22"/>
          <w:lang w:eastAsia="zh-CN"/>
        </w:rPr>
        <w:t>灰渣</w:t>
      </w:r>
      <w:r>
        <w:rPr>
          <w:rFonts w:ascii="宋体" w:hAnsi="宋体"/>
          <w:color w:val="auto"/>
          <w:sz w:val="24"/>
          <w:szCs w:val="22"/>
        </w:rPr>
        <w:t>不会外泄造成二次扬尘对周围环境产生影响。车辆行驶过程中由于轮胎与路面接触会产生路面风蚀扬尘，由于</w:t>
      </w:r>
      <w:r>
        <w:rPr>
          <w:rFonts w:hint="eastAsia" w:ascii="宋体" w:hAnsi="宋体"/>
          <w:color w:val="auto"/>
          <w:sz w:val="24"/>
          <w:szCs w:val="22"/>
        </w:rPr>
        <w:t>沿途</w:t>
      </w:r>
      <w:r>
        <w:rPr>
          <w:rFonts w:ascii="宋体" w:hAnsi="宋体"/>
          <w:color w:val="auto"/>
          <w:sz w:val="24"/>
          <w:szCs w:val="22"/>
        </w:rPr>
        <w:t>道路</w:t>
      </w:r>
      <w:r>
        <w:rPr>
          <w:rFonts w:hint="eastAsia" w:ascii="宋体" w:hAnsi="宋体"/>
          <w:color w:val="auto"/>
          <w:sz w:val="24"/>
          <w:szCs w:val="22"/>
          <w:lang w:eastAsia="zh-CN"/>
        </w:rPr>
        <w:t>大部分</w:t>
      </w:r>
      <w:r>
        <w:rPr>
          <w:rFonts w:ascii="宋体" w:hAnsi="宋体"/>
          <w:color w:val="auto"/>
          <w:sz w:val="24"/>
          <w:szCs w:val="22"/>
        </w:rPr>
        <w:t>是水泥路面，运灰车辆行驶过程中产生的扬尘量较少，运输车辆引起的扬尘对路边</w:t>
      </w:r>
      <w:r>
        <w:rPr>
          <w:color w:val="auto"/>
          <w:sz w:val="24"/>
          <w:szCs w:val="22"/>
        </w:rPr>
        <w:t>30m</w:t>
      </w:r>
      <w:r>
        <w:rPr>
          <w:rFonts w:ascii="宋体" w:hAnsi="宋体"/>
          <w:color w:val="auto"/>
          <w:sz w:val="24"/>
          <w:szCs w:val="22"/>
        </w:rPr>
        <w:t>范围内影响较大，本项目运输沿线</w:t>
      </w:r>
      <w:r>
        <w:rPr>
          <w:rFonts w:hint="eastAsia" w:ascii="宋体" w:hAnsi="宋体"/>
          <w:color w:val="auto"/>
          <w:sz w:val="24"/>
          <w:szCs w:val="22"/>
          <w:lang w:eastAsia="zh-CN"/>
        </w:rPr>
        <w:t>途经</w:t>
      </w:r>
      <w:r>
        <w:rPr>
          <w:rFonts w:hint="eastAsia" w:ascii="宋体" w:hAnsi="宋体"/>
          <w:color w:val="auto"/>
          <w:sz w:val="24"/>
          <w:szCs w:val="22"/>
        </w:rPr>
        <w:t>居民区</w:t>
      </w:r>
      <w:r>
        <w:rPr>
          <w:rFonts w:ascii="宋体" w:hAnsi="宋体"/>
          <w:color w:val="auto"/>
          <w:sz w:val="24"/>
          <w:szCs w:val="22"/>
        </w:rPr>
        <w:t>，通过采取</w:t>
      </w:r>
      <w:r>
        <w:rPr>
          <w:rFonts w:hint="eastAsia" w:ascii="宋体" w:hAnsi="宋体"/>
          <w:color w:val="auto"/>
          <w:sz w:val="24"/>
          <w:szCs w:val="22"/>
          <w:lang w:eastAsia="zh-CN"/>
        </w:rPr>
        <w:t>途经</w:t>
      </w:r>
      <w:r>
        <w:rPr>
          <w:rFonts w:hint="eastAsia" w:ascii="宋体" w:hAnsi="宋体"/>
          <w:color w:val="auto"/>
          <w:sz w:val="24"/>
          <w:szCs w:val="22"/>
        </w:rPr>
        <w:t>居民区</w:t>
      </w:r>
      <w:r>
        <w:rPr>
          <w:rFonts w:ascii="宋体" w:hAnsi="宋体"/>
          <w:color w:val="auto"/>
          <w:sz w:val="24"/>
          <w:szCs w:val="22"/>
        </w:rPr>
        <w:t>等敏感点时运输车辆减速等措施，路边的</w:t>
      </w:r>
      <w:r>
        <w:rPr>
          <w:color w:val="auto"/>
          <w:sz w:val="24"/>
          <w:szCs w:val="22"/>
        </w:rPr>
        <w:t>TSP</w:t>
      </w:r>
      <w:r>
        <w:rPr>
          <w:rFonts w:ascii="宋体" w:hAnsi="宋体"/>
          <w:color w:val="auto"/>
          <w:sz w:val="24"/>
          <w:szCs w:val="22"/>
        </w:rPr>
        <w:t>浓度可低于</w:t>
      </w:r>
      <w:r>
        <w:rPr>
          <w:color w:val="auto"/>
          <w:sz w:val="24"/>
          <w:szCs w:val="22"/>
        </w:rPr>
        <w:t>1.0mg/m</w:t>
      </w:r>
      <w:r>
        <w:rPr>
          <w:color w:val="auto"/>
          <w:sz w:val="24"/>
          <w:szCs w:val="22"/>
          <w:vertAlign w:val="superscript"/>
        </w:rPr>
        <w:t>3</w:t>
      </w:r>
      <w:r>
        <w:rPr>
          <w:rFonts w:ascii="宋体" w:hAnsi="宋体"/>
          <w:color w:val="auto"/>
          <w:sz w:val="24"/>
          <w:szCs w:val="22"/>
        </w:rPr>
        <w:t>。因此运灰车辆行驶过程中产生的路面扬尘对</w:t>
      </w:r>
      <w:r>
        <w:rPr>
          <w:rFonts w:hint="eastAsia" w:ascii="宋体" w:hAnsi="宋体"/>
          <w:color w:val="auto"/>
          <w:sz w:val="24"/>
          <w:szCs w:val="22"/>
        </w:rPr>
        <w:t>敏感点</w:t>
      </w:r>
      <w:r>
        <w:rPr>
          <w:rFonts w:ascii="宋体" w:hAnsi="宋体"/>
          <w:color w:val="auto"/>
          <w:sz w:val="24"/>
          <w:szCs w:val="22"/>
        </w:rPr>
        <w:t>影响较小。</w:t>
      </w:r>
    </w:p>
    <w:p w14:paraId="3E0EF2C6">
      <w:pPr>
        <w:spacing w:line="500" w:lineRule="exact"/>
        <w:ind w:firstLine="480" w:firstLineChars="200"/>
        <w:rPr>
          <w:color w:val="auto"/>
          <w:sz w:val="24"/>
          <w:szCs w:val="22"/>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8A8A751">
      <w:pPr>
        <w:adjustRightInd w:val="0"/>
        <w:snapToGrid w:val="0"/>
        <w:spacing w:line="500" w:lineRule="exact"/>
        <w:jc w:val="center"/>
        <w:rPr>
          <w:rFonts w:eastAsia="黑体"/>
          <w:color w:val="auto"/>
          <w:sz w:val="24"/>
          <w:szCs w:val="22"/>
          <w:highlight w:val="none"/>
          <w:lang w:val="zh-CN"/>
        </w:rPr>
      </w:pPr>
      <w:r>
        <w:rPr>
          <w:rFonts w:hint="eastAsia" w:eastAsia="黑体"/>
          <w:color w:val="auto"/>
          <w:sz w:val="24"/>
          <w:szCs w:val="22"/>
          <w:highlight w:val="none"/>
          <w:lang w:val="zh-CN"/>
        </w:rPr>
        <w:t>表3-</w:t>
      </w:r>
      <w:r>
        <w:rPr>
          <w:rFonts w:eastAsia="黑体"/>
          <w:color w:val="auto"/>
          <w:sz w:val="24"/>
          <w:szCs w:val="22"/>
          <w:highlight w:val="none"/>
          <w:lang w:val="zh-CN"/>
        </w:rPr>
        <w:t>3</w:t>
      </w:r>
      <w:r>
        <w:rPr>
          <w:rFonts w:hint="eastAsia" w:eastAsia="黑体"/>
          <w:color w:val="auto"/>
          <w:sz w:val="24"/>
          <w:szCs w:val="22"/>
          <w:highlight w:val="none"/>
          <w:lang w:val="zh-CN"/>
        </w:rPr>
        <w:t>-</w:t>
      </w:r>
      <w:r>
        <w:rPr>
          <w:rFonts w:eastAsia="黑体"/>
          <w:color w:val="auto"/>
          <w:sz w:val="24"/>
          <w:szCs w:val="22"/>
          <w:highlight w:val="none"/>
          <w:lang w:val="zh-CN"/>
        </w:rPr>
        <w:t>7</w:t>
      </w:r>
      <w:r>
        <w:rPr>
          <w:rFonts w:hint="eastAsia" w:eastAsia="黑体"/>
          <w:color w:val="auto"/>
          <w:sz w:val="24"/>
          <w:szCs w:val="22"/>
          <w:highlight w:val="none"/>
          <w:lang w:val="zh-CN"/>
        </w:rPr>
        <w:t>废气污染物源强核算结果及相关参数一览表</w:t>
      </w:r>
    </w:p>
    <w:tbl>
      <w:tblPr>
        <w:tblStyle w:val="76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0"/>
        <w:gridCol w:w="564"/>
        <w:gridCol w:w="773"/>
        <w:gridCol w:w="736"/>
        <w:gridCol w:w="808"/>
        <w:gridCol w:w="1033"/>
        <w:gridCol w:w="991"/>
        <w:gridCol w:w="1006"/>
        <w:gridCol w:w="1348"/>
        <w:gridCol w:w="811"/>
        <w:gridCol w:w="646"/>
        <w:gridCol w:w="1033"/>
        <w:gridCol w:w="991"/>
        <w:gridCol w:w="1012"/>
        <w:gridCol w:w="636"/>
      </w:tblGrid>
      <w:tr w14:paraId="245339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restart"/>
            <w:vAlign w:val="center"/>
          </w:tcPr>
          <w:p w14:paraId="62BFED7E">
            <w:pPr>
              <w:adjustRightInd w:val="0"/>
              <w:snapToGrid w:val="0"/>
              <w:jc w:val="center"/>
              <w:rPr>
                <w:snapToGrid w:val="0"/>
                <w:color w:val="auto"/>
                <w:szCs w:val="22"/>
                <w:highlight w:val="none"/>
                <w:lang w:val="zh-CN"/>
              </w:rPr>
            </w:pPr>
            <w:r>
              <w:rPr>
                <w:rFonts w:hint="eastAsia"/>
                <w:snapToGrid w:val="0"/>
                <w:color w:val="auto"/>
                <w:szCs w:val="22"/>
                <w:highlight w:val="none"/>
                <w:lang w:val="zh-CN"/>
              </w:rPr>
              <w:t>工序</w:t>
            </w:r>
          </w:p>
        </w:tc>
        <w:tc>
          <w:tcPr>
            <w:tcW w:w="213" w:type="pct"/>
            <w:vMerge w:val="restart"/>
            <w:vAlign w:val="center"/>
          </w:tcPr>
          <w:p w14:paraId="0C9BF98B">
            <w:pPr>
              <w:adjustRightInd w:val="0"/>
              <w:snapToGrid w:val="0"/>
              <w:jc w:val="center"/>
              <w:rPr>
                <w:snapToGrid w:val="0"/>
                <w:color w:val="auto"/>
                <w:szCs w:val="22"/>
                <w:highlight w:val="none"/>
                <w:lang w:val="zh-CN"/>
              </w:rPr>
            </w:pPr>
            <w:r>
              <w:rPr>
                <w:snapToGrid w:val="0"/>
                <w:color w:val="auto"/>
                <w:szCs w:val="22"/>
                <w:highlight w:val="none"/>
                <w:lang w:val="zh-CN"/>
              </w:rPr>
              <w:t>装置</w:t>
            </w:r>
          </w:p>
        </w:tc>
        <w:tc>
          <w:tcPr>
            <w:tcW w:w="292" w:type="pct"/>
            <w:vMerge w:val="restart"/>
            <w:vAlign w:val="center"/>
          </w:tcPr>
          <w:p w14:paraId="4B3A2447">
            <w:pPr>
              <w:adjustRightInd w:val="0"/>
              <w:snapToGrid w:val="0"/>
              <w:jc w:val="center"/>
              <w:rPr>
                <w:snapToGrid w:val="0"/>
                <w:color w:val="auto"/>
                <w:szCs w:val="22"/>
                <w:highlight w:val="none"/>
                <w:lang w:val="zh-CN"/>
              </w:rPr>
            </w:pPr>
            <w:r>
              <w:rPr>
                <w:snapToGrid w:val="0"/>
                <w:color w:val="auto"/>
                <w:szCs w:val="22"/>
                <w:highlight w:val="none"/>
                <w:lang w:val="zh-CN"/>
              </w:rPr>
              <w:t>污染源</w:t>
            </w:r>
          </w:p>
        </w:tc>
        <w:tc>
          <w:tcPr>
            <w:tcW w:w="278" w:type="pct"/>
            <w:vMerge w:val="restart"/>
            <w:vAlign w:val="center"/>
          </w:tcPr>
          <w:p w14:paraId="581EAEB3">
            <w:pPr>
              <w:adjustRightInd w:val="0"/>
              <w:snapToGrid w:val="0"/>
              <w:jc w:val="center"/>
              <w:rPr>
                <w:snapToGrid w:val="0"/>
                <w:color w:val="auto"/>
                <w:szCs w:val="22"/>
                <w:highlight w:val="none"/>
                <w:lang w:val="zh-CN"/>
              </w:rPr>
            </w:pPr>
            <w:r>
              <w:rPr>
                <w:snapToGrid w:val="0"/>
                <w:color w:val="auto"/>
                <w:szCs w:val="22"/>
                <w:highlight w:val="none"/>
                <w:lang w:val="zh-CN"/>
              </w:rPr>
              <w:t>污染物</w:t>
            </w:r>
          </w:p>
        </w:tc>
        <w:tc>
          <w:tcPr>
            <w:tcW w:w="1449" w:type="pct"/>
            <w:gridSpan w:val="4"/>
            <w:vAlign w:val="center"/>
          </w:tcPr>
          <w:p w14:paraId="5BAD248E">
            <w:pPr>
              <w:adjustRightInd w:val="0"/>
              <w:snapToGrid w:val="0"/>
              <w:jc w:val="center"/>
              <w:rPr>
                <w:snapToGrid w:val="0"/>
                <w:color w:val="auto"/>
                <w:szCs w:val="22"/>
                <w:highlight w:val="none"/>
                <w:lang w:val="zh-CN"/>
              </w:rPr>
            </w:pPr>
            <w:r>
              <w:rPr>
                <w:snapToGrid w:val="0"/>
                <w:color w:val="auto"/>
                <w:szCs w:val="22"/>
                <w:highlight w:val="none"/>
                <w:lang w:val="zh-CN"/>
              </w:rPr>
              <w:t>污染物产生</w:t>
            </w:r>
          </w:p>
        </w:tc>
        <w:tc>
          <w:tcPr>
            <w:tcW w:w="815" w:type="pct"/>
            <w:gridSpan w:val="2"/>
            <w:vAlign w:val="center"/>
          </w:tcPr>
          <w:p w14:paraId="719546EE">
            <w:pPr>
              <w:adjustRightInd w:val="0"/>
              <w:snapToGrid w:val="0"/>
              <w:jc w:val="center"/>
              <w:rPr>
                <w:snapToGrid w:val="0"/>
                <w:color w:val="auto"/>
                <w:szCs w:val="22"/>
                <w:highlight w:val="none"/>
                <w:lang w:val="zh-CN"/>
              </w:rPr>
            </w:pPr>
            <w:r>
              <w:rPr>
                <w:snapToGrid w:val="0"/>
                <w:color w:val="auto"/>
                <w:szCs w:val="22"/>
                <w:highlight w:val="none"/>
                <w:lang w:val="zh-CN"/>
              </w:rPr>
              <w:t>治理措施</w:t>
            </w:r>
          </w:p>
        </w:tc>
        <w:tc>
          <w:tcPr>
            <w:tcW w:w="1390" w:type="pct"/>
            <w:gridSpan w:val="4"/>
            <w:vAlign w:val="center"/>
          </w:tcPr>
          <w:p w14:paraId="1533915E">
            <w:pPr>
              <w:adjustRightInd w:val="0"/>
              <w:snapToGrid w:val="0"/>
              <w:jc w:val="center"/>
              <w:rPr>
                <w:snapToGrid w:val="0"/>
                <w:color w:val="auto"/>
                <w:szCs w:val="22"/>
                <w:highlight w:val="none"/>
                <w:lang w:val="zh-CN"/>
              </w:rPr>
            </w:pPr>
            <w:r>
              <w:rPr>
                <w:snapToGrid w:val="0"/>
                <w:color w:val="auto"/>
                <w:szCs w:val="22"/>
                <w:highlight w:val="none"/>
                <w:lang w:val="zh-CN"/>
              </w:rPr>
              <w:t>污染物排放</w:t>
            </w:r>
          </w:p>
        </w:tc>
        <w:tc>
          <w:tcPr>
            <w:tcW w:w="240" w:type="pct"/>
            <w:vMerge w:val="restart"/>
            <w:vAlign w:val="center"/>
          </w:tcPr>
          <w:p w14:paraId="4AE4FFAD">
            <w:pPr>
              <w:adjustRightInd w:val="0"/>
              <w:snapToGrid w:val="0"/>
              <w:jc w:val="center"/>
              <w:rPr>
                <w:snapToGrid w:val="0"/>
                <w:color w:val="auto"/>
                <w:szCs w:val="22"/>
                <w:highlight w:val="none"/>
                <w:lang w:val="zh-CN"/>
              </w:rPr>
            </w:pPr>
            <w:r>
              <w:rPr>
                <w:snapToGrid w:val="0"/>
                <w:color w:val="auto"/>
                <w:szCs w:val="22"/>
                <w:highlight w:val="none"/>
                <w:lang w:val="zh-CN"/>
              </w:rPr>
              <w:t>排放</w:t>
            </w:r>
          </w:p>
          <w:p w14:paraId="5C77702A">
            <w:pPr>
              <w:adjustRightInd w:val="0"/>
              <w:snapToGrid w:val="0"/>
              <w:jc w:val="center"/>
              <w:rPr>
                <w:snapToGrid w:val="0"/>
                <w:color w:val="auto"/>
                <w:szCs w:val="22"/>
                <w:highlight w:val="none"/>
                <w:lang w:val="zh-CN"/>
              </w:rPr>
            </w:pPr>
            <w:r>
              <w:rPr>
                <w:snapToGrid w:val="0"/>
                <w:color w:val="auto"/>
                <w:szCs w:val="22"/>
                <w:highlight w:val="none"/>
                <w:lang w:val="zh-CN"/>
              </w:rPr>
              <w:t>时间h</w:t>
            </w:r>
          </w:p>
        </w:tc>
      </w:tr>
      <w:tr w14:paraId="1D66B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continue"/>
            <w:vAlign w:val="center"/>
          </w:tcPr>
          <w:p w14:paraId="73087AE4">
            <w:pPr>
              <w:adjustRightInd w:val="0"/>
              <w:snapToGrid w:val="0"/>
              <w:jc w:val="center"/>
              <w:rPr>
                <w:snapToGrid w:val="0"/>
                <w:color w:val="auto"/>
                <w:szCs w:val="22"/>
                <w:highlight w:val="none"/>
                <w:lang w:val="zh-CN"/>
              </w:rPr>
            </w:pPr>
          </w:p>
        </w:tc>
        <w:tc>
          <w:tcPr>
            <w:tcW w:w="213" w:type="pct"/>
            <w:vMerge w:val="continue"/>
            <w:vAlign w:val="center"/>
          </w:tcPr>
          <w:p w14:paraId="0E700E64">
            <w:pPr>
              <w:adjustRightInd w:val="0"/>
              <w:snapToGrid w:val="0"/>
              <w:jc w:val="center"/>
              <w:rPr>
                <w:snapToGrid w:val="0"/>
                <w:color w:val="auto"/>
                <w:szCs w:val="22"/>
                <w:highlight w:val="none"/>
                <w:lang w:val="zh-CN"/>
              </w:rPr>
            </w:pPr>
          </w:p>
        </w:tc>
        <w:tc>
          <w:tcPr>
            <w:tcW w:w="292" w:type="pct"/>
            <w:vMerge w:val="continue"/>
            <w:vAlign w:val="center"/>
          </w:tcPr>
          <w:p w14:paraId="2C55D07A">
            <w:pPr>
              <w:adjustRightInd w:val="0"/>
              <w:snapToGrid w:val="0"/>
              <w:jc w:val="center"/>
              <w:rPr>
                <w:snapToGrid w:val="0"/>
                <w:color w:val="auto"/>
                <w:szCs w:val="22"/>
                <w:highlight w:val="none"/>
                <w:lang w:val="zh-CN"/>
              </w:rPr>
            </w:pPr>
          </w:p>
        </w:tc>
        <w:tc>
          <w:tcPr>
            <w:tcW w:w="278" w:type="pct"/>
            <w:vMerge w:val="continue"/>
            <w:vAlign w:val="center"/>
          </w:tcPr>
          <w:p w14:paraId="4C266C45">
            <w:pPr>
              <w:adjustRightInd w:val="0"/>
              <w:snapToGrid w:val="0"/>
              <w:jc w:val="center"/>
              <w:rPr>
                <w:snapToGrid w:val="0"/>
                <w:color w:val="auto"/>
                <w:szCs w:val="22"/>
                <w:highlight w:val="none"/>
                <w:lang w:val="zh-CN"/>
              </w:rPr>
            </w:pPr>
          </w:p>
        </w:tc>
        <w:tc>
          <w:tcPr>
            <w:tcW w:w="305" w:type="pct"/>
            <w:vAlign w:val="center"/>
          </w:tcPr>
          <w:p w14:paraId="4A0A153F">
            <w:pPr>
              <w:adjustRightInd w:val="0"/>
              <w:snapToGrid w:val="0"/>
              <w:jc w:val="center"/>
              <w:rPr>
                <w:snapToGrid w:val="0"/>
                <w:color w:val="auto"/>
                <w:szCs w:val="22"/>
                <w:highlight w:val="none"/>
                <w:lang w:val="zh-CN"/>
              </w:rPr>
            </w:pPr>
            <w:r>
              <w:rPr>
                <w:rFonts w:hint="eastAsia"/>
                <w:snapToGrid w:val="0"/>
                <w:color w:val="auto"/>
                <w:szCs w:val="22"/>
                <w:highlight w:val="none"/>
                <w:lang w:val="zh-CN"/>
              </w:rPr>
              <w:t>核算方法</w:t>
            </w:r>
          </w:p>
        </w:tc>
        <w:tc>
          <w:tcPr>
            <w:tcW w:w="390" w:type="pct"/>
            <w:vAlign w:val="center"/>
          </w:tcPr>
          <w:p w14:paraId="6F7E2A34">
            <w:pPr>
              <w:adjustRightInd w:val="0"/>
              <w:snapToGrid w:val="0"/>
              <w:jc w:val="center"/>
              <w:rPr>
                <w:snapToGrid w:val="0"/>
                <w:color w:val="auto"/>
                <w:szCs w:val="22"/>
                <w:highlight w:val="none"/>
                <w:lang w:val="zh-CN"/>
              </w:rPr>
            </w:pPr>
            <w:r>
              <w:rPr>
                <w:snapToGrid w:val="0"/>
                <w:color w:val="auto"/>
                <w:szCs w:val="22"/>
                <w:highlight w:val="none"/>
                <w:lang w:val="zh-CN"/>
              </w:rPr>
              <w:t>废气产生量（m</w:t>
            </w:r>
            <w:r>
              <w:rPr>
                <w:snapToGrid w:val="0"/>
                <w:color w:val="auto"/>
                <w:szCs w:val="22"/>
                <w:highlight w:val="none"/>
                <w:vertAlign w:val="superscript"/>
                <w:lang w:val="zh-CN"/>
              </w:rPr>
              <w:t>3</w:t>
            </w:r>
            <w:r>
              <w:rPr>
                <w:snapToGrid w:val="0"/>
                <w:color w:val="auto"/>
                <w:szCs w:val="22"/>
                <w:highlight w:val="none"/>
                <w:lang w:val="zh-CN"/>
              </w:rPr>
              <w:t>/h）</w:t>
            </w:r>
          </w:p>
        </w:tc>
        <w:tc>
          <w:tcPr>
            <w:tcW w:w="374" w:type="pct"/>
            <w:vAlign w:val="center"/>
          </w:tcPr>
          <w:p w14:paraId="21377F87">
            <w:pPr>
              <w:adjustRightInd w:val="0"/>
              <w:snapToGrid w:val="0"/>
              <w:jc w:val="center"/>
              <w:rPr>
                <w:snapToGrid w:val="0"/>
                <w:color w:val="auto"/>
                <w:szCs w:val="22"/>
                <w:highlight w:val="none"/>
                <w:lang w:val="zh-CN"/>
              </w:rPr>
            </w:pPr>
            <w:r>
              <w:rPr>
                <w:snapToGrid w:val="0"/>
                <w:color w:val="auto"/>
                <w:szCs w:val="22"/>
                <w:highlight w:val="none"/>
                <w:lang w:val="zh-CN"/>
              </w:rPr>
              <w:t>产生浓度</w:t>
            </w:r>
            <w:r>
              <w:rPr>
                <w:rFonts w:hint="eastAsia"/>
                <w:snapToGrid w:val="0"/>
                <w:color w:val="auto"/>
                <w:szCs w:val="22"/>
                <w:highlight w:val="none"/>
                <w:lang w:val="zh-CN"/>
              </w:rPr>
              <w:t>(</w:t>
            </w:r>
            <w:r>
              <w:rPr>
                <w:snapToGrid w:val="0"/>
                <w:color w:val="auto"/>
                <w:szCs w:val="22"/>
                <w:highlight w:val="none"/>
                <w:lang w:val="zh-CN"/>
              </w:rPr>
              <w:t>mg/m</w:t>
            </w:r>
            <w:r>
              <w:rPr>
                <w:snapToGrid w:val="0"/>
                <w:color w:val="auto"/>
                <w:szCs w:val="22"/>
                <w:highlight w:val="none"/>
                <w:vertAlign w:val="superscript"/>
                <w:lang w:val="zh-CN"/>
              </w:rPr>
              <w:t>3</w:t>
            </w:r>
            <w:r>
              <w:rPr>
                <w:rFonts w:hint="eastAsia"/>
                <w:snapToGrid w:val="0"/>
                <w:color w:val="auto"/>
                <w:szCs w:val="22"/>
                <w:highlight w:val="none"/>
                <w:lang w:val="zh-CN"/>
              </w:rPr>
              <w:t>)</w:t>
            </w:r>
          </w:p>
        </w:tc>
        <w:tc>
          <w:tcPr>
            <w:tcW w:w="380" w:type="pct"/>
            <w:vAlign w:val="center"/>
          </w:tcPr>
          <w:p w14:paraId="4D295C9E">
            <w:pPr>
              <w:adjustRightInd w:val="0"/>
              <w:snapToGrid w:val="0"/>
              <w:jc w:val="center"/>
              <w:rPr>
                <w:snapToGrid w:val="0"/>
                <w:color w:val="auto"/>
                <w:szCs w:val="22"/>
                <w:highlight w:val="none"/>
                <w:lang w:val="zh-CN"/>
              </w:rPr>
            </w:pPr>
            <w:r>
              <w:rPr>
                <w:snapToGrid w:val="0"/>
                <w:color w:val="auto"/>
                <w:szCs w:val="22"/>
                <w:highlight w:val="none"/>
                <w:lang w:val="zh-CN"/>
              </w:rPr>
              <w:t>产生量</w:t>
            </w:r>
            <w:r>
              <w:rPr>
                <w:rFonts w:hint="eastAsia"/>
                <w:snapToGrid w:val="0"/>
                <w:color w:val="auto"/>
                <w:szCs w:val="22"/>
                <w:highlight w:val="none"/>
                <w:lang w:val="zh-CN"/>
              </w:rPr>
              <w:t>(</w:t>
            </w:r>
            <w:r>
              <w:rPr>
                <w:snapToGrid w:val="0"/>
                <w:color w:val="auto"/>
                <w:szCs w:val="22"/>
                <w:highlight w:val="none"/>
                <w:lang w:val="zh-CN"/>
              </w:rPr>
              <w:t>kg</w:t>
            </w:r>
            <w:r>
              <w:rPr>
                <w:rFonts w:hint="eastAsia"/>
                <w:snapToGrid w:val="0"/>
                <w:color w:val="auto"/>
                <w:szCs w:val="22"/>
                <w:highlight w:val="none"/>
                <w:lang w:val="zh-CN"/>
              </w:rPr>
              <w:t>/h)</w:t>
            </w:r>
          </w:p>
        </w:tc>
        <w:tc>
          <w:tcPr>
            <w:tcW w:w="509" w:type="pct"/>
            <w:vAlign w:val="center"/>
          </w:tcPr>
          <w:p w14:paraId="393E6B59">
            <w:pPr>
              <w:adjustRightInd w:val="0"/>
              <w:snapToGrid w:val="0"/>
              <w:jc w:val="center"/>
              <w:rPr>
                <w:snapToGrid w:val="0"/>
                <w:color w:val="auto"/>
                <w:szCs w:val="22"/>
                <w:highlight w:val="none"/>
                <w:lang w:val="zh-CN"/>
              </w:rPr>
            </w:pPr>
            <w:r>
              <w:rPr>
                <w:snapToGrid w:val="0"/>
                <w:color w:val="auto"/>
                <w:szCs w:val="22"/>
                <w:highlight w:val="none"/>
                <w:lang w:val="zh-CN"/>
              </w:rPr>
              <w:t>工艺</w:t>
            </w:r>
          </w:p>
        </w:tc>
        <w:tc>
          <w:tcPr>
            <w:tcW w:w="306" w:type="pct"/>
            <w:vAlign w:val="center"/>
          </w:tcPr>
          <w:p w14:paraId="05A3DEFA">
            <w:pPr>
              <w:adjustRightInd w:val="0"/>
              <w:snapToGrid w:val="0"/>
              <w:jc w:val="center"/>
              <w:rPr>
                <w:snapToGrid w:val="0"/>
                <w:color w:val="auto"/>
                <w:szCs w:val="22"/>
                <w:highlight w:val="none"/>
                <w:lang w:val="zh-CN"/>
              </w:rPr>
            </w:pPr>
            <w:r>
              <w:rPr>
                <w:snapToGrid w:val="0"/>
                <w:color w:val="auto"/>
                <w:szCs w:val="22"/>
                <w:highlight w:val="none"/>
                <w:lang w:val="zh-CN"/>
              </w:rPr>
              <w:t>处理效率（%）</w:t>
            </w:r>
          </w:p>
        </w:tc>
        <w:tc>
          <w:tcPr>
            <w:tcW w:w="244" w:type="pct"/>
            <w:vAlign w:val="center"/>
          </w:tcPr>
          <w:p w14:paraId="00A21842">
            <w:pPr>
              <w:adjustRightInd w:val="0"/>
              <w:snapToGrid w:val="0"/>
              <w:jc w:val="center"/>
              <w:rPr>
                <w:snapToGrid w:val="0"/>
                <w:color w:val="auto"/>
                <w:szCs w:val="22"/>
                <w:highlight w:val="none"/>
                <w:lang w:val="zh-CN"/>
              </w:rPr>
            </w:pPr>
            <w:r>
              <w:rPr>
                <w:rFonts w:hint="eastAsia"/>
                <w:snapToGrid w:val="0"/>
                <w:color w:val="auto"/>
                <w:szCs w:val="22"/>
                <w:highlight w:val="none"/>
                <w:lang w:val="zh-CN"/>
              </w:rPr>
              <w:t>核算方法</w:t>
            </w:r>
          </w:p>
        </w:tc>
        <w:tc>
          <w:tcPr>
            <w:tcW w:w="390" w:type="pct"/>
            <w:vAlign w:val="center"/>
          </w:tcPr>
          <w:p w14:paraId="74DFD271">
            <w:pPr>
              <w:adjustRightInd w:val="0"/>
              <w:snapToGrid w:val="0"/>
              <w:jc w:val="center"/>
              <w:rPr>
                <w:snapToGrid w:val="0"/>
                <w:color w:val="auto"/>
                <w:szCs w:val="22"/>
                <w:highlight w:val="none"/>
                <w:lang w:val="zh-CN"/>
              </w:rPr>
            </w:pPr>
            <w:r>
              <w:rPr>
                <w:snapToGrid w:val="0"/>
                <w:color w:val="auto"/>
                <w:szCs w:val="22"/>
                <w:highlight w:val="none"/>
                <w:lang w:val="zh-CN"/>
              </w:rPr>
              <w:t>废气排放量（m</w:t>
            </w:r>
            <w:r>
              <w:rPr>
                <w:snapToGrid w:val="0"/>
                <w:color w:val="auto"/>
                <w:szCs w:val="22"/>
                <w:highlight w:val="none"/>
                <w:vertAlign w:val="superscript"/>
                <w:lang w:val="zh-CN"/>
              </w:rPr>
              <w:t>3</w:t>
            </w:r>
            <w:r>
              <w:rPr>
                <w:snapToGrid w:val="0"/>
                <w:color w:val="auto"/>
                <w:szCs w:val="22"/>
                <w:highlight w:val="none"/>
                <w:lang w:val="zh-CN"/>
              </w:rPr>
              <w:t>/h）</w:t>
            </w:r>
          </w:p>
        </w:tc>
        <w:tc>
          <w:tcPr>
            <w:tcW w:w="374" w:type="pct"/>
            <w:vAlign w:val="center"/>
          </w:tcPr>
          <w:p w14:paraId="4FB971FD">
            <w:pPr>
              <w:adjustRightInd w:val="0"/>
              <w:snapToGrid w:val="0"/>
              <w:jc w:val="center"/>
              <w:rPr>
                <w:snapToGrid w:val="0"/>
                <w:color w:val="auto"/>
                <w:szCs w:val="22"/>
                <w:highlight w:val="none"/>
                <w:lang w:val="zh-CN"/>
              </w:rPr>
            </w:pPr>
            <w:r>
              <w:rPr>
                <w:snapToGrid w:val="0"/>
                <w:color w:val="auto"/>
                <w:szCs w:val="22"/>
                <w:highlight w:val="none"/>
                <w:lang w:val="zh-CN"/>
              </w:rPr>
              <w:t>排放浓度</w:t>
            </w:r>
            <w:r>
              <w:rPr>
                <w:rFonts w:hint="eastAsia"/>
                <w:snapToGrid w:val="0"/>
                <w:color w:val="auto"/>
                <w:szCs w:val="22"/>
                <w:highlight w:val="none"/>
                <w:lang w:val="zh-CN"/>
              </w:rPr>
              <w:t>(</w:t>
            </w:r>
            <w:r>
              <w:rPr>
                <w:snapToGrid w:val="0"/>
                <w:color w:val="auto"/>
                <w:szCs w:val="22"/>
                <w:highlight w:val="none"/>
                <w:lang w:val="zh-CN"/>
              </w:rPr>
              <w:t>mg/m</w:t>
            </w:r>
            <w:r>
              <w:rPr>
                <w:snapToGrid w:val="0"/>
                <w:color w:val="auto"/>
                <w:szCs w:val="22"/>
                <w:highlight w:val="none"/>
                <w:vertAlign w:val="superscript"/>
                <w:lang w:val="zh-CN"/>
              </w:rPr>
              <w:t>3</w:t>
            </w:r>
            <w:r>
              <w:rPr>
                <w:rFonts w:hint="eastAsia"/>
                <w:snapToGrid w:val="0"/>
                <w:color w:val="auto"/>
                <w:szCs w:val="22"/>
                <w:highlight w:val="none"/>
                <w:lang w:val="zh-CN"/>
              </w:rPr>
              <w:t>)</w:t>
            </w:r>
          </w:p>
        </w:tc>
        <w:tc>
          <w:tcPr>
            <w:tcW w:w="382" w:type="pct"/>
            <w:vAlign w:val="center"/>
          </w:tcPr>
          <w:p w14:paraId="50C703F3">
            <w:pPr>
              <w:adjustRightInd w:val="0"/>
              <w:snapToGrid w:val="0"/>
              <w:jc w:val="center"/>
              <w:rPr>
                <w:snapToGrid w:val="0"/>
                <w:color w:val="auto"/>
                <w:szCs w:val="22"/>
                <w:highlight w:val="none"/>
                <w:lang w:val="zh-CN"/>
              </w:rPr>
            </w:pPr>
            <w:r>
              <w:rPr>
                <w:snapToGrid w:val="0"/>
                <w:color w:val="auto"/>
                <w:szCs w:val="22"/>
                <w:highlight w:val="none"/>
                <w:lang w:val="zh-CN"/>
              </w:rPr>
              <w:t>排放量（kg</w:t>
            </w:r>
            <w:r>
              <w:rPr>
                <w:rFonts w:hint="eastAsia"/>
                <w:snapToGrid w:val="0"/>
                <w:color w:val="auto"/>
                <w:szCs w:val="22"/>
                <w:highlight w:val="none"/>
                <w:lang w:val="zh-CN"/>
              </w:rPr>
              <w:t>/h</w:t>
            </w:r>
            <w:r>
              <w:rPr>
                <w:snapToGrid w:val="0"/>
                <w:color w:val="auto"/>
                <w:szCs w:val="22"/>
                <w:highlight w:val="none"/>
                <w:lang w:val="zh-CN"/>
              </w:rPr>
              <w:t>）</w:t>
            </w:r>
          </w:p>
        </w:tc>
        <w:tc>
          <w:tcPr>
            <w:tcW w:w="240" w:type="pct"/>
            <w:vMerge w:val="continue"/>
            <w:vAlign w:val="center"/>
          </w:tcPr>
          <w:p w14:paraId="4BE59E14">
            <w:pPr>
              <w:adjustRightInd w:val="0"/>
              <w:snapToGrid w:val="0"/>
              <w:jc w:val="center"/>
              <w:rPr>
                <w:snapToGrid w:val="0"/>
                <w:color w:val="auto"/>
                <w:szCs w:val="22"/>
                <w:highlight w:val="none"/>
                <w:lang w:val="zh-CN"/>
              </w:rPr>
            </w:pPr>
          </w:p>
        </w:tc>
      </w:tr>
      <w:tr w14:paraId="4A6ED5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restart"/>
            <w:vAlign w:val="center"/>
          </w:tcPr>
          <w:p w14:paraId="40F31B17">
            <w:pPr>
              <w:adjustRightInd w:val="0"/>
              <w:snapToGrid w:val="0"/>
              <w:rPr>
                <w:snapToGrid w:val="0"/>
                <w:color w:val="auto"/>
                <w:szCs w:val="22"/>
                <w:highlight w:val="none"/>
                <w:lang w:val="zh-CN"/>
              </w:rPr>
            </w:pPr>
            <w:r>
              <w:rPr>
                <w:rFonts w:hint="eastAsia"/>
                <w:snapToGrid w:val="0"/>
                <w:color w:val="auto"/>
                <w:szCs w:val="22"/>
                <w:highlight w:val="none"/>
                <w:lang w:val="zh-CN"/>
              </w:rPr>
              <w:t>回填、装卸、运输</w:t>
            </w:r>
          </w:p>
        </w:tc>
        <w:tc>
          <w:tcPr>
            <w:tcW w:w="213" w:type="pct"/>
            <w:vMerge w:val="restart"/>
            <w:vAlign w:val="center"/>
          </w:tcPr>
          <w:p w14:paraId="11DEF140">
            <w:pPr>
              <w:adjustRightInd w:val="0"/>
              <w:snapToGrid w:val="0"/>
              <w:jc w:val="center"/>
              <w:rPr>
                <w:snapToGrid w:val="0"/>
                <w:color w:val="auto"/>
                <w:szCs w:val="22"/>
                <w:highlight w:val="none"/>
                <w:lang w:val="zh-CN"/>
              </w:rPr>
            </w:pPr>
            <w:r>
              <w:rPr>
                <w:rFonts w:hint="eastAsia"/>
                <w:snapToGrid w:val="0"/>
                <w:color w:val="auto"/>
                <w:szCs w:val="22"/>
                <w:highlight w:val="none"/>
                <w:lang w:val="zh-CN"/>
              </w:rPr>
              <w:t>作业机械</w:t>
            </w:r>
          </w:p>
        </w:tc>
        <w:tc>
          <w:tcPr>
            <w:tcW w:w="292" w:type="pct"/>
            <w:vMerge w:val="restart"/>
            <w:vAlign w:val="center"/>
          </w:tcPr>
          <w:p w14:paraId="2A18CC74">
            <w:pPr>
              <w:adjustRightInd w:val="0"/>
              <w:snapToGrid w:val="0"/>
              <w:jc w:val="center"/>
              <w:rPr>
                <w:snapToGrid w:val="0"/>
                <w:color w:val="auto"/>
                <w:szCs w:val="22"/>
                <w:highlight w:val="none"/>
                <w:lang w:val="zh-CN"/>
              </w:rPr>
            </w:pPr>
            <w:r>
              <w:rPr>
                <w:rFonts w:hint="eastAsia"/>
                <w:snapToGrid w:val="0"/>
                <w:color w:val="auto"/>
                <w:szCs w:val="22"/>
                <w:highlight w:val="none"/>
                <w:lang w:val="zh-CN"/>
              </w:rPr>
              <w:t>作业机械</w:t>
            </w:r>
          </w:p>
        </w:tc>
        <w:tc>
          <w:tcPr>
            <w:tcW w:w="278" w:type="pct"/>
            <w:vAlign w:val="center"/>
          </w:tcPr>
          <w:p w14:paraId="544115EF">
            <w:pPr>
              <w:adjustRightInd w:val="0"/>
              <w:snapToGrid w:val="0"/>
              <w:jc w:val="center"/>
              <w:rPr>
                <w:snapToGrid w:val="0"/>
                <w:color w:val="auto"/>
                <w:szCs w:val="22"/>
                <w:highlight w:val="none"/>
                <w:lang w:val="zh-CN"/>
              </w:rPr>
            </w:pPr>
            <w:r>
              <w:rPr>
                <w:rFonts w:hint="eastAsia"/>
                <w:snapToGrid w:val="0"/>
                <w:color w:val="auto"/>
                <w:szCs w:val="22"/>
                <w:highlight w:val="none"/>
                <w:lang w:val="zh-CN"/>
              </w:rPr>
              <w:t>CO</w:t>
            </w:r>
          </w:p>
        </w:tc>
        <w:tc>
          <w:tcPr>
            <w:tcW w:w="305" w:type="pct"/>
            <w:vMerge w:val="restart"/>
            <w:vAlign w:val="center"/>
          </w:tcPr>
          <w:p w14:paraId="7F47FC50">
            <w:pPr>
              <w:adjustRightInd w:val="0"/>
              <w:snapToGrid w:val="0"/>
              <w:jc w:val="center"/>
              <w:rPr>
                <w:snapToGrid w:val="0"/>
                <w:color w:val="auto"/>
                <w:szCs w:val="22"/>
                <w:highlight w:val="none"/>
                <w:lang w:val="zh-CN"/>
              </w:rPr>
            </w:pPr>
            <w:r>
              <w:rPr>
                <w:rFonts w:hint="eastAsia"/>
                <w:snapToGrid w:val="0"/>
                <w:color w:val="auto"/>
                <w:szCs w:val="22"/>
                <w:highlight w:val="none"/>
                <w:lang w:val="zh-CN"/>
              </w:rPr>
              <w:t>类比法</w:t>
            </w:r>
          </w:p>
        </w:tc>
        <w:tc>
          <w:tcPr>
            <w:tcW w:w="390" w:type="pct"/>
            <w:vMerge w:val="restart"/>
            <w:vAlign w:val="center"/>
          </w:tcPr>
          <w:p w14:paraId="7002E5A2">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74" w:type="pct"/>
            <w:vAlign w:val="center"/>
          </w:tcPr>
          <w:p w14:paraId="19F5A648">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80" w:type="pct"/>
            <w:vAlign w:val="center"/>
          </w:tcPr>
          <w:p w14:paraId="222482FE">
            <w:pPr>
              <w:adjustRightInd w:val="0"/>
              <w:snapToGrid w:val="0"/>
              <w:jc w:val="center"/>
              <w:rPr>
                <w:rFonts w:hint="eastAsia" w:eastAsia="宋体"/>
                <w:snapToGrid w:val="0"/>
                <w:color w:val="auto"/>
                <w:szCs w:val="22"/>
                <w:highlight w:val="none"/>
                <w:lang w:val="zh-CN" w:eastAsia="zh-CN"/>
              </w:rPr>
            </w:pPr>
            <w:r>
              <w:rPr>
                <w:snapToGrid w:val="0"/>
                <w:color w:val="auto"/>
                <w:szCs w:val="22"/>
                <w:highlight w:val="none"/>
                <w:lang w:val="zh-CN"/>
              </w:rPr>
              <w:t>0.000</w:t>
            </w:r>
            <w:r>
              <w:rPr>
                <w:rFonts w:hint="eastAsia"/>
                <w:snapToGrid w:val="0"/>
                <w:color w:val="auto"/>
                <w:szCs w:val="22"/>
                <w:highlight w:val="none"/>
                <w:lang w:val="en-US" w:eastAsia="zh-CN"/>
              </w:rPr>
              <w:t>1</w:t>
            </w:r>
          </w:p>
        </w:tc>
        <w:tc>
          <w:tcPr>
            <w:tcW w:w="509" w:type="pct"/>
            <w:vMerge w:val="restart"/>
            <w:vAlign w:val="center"/>
          </w:tcPr>
          <w:p w14:paraId="14347654">
            <w:pPr>
              <w:adjustRightInd w:val="0"/>
              <w:snapToGrid w:val="0"/>
              <w:jc w:val="center"/>
              <w:rPr>
                <w:snapToGrid w:val="0"/>
                <w:color w:val="auto"/>
                <w:szCs w:val="22"/>
                <w:highlight w:val="none"/>
                <w:lang w:val="zh-CN"/>
              </w:rPr>
            </w:pPr>
            <w:r>
              <w:rPr>
                <w:rFonts w:hint="eastAsia"/>
                <w:snapToGrid w:val="0"/>
                <w:color w:val="auto"/>
                <w:szCs w:val="22"/>
                <w:highlight w:val="none"/>
                <w:lang w:val="zh-CN"/>
              </w:rPr>
              <w:t>自然扩散</w:t>
            </w:r>
          </w:p>
        </w:tc>
        <w:tc>
          <w:tcPr>
            <w:tcW w:w="306" w:type="pct"/>
            <w:vAlign w:val="center"/>
          </w:tcPr>
          <w:p w14:paraId="49C229FC">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244" w:type="pct"/>
            <w:vMerge w:val="restart"/>
            <w:vAlign w:val="center"/>
          </w:tcPr>
          <w:p w14:paraId="0A4EDF37">
            <w:pPr>
              <w:adjustRightInd w:val="0"/>
              <w:snapToGrid w:val="0"/>
              <w:jc w:val="center"/>
              <w:rPr>
                <w:snapToGrid w:val="0"/>
                <w:color w:val="auto"/>
                <w:szCs w:val="22"/>
                <w:highlight w:val="none"/>
                <w:lang w:val="zh-CN"/>
              </w:rPr>
            </w:pPr>
            <w:r>
              <w:rPr>
                <w:rFonts w:hint="eastAsia"/>
                <w:snapToGrid w:val="0"/>
                <w:color w:val="auto"/>
                <w:szCs w:val="22"/>
                <w:highlight w:val="none"/>
                <w:lang w:val="zh-CN"/>
              </w:rPr>
              <w:t>类比法</w:t>
            </w:r>
          </w:p>
        </w:tc>
        <w:tc>
          <w:tcPr>
            <w:tcW w:w="390" w:type="pct"/>
            <w:vMerge w:val="restart"/>
            <w:vAlign w:val="center"/>
          </w:tcPr>
          <w:p w14:paraId="15B78AF2">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74" w:type="pct"/>
            <w:vAlign w:val="center"/>
          </w:tcPr>
          <w:p w14:paraId="3869D248">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1012" w:type="dxa"/>
            <w:vAlign w:val="center"/>
          </w:tcPr>
          <w:p w14:paraId="0C71C7F1">
            <w:pPr>
              <w:adjustRightInd w:val="0"/>
              <w:snapToGrid w:val="0"/>
              <w:jc w:val="center"/>
              <w:rPr>
                <w:snapToGrid w:val="0"/>
                <w:color w:val="auto"/>
                <w:szCs w:val="22"/>
                <w:highlight w:val="none"/>
                <w:lang w:val="zh-CN"/>
              </w:rPr>
            </w:pPr>
            <w:r>
              <w:rPr>
                <w:snapToGrid w:val="0"/>
                <w:color w:val="auto"/>
                <w:szCs w:val="22"/>
                <w:highlight w:val="none"/>
                <w:lang w:val="zh-CN"/>
              </w:rPr>
              <w:t>0.000</w:t>
            </w:r>
            <w:r>
              <w:rPr>
                <w:rFonts w:hint="eastAsia"/>
                <w:snapToGrid w:val="0"/>
                <w:color w:val="auto"/>
                <w:szCs w:val="22"/>
                <w:highlight w:val="none"/>
                <w:lang w:val="en-US" w:eastAsia="zh-CN"/>
              </w:rPr>
              <w:t>1</w:t>
            </w:r>
          </w:p>
        </w:tc>
        <w:tc>
          <w:tcPr>
            <w:tcW w:w="636" w:type="dxa"/>
            <w:vMerge w:val="restart"/>
            <w:vAlign w:val="center"/>
          </w:tcPr>
          <w:p w14:paraId="626F63C6">
            <w:pPr>
              <w:adjustRightInd w:val="0"/>
              <w:snapToGrid w:val="0"/>
              <w:jc w:val="center"/>
              <w:rPr>
                <w:rFonts w:hint="default" w:eastAsia="宋体"/>
                <w:snapToGrid w:val="0"/>
                <w:color w:val="auto"/>
                <w:szCs w:val="22"/>
                <w:highlight w:val="none"/>
                <w:lang w:val="en-US" w:eastAsia="zh-CN"/>
              </w:rPr>
            </w:pPr>
            <w:r>
              <w:rPr>
                <w:snapToGrid w:val="0"/>
                <w:color w:val="auto"/>
                <w:szCs w:val="22"/>
                <w:highlight w:val="none"/>
                <w:lang w:val="zh-CN"/>
              </w:rPr>
              <w:t>43</w:t>
            </w:r>
            <w:r>
              <w:rPr>
                <w:rFonts w:hint="eastAsia"/>
                <w:snapToGrid w:val="0"/>
                <w:color w:val="auto"/>
                <w:szCs w:val="22"/>
                <w:highlight w:val="none"/>
                <w:lang w:val="en-US" w:eastAsia="zh-CN"/>
              </w:rPr>
              <w:t>56</w:t>
            </w:r>
          </w:p>
        </w:tc>
      </w:tr>
      <w:tr w14:paraId="539DEC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continue"/>
            <w:vAlign w:val="center"/>
          </w:tcPr>
          <w:p w14:paraId="400CADD2">
            <w:pPr>
              <w:adjustRightInd w:val="0"/>
              <w:snapToGrid w:val="0"/>
              <w:rPr>
                <w:snapToGrid w:val="0"/>
                <w:color w:val="auto"/>
                <w:szCs w:val="22"/>
                <w:highlight w:val="none"/>
                <w:lang w:val="zh-CN"/>
              </w:rPr>
            </w:pPr>
          </w:p>
        </w:tc>
        <w:tc>
          <w:tcPr>
            <w:tcW w:w="213" w:type="pct"/>
            <w:vMerge w:val="continue"/>
            <w:vAlign w:val="center"/>
          </w:tcPr>
          <w:p w14:paraId="0F547D17">
            <w:pPr>
              <w:adjustRightInd w:val="0"/>
              <w:snapToGrid w:val="0"/>
              <w:jc w:val="center"/>
              <w:rPr>
                <w:snapToGrid w:val="0"/>
                <w:color w:val="auto"/>
                <w:szCs w:val="22"/>
                <w:highlight w:val="none"/>
                <w:lang w:val="zh-CN"/>
              </w:rPr>
            </w:pPr>
          </w:p>
        </w:tc>
        <w:tc>
          <w:tcPr>
            <w:tcW w:w="292" w:type="pct"/>
            <w:vMerge w:val="continue"/>
            <w:vAlign w:val="center"/>
          </w:tcPr>
          <w:p w14:paraId="34402808">
            <w:pPr>
              <w:adjustRightInd w:val="0"/>
              <w:snapToGrid w:val="0"/>
              <w:jc w:val="center"/>
              <w:rPr>
                <w:snapToGrid w:val="0"/>
                <w:color w:val="auto"/>
                <w:szCs w:val="22"/>
                <w:highlight w:val="none"/>
                <w:lang w:val="zh-CN"/>
              </w:rPr>
            </w:pPr>
          </w:p>
        </w:tc>
        <w:tc>
          <w:tcPr>
            <w:tcW w:w="278" w:type="pct"/>
            <w:vAlign w:val="center"/>
          </w:tcPr>
          <w:p w14:paraId="3502FD75">
            <w:pPr>
              <w:adjustRightInd w:val="0"/>
              <w:snapToGrid w:val="0"/>
              <w:jc w:val="center"/>
              <w:rPr>
                <w:snapToGrid w:val="0"/>
                <w:color w:val="auto"/>
                <w:szCs w:val="22"/>
                <w:highlight w:val="none"/>
                <w:lang w:val="zh-CN"/>
              </w:rPr>
            </w:pPr>
            <w:r>
              <w:rPr>
                <w:snapToGrid w:val="0"/>
                <w:color w:val="auto"/>
                <w:szCs w:val="22"/>
                <w:highlight w:val="none"/>
              </w:rPr>
              <w:t>NO</w:t>
            </w:r>
            <w:r>
              <w:rPr>
                <w:snapToGrid w:val="0"/>
                <w:color w:val="auto"/>
                <w:szCs w:val="22"/>
                <w:highlight w:val="none"/>
                <w:vertAlign w:val="subscript"/>
              </w:rPr>
              <w:t>x</w:t>
            </w:r>
          </w:p>
        </w:tc>
        <w:tc>
          <w:tcPr>
            <w:tcW w:w="305" w:type="pct"/>
            <w:vMerge w:val="continue"/>
            <w:vAlign w:val="center"/>
          </w:tcPr>
          <w:p w14:paraId="52F43B81">
            <w:pPr>
              <w:adjustRightInd w:val="0"/>
              <w:snapToGrid w:val="0"/>
              <w:jc w:val="center"/>
              <w:rPr>
                <w:snapToGrid w:val="0"/>
                <w:color w:val="auto"/>
                <w:szCs w:val="22"/>
                <w:highlight w:val="none"/>
                <w:lang w:val="zh-CN"/>
              </w:rPr>
            </w:pPr>
          </w:p>
        </w:tc>
        <w:tc>
          <w:tcPr>
            <w:tcW w:w="390" w:type="pct"/>
            <w:vMerge w:val="continue"/>
            <w:vAlign w:val="center"/>
          </w:tcPr>
          <w:p w14:paraId="07727154">
            <w:pPr>
              <w:adjustRightInd w:val="0"/>
              <w:snapToGrid w:val="0"/>
              <w:jc w:val="center"/>
              <w:rPr>
                <w:snapToGrid w:val="0"/>
                <w:color w:val="auto"/>
                <w:szCs w:val="22"/>
                <w:highlight w:val="none"/>
                <w:lang w:val="zh-CN"/>
              </w:rPr>
            </w:pPr>
          </w:p>
        </w:tc>
        <w:tc>
          <w:tcPr>
            <w:tcW w:w="374" w:type="pct"/>
            <w:vAlign w:val="center"/>
          </w:tcPr>
          <w:p w14:paraId="6E3FEEDE">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80" w:type="pct"/>
            <w:vAlign w:val="center"/>
          </w:tcPr>
          <w:p w14:paraId="45E32F40">
            <w:pPr>
              <w:adjustRightInd w:val="0"/>
              <w:snapToGrid w:val="0"/>
              <w:jc w:val="center"/>
              <w:rPr>
                <w:rFonts w:hint="eastAsia" w:eastAsia="宋体"/>
                <w:snapToGrid w:val="0"/>
                <w:color w:val="auto"/>
                <w:szCs w:val="22"/>
                <w:highlight w:val="none"/>
                <w:lang w:val="zh-CN" w:eastAsia="zh-CN"/>
              </w:rPr>
            </w:pPr>
            <w:r>
              <w:rPr>
                <w:snapToGrid w:val="0"/>
                <w:color w:val="auto"/>
                <w:szCs w:val="22"/>
                <w:highlight w:val="none"/>
                <w:lang w:val="zh-CN"/>
              </w:rPr>
              <w:t>0.000</w:t>
            </w:r>
            <w:r>
              <w:rPr>
                <w:rFonts w:hint="eastAsia"/>
                <w:snapToGrid w:val="0"/>
                <w:color w:val="auto"/>
                <w:szCs w:val="22"/>
                <w:highlight w:val="none"/>
                <w:lang w:val="en-US" w:eastAsia="zh-CN"/>
              </w:rPr>
              <w:t>2</w:t>
            </w:r>
          </w:p>
        </w:tc>
        <w:tc>
          <w:tcPr>
            <w:tcW w:w="509" w:type="pct"/>
            <w:vMerge w:val="continue"/>
            <w:vAlign w:val="center"/>
          </w:tcPr>
          <w:p w14:paraId="6F2124E1">
            <w:pPr>
              <w:adjustRightInd w:val="0"/>
              <w:snapToGrid w:val="0"/>
              <w:jc w:val="center"/>
              <w:rPr>
                <w:snapToGrid w:val="0"/>
                <w:color w:val="auto"/>
                <w:szCs w:val="22"/>
                <w:highlight w:val="none"/>
                <w:lang w:val="zh-CN"/>
              </w:rPr>
            </w:pPr>
          </w:p>
        </w:tc>
        <w:tc>
          <w:tcPr>
            <w:tcW w:w="306" w:type="pct"/>
            <w:vAlign w:val="center"/>
          </w:tcPr>
          <w:p w14:paraId="71658D09">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244" w:type="pct"/>
            <w:vMerge w:val="continue"/>
            <w:vAlign w:val="center"/>
          </w:tcPr>
          <w:p w14:paraId="76445105">
            <w:pPr>
              <w:adjustRightInd w:val="0"/>
              <w:snapToGrid w:val="0"/>
              <w:jc w:val="center"/>
              <w:rPr>
                <w:snapToGrid w:val="0"/>
                <w:color w:val="auto"/>
                <w:szCs w:val="22"/>
                <w:highlight w:val="none"/>
                <w:lang w:val="zh-CN"/>
              </w:rPr>
            </w:pPr>
          </w:p>
        </w:tc>
        <w:tc>
          <w:tcPr>
            <w:tcW w:w="390" w:type="pct"/>
            <w:vMerge w:val="continue"/>
            <w:vAlign w:val="center"/>
          </w:tcPr>
          <w:p w14:paraId="40694E32">
            <w:pPr>
              <w:adjustRightInd w:val="0"/>
              <w:snapToGrid w:val="0"/>
              <w:jc w:val="center"/>
              <w:rPr>
                <w:snapToGrid w:val="0"/>
                <w:color w:val="auto"/>
                <w:szCs w:val="22"/>
                <w:highlight w:val="none"/>
                <w:lang w:val="zh-CN"/>
              </w:rPr>
            </w:pPr>
          </w:p>
        </w:tc>
        <w:tc>
          <w:tcPr>
            <w:tcW w:w="374" w:type="pct"/>
            <w:vAlign w:val="center"/>
          </w:tcPr>
          <w:p w14:paraId="3A039B65">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1012" w:type="dxa"/>
            <w:vAlign w:val="center"/>
          </w:tcPr>
          <w:p w14:paraId="2A61D559">
            <w:pPr>
              <w:adjustRightInd w:val="0"/>
              <w:snapToGrid w:val="0"/>
              <w:jc w:val="center"/>
              <w:rPr>
                <w:snapToGrid w:val="0"/>
                <w:color w:val="auto"/>
                <w:szCs w:val="22"/>
                <w:highlight w:val="none"/>
                <w:lang w:val="zh-CN"/>
              </w:rPr>
            </w:pPr>
            <w:r>
              <w:rPr>
                <w:snapToGrid w:val="0"/>
                <w:color w:val="auto"/>
                <w:szCs w:val="22"/>
                <w:highlight w:val="none"/>
                <w:lang w:val="zh-CN"/>
              </w:rPr>
              <w:t>0.000</w:t>
            </w:r>
            <w:r>
              <w:rPr>
                <w:rFonts w:hint="eastAsia"/>
                <w:snapToGrid w:val="0"/>
                <w:color w:val="auto"/>
                <w:szCs w:val="22"/>
                <w:highlight w:val="none"/>
                <w:lang w:val="en-US" w:eastAsia="zh-CN"/>
              </w:rPr>
              <w:t>2</w:t>
            </w:r>
          </w:p>
        </w:tc>
        <w:tc>
          <w:tcPr>
            <w:tcW w:w="240" w:type="pct"/>
            <w:vMerge w:val="continue"/>
            <w:vAlign w:val="center"/>
          </w:tcPr>
          <w:p w14:paraId="00A99D41">
            <w:pPr>
              <w:adjustRightInd w:val="0"/>
              <w:snapToGrid w:val="0"/>
              <w:jc w:val="center"/>
              <w:rPr>
                <w:snapToGrid w:val="0"/>
                <w:color w:val="auto"/>
                <w:szCs w:val="22"/>
                <w:highlight w:val="none"/>
                <w:lang w:val="zh-CN"/>
              </w:rPr>
            </w:pPr>
          </w:p>
        </w:tc>
      </w:tr>
      <w:tr w14:paraId="6DD9A6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continue"/>
            <w:vAlign w:val="center"/>
          </w:tcPr>
          <w:p w14:paraId="18C35FCA">
            <w:pPr>
              <w:adjustRightInd w:val="0"/>
              <w:snapToGrid w:val="0"/>
              <w:rPr>
                <w:snapToGrid w:val="0"/>
                <w:color w:val="auto"/>
                <w:szCs w:val="22"/>
                <w:highlight w:val="none"/>
                <w:lang w:val="zh-CN"/>
              </w:rPr>
            </w:pPr>
          </w:p>
        </w:tc>
        <w:tc>
          <w:tcPr>
            <w:tcW w:w="213" w:type="pct"/>
            <w:vMerge w:val="continue"/>
            <w:vAlign w:val="center"/>
          </w:tcPr>
          <w:p w14:paraId="6ECEB2C6">
            <w:pPr>
              <w:adjustRightInd w:val="0"/>
              <w:snapToGrid w:val="0"/>
              <w:jc w:val="center"/>
              <w:rPr>
                <w:snapToGrid w:val="0"/>
                <w:color w:val="auto"/>
                <w:szCs w:val="22"/>
                <w:highlight w:val="none"/>
                <w:lang w:val="zh-CN"/>
              </w:rPr>
            </w:pPr>
          </w:p>
        </w:tc>
        <w:tc>
          <w:tcPr>
            <w:tcW w:w="292" w:type="pct"/>
            <w:vMerge w:val="continue"/>
            <w:vAlign w:val="center"/>
          </w:tcPr>
          <w:p w14:paraId="53748ACB">
            <w:pPr>
              <w:adjustRightInd w:val="0"/>
              <w:snapToGrid w:val="0"/>
              <w:jc w:val="center"/>
              <w:rPr>
                <w:snapToGrid w:val="0"/>
                <w:color w:val="auto"/>
                <w:szCs w:val="22"/>
                <w:highlight w:val="none"/>
                <w:lang w:val="zh-CN"/>
              </w:rPr>
            </w:pPr>
          </w:p>
        </w:tc>
        <w:tc>
          <w:tcPr>
            <w:tcW w:w="278" w:type="pct"/>
            <w:vAlign w:val="center"/>
          </w:tcPr>
          <w:p w14:paraId="0F8FC6C7">
            <w:pPr>
              <w:adjustRightInd w:val="0"/>
              <w:snapToGrid w:val="0"/>
              <w:jc w:val="center"/>
              <w:rPr>
                <w:snapToGrid w:val="0"/>
                <w:color w:val="auto"/>
                <w:szCs w:val="22"/>
                <w:highlight w:val="none"/>
                <w:lang w:val="zh-CN"/>
              </w:rPr>
            </w:pPr>
            <w:r>
              <w:rPr>
                <w:snapToGrid w:val="0"/>
                <w:color w:val="auto"/>
                <w:szCs w:val="22"/>
                <w:highlight w:val="none"/>
                <w:lang w:val="zh-CN"/>
              </w:rPr>
              <w:t>HC</w:t>
            </w:r>
          </w:p>
        </w:tc>
        <w:tc>
          <w:tcPr>
            <w:tcW w:w="305" w:type="pct"/>
            <w:vMerge w:val="continue"/>
            <w:vAlign w:val="center"/>
          </w:tcPr>
          <w:p w14:paraId="78DF3EC1">
            <w:pPr>
              <w:adjustRightInd w:val="0"/>
              <w:snapToGrid w:val="0"/>
              <w:jc w:val="center"/>
              <w:rPr>
                <w:snapToGrid w:val="0"/>
                <w:color w:val="auto"/>
                <w:szCs w:val="22"/>
                <w:highlight w:val="none"/>
                <w:lang w:val="zh-CN"/>
              </w:rPr>
            </w:pPr>
          </w:p>
        </w:tc>
        <w:tc>
          <w:tcPr>
            <w:tcW w:w="390" w:type="pct"/>
            <w:vMerge w:val="continue"/>
            <w:vAlign w:val="center"/>
          </w:tcPr>
          <w:p w14:paraId="5F25D2CC">
            <w:pPr>
              <w:adjustRightInd w:val="0"/>
              <w:snapToGrid w:val="0"/>
              <w:jc w:val="center"/>
              <w:rPr>
                <w:snapToGrid w:val="0"/>
                <w:color w:val="auto"/>
                <w:szCs w:val="22"/>
                <w:highlight w:val="none"/>
                <w:lang w:val="zh-CN"/>
              </w:rPr>
            </w:pPr>
          </w:p>
        </w:tc>
        <w:tc>
          <w:tcPr>
            <w:tcW w:w="374" w:type="pct"/>
            <w:vAlign w:val="center"/>
          </w:tcPr>
          <w:p w14:paraId="0550CF6F">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80" w:type="pct"/>
            <w:vAlign w:val="center"/>
          </w:tcPr>
          <w:p w14:paraId="76910ACB">
            <w:pPr>
              <w:adjustRightInd w:val="0"/>
              <w:snapToGrid w:val="0"/>
              <w:jc w:val="center"/>
              <w:rPr>
                <w:rFonts w:hint="eastAsia" w:eastAsia="宋体"/>
                <w:snapToGrid w:val="0"/>
                <w:color w:val="auto"/>
                <w:szCs w:val="22"/>
                <w:highlight w:val="none"/>
                <w:lang w:val="zh-CN" w:eastAsia="zh-CN"/>
              </w:rPr>
            </w:pPr>
            <w:r>
              <w:rPr>
                <w:snapToGrid w:val="0"/>
                <w:color w:val="auto"/>
                <w:szCs w:val="22"/>
                <w:highlight w:val="none"/>
                <w:lang w:val="zh-CN"/>
              </w:rPr>
              <w:t>0.0000</w:t>
            </w:r>
            <w:r>
              <w:rPr>
                <w:rFonts w:hint="eastAsia"/>
                <w:snapToGrid w:val="0"/>
                <w:color w:val="auto"/>
                <w:szCs w:val="22"/>
                <w:highlight w:val="none"/>
                <w:lang w:val="en-US" w:eastAsia="zh-CN"/>
              </w:rPr>
              <w:t>5</w:t>
            </w:r>
          </w:p>
        </w:tc>
        <w:tc>
          <w:tcPr>
            <w:tcW w:w="509" w:type="pct"/>
            <w:vMerge w:val="continue"/>
            <w:vAlign w:val="center"/>
          </w:tcPr>
          <w:p w14:paraId="39EE06BD">
            <w:pPr>
              <w:adjustRightInd w:val="0"/>
              <w:snapToGrid w:val="0"/>
              <w:jc w:val="center"/>
              <w:rPr>
                <w:snapToGrid w:val="0"/>
                <w:color w:val="auto"/>
                <w:szCs w:val="22"/>
                <w:highlight w:val="none"/>
                <w:lang w:val="zh-CN"/>
              </w:rPr>
            </w:pPr>
          </w:p>
        </w:tc>
        <w:tc>
          <w:tcPr>
            <w:tcW w:w="306" w:type="pct"/>
            <w:vAlign w:val="center"/>
          </w:tcPr>
          <w:p w14:paraId="08CC8EB1">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244" w:type="pct"/>
            <w:vMerge w:val="continue"/>
            <w:vAlign w:val="center"/>
          </w:tcPr>
          <w:p w14:paraId="6EC133E2">
            <w:pPr>
              <w:adjustRightInd w:val="0"/>
              <w:snapToGrid w:val="0"/>
              <w:jc w:val="center"/>
              <w:rPr>
                <w:snapToGrid w:val="0"/>
                <w:color w:val="auto"/>
                <w:szCs w:val="22"/>
                <w:highlight w:val="none"/>
                <w:lang w:val="zh-CN"/>
              </w:rPr>
            </w:pPr>
          </w:p>
        </w:tc>
        <w:tc>
          <w:tcPr>
            <w:tcW w:w="390" w:type="pct"/>
            <w:vMerge w:val="continue"/>
            <w:vAlign w:val="center"/>
          </w:tcPr>
          <w:p w14:paraId="10CC2835">
            <w:pPr>
              <w:adjustRightInd w:val="0"/>
              <w:snapToGrid w:val="0"/>
              <w:jc w:val="center"/>
              <w:rPr>
                <w:snapToGrid w:val="0"/>
                <w:color w:val="auto"/>
                <w:szCs w:val="22"/>
                <w:highlight w:val="none"/>
                <w:lang w:val="zh-CN"/>
              </w:rPr>
            </w:pPr>
          </w:p>
        </w:tc>
        <w:tc>
          <w:tcPr>
            <w:tcW w:w="374" w:type="pct"/>
            <w:vAlign w:val="center"/>
          </w:tcPr>
          <w:p w14:paraId="3FD4653C">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1012" w:type="dxa"/>
            <w:vAlign w:val="center"/>
          </w:tcPr>
          <w:p w14:paraId="0C377A54">
            <w:pPr>
              <w:adjustRightInd w:val="0"/>
              <w:snapToGrid w:val="0"/>
              <w:jc w:val="center"/>
              <w:rPr>
                <w:snapToGrid w:val="0"/>
                <w:color w:val="auto"/>
                <w:szCs w:val="22"/>
                <w:highlight w:val="none"/>
                <w:lang w:val="zh-CN"/>
              </w:rPr>
            </w:pPr>
            <w:r>
              <w:rPr>
                <w:snapToGrid w:val="0"/>
                <w:color w:val="auto"/>
                <w:szCs w:val="22"/>
                <w:highlight w:val="none"/>
                <w:lang w:val="zh-CN"/>
              </w:rPr>
              <w:t>0.0000</w:t>
            </w:r>
            <w:r>
              <w:rPr>
                <w:rFonts w:hint="eastAsia"/>
                <w:snapToGrid w:val="0"/>
                <w:color w:val="auto"/>
                <w:szCs w:val="22"/>
                <w:highlight w:val="none"/>
                <w:lang w:val="en-US" w:eastAsia="zh-CN"/>
              </w:rPr>
              <w:t>5</w:t>
            </w:r>
          </w:p>
        </w:tc>
        <w:tc>
          <w:tcPr>
            <w:tcW w:w="240" w:type="pct"/>
            <w:vMerge w:val="continue"/>
            <w:vAlign w:val="center"/>
          </w:tcPr>
          <w:p w14:paraId="76248C7D">
            <w:pPr>
              <w:adjustRightInd w:val="0"/>
              <w:snapToGrid w:val="0"/>
              <w:jc w:val="center"/>
              <w:rPr>
                <w:snapToGrid w:val="0"/>
                <w:color w:val="auto"/>
                <w:szCs w:val="22"/>
                <w:highlight w:val="none"/>
                <w:lang w:val="zh-CN"/>
              </w:rPr>
            </w:pPr>
          </w:p>
        </w:tc>
      </w:tr>
      <w:tr w14:paraId="759576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restart"/>
            <w:vAlign w:val="center"/>
          </w:tcPr>
          <w:p w14:paraId="5A31290F">
            <w:pPr>
              <w:adjustRightInd w:val="0"/>
              <w:snapToGrid w:val="0"/>
              <w:rPr>
                <w:snapToGrid w:val="0"/>
                <w:color w:val="auto"/>
                <w:szCs w:val="22"/>
                <w:highlight w:val="none"/>
                <w:lang w:val="zh-CN"/>
              </w:rPr>
            </w:pPr>
            <w:bookmarkStart w:id="102" w:name="_Hlk85555981"/>
            <w:r>
              <w:rPr>
                <w:rFonts w:hint="eastAsia"/>
                <w:snapToGrid w:val="0"/>
                <w:color w:val="auto"/>
                <w:szCs w:val="22"/>
                <w:highlight w:val="none"/>
                <w:lang w:val="zh-CN"/>
              </w:rPr>
              <w:t>回填、装卸、运输</w:t>
            </w:r>
          </w:p>
        </w:tc>
        <w:tc>
          <w:tcPr>
            <w:tcW w:w="213" w:type="pct"/>
            <w:vMerge w:val="restart"/>
            <w:vAlign w:val="center"/>
          </w:tcPr>
          <w:p w14:paraId="5E2F1BA5">
            <w:pPr>
              <w:adjustRightInd w:val="0"/>
              <w:snapToGrid w:val="0"/>
              <w:jc w:val="center"/>
              <w:rPr>
                <w:snapToGrid w:val="0"/>
                <w:color w:val="auto"/>
                <w:szCs w:val="22"/>
                <w:highlight w:val="none"/>
                <w:lang w:val="zh-CN"/>
              </w:rPr>
            </w:pPr>
            <w:r>
              <w:rPr>
                <w:rFonts w:hint="eastAsia"/>
                <w:snapToGrid w:val="0"/>
                <w:color w:val="auto"/>
                <w:szCs w:val="22"/>
                <w:highlight w:val="none"/>
                <w:lang w:val="zh-CN"/>
              </w:rPr>
              <w:t>作业机械</w:t>
            </w:r>
          </w:p>
        </w:tc>
        <w:tc>
          <w:tcPr>
            <w:tcW w:w="292" w:type="pct"/>
            <w:vAlign w:val="center"/>
          </w:tcPr>
          <w:p w14:paraId="005AE74D">
            <w:pPr>
              <w:adjustRightInd w:val="0"/>
              <w:snapToGrid w:val="0"/>
              <w:rPr>
                <w:snapToGrid w:val="0"/>
                <w:color w:val="auto"/>
                <w:szCs w:val="22"/>
                <w:highlight w:val="none"/>
                <w:lang w:val="zh-CN"/>
              </w:rPr>
            </w:pPr>
            <w:r>
              <w:rPr>
                <w:rFonts w:hint="eastAsia"/>
                <w:snapToGrid w:val="0"/>
                <w:color w:val="auto"/>
                <w:szCs w:val="22"/>
                <w:highlight w:val="none"/>
                <w:lang w:val="zh-CN"/>
              </w:rPr>
              <w:t>装卸、运输、堆积</w:t>
            </w:r>
          </w:p>
        </w:tc>
        <w:tc>
          <w:tcPr>
            <w:tcW w:w="278" w:type="pct"/>
            <w:vAlign w:val="center"/>
          </w:tcPr>
          <w:p w14:paraId="0FE1DDD2">
            <w:pPr>
              <w:adjustRightInd w:val="0"/>
              <w:snapToGrid w:val="0"/>
              <w:jc w:val="center"/>
              <w:rPr>
                <w:snapToGrid w:val="0"/>
                <w:color w:val="auto"/>
                <w:szCs w:val="22"/>
                <w:highlight w:val="none"/>
                <w:lang w:val="zh-CN"/>
              </w:rPr>
            </w:pPr>
            <w:r>
              <w:rPr>
                <w:rFonts w:hint="eastAsia"/>
                <w:snapToGrid w:val="0"/>
                <w:color w:val="auto"/>
                <w:szCs w:val="22"/>
                <w:highlight w:val="none"/>
                <w:lang w:val="zh-CN"/>
              </w:rPr>
              <w:t>T</w:t>
            </w:r>
            <w:r>
              <w:rPr>
                <w:snapToGrid w:val="0"/>
                <w:color w:val="auto"/>
                <w:szCs w:val="22"/>
                <w:highlight w:val="none"/>
                <w:lang w:val="zh-CN"/>
              </w:rPr>
              <w:t>SP</w:t>
            </w:r>
          </w:p>
        </w:tc>
        <w:tc>
          <w:tcPr>
            <w:tcW w:w="305" w:type="pct"/>
            <w:vAlign w:val="center"/>
          </w:tcPr>
          <w:p w14:paraId="6C5DE68E">
            <w:pPr>
              <w:adjustRightInd w:val="0"/>
              <w:snapToGrid w:val="0"/>
              <w:jc w:val="center"/>
              <w:rPr>
                <w:snapToGrid w:val="0"/>
                <w:color w:val="auto"/>
                <w:szCs w:val="22"/>
                <w:highlight w:val="none"/>
                <w:lang w:val="zh-CN"/>
              </w:rPr>
            </w:pPr>
            <w:r>
              <w:rPr>
                <w:rFonts w:hint="eastAsia"/>
                <w:snapToGrid w:val="0"/>
                <w:color w:val="auto"/>
                <w:szCs w:val="22"/>
                <w:highlight w:val="none"/>
                <w:lang w:val="zh-CN"/>
              </w:rPr>
              <w:t>类比法</w:t>
            </w:r>
          </w:p>
        </w:tc>
        <w:tc>
          <w:tcPr>
            <w:tcW w:w="390" w:type="pct"/>
            <w:vAlign w:val="center"/>
          </w:tcPr>
          <w:p w14:paraId="22FB04E8">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74" w:type="pct"/>
            <w:vAlign w:val="center"/>
          </w:tcPr>
          <w:p w14:paraId="51B77F86">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80" w:type="pct"/>
            <w:vAlign w:val="center"/>
          </w:tcPr>
          <w:p w14:paraId="7D9A2FD0">
            <w:pPr>
              <w:adjustRightInd w:val="0"/>
              <w:snapToGrid w:val="0"/>
              <w:jc w:val="center"/>
              <w:rPr>
                <w:rFonts w:hint="eastAsia" w:eastAsia="宋体"/>
                <w:snapToGrid w:val="0"/>
                <w:color w:val="auto"/>
                <w:szCs w:val="22"/>
                <w:highlight w:val="none"/>
                <w:lang w:val="en-US" w:eastAsia="zh-CN"/>
              </w:rPr>
            </w:pPr>
            <w:r>
              <w:rPr>
                <w:rFonts w:hint="eastAsia"/>
                <w:snapToGrid w:val="0"/>
                <w:color w:val="auto"/>
                <w:szCs w:val="22"/>
                <w:highlight w:val="none"/>
                <w:lang w:val="zh-CN"/>
              </w:rPr>
              <w:t>0</w:t>
            </w:r>
            <w:r>
              <w:rPr>
                <w:snapToGrid w:val="0"/>
                <w:color w:val="auto"/>
                <w:szCs w:val="22"/>
                <w:highlight w:val="none"/>
                <w:lang w:val="zh-CN"/>
              </w:rPr>
              <w:t>.00</w:t>
            </w:r>
            <w:r>
              <w:rPr>
                <w:rFonts w:hint="eastAsia"/>
                <w:snapToGrid w:val="0"/>
                <w:color w:val="auto"/>
                <w:szCs w:val="22"/>
                <w:highlight w:val="none"/>
                <w:lang w:val="en-US" w:eastAsia="zh-CN"/>
              </w:rPr>
              <w:t>3</w:t>
            </w:r>
          </w:p>
        </w:tc>
        <w:tc>
          <w:tcPr>
            <w:tcW w:w="509" w:type="pct"/>
            <w:vAlign w:val="center"/>
          </w:tcPr>
          <w:p w14:paraId="3C36B76C">
            <w:pPr>
              <w:adjustRightInd w:val="0"/>
              <w:snapToGrid w:val="0"/>
              <w:jc w:val="center"/>
              <w:rPr>
                <w:snapToGrid w:val="0"/>
                <w:color w:val="auto"/>
                <w:szCs w:val="22"/>
                <w:highlight w:val="none"/>
                <w:lang w:val="zh-CN"/>
              </w:rPr>
            </w:pPr>
            <w:r>
              <w:rPr>
                <w:rFonts w:hint="eastAsia"/>
                <w:snapToGrid w:val="0"/>
                <w:color w:val="auto"/>
                <w:szCs w:val="22"/>
                <w:highlight w:val="none"/>
                <w:lang w:val="zh-CN"/>
              </w:rPr>
              <w:t>洒水抑尘、及时苫盖、分区作业</w:t>
            </w:r>
          </w:p>
        </w:tc>
        <w:tc>
          <w:tcPr>
            <w:tcW w:w="306" w:type="pct"/>
            <w:vAlign w:val="center"/>
          </w:tcPr>
          <w:p w14:paraId="7D408243">
            <w:pPr>
              <w:adjustRightInd w:val="0"/>
              <w:snapToGrid w:val="0"/>
              <w:jc w:val="center"/>
              <w:rPr>
                <w:snapToGrid w:val="0"/>
                <w:color w:val="auto"/>
                <w:szCs w:val="22"/>
                <w:highlight w:val="none"/>
                <w:lang w:val="zh-CN"/>
              </w:rPr>
            </w:pPr>
            <w:r>
              <w:rPr>
                <w:rFonts w:hint="eastAsia"/>
                <w:snapToGrid w:val="0"/>
                <w:color w:val="auto"/>
                <w:szCs w:val="22"/>
                <w:highlight w:val="none"/>
                <w:lang w:val="zh-CN"/>
              </w:rPr>
              <w:t>6</w:t>
            </w:r>
            <w:r>
              <w:rPr>
                <w:snapToGrid w:val="0"/>
                <w:color w:val="auto"/>
                <w:szCs w:val="22"/>
                <w:highlight w:val="none"/>
                <w:lang w:val="zh-CN"/>
              </w:rPr>
              <w:t>7.5</w:t>
            </w:r>
          </w:p>
        </w:tc>
        <w:tc>
          <w:tcPr>
            <w:tcW w:w="244" w:type="pct"/>
            <w:vAlign w:val="center"/>
          </w:tcPr>
          <w:p w14:paraId="5A2492C9">
            <w:pPr>
              <w:adjustRightInd w:val="0"/>
              <w:snapToGrid w:val="0"/>
              <w:jc w:val="center"/>
              <w:rPr>
                <w:snapToGrid w:val="0"/>
                <w:color w:val="auto"/>
                <w:szCs w:val="22"/>
                <w:highlight w:val="none"/>
                <w:lang w:val="zh-CN"/>
              </w:rPr>
            </w:pPr>
            <w:r>
              <w:rPr>
                <w:rFonts w:hint="eastAsia"/>
                <w:snapToGrid w:val="0"/>
                <w:color w:val="auto"/>
                <w:szCs w:val="22"/>
                <w:highlight w:val="none"/>
                <w:lang w:val="zh-CN"/>
              </w:rPr>
              <w:t>类比法</w:t>
            </w:r>
          </w:p>
        </w:tc>
        <w:tc>
          <w:tcPr>
            <w:tcW w:w="390" w:type="pct"/>
            <w:vAlign w:val="center"/>
          </w:tcPr>
          <w:p w14:paraId="5A68FF0E">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74" w:type="pct"/>
            <w:vAlign w:val="center"/>
          </w:tcPr>
          <w:p w14:paraId="6103E506">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1012" w:type="dxa"/>
            <w:vAlign w:val="center"/>
          </w:tcPr>
          <w:p w14:paraId="6626FC1C">
            <w:pPr>
              <w:adjustRightInd w:val="0"/>
              <w:snapToGrid w:val="0"/>
              <w:jc w:val="center"/>
              <w:rPr>
                <w:snapToGrid w:val="0"/>
                <w:color w:val="auto"/>
                <w:szCs w:val="22"/>
                <w:highlight w:val="none"/>
                <w:lang w:val="zh-CN"/>
              </w:rPr>
            </w:pPr>
            <w:r>
              <w:rPr>
                <w:rFonts w:hint="eastAsia"/>
                <w:snapToGrid w:val="0"/>
                <w:color w:val="auto"/>
                <w:szCs w:val="22"/>
                <w:highlight w:val="none"/>
                <w:lang w:val="zh-CN"/>
              </w:rPr>
              <w:t>0</w:t>
            </w:r>
            <w:r>
              <w:rPr>
                <w:snapToGrid w:val="0"/>
                <w:color w:val="auto"/>
                <w:szCs w:val="22"/>
                <w:highlight w:val="none"/>
                <w:lang w:val="zh-CN"/>
              </w:rPr>
              <w:t>.00</w:t>
            </w:r>
            <w:r>
              <w:rPr>
                <w:rFonts w:hint="eastAsia"/>
                <w:snapToGrid w:val="0"/>
                <w:color w:val="auto"/>
                <w:szCs w:val="22"/>
                <w:highlight w:val="none"/>
                <w:lang w:val="en-US" w:eastAsia="zh-CN"/>
              </w:rPr>
              <w:t>09</w:t>
            </w:r>
          </w:p>
        </w:tc>
        <w:tc>
          <w:tcPr>
            <w:tcW w:w="636" w:type="dxa"/>
            <w:vAlign w:val="center"/>
          </w:tcPr>
          <w:p w14:paraId="46BFDFB0">
            <w:pPr>
              <w:adjustRightInd w:val="0"/>
              <w:snapToGrid w:val="0"/>
              <w:jc w:val="center"/>
              <w:rPr>
                <w:rFonts w:hint="default" w:eastAsia="宋体"/>
                <w:snapToGrid w:val="0"/>
                <w:color w:val="auto"/>
                <w:szCs w:val="22"/>
                <w:highlight w:val="none"/>
                <w:lang w:val="en-US" w:eastAsia="zh-CN"/>
              </w:rPr>
            </w:pPr>
            <w:r>
              <w:rPr>
                <w:snapToGrid w:val="0"/>
                <w:color w:val="auto"/>
                <w:szCs w:val="22"/>
                <w:highlight w:val="none"/>
                <w:lang w:val="zh-CN"/>
              </w:rPr>
              <w:t>43</w:t>
            </w:r>
            <w:r>
              <w:rPr>
                <w:rFonts w:hint="eastAsia"/>
                <w:snapToGrid w:val="0"/>
                <w:color w:val="auto"/>
                <w:szCs w:val="22"/>
                <w:highlight w:val="none"/>
                <w:lang w:val="en-US" w:eastAsia="zh-CN"/>
              </w:rPr>
              <w:t>56</w:t>
            </w:r>
          </w:p>
        </w:tc>
      </w:tr>
      <w:bookmarkEnd w:id="102"/>
      <w:tr w14:paraId="0894F6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21" w:type="pct"/>
            <w:vMerge w:val="continue"/>
            <w:vAlign w:val="center"/>
          </w:tcPr>
          <w:p w14:paraId="2CC6B1C8">
            <w:pPr>
              <w:adjustRightInd w:val="0"/>
              <w:snapToGrid w:val="0"/>
              <w:jc w:val="center"/>
              <w:rPr>
                <w:snapToGrid w:val="0"/>
                <w:color w:val="auto"/>
                <w:szCs w:val="22"/>
                <w:highlight w:val="none"/>
                <w:lang w:val="zh-CN"/>
              </w:rPr>
            </w:pPr>
          </w:p>
        </w:tc>
        <w:tc>
          <w:tcPr>
            <w:tcW w:w="213" w:type="pct"/>
            <w:vMerge w:val="continue"/>
            <w:vAlign w:val="center"/>
          </w:tcPr>
          <w:p w14:paraId="7211AA2C">
            <w:pPr>
              <w:adjustRightInd w:val="0"/>
              <w:snapToGrid w:val="0"/>
              <w:jc w:val="center"/>
              <w:rPr>
                <w:snapToGrid w:val="0"/>
                <w:color w:val="auto"/>
                <w:szCs w:val="22"/>
                <w:highlight w:val="none"/>
                <w:lang w:val="zh-CN"/>
              </w:rPr>
            </w:pPr>
          </w:p>
        </w:tc>
        <w:tc>
          <w:tcPr>
            <w:tcW w:w="292" w:type="pct"/>
            <w:vAlign w:val="center"/>
          </w:tcPr>
          <w:p w14:paraId="7D50DF32">
            <w:pPr>
              <w:adjustRightInd w:val="0"/>
              <w:snapToGrid w:val="0"/>
              <w:jc w:val="center"/>
              <w:rPr>
                <w:snapToGrid w:val="0"/>
                <w:color w:val="auto"/>
                <w:szCs w:val="22"/>
                <w:highlight w:val="none"/>
                <w:lang w:val="zh-CN"/>
              </w:rPr>
            </w:pPr>
            <w:r>
              <w:rPr>
                <w:rFonts w:hint="eastAsia"/>
                <w:snapToGrid w:val="0"/>
                <w:color w:val="auto"/>
                <w:szCs w:val="22"/>
                <w:highlight w:val="none"/>
                <w:lang w:val="zh-CN"/>
              </w:rPr>
              <w:t>进场运输道路</w:t>
            </w:r>
          </w:p>
        </w:tc>
        <w:tc>
          <w:tcPr>
            <w:tcW w:w="278" w:type="pct"/>
            <w:vAlign w:val="center"/>
          </w:tcPr>
          <w:p w14:paraId="59C33840">
            <w:pPr>
              <w:adjustRightInd w:val="0"/>
              <w:snapToGrid w:val="0"/>
              <w:jc w:val="center"/>
              <w:rPr>
                <w:snapToGrid w:val="0"/>
                <w:color w:val="auto"/>
                <w:szCs w:val="22"/>
                <w:highlight w:val="none"/>
                <w:lang w:val="zh-CN"/>
              </w:rPr>
            </w:pPr>
            <w:r>
              <w:rPr>
                <w:rFonts w:hint="eastAsia"/>
                <w:snapToGrid w:val="0"/>
                <w:color w:val="auto"/>
                <w:szCs w:val="22"/>
                <w:highlight w:val="none"/>
                <w:lang w:val="zh-CN"/>
              </w:rPr>
              <w:t>T</w:t>
            </w:r>
            <w:r>
              <w:rPr>
                <w:snapToGrid w:val="0"/>
                <w:color w:val="auto"/>
                <w:szCs w:val="22"/>
                <w:highlight w:val="none"/>
                <w:lang w:val="zh-CN"/>
              </w:rPr>
              <w:t>SP</w:t>
            </w:r>
          </w:p>
        </w:tc>
        <w:tc>
          <w:tcPr>
            <w:tcW w:w="305" w:type="pct"/>
            <w:vAlign w:val="center"/>
          </w:tcPr>
          <w:p w14:paraId="4D8FDCBA">
            <w:pPr>
              <w:adjustRightInd w:val="0"/>
              <w:snapToGrid w:val="0"/>
              <w:jc w:val="center"/>
              <w:rPr>
                <w:snapToGrid w:val="0"/>
                <w:color w:val="auto"/>
                <w:szCs w:val="22"/>
                <w:highlight w:val="none"/>
                <w:lang w:val="zh-CN"/>
              </w:rPr>
            </w:pPr>
            <w:r>
              <w:rPr>
                <w:rFonts w:hint="eastAsia"/>
                <w:snapToGrid w:val="0"/>
                <w:color w:val="auto"/>
                <w:szCs w:val="22"/>
                <w:highlight w:val="none"/>
                <w:lang w:val="zh-CN"/>
              </w:rPr>
              <w:t>类比法</w:t>
            </w:r>
          </w:p>
        </w:tc>
        <w:tc>
          <w:tcPr>
            <w:tcW w:w="390" w:type="pct"/>
            <w:vAlign w:val="center"/>
          </w:tcPr>
          <w:p w14:paraId="51F92D5D">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74" w:type="pct"/>
            <w:vAlign w:val="center"/>
          </w:tcPr>
          <w:p w14:paraId="28368FF2">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80" w:type="pct"/>
            <w:vAlign w:val="center"/>
          </w:tcPr>
          <w:p w14:paraId="27817656">
            <w:pPr>
              <w:adjustRightInd w:val="0"/>
              <w:snapToGrid w:val="0"/>
              <w:jc w:val="center"/>
              <w:rPr>
                <w:rFonts w:hint="default" w:eastAsia="宋体"/>
                <w:snapToGrid w:val="0"/>
                <w:color w:val="auto"/>
                <w:szCs w:val="22"/>
                <w:highlight w:val="none"/>
                <w:lang w:val="en-US" w:eastAsia="zh-CN"/>
              </w:rPr>
            </w:pPr>
            <w:r>
              <w:rPr>
                <w:rFonts w:hint="eastAsia"/>
                <w:snapToGrid w:val="0"/>
                <w:color w:val="auto"/>
                <w:szCs w:val="22"/>
                <w:highlight w:val="none"/>
                <w:lang w:val="zh-CN"/>
              </w:rPr>
              <w:t>0</w:t>
            </w:r>
            <w:r>
              <w:rPr>
                <w:snapToGrid w:val="0"/>
                <w:color w:val="auto"/>
                <w:szCs w:val="22"/>
                <w:highlight w:val="none"/>
                <w:lang w:val="zh-CN"/>
              </w:rPr>
              <w:t>.</w:t>
            </w:r>
            <w:r>
              <w:rPr>
                <w:rFonts w:hint="eastAsia"/>
                <w:snapToGrid w:val="0"/>
                <w:color w:val="auto"/>
                <w:szCs w:val="22"/>
                <w:highlight w:val="none"/>
                <w:lang w:val="en-US" w:eastAsia="zh-CN"/>
              </w:rPr>
              <w:t>121</w:t>
            </w:r>
          </w:p>
        </w:tc>
        <w:tc>
          <w:tcPr>
            <w:tcW w:w="509" w:type="pct"/>
            <w:vAlign w:val="center"/>
          </w:tcPr>
          <w:p w14:paraId="2AB011B5">
            <w:pPr>
              <w:adjustRightInd w:val="0"/>
              <w:snapToGrid w:val="0"/>
              <w:jc w:val="center"/>
              <w:rPr>
                <w:snapToGrid w:val="0"/>
                <w:color w:val="auto"/>
                <w:szCs w:val="22"/>
                <w:highlight w:val="none"/>
                <w:lang w:val="zh-CN"/>
              </w:rPr>
            </w:pPr>
            <w:r>
              <w:rPr>
                <w:rFonts w:hint="eastAsia"/>
                <w:snapToGrid w:val="0"/>
                <w:color w:val="auto"/>
                <w:szCs w:val="22"/>
                <w:highlight w:val="none"/>
                <w:lang w:val="zh-CN"/>
              </w:rPr>
              <w:t>密闭运输、减速慢行、洒水抑尘</w:t>
            </w:r>
          </w:p>
        </w:tc>
        <w:tc>
          <w:tcPr>
            <w:tcW w:w="306" w:type="pct"/>
            <w:vAlign w:val="center"/>
          </w:tcPr>
          <w:p w14:paraId="44428158">
            <w:pPr>
              <w:adjustRightInd w:val="0"/>
              <w:snapToGrid w:val="0"/>
              <w:jc w:val="center"/>
              <w:rPr>
                <w:snapToGrid w:val="0"/>
                <w:color w:val="auto"/>
                <w:szCs w:val="22"/>
                <w:highlight w:val="none"/>
                <w:lang w:val="zh-CN"/>
              </w:rPr>
            </w:pPr>
            <w:r>
              <w:rPr>
                <w:snapToGrid w:val="0"/>
                <w:color w:val="auto"/>
                <w:szCs w:val="22"/>
                <w:highlight w:val="none"/>
                <w:lang w:val="zh-CN"/>
              </w:rPr>
              <w:t>66</w:t>
            </w:r>
          </w:p>
        </w:tc>
        <w:tc>
          <w:tcPr>
            <w:tcW w:w="244" w:type="pct"/>
            <w:vAlign w:val="center"/>
          </w:tcPr>
          <w:p w14:paraId="7C0EF95F">
            <w:pPr>
              <w:adjustRightInd w:val="0"/>
              <w:snapToGrid w:val="0"/>
              <w:jc w:val="center"/>
              <w:rPr>
                <w:snapToGrid w:val="0"/>
                <w:color w:val="auto"/>
                <w:szCs w:val="22"/>
                <w:highlight w:val="none"/>
                <w:lang w:val="zh-CN"/>
              </w:rPr>
            </w:pPr>
            <w:r>
              <w:rPr>
                <w:rFonts w:hint="eastAsia"/>
                <w:snapToGrid w:val="0"/>
                <w:color w:val="auto"/>
                <w:szCs w:val="22"/>
                <w:highlight w:val="none"/>
                <w:lang w:val="zh-CN"/>
              </w:rPr>
              <w:t>类比法</w:t>
            </w:r>
          </w:p>
        </w:tc>
        <w:tc>
          <w:tcPr>
            <w:tcW w:w="390" w:type="pct"/>
            <w:vAlign w:val="center"/>
          </w:tcPr>
          <w:p w14:paraId="5CCA30AC">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74" w:type="pct"/>
            <w:vAlign w:val="center"/>
          </w:tcPr>
          <w:p w14:paraId="454D918F">
            <w:pPr>
              <w:adjustRightInd w:val="0"/>
              <w:snapToGrid w:val="0"/>
              <w:jc w:val="center"/>
              <w:rPr>
                <w:snapToGrid w:val="0"/>
                <w:color w:val="auto"/>
                <w:szCs w:val="22"/>
                <w:highlight w:val="none"/>
                <w:lang w:val="zh-CN"/>
              </w:rPr>
            </w:pPr>
            <w:r>
              <w:rPr>
                <w:rFonts w:hint="eastAsia"/>
                <w:snapToGrid w:val="0"/>
                <w:color w:val="auto"/>
                <w:szCs w:val="22"/>
                <w:highlight w:val="none"/>
                <w:lang w:val="zh-CN"/>
              </w:rPr>
              <w:t>/</w:t>
            </w:r>
          </w:p>
        </w:tc>
        <w:tc>
          <w:tcPr>
            <w:tcW w:w="382" w:type="pct"/>
            <w:vAlign w:val="center"/>
          </w:tcPr>
          <w:p w14:paraId="162FA7A3">
            <w:pPr>
              <w:adjustRightInd w:val="0"/>
              <w:snapToGrid w:val="0"/>
              <w:jc w:val="center"/>
              <w:rPr>
                <w:rFonts w:hint="default" w:eastAsia="宋体"/>
                <w:snapToGrid w:val="0"/>
                <w:color w:val="auto"/>
                <w:szCs w:val="22"/>
                <w:highlight w:val="none"/>
                <w:lang w:val="en-US" w:eastAsia="zh-CN"/>
              </w:rPr>
            </w:pPr>
            <w:r>
              <w:rPr>
                <w:rFonts w:hint="eastAsia"/>
                <w:snapToGrid w:val="0"/>
                <w:color w:val="auto"/>
                <w:szCs w:val="22"/>
                <w:highlight w:val="none"/>
                <w:lang w:val="zh-CN"/>
              </w:rPr>
              <w:t>0</w:t>
            </w:r>
            <w:r>
              <w:rPr>
                <w:snapToGrid w:val="0"/>
                <w:color w:val="auto"/>
                <w:szCs w:val="22"/>
                <w:highlight w:val="none"/>
                <w:lang w:val="zh-CN"/>
              </w:rPr>
              <w:t>.</w:t>
            </w:r>
            <w:r>
              <w:rPr>
                <w:rFonts w:hint="eastAsia"/>
                <w:snapToGrid w:val="0"/>
                <w:color w:val="auto"/>
                <w:szCs w:val="22"/>
                <w:highlight w:val="none"/>
                <w:lang w:val="en-US" w:eastAsia="zh-CN"/>
              </w:rPr>
              <w:t>041</w:t>
            </w:r>
          </w:p>
        </w:tc>
        <w:tc>
          <w:tcPr>
            <w:tcW w:w="636" w:type="dxa"/>
            <w:vAlign w:val="center"/>
          </w:tcPr>
          <w:p w14:paraId="260E8BFE">
            <w:pPr>
              <w:adjustRightInd w:val="0"/>
              <w:snapToGrid w:val="0"/>
              <w:jc w:val="center"/>
              <w:rPr>
                <w:snapToGrid w:val="0"/>
                <w:color w:val="auto"/>
                <w:szCs w:val="22"/>
                <w:highlight w:val="none"/>
                <w:lang w:val="zh-CN"/>
              </w:rPr>
            </w:pPr>
            <w:r>
              <w:rPr>
                <w:snapToGrid w:val="0"/>
                <w:color w:val="auto"/>
                <w:szCs w:val="22"/>
                <w:highlight w:val="none"/>
                <w:lang w:val="zh-CN"/>
              </w:rPr>
              <w:t>43</w:t>
            </w:r>
            <w:r>
              <w:rPr>
                <w:rFonts w:hint="eastAsia"/>
                <w:snapToGrid w:val="0"/>
                <w:color w:val="auto"/>
                <w:szCs w:val="22"/>
                <w:highlight w:val="none"/>
                <w:lang w:val="en-US" w:eastAsia="zh-CN"/>
              </w:rPr>
              <w:t>56</w:t>
            </w:r>
          </w:p>
        </w:tc>
      </w:tr>
    </w:tbl>
    <w:p w14:paraId="5E58FFE4">
      <w:pPr>
        <w:spacing w:line="500" w:lineRule="exact"/>
        <w:ind w:firstLine="480" w:firstLineChars="200"/>
        <w:rPr>
          <w:color w:val="auto"/>
          <w:sz w:val="24"/>
          <w:szCs w:val="22"/>
        </w:rPr>
      </w:pPr>
    </w:p>
    <w:p w14:paraId="51288638">
      <w:pPr>
        <w:spacing w:line="500" w:lineRule="exact"/>
        <w:ind w:firstLine="480" w:firstLineChars="200"/>
        <w:rPr>
          <w:color w:val="auto"/>
          <w:sz w:val="24"/>
          <w:szCs w:val="22"/>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D72789E">
      <w:pPr>
        <w:keepNext/>
        <w:keepLines/>
        <w:adjustRightInd w:val="0"/>
        <w:snapToGrid w:val="0"/>
        <w:spacing w:line="500" w:lineRule="exact"/>
        <w:outlineLvl w:val="3"/>
        <w:rPr>
          <w:color w:val="auto"/>
          <w:sz w:val="24"/>
          <w:szCs w:val="20"/>
          <w:lang w:val="zh-CN"/>
        </w:rPr>
      </w:pPr>
      <w:r>
        <w:rPr>
          <w:color w:val="auto"/>
          <w:sz w:val="24"/>
          <w:szCs w:val="20"/>
          <w:lang w:val="zh-CN"/>
        </w:rPr>
        <w:t>3.3.2.2</w:t>
      </w:r>
      <w:r>
        <w:rPr>
          <w:rFonts w:hint="eastAsia"/>
          <w:color w:val="auto"/>
          <w:sz w:val="24"/>
          <w:szCs w:val="20"/>
          <w:lang w:val="zh-CN"/>
        </w:rPr>
        <w:t>废</w:t>
      </w:r>
      <w:r>
        <w:rPr>
          <w:color w:val="auto"/>
          <w:sz w:val="24"/>
          <w:szCs w:val="20"/>
          <w:lang w:val="zh-CN"/>
        </w:rPr>
        <w:t>水</w:t>
      </w:r>
    </w:p>
    <w:p w14:paraId="68F6479A">
      <w:pPr>
        <w:pStyle w:val="59"/>
        <w:ind w:firstLine="480"/>
        <w:rPr>
          <w:color w:val="auto"/>
        </w:rPr>
      </w:pPr>
      <w:r>
        <w:rPr>
          <w:color w:val="auto"/>
        </w:rPr>
        <w:t>本项目</w:t>
      </w:r>
      <w:r>
        <w:rPr>
          <w:rFonts w:hint="eastAsia"/>
          <w:color w:val="auto"/>
        </w:rPr>
        <w:t>回填复垦期</w:t>
      </w:r>
      <w:r>
        <w:rPr>
          <w:color w:val="auto"/>
        </w:rPr>
        <w:t>产生废水为</w:t>
      </w:r>
      <w:r>
        <w:rPr>
          <w:rFonts w:hint="eastAsia"/>
          <w:bCs/>
          <w:color w:val="auto"/>
        </w:rPr>
        <w:t>生活污水、</w:t>
      </w:r>
      <w:r>
        <w:rPr>
          <w:rFonts w:hint="eastAsia"/>
          <w:color w:val="auto"/>
        </w:rPr>
        <w:t>淋溶水</w:t>
      </w:r>
      <w:r>
        <w:rPr>
          <w:color w:val="auto"/>
        </w:rPr>
        <w:t>。</w:t>
      </w:r>
    </w:p>
    <w:p w14:paraId="668E0E1F">
      <w:pPr>
        <w:pStyle w:val="59"/>
        <w:ind w:firstLine="480"/>
        <w:rPr>
          <w:color w:val="auto"/>
        </w:rPr>
      </w:pPr>
      <w:r>
        <w:rPr>
          <w:rFonts w:hint="eastAsia"/>
          <w:color w:val="auto"/>
        </w:rPr>
        <w:t>（1）生活污水</w:t>
      </w:r>
    </w:p>
    <w:p w14:paraId="2ECDB8CC">
      <w:pPr>
        <w:pStyle w:val="59"/>
        <w:ind w:firstLine="480"/>
        <w:rPr>
          <w:color w:val="auto"/>
        </w:rPr>
      </w:pPr>
      <w:r>
        <w:rPr>
          <w:rFonts w:hint="eastAsia"/>
          <w:color w:val="auto"/>
        </w:rPr>
        <w:t>生活污水按用水量的8</w:t>
      </w:r>
      <w:r>
        <w:rPr>
          <w:color w:val="auto"/>
        </w:rPr>
        <w:t>0</w:t>
      </w:r>
      <w:r>
        <w:rPr>
          <w:rFonts w:hint="eastAsia"/>
          <w:color w:val="auto"/>
        </w:rPr>
        <w:t>%计算，则生活污水为</w:t>
      </w:r>
      <w:r>
        <w:rPr>
          <w:rFonts w:hint="eastAsia"/>
          <w:color w:val="auto"/>
          <w:lang w:val="en-US" w:eastAsia="zh-CN"/>
        </w:rPr>
        <w:t>0.96</w:t>
      </w:r>
      <w:r>
        <w:rPr>
          <w:color w:val="auto"/>
        </w:rPr>
        <w:t>t/d，</w:t>
      </w:r>
      <w:r>
        <w:rPr>
          <w:rFonts w:hint="eastAsia"/>
          <w:color w:val="auto"/>
          <w:lang w:val="en-US" w:eastAsia="zh-CN"/>
        </w:rPr>
        <w:t>348.48</w:t>
      </w:r>
      <w:r>
        <w:rPr>
          <w:color w:val="auto"/>
        </w:rPr>
        <w:t>t/a。污水中主要污染物有COD、BOD</w:t>
      </w:r>
      <w:r>
        <w:rPr>
          <w:color w:val="auto"/>
          <w:vertAlign w:val="subscript"/>
        </w:rPr>
        <w:t>5</w:t>
      </w:r>
      <w:r>
        <w:rPr>
          <w:color w:val="auto"/>
        </w:rPr>
        <w:t>、SS、氨氮等</w:t>
      </w:r>
      <w:r>
        <w:rPr>
          <w:rFonts w:hint="eastAsia"/>
          <w:color w:val="auto"/>
        </w:rPr>
        <w:t>，浓度分别为</w:t>
      </w:r>
      <w:r>
        <w:rPr>
          <w:color w:val="auto"/>
        </w:rPr>
        <w:t>COD 300</w:t>
      </w:r>
      <w:r>
        <w:rPr>
          <w:rFonts w:hint="eastAsia"/>
          <w:color w:val="auto"/>
        </w:rPr>
        <w:t>mg/L</w:t>
      </w:r>
      <w:r>
        <w:rPr>
          <w:color w:val="auto"/>
        </w:rPr>
        <w:t>、BOD</w:t>
      </w:r>
      <w:r>
        <w:rPr>
          <w:color w:val="auto"/>
          <w:vertAlign w:val="subscript"/>
        </w:rPr>
        <w:t xml:space="preserve">5 </w:t>
      </w:r>
      <w:r>
        <w:rPr>
          <w:color w:val="auto"/>
        </w:rPr>
        <w:t>200</w:t>
      </w:r>
      <w:r>
        <w:rPr>
          <w:rFonts w:hint="eastAsia"/>
          <w:color w:val="auto"/>
        </w:rPr>
        <w:t>mg/L</w:t>
      </w:r>
      <w:r>
        <w:rPr>
          <w:color w:val="auto"/>
        </w:rPr>
        <w:t>、SS 200</w:t>
      </w:r>
      <w:r>
        <w:rPr>
          <w:rFonts w:hint="eastAsia"/>
          <w:color w:val="auto"/>
        </w:rPr>
        <w:t>mg/L</w:t>
      </w:r>
      <w:r>
        <w:rPr>
          <w:color w:val="auto"/>
        </w:rPr>
        <w:t>、氨氮30</w:t>
      </w:r>
      <w:r>
        <w:rPr>
          <w:rFonts w:hint="eastAsia"/>
          <w:color w:val="auto"/>
        </w:rPr>
        <w:t>mg/L，污染物产生量分别为</w:t>
      </w:r>
      <w:r>
        <w:rPr>
          <w:color w:val="auto"/>
        </w:rPr>
        <w:t xml:space="preserve">COD </w:t>
      </w:r>
      <w:r>
        <w:rPr>
          <w:rFonts w:hint="eastAsia"/>
          <w:color w:val="auto"/>
        </w:rPr>
        <w:t>0</w:t>
      </w:r>
      <w:r>
        <w:rPr>
          <w:color w:val="auto"/>
        </w:rPr>
        <w:t>.</w:t>
      </w:r>
      <w:r>
        <w:rPr>
          <w:rFonts w:hint="eastAsia"/>
          <w:color w:val="auto"/>
          <w:lang w:val="en-US" w:eastAsia="zh-CN"/>
        </w:rPr>
        <w:t>104</w:t>
      </w:r>
      <w:r>
        <w:rPr>
          <w:rFonts w:hint="eastAsia"/>
          <w:color w:val="auto"/>
        </w:rPr>
        <w:t>t/a、</w:t>
      </w:r>
      <w:r>
        <w:rPr>
          <w:color w:val="auto"/>
        </w:rPr>
        <w:t>BOD</w:t>
      </w:r>
      <w:r>
        <w:rPr>
          <w:color w:val="auto"/>
          <w:vertAlign w:val="subscript"/>
        </w:rPr>
        <w:t xml:space="preserve">5 </w:t>
      </w:r>
      <w:r>
        <w:rPr>
          <w:color w:val="auto"/>
        </w:rPr>
        <w:t>0.0</w:t>
      </w:r>
      <w:r>
        <w:rPr>
          <w:rFonts w:hint="eastAsia"/>
          <w:color w:val="auto"/>
          <w:lang w:val="en-US" w:eastAsia="zh-CN"/>
        </w:rPr>
        <w:t>7</w:t>
      </w:r>
      <w:r>
        <w:rPr>
          <w:rFonts w:hint="eastAsia"/>
          <w:color w:val="auto"/>
        </w:rPr>
        <w:t>t/a</w:t>
      </w:r>
      <w:r>
        <w:rPr>
          <w:color w:val="auto"/>
        </w:rPr>
        <w:t>、SS 0.0</w:t>
      </w:r>
      <w:r>
        <w:rPr>
          <w:rFonts w:hint="eastAsia"/>
          <w:color w:val="auto"/>
          <w:lang w:val="en-US" w:eastAsia="zh-CN"/>
        </w:rPr>
        <w:t>7</w:t>
      </w:r>
      <w:r>
        <w:rPr>
          <w:rFonts w:hint="eastAsia"/>
          <w:color w:val="auto"/>
        </w:rPr>
        <w:t>t/a</w:t>
      </w:r>
      <w:r>
        <w:rPr>
          <w:color w:val="auto"/>
        </w:rPr>
        <w:t>、氨氮0.0</w:t>
      </w:r>
      <w:r>
        <w:rPr>
          <w:rFonts w:hint="eastAsia"/>
          <w:color w:val="auto"/>
          <w:lang w:val="en-US" w:eastAsia="zh-CN"/>
        </w:rPr>
        <w:t>1</w:t>
      </w:r>
      <w:r>
        <w:rPr>
          <w:rFonts w:hint="eastAsia"/>
          <w:color w:val="auto"/>
        </w:rPr>
        <w:t>t/a</w:t>
      </w:r>
      <w:r>
        <w:rPr>
          <w:color w:val="auto"/>
        </w:rPr>
        <w:t>。</w:t>
      </w:r>
      <w:r>
        <w:rPr>
          <w:rFonts w:hint="eastAsia"/>
          <w:color w:val="auto"/>
        </w:rPr>
        <w:t>生活污水依托租赁的</w:t>
      </w:r>
      <w:r>
        <w:rPr>
          <w:rFonts w:hint="eastAsia"/>
          <w:color w:val="auto"/>
          <w:lang w:eastAsia="zh-CN"/>
        </w:rPr>
        <w:t>新泉村五队</w:t>
      </w:r>
      <w:r>
        <w:rPr>
          <w:rFonts w:hint="eastAsia"/>
          <w:color w:val="auto"/>
        </w:rPr>
        <w:t>民房配套的防渗旱厕，定期清掏，外运堆肥，不外排。</w:t>
      </w:r>
    </w:p>
    <w:p w14:paraId="3178427D">
      <w:pPr>
        <w:pStyle w:val="59"/>
        <w:ind w:firstLine="480"/>
        <w:rPr>
          <w:color w:val="auto"/>
        </w:rPr>
      </w:pPr>
      <w:r>
        <w:rPr>
          <w:rFonts w:hint="eastAsia"/>
          <w:color w:val="auto"/>
        </w:rPr>
        <w:t>（</w:t>
      </w:r>
      <w:r>
        <w:rPr>
          <w:color w:val="auto"/>
        </w:rPr>
        <w:t>2</w:t>
      </w:r>
      <w:r>
        <w:rPr>
          <w:rFonts w:hint="eastAsia"/>
          <w:color w:val="auto"/>
        </w:rPr>
        <w:t>）淋溶水</w:t>
      </w:r>
    </w:p>
    <w:p w14:paraId="4681C8C0">
      <w:pPr>
        <w:pStyle w:val="59"/>
        <w:ind w:firstLine="480"/>
        <w:rPr>
          <w:color w:val="auto"/>
        </w:rPr>
      </w:pPr>
      <w:r>
        <w:rPr>
          <w:rFonts w:hint="eastAsia"/>
          <w:color w:val="auto"/>
        </w:rPr>
        <w:t xml:space="preserve">①正常情况下产生量 </w:t>
      </w:r>
    </w:p>
    <w:p w14:paraId="156D34C2">
      <w:pPr>
        <w:pStyle w:val="59"/>
        <w:ind w:firstLine="480"/>
        <w:rPr>
          <w:color w:val="auto"/>
        </w:rPr>
      </w:pPr>
      <w:r>
        <w:rPr>
          <w:rFonts w:hint="eastAsia"/>
          <w:color w:val="auto"/>
        </w:rPr>
        <w:t>评价区属于温带大陆性季风气候，多年平均降水量5</w:t>
      </w:r>
      <w:r>
        <w:rPr>
          <w:color w:val="auto"/>
        </w:rPr>
        <w:t>42</w:t>
      </w:r>
      <w:r>
        <w:rPr>
          <w:rFonts w:hint="eastAsia"/>
          <w:color w:val="auto"/>
        </w:rPr>
        <w:t>mm，最大日降水量9</w:t>
      </w:r>
      <w:r>
        <w:rPr>
          <w:color w:val="auto"/>
        </w:rPr>
        <w:t>7.3</w:t>
      </w:r>
      <w:r>
        <w:rPr>
          <w:rFonts w:hint="eastAsia"/>
          <w:color w:val="auto"/>
        </w:rPr>
        <w:t>mm（7月），降水多集中在6、7、8三个月，多年平均蒸发量</w:t>
      </w:r>
      <w:r>
        <w:rPr>
          <w:color w:val="auto"/>
        </w:rPr>
        <w:t>1329.4</w:t>
      </w:r>
      <w:r>
        <w:rPr>
          <w:rFonts w:hint="eastAsia"/>
          <w:color w:val="auto"/>
        </w:rPr>
        <w:t>mm。由于蒸发量较大，回填区内的降水能够自然蒸发，在正常降雨的情况下，雨水渗入</w:t>
      </w:r>
      <w:r>
        <w:rPr>
          <w:rFonts w:hint="eastAsia"/>
          <w:color w:val="auto"/>
          <w:lang w:eastAsia="zh-CN"/>
        </w:rPr>
        <w:t>灰渣</w:t>
      </w:r>
      <w:r>
        <w:rPr>
          <w:rFonts w:hint="eastAsia"/>
          <w:color w:val="auto"/>
        </w:rPr>
        <w:t>堆体，随之逐渐蒸发消失，堆存</w:t>
      </w:r>
      <w:r>
        <w:rPr>
          <w:rFonts w:hint="eastAsia"/>
          <w:color w:val="auto"/>
          <w:lang w:eastAsia="zh-CN"/>
        </w:rPr>
        <w:t>灰渣</w:t>
      </w:r>
      <w:r>
        <w:rPr>
          <w:rFonts w:hint="eastAsia"/>
          <w:color w:val="auto"/>
        </w:rPr>
        <w:t>一般达不到充分浸泡的状态，正常情况下不会产生大量淋溶水。</w:t>
      </w:r>
    </w:p>
    <w:p w14:paraId="535ED0A9">
      <w:pPr>
        <w:pStyle w:val="59"/>
        <w:ind w:firstLine="480"/>
        <w:rPr>
          <w:color w:val="auto"/>
          <w:highlight w:val="none"/>
        </w:rPr>
      </w:pPr>
      <w:r>
        <w:rPr>
          <w:rFonts w:hint="eastAsia"/>
          <w:color w:val="auto"/>
          <w:highlight w:val="none"/>
        </w:rPr>
        <w:t>②强降雨下产生量</w:t>
      </w:r>
    </w:p>
    <w:p w14:paraId="2858E3F4">
      <w:pPr>
        <w:pStyle w:val="59"/>
        <w:ind w:firstLine="480"/>
        <w:rPr>
          <w:color w:val="auto"/>
          <w:highlight w:val="none"/>
        </w:rPr>
      </w:pPr>
      <w:r>
        <w:rPr>
          <w:rFonts w:hint="eastAsia"/>
          <w:color w:val="auto"/>
          <w:highlight w:val="none"/>
          <w:lang w:eastAsia="zh-CN"/>
        </w:rPr>
        <w:t>灰渣</w:t>
      </w:r>
      <w:r>
        <w:rPr>
          <w:rFonts w:hint="eastAsia"/>
          <w:color w:val="auto"/>
          <w:highlight w:val="none"/>
        </w:rPr>
        <w:t>内仅含有调湿用水，在无外水汇入的情况下，回填区内仅为大气降水。</w:t>
      </w:r>
      <w:r>
        <w:rPr>
          <w:rFonts w:hint="eastAsia"/>
          <w:color w:val="auto"/>
          <w:highlight w:val="none"/>
          <w:lang w:eastAsia="zh-CN"/>
        </w:rPr>
        <w:t>灰渣</w:t>
      </w:r>
      <w:r>
        <w:rPr>
          <w:rFonts w:hint="eastAsia"/>
          <w:color w:val="auto"/>
          <w:highlight w:val="none"/>
        </w:rPr>
        <w:t>经强降雨淋溶后，其中的可溶性元素可随雨水迁移渗出后成为淋溶水，淋溶水进入土壤和水体后，会对土壤、以及地下水产生一定的影响。</w:t>
      </w:r>
      <w:r>
        <w:rPr>
          <w:color w:val="auto"/>
          <w:highlight w:val="none"/>
        </w:rPr>
        <w:t>根据渗滤液产生量的经验公式法（浸出系数法）计算，公式如下：</w:t>
      </w:r>
    </w:p>
    <w:p w14:paraId="500DA627">
      <w:pPr>
        <w:pStyle w:val="59"/>
        <w:ind w:firstLine="480"/>
        <w:jc w:val="center"/>
        <w:rPr>
          <w:color w:val="auto"/>
          <w:highlight w:val="none"/>
        </w:rPr>
      </w:pPr>
      <w:r>
        <w:rPr>
          <w:color w:val="auto"/>
          <w:highlight w:val="none"/>
        </w:rPr>
        <w:t>Q=I×C×A/1000</w:t>
      </w:r>
    </w:p>
    <w:p w14:paraId="7FD472AD">
      <w:pPr>
        <w:pStyle w:val="59"/>
        <w:ind w:firstLine="480"/>
        <w:rPr>
          <w:color w:val="auto"/>
          <w:highlight w:val="none"/>
        </w:rPr>
      </w:pPr>
      <w:r>
        <w:rPr>
          <w:color w:val="auto"/>
          <w:highlight w:val="none"/>
        </w:rPr>
        <w:t>式中：</w:t>
      </w:r>
    </w:p>
    <w:p w14:paraId="2BA02FF2">
      <w:pPr>
        <w:pStyle w:val="59"/>
        <w:ind w:firstLine="480"/>
        <w:rPr>
          <w:color w:val="auto"/>
          <w:highlight w:val="none"/>
        </w:rPr>
      </w:pPr>
      <w:r>
        <w:rPr>
          <w:color w:val="auto"/>
          <w:highlight w:val="none"/>
        </w:rPr>
        <w:t>Q一</w:t>
      </w:r>
      <w:r>
        <w:rPr>
          <w:rFonts w:hint="eastAsia"/>
          <w:color w:val="auto"/>
          <w:highlight w:val="none"/>
        </w:rPr>
        <w:t>淋溶水</w:t>
      </w:r>
      <w:r>
        <w:rPr>
          <w:color w:val="auto"/>
          <w:highlight w:val="none"/>
        </w:rPr>
        <w:t>产生量，m</w:t>
      </w:r>
      <w:r>
        <w:rPr>
          <w:color w:val="auto"/>
          <w:highlight w:val="none"/>
          <w:vertAlign w:val="superscript"/>
        </w:rPr>
        <w:t>3</w:t>
      </w:r>
      <w:r>
        <w:rPr>
          <w:color w:val="auto"/>
          <w:highlight w:val="none"/>
        </w:rPr>
        <w:t>/d；</w:t>
      </w:r>
    </w:p>
    <w:p w14:paraId="3F707DC2">
      <w:pPr>
        <w:pStyle w:val="59"/>
        <w:ind w:firstLine="480"/>
        <w:rPr>
          <w:color w:val="auto"/>
          <w:highlight w:val="none"/>
        </w:rPr>
      </w:pPr>
      <w:r>
        <w:rPr>
          <w:color w:val="auto"/>
          <w:highlight w:val="none"/>
        </w:rPr>
        <w:t>I一多年平均日降雨量，mm/d，按照</w:t>
      </w:r>
      <w:r>
        <w:rPr>
          <w:rFonts w:hint="eastAsia"/>
          <w:color w:val="auto"/>
          <w:highlight w:val="none"/>
        </w:rPr>
        <w:t>鸡东县</w:t>
      </w:r>
      <w:r>
        <w:rPr>
          <w:color w:val="auto"/>
          <w:highlight w:val="none"/>
        </w:rPr>
        <w:t>多年平均降水量542mm，则多年平均日降雨量为1.48mm/d；</w:t>
      </w:r>
    </w:p>
    <w:p w14:paraId="4D094EE3">
      <w:pPr>
        <w:pStyle w:val="59"/>
        <w:ind w:firstLine="480"/>
        <w:rPr>
          <w:rFonts w:hint="default" w:eastAsia="宋体"/>
          <w:color w:val="auto"/>
          <w:highlight w:val="none"/>
          <w:lang w:val="en-US" w:eastAsia="zh-CN"/>
        </w:rPr>
      </w:pPr>
      <w:r>
        <w:rPr>
          <w:color w:val="auto"/>
          <w:highlight w:val="none"/>
        </w:rPr>
        <w:t>A—</w:t>
      </w:r>
      <w:r>
        <w:rPr>
          <w:rFonts w:hint="eastAsia"/>
          <w:color w:val="auto"/>
          <w:highlight w:val="none"/>
        </w:rPr>
        <w:t>回填区</w:t>
      </w:r>
      <w:r>
        <w:rPr>
          <w:color w:val="auto"/>
          <w:highlight w:val="none"/>
        </w:rPr>
        <w:t>面积，m</w:t>
      </w:r>
      <w:r>
        <w:rPr>
          <w:color w:val="auto"/>
          <w:highlight w:val="none"/>
          <w:vertAlign w:val="superscript"/>
        </w:rPr>
        <w:t>2</w:t>
      </w:r>
      <w:r>
        <w:rPr>
          <w:color w:val="auto"/>
          <w:highlight w:val="none"/>
        </w:rPr>
        <w:t>，本项目</w:t>
      </w:r>
      <w:r>
        <w:rPr>
          <w:rFonts w:hint="eastAsia"/>
          <w:color w:val="auto"/>
          <w:highlight w:val="none"/>
          <w:lang w:val="en-US" w:eastAsia="zh-CN"/>
        </w:rPr>
        <w:t>西侧回填区面积36400</w:t>
      </w:r>
      <w:r>
        <w:rPr>
          <w:color w:val="auto"/>
          <w:highlight w:val="none"/>
        </w:rPr>
        <w:t>m</w:t>
      </w:r>
      <w:r>
        <w:rPr>
          <w:color w:val="auto"/>
          <w:highlight w:val="none"/>
          <w:vertAlign w:val="superscript"/>
        </w:rPr>
        <w:t>2</w:t>
      </w:r>
      <w:r>
        <w:rPr>
          <w:rFonts w:hint="eastAsia"/>
          <w:color w:val="auto"/>
          <w:highlight w:val="none"/>
          <w:lang w:eastAsia="zh-CN"/>
        </w:rPr>
        <w:t>，</w:t>
      </w:r>
      <w:r>
        <w:rPr>
          <w:rFonts w:hint="eastAsia"/>
          <w:color w:val="auto"/>
          <w:highlight w:val="none"/>
          <w:lang w:val="en-US" w:eastAsia="zh-CN"/>
        </w:rPr>
        <w:t>东侧回填区面积15920m</w:t>
      </w:r>
      <w:r>
        <w:rPr>
          <w:rFonts w:hint="eastAsia"/>
          <w:color w:val="auto"/>
          <w:highlight w:val="none"/>
          <w:vertAlign w:val="superscript"/>
          <w:lang w:val="en-US" w:eastAsia="zh-CN"/>
        </w:rPr>
        <w:t>2</w:t>
      </w:r>
      <w:r>
        <w:rPr>
          <w:rFonts w:hint="eastAsia"/>
          <w:color w:val="auto"/>
          <w:highlight w:val="none"/>
          <w:lang w:val="en-US" w:eastAsia="zh-CN"/>
        </w:rPr>
        <w:t>；</w:t>
      </w:r>
    </w:p>
    <w:p w14:paraId="040FD4A4">
      <w:pPr>
        <w:pStyle w:val="59"/>
        <w:ind w:firstLine="480"/>
        <w:rPr>
          <w:color w:val="auto"/>
          <w:highlight w:val="none"/>
          <w:lang w:val="en-US" w:eastAsia="zh-CN"/>
        </w:rPr>
      </w:pPr>
      <w:r>
        <w:rPr>
          <w:color w:val="auto"/>
          <w:highlight w:val="none"/>
        </w:rPr>
        <w:t>C—渗出系数，一般宜取0.1-0.8，</w:t>
      </w:r>
      <w:r>
        <w:rPr>
          <w:rFonts w:hint="eastAsia"/>
          <w:color w:val="auto"/>
          <w:highlight w:val="none"/>
          <w:lang w:val="en-US" w:eastAsia="zh-CN"/>
        </w:rPr>
        <w:t>一般宜取</w:t>
      </w:r>
      <w:r>
        <w:rPr>
          <w:rFonts w:hint="default"/>
          <w:color w:val="auto"/>
          <w:highlight w:val="none"/>
          <w:lang w:val="en-US" w:eastAsia="zh-CN"/>
        </w:rPr>
        <w:t>0.1-0.8</w:t>
      </w:r>
      <w:r>
        <w:rPr>
          <w:rFonts w:hint="eastAsia"/>
          <w:color w:val="auto"/>
          <w:highlight w:val="none"/>
          <w:lang w:val="en-US" w:eastAsia="zh-CN"/>
        </w:rPr>
        <w:t>之间，渗出系数为降雨量转为渗出液之比率，其值随回填覆盖土性质、覆土坡度等因素有关，参考《</w:t>
      </w:r>
      <w:r>
        <w:rPr>
          <w:rFonts w:hint="default"/>
          <w:color w:val="auto"/>
          <w:highlight w:val="none"/>
          <w:lang w:val="en-US" w:eastAsia="zh-CN"/>
        </w:rPr>
        <w:t>[1]</w:t>
      </w:r>
      <w:r>
        <w:rPr>
          <w:rFonts w:hint="eastAsia"/>
          <w:color w:val="auto"/>
          <w:highlight w:val="none"/>
          <w:lang w:val="en-US" w:eastAsia="zh-CN"/>
        </w:rPr>
        <w:t>蔡红</w:t>
      </w:r>
      <w:r>
        <w:rPr>
          <w:rFonts w:hint="default"/>
          <w:color w:val="auto"/>
          <w:highlight w:val="none"/>
          <w:lang w:val="en-US" w:eastAsia="zh-CN"/>
        </w:rPr>
        <w:t>,</w:t>
      </w:r>
      <w:r>
        <w:rPr>
          <w:rFonts w:hint="eastAsia"/>
          <w:color w:val="auto"/>
          <w:highlight w:val="none"/>
          <w:lang w:val="en-US" w:eastAsia="zh-CN"/>
        </w:rPr>
        <w:t>严俊</w:t>
      </w:r>
      <w:r>
        <w:rPr>
          <w:rFonts w:hint="default"/>
          <w:color w:val="auto"/>
          <w:highlight w:val="none"/>
          <w:lang w:val="en-US" w:eastAsia="zh-CN"/>
        </w:rPr>
        <w:t>,</w:t>
      </w:r>
      <w:r>
        <w:rPr>
          <w:rFonts w:hint="eastAsia"/>
          <w:color w:val="auto"/>
          <w:highlight w:val="none"/>
          <w:lang w:val="en-US" w:eastAsia="zh-CN"/>
        </w:rPr>
        <w:t>魏迎奇</w:t>
      </w:r>
      <w:r>
        <w:rPr>
          <w:rFonts w:hint="default"/>
          <w:color w:val="auto"/>
          <w:highlight w:val="none"/>
          <w:lang w:val="en-US" w:eastAsia="zh-CN"/>
        </w:rPr>
        <w:t>,</w:t>
      </w:r>
      <w:r>
        <w:rPr>
          <w:rFonts w:hint="eastAsia"/>
          <w:color w:val="auto"/>
          <w:highlight w:val="none"/>
          <w:lang w:val="en-US" w:eastAsia="zh-CN"/>
        </w:rPr>
        <w:t>等</w:t>
      </w:r>
      <w:r>
        <w:rPr>
          <w:rFonts w:hint="default"/>
          <w:color w:val="auto"/>
          <w:highlight w:val="none"/>
          <w:lang w:val="en-US" w:eastAsia="zh-CN"/>
        </w:rPr>
        <w:t>.</w:t>
      </w:r>
      <w:r>
        <w:rPr>
          <w:rFonts w:hint="eastAsia"/>
          <w:color w:val="auto"/>
          <w:highlight w:val="none"/>
          <w:lang w:val="en-US" w:eastAsia="zh-CN"/>
        </w:rPr>
        <w:t>洪水条件下粉煤灰坝非饱和入渗特性及稳定性分析</w:t>
      </w:r>
      <w:r>
        <w:rPr>
          <w:rFonts w:hint="default"/>
          <w:color w:val="auto"/>
          <w:highlight w:val="none"/>
          <w:lang w:val="en-US" w:eastAsia="zh-CN"/>
        </w:rPr>
        <w:t>[J].</w:t>
      </w:r>
      <w:r>
        <w:rPr>
          <w:rFonts w:hint="eastAsia"/>
          <w:color w:val="auto"/>
          <w:highlight w:val="none"/>
          <w:lang w:val="en-US" w:eastAsia="zh-CN"/>
        </w:rPr>
        <w:t>岩土工程学报</w:t>
      </w:r>
      <w:r>
        <w:rPr>
          <w:rFonts w:hint="default"/>
          <w:color w:val="auto"/>
          <w:highlight w:val="none"/>
          <w:lang w:val="en-US" w:eastAsia="zh-CN"/>
        </w:rPr>
        <w:t>,2020,42(S2):157-162.</w:t>
      </w:r>
      <w:r>
        <w:rPr>
          <w:rFonts w:hint="eastAsia"/>
          <w:color w:val="auto"/>
          <w:highlight w:val="none"/>
          <w:lang w:val="en-US" w:eastAsia="zh-CN"/>
        </w:rPr>
        <w:t>》，非饱和粉煤灰在洪水入渗下前锋面的平均入渗系数为</w:t>
      </w:r>
      <w:r>
        <w:rPr>
          <w:rFonts w:hint="default"/>
          <w:color w:val="auto"/>
          <w:highlight w:val="none"/>
          <w:lang w:val="en-US" w:eastAsia="zh-CN"/>
        </w:rPr>
        <w:t>1.2</w:t>
      </w:r>
      <w:r>
        <w:rPr>
          <w:rFonts w:hint="eastAsia"/>
          <w:color w:val="auto"/>
          <w:highlight w:val="none"/>
          <w:lang w:val="en-US" w:eastAsia="zh-CN"/>
        </w:rPr>
        <w:t>×</w:t>
      </w:r>
      <w:r>
        <w:rPr>
          <w:rFonts w:hint="default"/>
          <w:color w:val="auto"/>
          <w:highlight w:val="none"/>
          <w:lang w:val="en-US" w:eastAsia="zh-CN"/>
        </w:rPr>
        <w:t>10</w:t>
      </w:r>
      <w:r>
        <w:rPr>
          <w:rFonts w:hint="default"/>
          <w:color w:val="auto"/>
          <w:highlight w:val="none"/>
          <w:vertAlign w:val="superscript"/>
          <w:lang w:val="en-US" w:eastAsia="zh-CN"/>
        </w:rPr>
        <w:t>-3</w:t>
      </w:r>
      <w:r>
        <w:rPr>
          <w:rFonts w:hint="default"/>
          <w:color w:val="auto"/>
          <w:highlight w:val="none"/>
          <w:lang w:val="en-US" w:eastAsia="zh-CN"/>
        </w:rPr>
        <w:t xml:space="preserve"> cm/s</w:t>
      </w:r>
      <w:r>
        <w:rPr>
          <w:rFonts w:hint="eastAsia"/>
          <w:color w:val="auto"/>
          <w:highlight w:val="none"/>
          <w:lang w:val="en-US" w:eastAsia="zh-CN"/>
        </w:rPr>
        <w:t>，参考《一般工业固体废物贮存和填埋污染控制标准》（</w:t>
      </w:r>
      <w:r>
        <w:rPr>
          <w:rFonts w:hint="default"/>
          <w:color w:val="auto"/>
          <w:highlight w:val="none"/>
          <w:lang w:val="en-US" w:eastAsia="zh-CN"/>
        </w:rPr>
        <w:t>GB 18599-2020</w:t>
      </w:r>
      <w:r>
        <w:rPr>
          <w:rFonts w:hint="eastAsia"/>
          <w:color w:val="auto"/>
          <w:highlight w:val="none"/>
          <w:lang w:val="en-US" w:eastAsia="zh-CN"/>
        </w:rPr>
        <w:t>）及火电行业环评案例，压实粉煤灰入渗系数普遍取</w:t>
      </w:r>
      <w:r>
        <w:rPr>
          <w:rFonts w:hint="default"/>
          <w:color w:val="auto"/>
          <w:highlight w:val="none"/>
          <w:lang w:val="en-US" w:eastAsia="zh-CN"/>
        </w:rPr>
        <w:t>0.2~0.3</w:t>
      </w:r>
      <w:r>
        <w:rPr>
          <w:rFonts w:hint="eastAsia"/>
          <w:color w:val="auto"/>
          <w:highlight w:val="none"/>
          <w:lang w:val="en-US" w:eastAsia="zh-CN"/>
        </w:rPr>
        <w:t>，因此本项目灰渣参考粉煤灰降雨入渗系数，取</w:t>
      </w:r>
      <w:r>
        <w:rPr>
          <w:rFonts w:hint="default"/>
          <w:color w:val="auto"/>
          <w:highlight w:val="none"/>
          <w:lang w:val="en-US" w:eastAsia="zh-CN"/>
        </w:rPr>
        <w:t>0.25</w:t>
      </w:r>
      <w:r>
        <w:rPr>
          <w:rFonts w:hint="eastAsia"/>
          <w:color w:val="auto"/>
          <w:highlight w:val="none"/>
          <w:lang w:val="en-US" w:eastAsia="zh-CN"/>
        </w:rPr>
        <w:t>。</w:t>
      </w:r>
    </w:p>
    <w:p w14:paraId="2F503796">
      <w:pPr>
        <w:pStyle w:val="59"/>
        <w:ind w:firstLine="480"/>
        <w:rPr>
          <w:rFonts w:hint="default"/>
          <w:color w:val="auto"/>
          <w:highlight w:val="none"/>
          <w:lang w:val="en-US" w:eastAsia="zh-CN"/>
        </w:rPr>
      </w:pPr>
      <w:r>
        <w:rPr>
          <w:rFonts w:hint="default"/>
          <w:color w:val="auto"/>
          <w:highlight w:val="none"/>
          <w:lang w:val="en-US" w:eastAsia="zh-CN"/>
        </w:rPr>
        <w:t>根据计算，本项目</w:t>
      </w:r>
      <w:r>
        <w:rPr>
          <w:rFonts w:hint="eastAsia"/>
          <w:color w:val="auto"/>
          <w:highlight w:val="none"/>
          <w:lang w:val="en-US" w:eastAsia="zh-CN"/>
        </w:rPr>
        <w:t>强</w:t>
      </w:r>
      <w:r>
        <w:rPr>
          <w:rFonts w:hint="default"/>
          <w:color w:val="auto"/>
          <w:highlight w:val="none"/>
          <w:lang w:val="en-US" w:eastAsia="zh-CN"/>
        </w:rPr>
        <w:t>降雨情况下，</w:t>
      </w:r>
      <w:r>
        <w:rPr>
          <w:rFonts w:hint="eastAsia"/>
          <w:color w:val="auto"/>
          <w:highlight w:val="none"/>
          <w:lang w:val="en-US" w:eastAsia="zh-CN"/>
        </w:rPr>
        <w:t>西侧回填区</w:t>
      </w:r>
      <w:r>
        <w:rPr>
          <w:rFonts w:hint="default"/>
          <w:color w:val="auto"/>
          <w:highlight w:val="none"/>
          <w:lang w:val="en-US" w:eastAsia="zh-CN"/>
        </w:rPr>
        <w:t>淋溶水日产生量约为</w:t>
      </w:r>
      <w:r>
        <w:rPr>
          <w:rFonts w:hint="eastAsia"/>
          <w:color w:val="auto"/>
          <w:highlight w:val="none"/>
          <w:lang w:val="en-US" w:eastAsia="zh-CN"/>
        </w:rPr>
        <w:t>13.468</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/d</w:t>
      </w:r>
      <w:r>
        <w:rPr>
          <w:rFonts w:hint="eastAsia"/>
          <w:color w:val="auto"/>
          <w:highlight w:val="none"/>
          <w:lang w:val="en-US" w:eastAsia="zh-CN"/>
        </w:rPr>
        <w:t>，东侧回填区</w:t>
      </w:r>
      <w:r>
        <w:rPr>
          <w:rFonts w:hint="default"/>
          <w:color w:val="auto"/>
          <w:highlight w:val="none"/>
          <w:lang w:val="en-US" w:eastAsia="zh-CN"/>
        </w:rPr>
        <w:t>淋溶水日产生量约为</w:t>
      </w:r>
      <w:r>
        <w:rPr>
          <w:rFonts w:hint="eastAsia"/>
          <w:color w:val="auto"/>
          <w:highlight w:val="none"/>
          <w:lang w:val="en-US" w:eastAsia="zh-CN"/>
        </w:rPr>
        <w:t>5.89</w:t>
      </w:r>
      <w:r>
        <w:rPr>
          <w:rFonts w:hint="default"/>
          <w:color w:val="auto"/>
          <w:highlight w:val="none"/>
          <w:lang w:val="en-US" w:eastAsia="zh-CN"/>
        </w:rPr>
        <w:t>m</w:t>
      </w:r>
      <w:r>
        <w:rPr>
          <w:rFonts w:hint="default"/>
          <w:color w:val="auto"/>
          <w:highlight w:val="none"/>
          <w:vertAlign w:val="superscript"/>
          <w:lang w:val="en-US" w:eastAsia="zh-CN"/>
        </w:rPr>
        <w:t>3</w:t>
      </w:r>
      <w:r>
        <w:rPr>
          <w:rFonts w:hint="default"/>
          <w:color w:val="auto"/>
          <w:highlight w:val="none"/>
          <w:lang w:val="en-US" w:eastAsia="zh-CN"/>
        </w:rPr>
        <w:t>/d</w:t>
      </w:r>
      <w:r>
        <w:rPr>
          <w:rFonts w:hint="eastAsia"/>
          <w:color w:val="auto"/>
          <w:highlight w:val="none"/>
          <w:lang w:val="en-US" w:eastAsia="zh-CN"/>
        </w:rPr>
        <w:t>，本次建议企业在西侧回填区设置1套淋溶水导排系统，以及西侧回填区南侧设置1座暂存池用于收集淋溶水，暂存池设计容积为150m</w:t>
      </w:r>
      <w:r>
        <w:rPr>
          <w:rFonts w:hint="eastAsia"/>
          <w:color w:val="auto"/>
          <w:highlight w:val="none"/>
          <w:vertAlign w:val="superscript"/>
          <w:lang w:val="en-US" w:eastAsia="zh-CN"/>
        </w:rPr>
        <w:t>3</w:t>
      </w:r>
      <w:r>
        <w:rPr>
          <w:rFonts w:hint="eastAsia"/>
          <w:color w:val="auto"/>
          <w:highlight w:val="none"/>
          <w:lang w:val="en-US" w:eastAsia="zh-CN"/>
        </w:rPr>
        <w:t>，渗滤液收集池池容完全能够满足10天渗滤液贮存需求，在东侧回填区设置1套淋溶水导排系统，以及东侧回填区东南侧设置1座暂存池用于收集淋溶水，暂存池设计容积为80m</w:t>
      </w:r>
      <w:r>
        <w:rPr>
          <w:rFonts w:hint="eastAsia"/>
          <w:color w:val="auto"/>
          <w:highlight w:val="none"/>
          <w:vertAlign w:val="superscript"/>
          <w:lang w:val="en-US" w:eastAsia="zh-CN"/>
        </w:rPr>
        <w:t>3</w:t>
      </w:r>
      <w:r>
        <w:rPr>
          <w:rFonts w:hint="eastAsia"/>
          <w:color w:val="auto"/>
          <w:highlight w:val="none"/>
          <w:lang w:val="en-US" w:eastAsia="zh-CN"/>
        </w:rPr>
        <w:t>，渗滤液收集池池容完全能够满足10天渗滤液贮存需求。根据本项目固体废物淋溶检测结果，项目灰渣中可溶性重金属含量较低，对土壤和地下水水质的影响轻微，因此项目正常情况下产生的淋溶水经矿坑底部粘土层阻隔，经淋溶水导排系统收集后排入暂存池，沉淀后回用于项目区洒水抑尘使用，不外排</w:t>
      </w:r>
      <w:r>
        <w:rPr>
          <w:rFonts w:hint="default"/>
          <w:color w:val="auto"/>
          <w:highlight w:val="none"/>
          <w:lang w:val="en-US" w:eastAsia="zh-CN"/>
        </w:rPr>
        <w:t>。</w:t>
      </w:r>
    </w:p>
    <w:p w14:paraId="0887BEE6">
      <w:pPr>
        <w:spacing w:line="500" w:lineRule="exact"/>
        <w:ind w:firstLine="480" w:firstLineChars="200"/>
        <w:rPr>
          <w:color w:val="auto"/>
          <w:sz w:val="24"/>
          <w:lang w:val="zh-CN"/>
        </w:rPr>
      </w:pPr>
      <w:r>
        <w:rPr>
          <w:color w:val="auto"/>
          <w:sz w:val="24"/>
          <w:lang w:val="zh-CN"/>
        </w:rPr>
        <w:fldChar w:fldCharType="begin"/>
      </w:r>
      <w:r>
        <w:rPr>
          <w:color w:val="auto"/>
          <w:sz w:val="24"/>
          <w:lang w:val="zh-CN"/>
        </w:rPr>
        <w:instrText xml:space="preserve"> </w:instrText>
      </w:r>
      <w:r>
        <w:rPr>
          <w:rFonts w:hint="eastAsia"/>
          <w:color w:val="auto"/>
          <w:sz w:val="24"/>
          <w:lang w:val="zh-CN"/>
        </w:rPr>
        <w:instrText xml:space="preserve">= 3 \* GB3</w:instrText>
      </w:r>
      <w:r>
        <w:rPr>
          <w:color w:val="auto"/>
          <w:sz w:val="24"/>
          <w:lang w:val="zh-CN"/>
        </w:rPr>
        <w:instrText xml:space="preserve"> </w:instrText>
      </w:r>
      <w:r>
        <w:rPr>
          <w:color w:val="auto"/>
          <w:sz w:val="24"/>
          <w:lang w:val="zh-CN"/>
        </w:rPr>
        <w:fldChar w:fldCharType="separate"/>
      </w:r>
      <w:r>
        <w:rPr>
          <w:rFonts w:hint="eastAsia"/>
          <w:color w:val="auto"/>
          <w:sz w:val="24"/>
          <w:lang w:val="zh-CN"/>
        </w:rPr>
        <w:t>③</w:t>
      </w:r>
      <w:r>
        <w:rPr>
          <w:color w:val="auto"/>
          <w:sz w:val="24"/>
          <w:lang w:val="zh-CN"/>
        </w:rPr>
        <w:fldChar w:fldCharType="end"/>
      </w:r>
      <w:r>
        <w:rPr>
          <w:rFonts w:hint="eastAsia"/>
          <w:color w:val="auto"/>
          <w:sz w:val="24"/>
          <w:lang w:val="zh-CN"/>
        </w:rPr>
        <w:t>淋溶水成分分析</w:t>
      </w:r>
    </w:p>
    <w:p w14:paraId="4D536C10">
      <w:pPr>
        <w:pStyle w:val="59"/>
        <w:ind w:firstLine="480"/>
        <w:rPr>
          <w:color w:val="auto"/>
        </w:rPr>
      </w:pPr>
      <w:r>
        <w:rPr>
          <w:color w:val="auto"/>
        </w:rPr>
        <w:t>本项目产生的废水主要是</w:t>
      </w:r>
      <w:r>
        <w:rPr>
          <w:rFonts w:hint="eastAsia"/>
          <w:color w:val="auto"/>
          <w:lang w:eastAsia="zh-CN"/>
        </w:rPr>
        <w:t>灰渣</w:t>
      </w:r>
      <w:r>
        <w:rPr>
          <w:color w:val="auto"/>
        </w:rPr>
        <w:t>堆放产生的</w:t>
      </w:r>
      <w:r>
        <w:rPr>
          <w:rFonts w:hint="eastAsia"/>
          <w:color w:val="auto"/>
        </w:rPr>
        <w:t>淋溶水</w:t>
      </w:r>
      <w:r>
        <w:rPr>
          <w:color w:val="auto"/>
        </w:rPr>
        <w:t>。本工程堆放的固体废物主要为</w:t>
      </w:r>
      <w:r>
        <w:rPr>
          <w:rFonts w:hint="eastAsia"/>
          <w:color w:val="auto"/>
          <w:lang w:eastAsia="zh-CN"/>
        </w:rPr>
        <w:t>灰渣</w:t>
      </w:r>
      <w:r>
        <w:rPr>
          <w:color w:val="auto"/>
        </w:rPr>
        <w:t>，未被列入《国家危险废物名录》，</w:t>
      </w:r>
      <w:r>
        <w:rPr>
          <w:rFonts w:hint="eastAsia"/>
          <w:color w:val="auto"/>
        </w:rPr>
        <w:t>本项目淋溶水</w:t>
      </w:r>
      <w:r>
        <w:rPr>
          <w:color w:val="auto"/>
        </w:rPr>
        <w:t>水质与本项目</w:t>
      </w:r>
      <w:r>
        <w:rPr>
          <w:rFonts w:hint="eastAsia"/>
          <w:color w:val="auto"/>
          <w:lang w:eastAsia="zh-CN"/>
        </w:rPr>
        <w:t>灰渣</w:t>
      </w:r>
      <w:r>
        <w:rPr>
          <w:color w:val="auto"/>
        </w:rPr>
        <w:t>浸出液相</w:t>
      </w:r>
      <w:r>
        <w:rPr>
          <w:rFonts w:hint="eastAsia"/>
          <w:color w:val="auto"/>
        </w:rPr>
        <w:t>同</w:t>
      </w:r>
      <w:r>
        <w:rPr>
          <w:color w:val="auto"/>
        </w:rPr>
        <w:t>。</w:t>
      </w:r>
    </w:p>
    <w:p w14:paraId="198F31B2">
      <w:pPr>
        <w:pStyle w:val="59"/>
        <w:ind w:firstLine="480"/>
        <w:rPr>
          <w:color w:val="auto"/>
        </w:rPr>
      </w:pPr>
      <w:r>
        <w:rPr>
          <w:color w:val="auto"/>
        </w:rPr>
        <w:t>本项目</w:t>
      </w:r>
      <w:r>
        <w:rPr>
          <w:rFonts w:hint="eastAsia"/>
          <w:color w:val="auto"/>
        </w:rPr>
        <w:t>回填复垦期</w:t>
      </w:r>
      <w:r>
        <w:rPr>
          <w:color w:val="auto"/>
        </w:rPr>
        <w:t>正常情况下无</w:t>
      </w:r>
      <w:r>
        <w:rPr>
          <w:rFonts w:hint="eastAsia"/>
          <w:color w:val="auto"/>
        </w:rPr>
        <w:t>淋溶水</w:t>
      </w:r>
      <w:r>
        <w:rPr>
          <w:color w:val="auto"/>
        </w:rPr>
        <w:t>产生；强降雨时，</w:t>
      </w:r>
      <w:r>
        <w:rPr>
          <w:rFonts w:hint="eastAsia"/>
          <w:color w:val="auto"/>
          <w:lang w:eastAsia="zh-CN"/>
        </w:rPr>
        <w:t>灰渣</w:t>
      </w:r>
      <w:r>
        <w:rPr>
          <w:rFonts w:hint="eastAsia"/>
          <w:color w:val="auto"/>
        </w:rPr>
        <w:t>淋溶水</w:t>
      </w:r>
      <w:r>
        <w:rPr>
          <w:color w:val="auto"/>
        </w:rPr>
        <w:t>主要靠场内排水系统收集</w:t>
      </w:r>
      <w:r>
        <w:rPr>
          <w:rFonts w:hint="eastAsia"/>
          <w:color w:val="auto"/>
        </w:rPr>
        <w:t>导排</w:t>
      </w:r>
      <w:r>
        <w:rPr>
          <w:color w:val="auto"/>
        </w:rPr>
        <w:t>。</w:t>
      </w:r>
    </w:p>
    <w:p w14:paraId="5358E310">
      <w:pPr>
        <w:pStyle w:val="76"/>
        <w:rPr>
          <w:color w:val="auto"/>
          <w:highlight w:val="none"/>
        </w:rPr>
      </w:pPr>
      <w:r>
        <w:rPr>
          <w:color w:val="auto"/>
          <w:highlight w:val="none"/>
        </w:rPr>
        <w:t>表3-3-8本项目</w:t>
      </w:r>
      <w:r>
        <w:rPr>
          <w:rFonts w:hint="eastAsia"/>
          <w:color w:val="auto"/>
          <w:highlight w:val="none"/>
        </w:rPr>
        <w:t>淋溶水</w:t>
      </w:r>
      <w:r>
        <w:rPr>
          <w:color w:val="auto"/>
          <w:highlight w:val="none"/>
        </w:rPr>
        <w:t>水质一览表</w:t>
      </w:r>
    </w:p>
    <w:tbl>
      <w:tblPr>
        <w:tblStyle w:val="45"/>
        <w:tblW w:w="4749"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496"/>
        <w:gridCol w:w="3090"/>
        <w:gridCol w:w="3303"/>
      </w:tblGrid>
      <w:tr w14:paraId="1D3B4EB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477" w:hRule="atLeast"/>
          <w:tblHeader/>
          <w:jc w:val="center"/>
        </w:trPr>
        <w:tc>
          <w:tcPr>
            <w:tcW w:w="948" w:type="pct"/>
            <w:vAlign w:val="center"/>
          </w:tcPr>
          <w:p w14:paraId="4D29DD1F">
            <w:pPr>
              <w:pStyle w:val="84"/>
              <w:rPr>
                <w:color w:val="auto"/>
                <w:highlight w:val="none"/>
              </w:rPr>
            </w:pPr>
            <w:r>
              <w:rPr>
                <w:color w:val="auto"/>
                <w:highlight w:val="none"/>
              </w:rPr>
              <w:t>序号</w:t>
            </w:r>
          </w:p>
        </w:tc>
        <w:tc>
          <w:tcPr>
            <w:tcW w:w="1958" w:type="pct"/>
            <w:vAlign w:val="center"/>
          </w:tcPr>
          <w:p w14:paraId="5A85D4C8">
            <w:pPr>
              <w:pStyle w:val="84"/>
              <w:rPr>
                <w:color w:val="auto"/>
                <w:highlight w:val="none"/>
              </w:rPr>
            </w:pPr>
            <w:r>
              <w:rPr>
                <w:rFonts w:hint="eastAsia"/>
                <w:color w:val="auto"/>
                <w:highlight w:val="none"/>
              </w:rPr>
              <w:t>污染物</w:t>
            </w:r>
          </w:p>
        </w:tc>
        <w:tc>
          <w:tcPr>
            <w:tcW w:w="2093" w:type="pct"/>
            <w:vAlign w:val="center"/>
          </w:tcPr>
          <w:p w14:paraId="66B351C4">
            <w:pPr>
              <w:pStyle w:val="84"/>
              <w:rPr>
                <w:color w:val="auto"/>
                <w:highlight w:val="none"/>
              </w:rPr>
            </w:pPr>
            <w:r>
              <w:rPr>
                <w:rFonts w:hint="eastAsia" w:hAnsiTheme="minorEastAsia" w:eastAsiaTheme="minorEastAsia"/>
                <w:color w:val="auto"/>
                <w:spacing w:val="9"/>
                <w:highlight w:val="none"/>
                <w:lang w:eastAsia="zh-CN"/>
              </w:rPr>
              <w:t>灰渣</w:t>
            </w:r>
            <w:r>
              <w:rPr>
                <w:rFonts w:hAnsiTheme="minorEastAsia" w:eastAsiaTheme="minorEastAsia"/>
                <w:color w:val="auto"/>
                <w:spacing w:val="6"/>
                <w:highlight w:val="none"/>
              </w:rPr>
              <w:t>浸出液</w:t>
            </w:r>
            <w:r>
              <w:rPr>
                <w:color w:val="auto"/>
                <w:highlight w:val="none"/>
              </w:rPr>
              <w:t>最大值</w:t>
            </w:r>
          </w:p>
        </w:tc>
      </w:tr>
      <w:tr w14:paraId="5AD30CF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42DD7E9E">
            <w:pPr>
              <w:pStyle w:val="84"/>
              <w:rPr>
                <w:color w:val="auto"/>
                <w:highlight w:val="none"/>
              </w:rPr>
            </w:pPr>
            <w:r>
              <w:rPr>
                <w:color w:val="auto"/>
                <w:highlight w:val="none"/>
              </w:rPr>
              <w:t>1</w:t>
            </w:r>
          </w:p>
        </w:tc>
        <w:tc>
          <w:tcPr>
            <w:tcW w:w="1958" w:type="pct"/>
            <w:vAlign w:val="center"/>
          </w:tcPr>
          <w:p w14:paraId="359714CD">
            <w:pPr>
              <w:pStyle w:val="84"/>
              <w:rPr>
                <w:color w:val="auto"/>
                <w:highlight w:val="none"/>
              </w:rPr>
            </w:pPr>
            <w:r>
              <w:rPr>
                <w:rFonts w:eastAsiaTheme="minorEastAsia"/>
                <w:color w:val="auto"/>
                <w:spacing w:val="6"/>
                <w:highlight w:val="none"/>
              </w:rPr>
              <w:t>pH</w:t>
            </w:r>
          </w:p>
        </w:tc>
        <w:tc>
          <w:tcPr>
            <w:tcW w:w="2093" w:type="pct"/>
            <w:vAlign w:val="center"/>
          </w:tcPr>
          <w:p w14:paraId="1DA1A380">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8.7</w:t>
            </w:r>
          </w:p>
        </w:tc>
      </w:tr>
      <w:tr w14:paraId="46DC5F2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76B05ADE">
            <w:pPr>
              <w:pStyle w:val="84"/>
              <w:rPr>
                <w:color w:val="auto"/>
                <w:highlight w:val="none"/>
              </w:rPr>
            </w:pPr>
            <w:r>
              <w:rPr>
                <w:color w:val="auto"/>
                <w:highlight w:val="none"/>
              </w:rPr>
              <w:t>2</w:t>
            </w:r>
          </w:p>
        </w:tc>
        <w:tc>
          <w:tcPr>
            <w:tcW w:w="1958" w:type="pct"/>
            <w:vAlign w:val="center"/>
          </w:tcPr>
          <w:p w14:paraId="13032EB0">
            <w:pPr>
              <w:pStyle w:val="84"/>
              <w:rPr>
                <w:color w:val="auto"/>
                <w:highlight w:val="none"/>
              </w:rPr>
            </w:pPr>
            <w:r>
              <w:rPr>
                <w:color w:val="auto"/>
                <w:highlight w:val="none"/>
              </w:rPr>
              <w:t>色度</w:t>
            </w:r>
          </w:p>
        </w:tc>
        <w:tc>
          <w:tcPr>
            <w:tcW w:w="2093" w:type="pct"/>
            <w:vAlign w:val="center"/>
          </w:tcPr>
          <w:p w14:paraId="3DD9536E">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40</w:t>
            </w:r>
          </w:p>
        </w:tc>
      </w:tr>
      <w:tr w14:paraId="5265C25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07" w:hRule="atLeast"/>
          <w:tblHeader/>
          <w:jc w:val="center"/>
        </w:trPr>
        <w:tc>
          <w:tcPr>
            <w:tcW w:w="948" w:type="pct"/>
            <w:vAlign w:val="center"/>
          </w:tcPr>
          <w:p w14:paraId="17BFF2D9">
            <w:pPr>
              <w:pStyle w:val="84"/>
              <w:rPr>
                <w:color w:val="auto"/>
                <w:highlight w:val="none"/>
              </w:rPr>
            </w:pPr>
            <w:r>
              <w:rPr>
                <w:color w:val="auto"/>
                <w:highlight w:val="none"/>
              </w:rPr>
              <w:t>3</w:t>
            </w:r>
          </w:p>
        </w:tc>
        <w:tc>
          <w:tcPr>
            <w:tcW w:w="1958" w:type="pct"/>
            <w:vAlign w:val="center"/>
          </w:tcPr>
          <w:p w14:paraId="59C28775">
            <w:pPr>
              <w:pStyle w:val="84"/>
              <w:rPr>
                <w:color w:val="auto"/>
                <w:highlight w:val="none"/>
              </w:rPr>
            </w:pPr>
            <w:r>
              <w:rPr>
                <w:color w:val="auto"/>
                <w:highlight w:val="none"/>
              </w:rPr>
              <w:t>COD（mg/L）</w:t>
            </w:r>
          </w:p>
        </w:tc>
        <w:tc>
          <w:tcPr>
            <w:tcW w:w="2093" w:type="pct"/>
            <w:vAlign w:val="center"/>
          </w:tcPr>
          <w:p w14:paraId="6EF3136F">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88</w:t>
            </w:r>
          </w:p>
        </w:tc>
      </w:tr>
      <w:tr w14:paraId="2253D3D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082FEF36">
            <w:pPr>
              <w:pStyle w:val="84"/>
              <w:rPr>
                <w:color w:val="auto"/>
                <w:highlight w:val="none"/>
              </w:rPr>
            </w:pPr>
            <w:r>
              <w:rPr>
                <w:rFonts w:hint="eastAsia"/>
                <w:color w:val="auto"/>
                <w:highlight w:val="none"/>
              </w:rPr>
              <w:t>4</w:t>
            </w:r>
          </w:p>
        </w:tc>
        <w:tc>
          <w:tcPr>
            <w:tcW w:w="1958" w:type="pct"/>
            <w:vAlign w:val="center"/>
          </w:tcPr>
          <w:p w14:paraId="0A04FCD7">
            <w:pPr>
              <w:pStyle w:val="84"/>
              <w:rPr>
                <w:color w:val="auto"/>
                <w:highlight w:val="none"/>
              </w:rPr>
            </w:pPr>
            <w:r>
              <w:rPr>
                <w:color w:val="auto"/>
                <w:highlight w:val="none"/>
              </w:rPr>
              <w:t>BOD</w:t>
            </w:r>
            <w:r>
              <w:rPr>
                <w:color w:val="auto"/>
                <w:highlight w:val="none"/>
                <w:vertAlign w:val="subscript"/>
              </w:rPr>
              <w:t>5</w:t>
            </w:r>
            <w:r>
              <w:rPr>
                <w:color w:val="auto"/>
                <w:highlight w:val="none"/>
              </w:rPr>
              <w:t>（mg/L）</w:t>
            </w:r>
          </w:p>
        </w:tc>
        <w:tc>
          <w:tcPr>
            <w:tcW w:w="2093" w:type="pct"/>
            <w:vAlign w:val="center"/>
          </w:tcPr>
          <w:p w14:paraId="712959B8">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18.7</w:t>
            </w:r>
          </w:p>
        </w:tc>
      </w:tr>
      <w:tr w14:paraId="540B538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62BF8122">
            <w:pPr>
              <w:pStyle w:val="84"/>
              <w:rPr>
                <w:color w:val="auto"/>
                <w:highlight w:val="none"/>
              </w:rPr>
            </w:pPr>
            <w:r>
              <w:rPr>
                <w:color w:val="auto"/>
                <w:highlight w:val="none"/>
              </w:rPr>
              <w:t>5</w:t>
            </w:r>
          </w:p>
        </w:tc>
        <w:tc>
          <w:tcPr>
            <w:tcW w:w="1958" w:type="pct"/>
            <w:vAlign w:val="center"/>
          </w:tcPr>
          <w:p w14:paraId="678EAC84">
            <w:pPr>
              <w:pStyle w:val="84"/>
              <w:rPr>
                <w:color w:val="auto"/>
                <w:highlight w:val="none"/>
              </w:rPr>
            </w:pPr>
            <w:r>
              <w:rPr>
                <w:color w:val="auto"/>
                <w:highlight w:val="none"/>
              </w:rPr>
              <w:t>氨氮（mg/L）</w:t>
            </w:r>
          </w:p>
        </w:tc>
        <w:tc>
          <w:tcPr>
            <w:tcW w:w="2093" w:type="pct"/>
            <w:vAlign w:val="center"/>
          </w:tcPr>
          <w:p w14:paraId="3E849C10">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0.39</w:t>
            </w:r>
          </w:p>
        </w:tc>
      </w:tr>
      <w:tr w14:paraId="340B71A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03D856A8">
            <w:pPr>
              <w:pStyle w:val="84"/>
              <w:rPr>
                <w:color w:val="auto"/>
                <w:highlight w:val="none"/>
              </w:rPr>
            </w:pPr>
            <w:r>
              <w:rPr>
                <w:color w:val="auto"/>
                <w:highlight w:val="none"/>
              </w:rPr>
              <w:t>6</w:t>
            </w:r>
          </w:p>
        </w:tc>
        <w:tc>
          <w:tcPr>
            <w:tcW w:w="1958" w:type="pct"/>
            <w:vAlign w:val="center"/>
          </w:tcPr>
          <w:p w14:paraId="39B09BC3">
            <w:pPr>
              <w:pStyle w:val="84"/>
              <w:rPr>
                <w:color w:val="auto"/>
                <w:highlight w:val="none"/>
              </w:rPr>
            </w:pPr>
            <w:r>
              <w:rPr>
                <w:color w:val="auto"/>
                <w:highlight w:val="none"/>
              </w:rPr>
              <w:t>磷酸盐（mg/L）</w:t>
            </w:r>
          </w:p>
        </w:tc>
        <w:tc>
          <w:tcPr>
            <w:tcW w:w="2093" w:type="pct"/>
            <w:vAlign w:val="center"/>
          </w:tcPr>
          <w:p w14:paraId="646DE66A">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0.37</w:t>
            </w:r>
          </w:p>
        </w:tc>
      </w:tr>
      <w:tr w14:paraId="2945B79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3D7874E4">
            <w:pPr>
              <w:pStyle w:val="84"/>
              <w:rPr>
                <w:color w:val="auto"/>
                <w:highlight w:val="none"/>
              </w:rPr>
            </w:pPr>
            <w:r>
              <w:rPr>
                <w:color w:val="auto"/>
                <w:highlight w:val="none"/>
              </w:rPr>
              <w:t>7</w:t>
            </w:r>
          </w:p>
        </w:tc>
        <w:tc>
          <w:tcPr>
            <w:tcW w:w="1958" w:type="pct"/>
            <w:vAlign w:val="center"/>
          </w:tcPr>
          <w:p w14:paraId="5B09F70B">
            <w:pPr>
              <w:pStyle w:val="84"/>
              <w:rPr>
                <w:color w:val="auto"/>
                <w:highlight w:val="none"/>
              </w:rPr>
            </w:pPr>
            <w:r>
              <w:rPr>
                <w:rFonts w:hAnsiTheme="minorEastAsia" w:eastAsiaTheme="minorEastAsia"/>
                <w:color w:val="auto"/>
                <w:spacing w:val="7"/>
                <w:highlight w:val="none"/>
              </w:rPr>
              <w:t>氟</w:t>
            </w:r>
            <w:r>
              <w:rPr>
                <w:rFonts w:hAnsiTheme="minorEastAsia" w:eastAsiaTheme="minorEastAsia"/>
                <w:color w:val="auto"/>
                <w:spacing w:val="6"/>
                <w:highlight w:val="none"/>
              </w:rPr>
              <w:t>化物</w:t>
            </w:r>
            <w:r>
              <w:rPr>
                <w:color w:val="auto"/>
                <w:highlight w:val="none"/>
              </w:rPr>
              <w:t>（mg/L）</w:t>
            </w:r>
          </w:p>
        </w:tc>
        <w:tc>
          <w:tcPr>
            <w:tcW w:w="2093" w:type="pct"/>
            <w:vAlign w:val="center"/>
          </w:tcPr>
          <w:p w14:paraId="722FADA8">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0.55</w:t>
            </w:r>
          </w:p>
        </w:tc>
      </w:tr>
      <w:tr w14:paraId="363FB38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74510F87">
            <w:pPr>
              <w:pStyle w:val="84"/>
              <w:rPr>
                <w:color w:val="auto"/>
                <w:highlight w:val="none"/>
              </w:rPr>
            </w:pPr>
            <w:r>
              <w:rPr>
                <w:color w:val="auto"/>
                <w:highlight w:val="none"/>
              </w:rPr>
              <w:t>8</w:t>
            </w:r>
          </w:p>
        </w:tc>
        <w:tc>
          <w:tcPr>
            <w:tcW w:w="1958" w:type="pct"/>
            <w:vAlign w:val="center"/>
          </w:tcPr>
          <w:p w14:paraId="3FA682DB">
            <w:pPr>
              <w:pStyle w:val="84"/>
              <w:rPr>
                <w:color w:val="auto"/>
                <w:highlight w:val="none"/>
              </w:rPr>
            </w:pPr>
            <w:r>
              <w:rPr>
                <w:rFonts w:hAnsiTheme="minorEastAsia" w:eastAsiaTheme="minorEastAsia"/>
                <w:color w:val="auto"/>
                <w:spacing w:val="2"/>
                <w:highlight w:val="none"/>
              </w:rPr>
              <w:t>总</w:t>
            </w:r>
            <w:r>
              <w:rPr>
                <w:rFonts w:hint="eastAsia" w:hAnsiTheme="minorEastAsia" w:eastAsiaTheme="minorEastAsia"/>
                <w:color w:val="auto"/>
                <w:spacing w:val="2"/>
                <w:highlight w:val="none"/>
                <w:lang w:eastAsia="zh-CN"/>
              </w:rPr>
              <w:t>铅</w:t>
            </w:r>
            <w:r>
              <w:rPr>
                <w:color w:val="auto"/>
                <w:highlight w:val="none"/>
              </w:rPr>
              <w:t>（mg/L）</w:t>
            </w:r>
          </w:p>
        </w:tc>
        <w:tc>
          <w:tcPr>
            <w:tcW w:w="2093" w:type="pct"/>
            <w:vAlign w:val="center"/>
          </w:tcPr>
          <w:p w14:paraId="082A123E">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0.2L</w:t>
            </w:r>
          </w:p>
        </w:tc>
      </w:tr>
      <w:tr w14:paraId="33CB87E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423A11A6">
            <w:pPr>
              <w:pStyle w:val="84"/>
              <w:rPr>
                <w:rFonts w:hint="eastAsia" w:eastAsia="宋体"/>
                <w:color w:val="auto"/>
                <w:highlight w:val="none"/>
                <w:lang w:eastAsia="zh-CN"/>
              </w:rPr>
            </w:pPr>
            <w:r>
              <w:rPr>
                <w:rFonts w:hint="eastAsia"/>
                <w:color w:val="auto"/>
                <w:highlight w:val="none"/>
                <w:lang w:val="en-US" w:eastAsia="zh-CN"/>
              </w:rPr>
              <w:t>9</w:t>
            </w:r>
          </w:p>
        </w:tc>
        <w:tc>
          <w:tcPr>
            <w:tcW w:w="1958" w:type="pct"/>
            <w:vAlign w:val="center"/>
          </w:tcPr>
          <w:p w14:paraId="08CCD897">
            <w:pPr>
              <w:pStyle w:val="84"/>
              <w:rPr>
                <w:color w:val="auto"/>
                <w:highlight w:val="none"/>
              </w:rPr>
            </w:pPr>
            <w:r>
              <w:rPr>
                <w:rFonts w:hAnsiTheme="minorEastAsia" w:eastAsiaTheme="minorEastAsia"/>
                <w:color w:val="auto"/>
                <w:spacing w:val="7"/>
                <w:highlight w:val="none"/>
              </w:rPr>
              <w:t>石</w:t>
            </w:r>
            <w:r>
              <w:rPr>
                <w:rFonts w:hAnsiTheme="minorEastAsia" w:eastAsiaTheme="minorEastAsia"/>
                <w:color w:val="auto"/>
                <w:spacing w:val="6"/>
                <w:highlight w:val="none"/>
              </w:rPr>
              <w:t>油类</w:t>
            </w:r>
            <w:r>
              <w:rPr>
                <w:color w:val="auto"/>
                <w:highlight w:val="none"/>
              </w:rPr>
              <w:t>（mg/L）</w:t>
            </w:r>
          </w:p>
        </w:tc>
        <w:tc>
          <w:tcPr>
            <w:tcW w:w="2093" w:type="pct"/>
            <w:vAlign w:val="center"/>
          </w:tcPr>
          <w:p w14:paraId="6035FDCD">
            <w:pPr>
              <w:pStyle w:val="84"/>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0.06L</w:t>
            </w:r>
          </w:p>
        </w:tc>
      </w:tr>
      <w:tr w14:paraId="0D254EB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40E0E6E6">
            <w:pPr>
              <w:pStyle w:val="84"/>
              <w:rPr>
                <w:rFonts w:hint="default" w:eastAsia="宋体"/>
                <w:color w:val="auto"/>
                <w:highlight w:val="none"/>
                <w:lang w:val="en-US" w:eastAsia="zh-CN"/>
              </w:rPr>
            </w:pPr>
            <w:r>
              <w:rPr>
                <w:rFonts w:hint="eastAsia"/>
                <w:color w:val="auto"/>
                <w:highlight w:val="none"/>
                <w:lang w:val="en-US" w:eastAsia="zh-CN"/>
              </w:rPr>
              <w:t>10</w:t>
            </w:r>
          </w:p>
        </w:tc>
        <w:tc>
          <w:tcPr>
            <w:tcW w:w="1958" w:type="pct"/>
            <w:vAlign w:val="center"/>
          </w:tcPr>
          <w:p w14:paraId="3E9578E7">
            <w:pPr>
              <w:pStyle w:val="84"/>
              <w:rPr>
                <w:color w:val="auto"/>
                <w:highlight w:val="none"/>
              </w:rPr>
            </w:pPr>
            <w:r>
              <w:rPr>
                <w:rFonts w:hAnsiTheme="minorEastAsia" w:eastAsiaTheme="minorEastAsia"/>
                <w:color w:val="auto"/>
                <w:spacing w:val="7"/>
                <w:highlight w:val="none"/>
              </w:rPr>
              <w:t>动植物油</w:t>
            </w:r>
            <w:r>
              <w:rPr>
                <w:color w:val="auto"/>
                <w:highlight w:val="none"/>
              </w:rPr>
              <w:t>（mg/L）</w:t>
            </w:r>
          </w:p>
        </w:tc>
        <w:tc>
          <w:tcPr>
            <w:tcW w:w="2093" w:type="pct"/>
            <w:vAlign w:val="center"/>
          </w:tcPr>
          <w:p w14:paraId="180DACC8">
            <w:pPr>
              <w:pStyle w:val="84"/>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rPr>
              <w:t>0.06L</w:t>
            </w:r>
          </w:p>
        </w:tc>
      </w:tr>
      <w:tr w14:paraId="0E9A744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948" w:type="pct"/>
            <w:vAlign w:val="center"/>
          </w:tcPr>
          <w:p w14:paraId="40802258">
            <w:pPr>
              <w:pStyle w:val="84"/>
              <w:rPr>
                <w:rFonts w:hint="default" w:eastAsia="宋体"/>
                <w:color w:val="auto"/>
                <w:highlight w:val="none"/>
                <w:lang w:val="en-US" w:eastAsia="zh-CN"/>
              </w:rPr>
            </w:pPr>
            <w:r>
              <w:rPr>
                <w:rFonts w:hint="eastAsia"/>
                <w:color w:val="auto"/>
                <w:highlight w:val="none"/>
                <w:lang w:val="en-US" w:eastAsia="zh-CN"/>
              </w:rPr>
              <w:t>11</w:t>
            </w:r>
          </w:p>
        </w:tc>
        <w:tc>
          <w:tcPr>
            <w:tcW w:w="1958" w:type="pct"/>
            <w:vAlign w:val="center"/>
          </w:tcPr>
          <w:p w14:paraId="5ED77FDB">
            <w:pPr>
              <w:pStyle w:val="84"/>
              <w:rPr>
                <w:rFonts w:ascii="宋体" w:hAnsi="宋体" w:cs="宋体"/>
                <w:color w:val="auto"/>
                <w:spacing w:val="5"/>
                <w:highlight w:val="none"/>
              </w:rPr>
            </w:pPr>
            <w:r>
              <w:rPr>
                <w:rFonts w:ascii="宋体" w:hAnsi="宋体" w:cs="宋体"/>
                <w:color w:val="auto"/>
                <w:spacing w:val="5"/>
                <w:highlight w:val="none"/>
              </w:rPr>
              <w:t>悬浮物</w:t>
            </w:r>
            <w:r>
              <w:rPr>
                <w:color w:val="auto"/>
                <w:highlight w:val="none"/>
              </w:rPr>
              <w:t>（mg/L）</w:t>
            </w:r>
          </w:p>
        </w:tc>
        <w:tc>
          <w:tcPr>
            <w:tcW w:w="2093" w:type="pct"/>
            <w:vAlign w:val="center"/>
          </w:tcPr>
          <w:p w14:paraId="1C39D5C1">
            <w:pPr>
              <w:pStyle w:val="84"/>
              <w:rPr>
                <w:rFonts w:hint="default" w:eastAsia="宋体"/>
                <w:color w:val="auto"/>
                <w:sz w:val="21"/>
                <w:szCs w:val="21"/>
                <w:highlight w:val="none"/>
                <w:lang w:val="en-US" w:eastAsia="zh-CN"/>
              </w:rPr>
            </w:pPr>
            <w:r>
              <w:rPr>
                <w:rFonts w:hint="eastAsia"/>
                <w:color w:val="auto"/>
                <w:sz w:val="21"/>
                <w:szCs w:val="21"/>
                <w:highlight w:val="none"/>
                <w:lang w:val="en-US" w:eastAsia="zh-CN"/>
              </w:rPr>
              <w:t>38</w:t>
            </w:r>
          </w:p>
        </w:tc>
      </w:tr>
    </w:tbl>
    <w:p w14:paraId="4533DA2E">
      <w:pPr>
        <w:pStyle w:val="59"/>
        <w:ind w:firstLine="480"/>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15225CF">
      <w:pPr>
        <w:pStyle w:val="76"/>
        <w:rPr>
          <w:rFonts w:hint="default" w:ascii="Times New Roman" w:hAnsi="Times New Roman" w:cs="Times New Roman"/>
          <w:color w:val="auto"/>
          <w:highlight w:val="none"/>
        </w:rPr>
      </w:pPr>
      <w:r>
        <w:rPr>
          <w:rFonts w:hint="default" w:ascii="Times New Roman" w:hAnsi="Times New Roman" w:cs="Times New Roman"/>
          <w:color w:val="auto"/>
          <w:highlight w:val="none"/>
        </w:rPr>
        <w:t>表3-3-9项目废水源强一览表</w:t>
      </w:r>
    </w:p>
    <w:tbl>
      <w:tblPr>
        <w:tblStyle w:val="762"/>
        <w:tblW w:w="4762"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639"/>
        <w:gridCol w:w="641"/>
        <w:gridCol w:w="1020"/>
        <w:gridCol w:w="534"/>
        <w:gridCol w:w="846"/>
        <w:gridCol w:w="1074"/>
        <w:gridCol w:w="1223"/>
        <w:gridCol w:w="1818"/>
        <w:gridCol w:w="819"/>
        <w:gridCol w:w="426"/>
        <w:gridCol w:w="940"/>
        <w:gridCol w:w="1119"/>
        <w:gridCol w:w="870"/>
      </w:tblGrid>
      <w:tr w14:paraId="7458A5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restart"/>
            <w:vAlign w:val="center"/>
          </w:tcPr>
          <w:p w14:paraId="6D08AF39">
            <w:pPr>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工序</w:t>
            </w:r>
          </w:p>
        </w:tc>
        <w:tc>
          <w:tcPr>
            <w:tcW w:w="254" w:type="pct"/>
            <w:vMerge w:val="restart"/>
            <w:vAlign w:val="center"/>
          </w:tcPr>
          <w:p w14:paraId="3BD5613E">
            <w:pPr>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装置</w:t>
            </w:r>
          </w:p>
        </w:tc>
        <w:tc>
          <w:tcPr>
            <w:tcW w:w="255" w:type="pct"/>
            <w:vMerge w:val="restart"/>
            <w:vAlign w:val="center"/>
          </w:tcPr>
          <w:p w14:paraId="4E8F2DFD">
            <w:pPr>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污染源</w:t>
            </w:r>
          </w:p>
        </w:tc>
        <w:tc>
          <w:tcPr>
            <w:tcW w:w="405" w:type="pct"/>
            <w:vMerge w:val="restart"/>
            <w:vAlign w:val="center"/>
          </w:tcPr>
          <w:p w14:paraId="55DDD82D">
            <w:pPr>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污染物</w:t>
            </w:r>
          </w:p>
        </w:tc>
        <w:tc>
          <w:tcPr>
            <w:tcW w:w="1453" w:type="pct"/>
            <w:gridSpan w:val="4"/>
            <w:vAlign w:val="center"/>
          </w:tcPr>
          <w:p w14:paraId="17C99892">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污染物产生</w:t>
            </w:r>
          </w:p>
        </w:tc>
        <w:tc>
          <w:tcPr>
            <w:tcW w:w="1046" w:type="pct"/>
            <w:gridSpan w:val="2"/>
            <w:vAlign w:val="center"/>
          </w:tcPr>
          <w:p w14:paraId="17C08540">
            <w:pPr>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治理措施</w:t>
            </w:r>
          </w:p>
        </w:tc>
        <w:tc>
          <w:tcPr>
            <w:tcW w:w="1330" w:type="pct"/>
            <w:gridSpan w:val="4"/>
            <w:vAlign w:val="center"/>
          </w:tcPr>
          <w:p w14:paraId="069C7C09">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污染物排放</w:t>
            </w:r>
          </w:p>
        </w:tc>
      </w:tr>
      <w:tr w14:paraId="547690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continue"/>
            <w:vAlign w:val="center"/>
          </w:tcPr>
          <w:p w14:paraId="28C8DE71">
            <w:pPr>
              <w:widowControl/>
              <w:adjustRightInd w:val="0"/>
              <w:snapToGrid w:val="0"/>
              <w:rPr>
                <w:rFonts w:hint="default" w:ascii="Times New Roman" w:hAnsi="Times New Roman" w:cs="Times New Roman"/>
                <w:color w:val="auto"/>
                <w:kern w:val="0"/>
                <w:szCs w:val="21"/>
                <w:highlight w:val="none"/>
              </w:rPr>
            </w:pPr>
          </w:p>
        </w:tc>
        <w:tc>
          <w:tcPr>
            <w:tcW w:w="254" w:type="pct"/>
            <w:vMerge w:val="continue"/>
            <w:vAlign w:val="center"/>
          </w:tcPr>
          <w:p w14:paraId="708C8CF9">
            <w:pPr>
              <w:widowControl/>
              <w:adjustRightInd w:val="0"/>
              <w:snapToGrid w:val="0"/>
              <w:rPr>
                <w:rFonts w:hint="default" w:ascii="Times New Roman" w:hAnsi="Times New Roman" w:cs="Times New Roman"/>
                <w:color w:val="auto"/>
                <w:kern w:val="0"/>
                <w:szCs w:val="21"/>
                <w:highlight w:val="none"/>
              </w:rPr>
            </w:pPr>
          </w:p>
        </w:tc>
        <w:tc>
          <w:tcPr>
            <w:tcW w:w="255" w:type="pct"/>
            <w:vMerge w:val="continue"/>
            <w:vAlign w:val="center"/>
          </w:tcPr>
          <w:p w14:paraId="0104D1C4">
            <w:pPr>
              <w:widowControl/>
              <w:adjustRightInd w:val="0"/>
              <w:snapToGrid w:val="0"/>
              <w:rPr>
                <w:rFonts w:hint="default" w:ascii="Times New Roman" w:hAnsi="Times New Roman" w:cs="Times New Roman"/>
                <w:color w:val="auto"/>
                <w:kern w:val="0"/>
                <w:szCs w:val="21"/>
                <w:highlight w:val="none"/>
              </w:rPr>
            </w:pPr>
          </w:p>
        </w:tc>
        <w:tc>
          <w:tcPr>
            <w:tcW w:w="405" w:type="pct"/>
            <w:vMerge w:val="continue"/>
            <w:vAlign w:val="center"/>
          </w:tcPr>
          <w:p w14:paraId="21407C11">
            <w:pPr>
              <w:widowControl/>
              <w:adjustRightInd w:val="0"/>
              <w:snapToGrid w:val="0"/>
              <w:jc w:val="center"/>
              <w:rPr>
                <w:rFonts w:hint="default" w:ascii="Times New Roman" w:hAnsi="Times New Roman" w:cs="Times New Roman"/>
                <w:color w:val="auto"/>
                <w:kern w:val="0"/>
                <w:szCs w:val="21"/>
                <w:highlight w:val="none"/>
                <w:lang w:val="zh-CN"/>
              </w:rPr>
            </w:pPr>
          </w:p>
        </w:tc>
        <w:tc>
          <w:tcPr>
            <w:tcW w:w="212" w:type="pct"/>
            <w:vAlign w:val="center"/>
          </w:tcPr>
          <w:p w14:paraId="293554AC">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核算方法</w:t>
            </w:r>
          </w:p>
        </w:tc>
        <w:tc>
          <w:tcPr>
            <w:tcW w:w="330" w:type="pct"/>
            <w:vAlign w:val="center"/>
          </w:tcPr>
          <w:p w14:paraId="7511F22F">
            <w:pPr>
              <w:pStyle w:val="84"/>
              <w:rPr>
                <w:rFonts w:hint="default" w:ascii="Times New Roman" w:hAnsi="Times New Roman" w:cs="Times New Roman"/>
                <w:color w:val="auto"/>
                <w:highlight w:val="none"/>
              </w:rPr>
            </w:pPr>
            <w:r>
              <w:rPr>
                <w:rFonts w:hint="default" w:ascii="Times New Roman" w:hAnsi="Times New Roman" w:cs="Times New Roman"/>
                <w:color w:val="auto"/>
                <w:highlight w:val="none"/>
              </w:rPr>
              <w:t>废水产生量（t/a）</w:t>
            </w:r>
          </w:p>
        </w:tc>
        <w:tc>
          <w:tcPr>
            <w:tcW w:w="426" w:type="pct"/>
            <w:vAlign w:val="center"/>
          </w:tcPr>
          <w:p w14:paraId="35ECFD41">
            <w:pPr>
              <w:widowControl/>
              <w:adjustRightInd w:val="0"/>
              <w:snapToGrid w:val="0"/>
              <w:jc w:val="center"/>
              <w:rPr>
                <w:rFonts w:hint="default" w:ascii="Times New Roman" w:hAnsi="Times New Roman" w:cs="Times New Roman"/>
                <w:color w:val="auto"/>
                <w:kern w:val="0"/>
                <w:szCs w:val="21"/>
                <w:highlight w:val="none"/>
              </w:rPr>
            </w:pPr>
            <w:r>
              <w:rPr>
                <w:rStyle w:val="87"/>
                <w:rFonts w:hint="default" w:ascii="Times New Roman" w:hAnsi="Times New Roman" w:cs="Times New Roman"/>
                <w:color w:val="auto"/>
                <w:szCs w:val="21"/>
                <w:highlight w:val="none"/>
              </w:rPr>
              <w:t>浓度mg/L</w:t>
            </w:r>
          </w:p>
        </w:tc>
        <w:tc>
          <w:tcPr>
            <w:tcW w:w="485" w:type="pct"/>
            <w:vAlign w:val="center"/>
          </w:tcPr>
          <w:p w14:paraId="1E787BFE">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lang w:val="zh-CN"/>
              </w:rPr>
              <w:t>产生量t/a</w:t>
            </w:r>
          </w:p>
        </w:tc>
        <w:tc>
          <w:tcPr>
            <w:tcW w:w="721" w:type="pct"/>
            <w:vAlign w:val="center"/>
          </w:tcPr>
          <w:p w14:paraId="20E55CA6">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工艺</w:t>
            </w:r>
          </w:p>
        </w:tc>
        <w:tc>
          <w:tcPr>
            <w:tcW w:w="325" w:type="pct"/>
            <w:vAlign w:val="center"/>
          </w:tcPr>
          <w:p w14:paraId="6D51AB0A">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处理效率%</w:t>
            </w:r>
          </w:p>
        </w:tc>
        <w:tc>
          <w:tcPr>
            <w:tcW w:w="168" w:type="pct"/>
            <w:vAlign w:val="center"/>
          </w:tcPr>
          <w:p w14:paraId="293F75CE">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核算方法</w:t>
            </w:r>
          </w:p>
        </w:tc>
        <w:tc>
          <w:tcPr>
            <w:tcW w:w="373" w:type="pct"/>
            <w:vAlign w:val="center"/>
          </w:tcPr>
          <w:p w14:paraId="5457821A">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szCs w:val="21"/>
                <w:highlight w:val="none"/>
              </w:rPr>
              <w:t>废水排放量</w:t>
            </w:r>
            <w:r>
              <w:rPr>
                <w:rStyle w:val="87"/>
                <w:rFonts w:hint="default" w:ascii="Times New Roman" w:hAnsi="Times New Roman" w:cs="Times New Roman"/>
                <w:color w:val="auto"/>
                <w:szCs w:val="21"/>
                <w:highlight w:val="none"/>
              </w:rPr>
              <w:t>（t/a）</w:t>
            </w:r>
          </w:p>
        </w:tc>
        <w:tc>
          <w:tcPr>
            <w:tcW w:w="444" w:type="pct"/>
            <w:vAlign w:val="center"/>
          </w:tcPr>
          <w:p w14:paraId="562781E8">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排放浓度</w:t>
            </w:r>
            <w:r>
              <w:rPr>
                <w:rStyle w:val="87"/>
                <w:rFonts w:hint="default" w:ascii="Times New Roman" w:hAnsi="Times New Roman" w:cs="Times New Roman"/>
                <w:color w:val="auto"/>
                <w:szCs w:val="21"/>
                <w:highlight w:val="none"/>
              </w:rPr>
              <w:t>mg/L</w:t>
            </w:r>
          </w:p>
        </w:tc>
        <w:tc>
          <w:tcPr>
            <w:tcW w:w="344" w:type="pct"/>
            <w:vAlign w:val="center"/>
          </w:tcPr>
          <w:p w14:paraId="6670A088">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排放量</w:t>
            </w:r>
            <w:r>
              <w:rPr>
                <w:rStyle w:val="87"/>
                <w:rFonts w:hint="default" w:ascii="Times New Roman" w:hAnsi="Times New Roman" w:cs="Times New Roman"/>
                <w:color w:val="auto"/>
                <w:szCs w:val="21"/>
                <w:highlight w:val="none"/>
              </w:rPr>
              <w:t>t/a</w:t>
            </w:r>
          </w:p>
        </w:tc>
      </w:tr>
      <w:tr w14:paraId="59BCF8D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4" w:type="pct"/>
            <w:vMerge w:val="restart"/>
            <w:vAlign w:val="center"/>
          </w:tcPr>
          <w:p w14:paraId="30EE9459">
            <w:pPr>
              <w:widowControl/>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回填作业</w:t>
            </w:r>
          </w:p>
        </w:tc>
        <w:tc>
          <w:tcPr>
            <w:tcW w:w="254" w:type="pct"/>
            <w:vMerge w:val="restart"/>
            <w:vAlign w:val="center"/>
          </w:tcPr>
          <w:p w14:paraId="12180FAB">
            <w:pPr>
              <w:widowControl/>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暂存池</w:t>
            </w:r>
          </w:p>
        </w:tc>
        <w:tc>
          <w:tcPr>
            <w:tcW w:w="255" w:type="pct"/>
            <w:vMerge w:val="restart"/>
            <w:vAlign w:val="center"/>
          </w:tcPr>
          <w:p w14:paraId="5A691054">
            <w:pPr>
              <w:widowControl/>
              <w:adjustRightInd w:val="0"/>
              <w:snapToGrid w:val="0"/>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淋溶水</w:t>
            </w:r>
          </w:p>
        </w:tc>
        <w:tc>
          <w:tcPr>
            <w:tcW w:w="405" w:type="pct"/>
            <w:vAlign w:val="center"/>
          </w:tcPr>
          <w:p w14:paraId="3DFB10AC">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SS</w:t>
            </w:r>
          </w:p>
        </w:tc>
        <w:tc>
          <w:tcPr>
            <w:tcW w:w="212" w:type="pct"/>
            <w:vMerge w:val="restart"/>
            <w:vAlign w:val="center"/>
          </w:tcPr>
          <w:p w14:paraId="436DD99D">
            <w:pPr>
              <w:pStyle w:val="84"/>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类比法</w:t>
            </w:r>
          </w:p>
        </w:tc>
        <w:tc>
          <w:tcPr>
            <w:tcW w:w="330" w:type="pct"/>
            <w:vMerge w:val="restart"/>
            <w:vAlign w:val="center"/>
          </w:tcPr>
          <w:p w14:paraId="0F2CA21F">
            <w:pPr>
              <w:pStyle w:val="84"/>
              <w:rPr>
                <w:rFonts w:hint="default" w:ascii="Times New Roman" w:hAnsi="Times New Roman" w:eastAsia="宋体" w:cs="Times New Roman"/>
                <w:color w:val="auto"/>
                <w:highlight w:val="none"/>
                <w:lang w:val="en-US" w:eastAsia="zh-CN"/>
              </w:rPr>
            </w:pPr>
            <w:r>
              <w:rPr>
                <w:rFonts w:hint="default" w:ascii="Times New Roman" w:hAnsi="Times New Roman" w:cs="Times New Roman"/>
                <w:color w:val="auto"/>
                <w:highlight w:val="none"/>
                <w:lang w:val="en-US" w:eastAsia="zh-CN"/>
              </w:rPr>
              <w:t>7027</w:t>
            </w:r>
          </w:p>
        </w:tc>
        <w:tc>
          <w:tcPr>
            <w:tcW w:w="426" w:type="pct"/>
            <w:vAlign w:val="center"/>
          </w:tcPr>
          <w:p w14:paraId="4285A828">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38</w:t>
            </w:r>
          </w:p>
        </w:tc>
        <w:tc>
          <w:tcPr>
            <w:tcW w:w="485" w:type="pct"/>
            <w:vAlign w:val="center"/>
          </w:tcPr>
          <w:p w14:paraId="450D0C54">
            <w:pPr>
              <w:widowControl/>
              <w:adjustRightInd w:val="0"/>
              <w:snapToGrid w:val="0"/>
              <w:jc w:val="center"/>
              <w:rPr>
                <w:rFonts w:hint="default" w:ascii="Times New Roman" w:hAnsi="Times New Roman" w:eastAsia="等线" w:cs="Times New Roman"/>
                <w:color w:val="auto"/>
                <w:kern w:val="0"/>
                <w:szCs w:val="21"/>
                <w:highlight w:val="none"/>
                <w:lang w:val="zh-CN" w:eastAsia="zh-CN"/>
              </w:rPr>
            </w:pPr>
            <w:r>
              <w:rPr>
                <w:rFonts w:hint="default" w:ascii="Times New Roman" w:hAnsi="Times New Roman" w:eastAsia="等线" w:cs="Times New Roman"/>
                <w:color w:val="auto"/>
                <w:kern w:val="0"/>
                <w:szCs w:val="21"/>
                <w:highlight w:val="none"/>
                <w:lang w:val="en-US" w:eastAsia="zh-CN"/>
              </w:rPr>
              <w:t>0.000038</w:t>
            </w:r>
          </w:p>
        </w:tc>
        <w:tc>
          <w:tcPr>
            <w:tcW w:w="721" w:type="pct"/>
            <w:vMerge w:val="restart"/>
            <w:vAlign w:val="center"/>
          </w:tcPr>
          <w:p w14:paraId="3B0D8985">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沉淀后回用于场区洒水降尘</w:t>
            </w:r>
          </w:p>
        </w:tc>
        <w:tc>
          <w:tcPr>
            <w:tcW w:w="325" w:type="pct"/>
            <w:vMerge w:val="restart"/>
            <w:vAlign w:val="center"/>
          </w:tcPr>
          <w:p w14:paraId="6D64B9D0">
            <w:pPr>
              <w:widowControl/>
              <w:adjustRightInd w:val="0"/>
              <w:snapToGrid w:val="0"/>
              <w:jc w:val="center"/>
              <w:rPr>
                <w:rFonts w:hint="default" w:ascii="Times New Roman" w:hAnsi="Times New Roman" w:cs="Times New Roman"/>
                <w:color w:val="auto"/>
                <w:kern w:val="0"/>
                <w:szCs w:val="21"/>
                <w:highlight w:val="none"/>
                <w:lang w:val="zh-CN"/>
              </w:rPr>
            </w:pPr>
            <w:r>
              <w:rPr>
                <w:rFonts w:hint="default" w:ascii="Times New Roman" w:hAnsi="Times New Roman" w:cs="Times New Roman"/>
                <w:color w:val="auto"/>
                <w:kern w:val="0"/>
                <w:szCs w:val="21"/>
                <w:highlight w:val="none"/>
                <w:lang w:val="zh-CN"/>
              </w:rPr>
              <w:t>/</w:t>
            </w:r>
          </w:p>
        </w:tc>
        <w:tc>
          <w:tcPr>
            <w:tcW w:w="168" w:type="pct"/>
            <w:vMerge w:val="restart"/>
            <w:vAlign w:val="center"/>
          </w:tcPr>
          <w:p w14:paraId="36278CA5">
            <w:pPr>
              <w:pStyle w:val="84"/>
              <w:rPr>
                <w:rFonts w:hint="default" w:ascii="Times New Roman" w:hAnsi="Times New Roman" w:cs="Times New Roman"/>
                <w:color w:val="auto"/>
                <w:kern w:val="0"/>
                <w:highlight w:val="none"/>
              </w:rPr>
            </w:pPr>
            <w:r>
              <w:rPr>
                <w:rFonts w:hint="default" w:ascii="Times New Roman" w:hAnsi="Times New Roman" w:cs="Times New Roman"/>
                <w:color w:val="auto"/>
                <w:highlight w:val="none"/>
              </w:rPr>
              <w:t>类比法</w:t>
            </w:r>
          </w:p>
        </w:tc>
        <w:tc>
          <w:tcPr>
            <w:tcW w:w="373" w:type="pct"/>
            <w:vMerge w:val="restart"/>
            <w:vAlign w:val="center"/>
          </w:tcPr>
          <w:p w14:paraId="2C7E0C70">
            <w:pPr>
              <w:pStyle w:val="84"/>
              <w:rPr>
                <w:rFonts w:hint="default" w:ascii="Times New Roman" w:hAnsi="Times New Roman" w:cs="Times New Roman"/>
                <w:color w:val="auto"/>
                <w:highlight w:val="none"/>
              </w:rPr>
            </w:pPr>
            <w:r>
              <w:rPr>
                <w:rFonts w:hint="default" w:ascii="Times New Roman" w:hAnsi="Times New Roman" w:cs="Times New Roman"/>
                <w:color w:val="auto"/>
                <w:highlight w:val="none"/>
              </w:rPr>
              <w:t>0</w:t>
            </w:r>
          </w:p>
        </w:tc>
        <w:tc>
          <w:tcPr>
            <w:tcW w:w="444" w:type="pct"/>
            <w:vMerge w:val="restart"/>
            <w:vAlign w:val="center"/>
          </w:tcPr>
          <w:p w14:paraId="4E34E8F3">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Merge w:val="restart"/>
            <w:vAlign w:val="center"/>
          </w:tcPr>
          <w:p w14:paraId="3AF1EEAF">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7D51D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B4471E3">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1F11125C">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4FD3C72B">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7351B7FF">
            <w:pPr>
              <w:widowControl/>
              <w:adjustRightInd w:val="0"/>
              <w:snapToGrid w:val="0"/>
              <w:jc w:val="center"/>
              <w:rPr>
                <w:rFonts w:hint="default" w:ascii="Times New Roman" w:hAnsi="Times New Roman" w:eastAsia="等线" w:cs="Times New Roman"/>
                <w:color w:val="auto"/>
                <w:kern w:val="0"/>
                <w:szCs w:val="21"/>
                <w:highlight w:val="none"/>
              </w:rPr>
            </w:pPr>
            <w:r>
              <w:rPr>
                <w:rFonts w:hint="default" w:ascii="Times New Roman" w:hAnsi="Times New Roman" w:cs="Times New Roman"/>
                <w:color w:val="auto"/>
                <w:kern w:val="0"/>
                <w:szCs w:val="21"/>
                <w:highlight w:val="none"/>
              </w:rPr>
              <w:t>色度</w:t>
            </w:r>
          </w:p>
        </w:tc>
        <w:tc>
          <w:tcPr>
            <w:tcW w:w="212" w:type="pct"/>
            <w:vMerge w:val="continue"/>
            <w:vAlign w:val="center"/>
          </w:tcPr>
          <w:p w14:paraId="1B8B81B7">
            <w:pPr>
              <w:pStyle w:val="84"/>
              <w:rPr>
                <w:rFonts w:hint="default" w:ascii="Times New Roman" w:hAnsi="Times New Roman" w:cs="Times New Roman"/>
                <w:color w:val="auto"/>
                <w:highlight w:val="none"/>
              </w:rPr>
            </w:pPr>
          </w:p>
        </w:tc>
        <w:tc>
          <w:tcPr>
            <w:tcW w:w="330" w:type="pct"/>
            <w:vMerge w:val="continue"/>
            <w:vAlign w:val="center"/>
          </w:tcPr>
          <w:p w14:paraId="23B988DA">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157F1F26">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40</w:t>
            </w:r>
          </w:p>
        </w:tc>
        <w:tc>
          <w:tcPr>
            <w:tcW w:w="485" w:type="pct"/>
            <w:vAlign w:val="center"/>
          </w:tcPr>
          <w:p w14:paraId="1ABFF0FF">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w:t>
            </w:r>
          </w:p>
        </w:tc>
        <w:tc>
          <w:tcPr>
            <w:tcW w:w="721" w:type="pct"/>
            <w:vMerge w:val="continue"/>
            <w:vAlign w:val="center"/>
          </w:tcPr>
          <w:p w14:paraId="60BA2DE1">
            <w:pPr>
              <w:pStyle w:val="84"/>
              <w:jc w:val="both"/>
              <w:rPr>
                <w:rFonts w:hint="default" w:ascii="Times New Roman" w:hAnsi="Times New Roman" w:cs="Times New Roman"/>
                <w:color w:val="auto"/>
                <w:highlight w:val="none"/>
              </w:rPr>
            </w:pPr>
          </w:p>
        </w:tc>
        <w:tc>
          <w:tcPr>
            <w:tcW w:w="325" w:type="pct"/>
            <w:vMerge w:val="continue"/>
            <w:vAlign w:val="center"/>
          </w:tcPr>
          <w:p w14:paraId="1F7C3473">
            <w:pPr>
              <w:pStyle w:val="84"/>
              <w:rPr>
                <w:rFonts w:hint="default" w:ascii="Times New Roman" w:hAnsi="Times New Roman" w:cs="Times New Roman"/>
                <w:color w:val="auto"/>
                <w:highlight w:val="none"/>
              </w:rPr>
            </w:pPr>
          </w:p>
        </w:tc>
        <w:tc>
          <w:tcPr>
            <w:tcW w:w="168" w:type="pct"/>
            <w:vMerge w:val="continue"/>
            <w:vAlign w:val="center"/>
          </w:tcPr>
          <w:p w14:paraId="66D23B98">
            <w:pPr>
              <w:pStyle w:val="84"/>
              <w:rPr>
                <w:rFonts w:hint="default" w:ascii="Times New Roman" w:hAnsi="Times New Roman" w:cs="Times New Roman"/>
                <w:color w:val="auto"/>
                <w:highlight w:val="none"/>
              </w:rPr>
            </w:pPr>
          </w:p>
        </w:tc>
        <w:tc>
          <w:tcPr>
            <w:tcW w:w="373" w:type="pct"/>
            <w:vMerge w:val="continue"/>
            <w:vAlign w:val="center"/>
          </w:tcPr>
          <w:p w14:paraId="1C30EC26">
            <w:pPr>
              <w:pStyle w:val="84"/>
              <w:rPr>
                <w:rFonts w:hint="default" w:ascii="Times New Roman" w:hAnsi="Times New Roman" w:cs="Times New Roman"/>
                <w:color w:val="auto"/>
                <w:highlight w:val="none"/>
              </w:rPr>
            </w:pPr>
          </w:p>
        </w:tc>
        <w:tc>
          <w:tcPr>
            <w:tcW w:w="444" w:type="pct"/>
            <w:vMerge w:val="continue"/>
            <w:vAlign w:val="center"/>
          </w:tcPr>
          <w:p w14:paraId="7E722E27">
            <w:pPr>
              <w:pStyle w:val="84"/>
              <w:rPr>
                <w:rFonts w:hint="default" w:ascii="Times New Roman" w:hAnsi="Times New Roman" w:cs="Times New Roman"/>
                <w:color w:val="auto"/>
                <w:kern w:val="0"/>
                <w:highlight w:val="none"/>
              </w:rPr>
            </w:pPr>
          </w:p>
        </w:tc>
        <w:tc>
          <w:tcPr>
            <w:tcW w:w="344" w:type="pct"/>
            <w:vMerge w:val="continue"/>
            <w:vAlign w:val="center"/>
          </w:tcPr>
          <w:p w14:paraId="288824CA">
            <w:pPr>
              <w:pStyle w:val="84"/>
              <w:rPr>
                <w:rFonts w:hint="default" w:ascii="Times New Roman" w:hAnsi="Times New Roman" w:cs="Times New Roman"/>
                <w:color w:val="auto"/>
                <w:kern w:val="0"/>
                <w:highlight w:val="none"/>
              </w:rPr>
            </w:pPr>
          </w:p>
        </w:tc>
      </w:tr>
      <w:tr w14:paraId="69D983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98EC8D2">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448D9DD4">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0A028300">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2CAB71B3">
            <w:pPr>
              <w:widowControl/>
              <w:adjustRightInd w:val="0"/>
              <w:snapToGrid w:val="0"/>
              <w:jc w:val="center"/>
              <w:rPr>
                <w:rFonts w:hint="default" w:ascii="Times New Roman" w:hAnsi="Times New Roman" w:eastAsia="等线" w:cs="Times New Roman"/>
                <w:color w:val="auto"/>
                <w:kern w:val="0"/>
                <w:szCs w:val="21"/>
                <w:highlight w:val="none"/>
              </w:rPr>
            </w:pPr>
            <w:r>
              <w:rPr>
                <w:rFonts w:hint="default" w:ascii="Times New Roman" w:hAnsi="Times New Roman" w:cs="Times New Roman"/>
                <w:color w:val="auto"/>
                <w:kern w:val="0"/>
                <w:szCs w:val="21"/>
                <w:highlight w:val="none"/>
              </w:rPr>
              <w:t>COD</w:t>
            </w:r>
          </w:p>
        </w:tc>
        <w:tc>
          <w:tcPr>
            <w:tcW w:w="212" w:type="pct"/>
            <w:vMerge w:val="continue"/>
            <w:vAlign w:val="center"/>
          </w:tcPr>
          <w:p w14:paraId="0901796D">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7EAF1A14">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767605C1">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88</w:t>
            </w:r>
          </w:p>
        </w:tc>
        <w:tc>
          <w:tcPr>
            <w:tcW w:w="485" w:type="pct"/>
            <w:vAlign w:val="center"/>
          </w:tcPr>
          <w:p w14:paraId="6754F31B">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0.000088</w:t>
            </w:r>
          </w:p>
        </w:tc>
        <w:tc>
          <w:tcPr>
            <w:tcW w:w="721" w:type="pct"/>
            <w:vMerge w:val="continue"/>
            <w:vAlign w:val="center"/>
          </w:tcPr>
          <w:p w14:paraId="5ADED5EF">
            <w:pPr>
              <w:widowControl/>
              <w:adjustRightInd w:val="0"/>
              <w:snapToGrid w:val="0"/>
              <w:jc w:val="center"/>
              <w:rPr>
                <w:rFonts w:hint="default" w:ascii="Times New Roman" w:hAnsi="Times New Roman" w:cs="Times New Roman"/>
                <w:color w:val="auto"/>
                <w:szCs w:val="21"/>
                <w:highlight w:val="none"/>
                <w:lang w:val="zh-CN"/>
              </w:rPr>
            </w:pPr>
          </w:p>
        </w:tc>
        <w:tc>
          <w:tcPr>
            <w:tcW w:w="325" w:type="pct"/>
            <w:vMerge w:val="continue"/>
            <w:vAlign w:val="center"/>
          </w:tcPr>
          <w:p w14:paraId="56621EAE">
            <w:pPr>
              <w:pStyle w:val="84"/>
              <w:rPr>
                <w:rFonts w:hint="default" w:ascii="Times New Roman" w:hAnsi="Times New Roman" w:cs="Times New Roman"/>
                <w:color w:val="auto"/>
                <w:highlight w:val="none"/>
              </w:rPr>
            </w:pPr>
          </w:p>
        </w:tc>
        <w:tc>
          <w:tcPr>
            <w:tcW w:w="0" w:type="auto"/>
            <w:vMerge w:val="continue"/>
            <w:vAlign w:val="center"/>
          </w:tcPr>
          <w:p w14:paraId="2B966D40">
            <w:pPr>
              <w:widowControl/>
              <w:adjustRightInd w:val="0"/>
              <w:snapToGrid w:val="0"/>
              <w:jc w:val="center"/>
              <w:rPr>
                <w:rFonts w:hint="default" w:ascii="Times New Roman" w:hAnsi="Times New Roman" w:cs="Times New Roman"/>
                <w:color w:val="auto"/>
                <w:szCs w:val="21"/>
                <w:highlight w:val="none"/>
                <w:lang w:val="zh-CN"/>
              </w:rPr>
            </w:pPr>
          </w:p>
        </w:tc>
        <w:tc>
          <w:tcPr>
            <w:tcW w:w="0" w:type="auto"/>
            <w:vMerge w:val="continue"/>
            <w:vAlign w:val="center"/>
          </w:tcPr>
          <w:p w14:paraId="5AAB124E">
            <w:pPr>
              <w:widowControl/>
              <w:adjustRightInd w:val="0"/>
              <w:snapToGrid w:val="0"/>
              <w:jc w:val="center"/>
              <w:rPr>
                <w:rFonts w:hint="default" w:ascii="Times New Roman" w:hAnsi="Times New Roman" w:cs="Times New Roman"/>
                <w:color w:val="auto"/>
                <w:szCs w:val="21"/>
                <w:highlight w:val="none"/>
                <w:lang w:val="zh-CN"/>
              </w:rPr>
            </w:pPr>
          </w:p>
        </w:tc>
        <w:tc>
          <w:tcPr>
            <w:tcW w:w="444" w:type="pct"/>
            <w:vMerge w:val="continue"/>
            <w:vAlign w:val="center"/>
          </w:tcPr>
          <w:p w14:paraId="68ADB870">
            <w:pPr>
              <w:pStyle w:val="84"/>
              <w:rPr>
                <w:rFonts w:hint="default" w:ascii="Times New Roman" w:hAnsi="Times New Roman" w:cs="Times New Roman"/>
                <w:color w:val="auto"/>
                <w:kern w:val="0"/>
                <w:highlight w:val="none"/>
              </w:rPr>
            </w:pPr>
          </w:p>
        </w:tc>
        <w:tc>
          <w:tcPr>
            <w:tcW w:w="344" w:type="pct"/>
            <w:vMerge w:val="continue"/>
            <w:vAlign w:val="center"/>
          </w:tcPr>
          <w:p w14:paraId="724B8BE4">
            <w:pPr>
              <w:pStyle w:val="84"/>
              <w:rPr>
                <w:rFonts w:hint="default" w:ascii="Times New Roman" w:hAnsi="Times New Roman" w:cs="Times New Roman"/>
                <w:color w:val="auto"/>
                <w:kern w:val="0"/>
                <w:highlight w:val="none"/>
              </w:rPr>
            </w:pPr>
          </w:p>
        </w:tc>
      </w:tr>
      <w:tr w14:paraId="652792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E34E7D5">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29C179DF">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0D1FFE79">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12E14602">
            <w:pPr>
              <w:widowControl/>
              <w:adjustRightInd w:val="0"/>
              <w:snapToGrid w:val="0"/>
              <w:jc w:val="center"/>
              <w:rPr>
                <w:rFonts w:hint="default" w:ascii="Times New Roman" w:hAnsi="Times New Roman" w:eastAsia="等线" w:cs="Times New Roman"/>
                <w:color w:val="auto"/>
                <w:kern w:val="0"/>
                <w:szCs w:val="21"/>
                <w:highlight w:val="none"/>
              </w:rPr>
            </w:pPr>
            <w:r>
              <w:rPr>
                <w:rFonts w:hint="default" w:ascii="Times New Roman" w:hAnsi="Times New Roman" w:cs="Times New Roman"/>
                <w:color w:val="auto"/>
                <w:kern w:val="0"/>
                <w:szCs w:val="21"/>
                <w:highlight w:val="none"/>
              </w:rPr>
              <w:t>BOD</w:t>
            </w:r>
            <w:r>
              <w:rPr>
                <w:rFonts w:hint="default" w:ascii="Times New Roman" w:hAnsi="Times New Roman" w:cs="Times New Roman"/>
                <w:color w:val="auto"/>
                <w:kern w:val="0"/>
                <w:szCs w:val="21"/>
                <w:highlight w:val="none"/>
                <w:vertAlign w:val="subscript"/>
              </w:rPr>
              <w:t>5</w:t>
            </w:r>
          </w:p>
        </w:tc>
        <w:tc>
          <w:tcPr>
            <w:tcW w:w="212" w:type="pct"/>
            <w:vMerge w:val="continue"/>
            <w:vAlign w:val="center"/>
          </w:tcPr>
          <w:p w14:paraId="2801AE35">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631C1C6E">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452D93BE">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18.7</w:t>
            </w:r>
          </w:p>
        </w:tc>
        <w:tc>
          <w:tcPr>
            <w:tcW w:w="485" w:type="pct"/>
            <w:vAlign w:val="center"/>
          </w:tcPr>
          <w:p w14:paraId="633FBFAD">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0.0000187</w:t>
            </w:r>
          </w:p>
        </w:tc>
        <w:tc>
          <w:tcPr>
            <w:tcW w:w="721" w:type="pct"/>
            <w:vMerge w:val="continue"/>
            <w:vAlign w:val="center"/>
          </w:tcPr>
          <w:p w14:paraId="6BACA7B6">
            <w:pPr>
              <w:widowControl/>
              <w:adjustRightInd w:val="0"/>
              <w:snapToGrid w:val="0"/>
              <w:jc w:val="center"/>
              <w:rPr>
                <w:rFonts w:hint="default" w:ascii="Times New Roman" w:hAnsi="Times New Roman" w:cs="Times New Roman"/>
                <w:color w:val="auto"/>
                <w:szCs w:val="21"/>
                <w:highlight w:val="none"/>
                <w:lang w:val="zh-CN"/>
              </w:rPr>
            </w:pPr>
          </w:p>
        </w:tc>
        <w:tc>
          <w:tcPr>
            <w:tcW w:w="325" w:type="pct"/>
            <w:vMerge w:val="continue"/>
            <w:vAlign w:val="center"/>
          </w:tcPr>
          <w:p w14:paraId="42169355">
            <w:pPr>
              <w:pStyle w:val="84"/>
              <w:rPr>
                <w:rFonts w:hint="default" w:ascii="Times New Roman" w:hAnsi="Times New Roman" w:cs="Times New Roman"/>
                <w:color w:val="auto"/>
                <w:highlight w:val="none"/>
              </w:rPr>
            </w:pPr>
          </w:p>
        </w:tc>
        <w:tc>
          <w:tcPr>
            <w:tcW w:w="0" w:type="auto"/>
            <w:vMerge w:val="continue"/>
            <w:vAlign w:val="center"/>
          </w:tcPr>
          <w:p w14:paraId="500AF0B5">
            <w:pPr>
              <w:widowControl/>
              <w:adjustRightInd w:val="0"/>
              <w:snapToGrid w:val="0"/>
              <w:jc w:val="center"/>
              <w:rPr>
                <w:rFonts w:hint="default" w:ascii="Times New Roman" w:hAnsi="Times New Roman" w:cs="Times New Roman"/>
                <w:color w:val="auto"/>
                <w:szCs w:val="21"/>
                <w:highlight w:val="none"/>
                <w:lang w:val="zh-CN"/>
              </w:rPr>
            </w:pPr>
          </w:p>
        </w:tc>
        <w:tc>
          <w:tcPr>
            <w:tcW w:w="0" w:type="auto"/>
            <w:vMerge w:val="continue"/>
            <w:vAlign w:val="center"/>
          </w:tcPr>
          <w:p w14:paraId="5D4D0754">
            <w:pPr>
              <w:widowControl/>
              <w:adjustRightInd w:val="0"/>
              <w:snapToGrid w:val="0"/>
              <w:jc w:val="center"/>
              <w:rPr>
                <w:rFonts w:hint="default" w:ascii="Times New Roman" w:hAnsi="Times New Roman" w:cs="Times New Roman"/>
                <w:color w:val="auto"/>
                <w:szCs w:val="21"/>
                <w:highlight w:val="none"/>
                <w:lang w:val="zh-CN"/>
              </w:rPr>
            </w:pPr>
          </w:p>
        </w:tc>
        <w:tc>
          <w:tcPr>
            <w:tcW w:w="444" w:type="pct"/>
            <w:vMerge w:val="continue"/>
            <w:vAlign w:val="center"/>
          </w:tcPr>
          <w:p w14:paraId="50A67874">
            <w:pPr>
              <w:pStyle w:val="84"/>
              <w:rPr>
                <w:rFonts w:hint="default" w:ascii="Times New Roman" w:hAnsi="Times New Roman" w:cs="Times New Roman"/>
                <w:color w:val="auto"/>
                <w:kern w:val="0"/>
                <w:highlight w:val="none"/>
              </w:rPr>
            </w:pPr>
          </w:p>
        </w:tc>
        <w:tc>
          <w:tcPr>
            <w:tcW w:w="344" w:type="pct"/>
            <w:vMerge w:val="continue"/>
            <w:vAlign w:val="center"/>
          </w:tcPr>
          <w:p w14:paraId="609DAAA5">
            <w:pPr>
              <w:pStyle w:val="84"/>
              <w:rPr>
                <w:rFonts w:hint="default" w:ascii="Times New Roman" w:hAnsi="Times New Roman" w:cs="Times New Roman"/>
                <w:color w:val="auto"/>
                <w:kern w:val="0"/>
                <w:highlight w:val="none"/>
              </w:rPr>
            </w:pPr>
          </w:p>
        </w:tc>
      </w:tr>
      <w:tr w14:paraId="0B11C5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5FEE8B6">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4E465367">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50548D3E">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4BAD1F96">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cs="Times New Roman"/>
                <w:color w:val="auto"/>
                <w:kern w:val="0"/>
                <w:szCs w:val="21"/>
                <w:highlight w:val="none"/>
              </w:rPr>
              <w:t>氨氮</w:t>
            </w:r>
          </w:p>
        </w:tc>
        <w:tc>
          <w:tcPr>
            <w:tcW w:w="212" w:type="pct"/>
            <w:vMerge w:val="continue"/>
            <w:vAlign w:val="center"/>
          </w:tcPr>
          <w:p w14:paraId="2D5B1ADC">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22D300EB">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3D4EE0BB">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0.39</w:t>
            </w:r>
          </w:p>
        </w:tc>
        <w:tc>
          <w:tcPr>
            <w:tcW w:w="485" w:type="pct"/>
            <w:vAlign w:val="center"/>
          </w:tcPr>
          <w:p w14:paraId="686C1BD4">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0.00000039</w:t>
            </w:r>
          </w:p>
        </w:tc>
        <w:tc>
          <w:tcPr>
            <w:tcW w:w="721" w:type="pct"/>
            <w:vMerge w:val="continue"/>
            <w:vAlign w:val="center"/>
          </w:tcPr>
          <w:p w14:paraId="0EF1CF07">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14CCB94C">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76F7033A">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43DA5E94">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7E077D53">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5E032176">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0F165C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11BC5D8">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76192E4E">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602E5FD9">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263C8DF5">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cs="Times New Roman"/>
                <w:color w:val="auto"/>
                <w:kern w:val="0"/>
                <w:szCs w:val="21"/>
                <w:highlight w:val="none"/>
              </w:rPr>
              <w:t>磷酸盐</w:t>
            </w:r>
          </w:p>
        </w:tc>
        <w:tc>
          <w:tcPr>
            <w:tcW w:w="212" w:type="pct"/>
            <w:vMerge w:val="continue"/>
            <w:vAlign w:val="center"/>
          </w:tcPr>
          <w:p w14:paraId="4B0AB985">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464FD595">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6A2D4917">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0.37</w:t>
            </w:r>
          </w:p>
        </w:tc>
        <w:tc>
          <w:tcPr>
            <w:tcW w:w="485" w:type="pct"/>
            <w:vAlign w:val="center"/>
          </w:tcPr>
          <w:p w14:paraId="6EF068FD">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0.00000037</w:t>
            </w:r>
          </w:p>
        </w:tc>
        <w:tc>
          <w:tcPr>
            <w:tcW w:w="721" w:type="pct"/>
            <w:vMerge w:val="continue"/>
            <w:vAlign w:val="center"/>
          </w:tcPr>
          <w:p w14:paraId="46DD51C2">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7860122C">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08D9E2D8">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4FD5DC6E">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71B30FD6">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4449386D">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4A055B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67292A63">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409054CA">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63BFFAA0">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18967604">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cs="Times New Roman" w:eastAsiaTheme="minorEastAsia"/>
                <w:color w:val="auto"/>
                <w:spacing w:val="7"/>
                <w:szCs w:val="21"/>
                <w:highlight w:val="none"/>
              </w:rPr>
              <w:t>氟</w:t>
            </w:r>
            <w:r>
              <w:rPr>
                <w:rFonts w:hint="default" w:ascii="Times New Roman" w:hAnsi="Times New Roman" w:cs="Times New Roman" w:eastAsiaTheme="minorEastAsia"/>
                <w:color w:val="auto"/>
                <w:spacing w:val="6"/>
                <w:szCs w:val="21"/>
                <w:highlight w:val="none"/>
              </w:rPr>
              <w:t>化物</w:t>
            </w:r>
          </w:p>
        </w:tc>
        <w:tc>
          <w:tcPr>
            <w:tcW w:w="212" w:type="pct"/>
            <w:vMerge w:val="continue"/>
            <w:vAlign w:val="center"/>
          </w:tcPr>
          <w:p w14:paraId="0173C33C">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0127168E">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2E3A8B33">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0.55</w:t>
            </w:r>
          </w:p>
        </w:tc>
        <w:tc>
          <w:tcPr>
            <w:tcW w:w="485" w:type="pct"/>
            <w:vAlign w:val="center"/>
          </w:tcPr>
          <w:p w14:paraId="1D9E4DBE">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0.00000055</w:t>
            </w:r>
          </w:p>
        </w:tc>
        <w:tc>
          <w:tcPr>
            <w:tcW w:w="721" w:type="pct"/>
            <w:vMerge w:val="continue"/>
            <w:vAlign w:val="center"/>
          </w:tcPr>
          <w:p w14:paraId="6C41C172">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3C9A918B">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0936E6A7">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7DE84BDD">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18CAF5F2">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069B4268">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1765CB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42A9AB6E">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15C6C605">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64B390CB">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43B153BF">
            <w:pPr>
              <w:widowControl/>
              <w:adjustRightInd w:val="0"/>
              <w:snapToGrid w:val="0"/>
              <w:jc w:val="center"/>
              <w:rPr>
                <w:rFonts w:hint="eastAsia" w:ascii="Times New Roman" w:hAnsi="Times New Roman" w:eastAsia="等线" w:cs="Times New Roman"/>
                <w:color w:val="auto"/>
                <w:kern w:val="0"/>
                <w:szCs w:val="21"/>
                <w:highlight w:val="none"/>
                <w:lang w:val="zh-CN" w:eastAsia="zh-CN"/>
              </w:rPr>
            </w:pPr>
            <w:r>
              <w:rPr>
                <w:rFonts w:hint="eastAsia" w:cs="Times New Roman" w:eastAsiaTheme="minorEastAsia"/>
                <w:color w:val="auto"/>
                <w:spacing w:val="2"/>
                <w:szCs w:val="21"/>
                <w:highlight w:val="none"/>
                <w:lang w:eastAsia="zh-CN"/>
              </w:rPr>
              <w:t>铅</w:t>
            </w:r>
          </w:p>
        </w:tc>
        <w:tc>
          <w:tcPr>
            <w:tcW w:w="212" w:type="pct"/>
            <w:vMerge w:val="continue"/>
            <w:vAlign w:val="center"/>
          </w:tcPr>
          <w:p w14:paraId="76797E8E">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22D459A7">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39E96845">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w:t>
            </w:r>
            <w:r>
              <w:rPr>
                <w:rFonts w:hint="eastAsia" w:eastAsia="等线" w:cs="Times New Roman"/>
                <w:color w:val="auto"/>
                <w:kern w:val="0"/>
                <w:szCs w:val="21"/>
                <w:highlight w:val="none"/>
                <w:lang w:val="en-US" w:eastAsia="zh-CN"/>
              </w:rPr>
              <w:t>2</w:t>
            </w:r>
          </w:p>
        </w:tc>
        <w:tc>
          <w:tcPr>
            <w:tcW w:w="485" w:type="pct"/>
            <w:shd w:val="clear" w:color="auto" w:fill="auto"/>
            <w:vAlign w:val="center"/>
          </w:tcPr>
          <w:p w14:paraId="58961F75">
            <w:pPr>
              <w:keepNext w:val="0"/>
              <w:keepLines w:val="0"/>
              <w:widowControl/>
              <w:suppressLineNumbers w:val="0"/>
              <w:adjustRightInd w:val="0"/>
              <w:snapToGrid w:val="0"/>
              <w:jc w:val="center"/>
              <w:textAlignment w:val="center"/>
              <w:rPr>
                <w:rFonts w:hint="default" w:ascii="Times New Roman" w:hAnsi="Times New Roman" w:eastAsia="宋体" w:cs="Times New Roman"/>
                <w:i w:val="0"/>
                <w:iCs w:val="0"/>
                <w:color w:val="auto"/>
                <w:kern w:val="2"/>
                <w:sz w:val="21"/>
                <w:szCs w:val="21"/>
                <w:u w:val="none"/>
                <w:lang w:val="en-US" w:eastAsia="zh-CN" w:bidi="ar-SA"/>
              </w:rPr>
            </w:pPr>
            <w:r>
              <w:rPr>
                <w:rFonts w:hint="default" w:ascii="Times New Roman" w:hAnsi="Times New Roman" w:eastAsia="宋体" w:cs="Times New Roman"/>
                <w:i w:val="0"/>
                <w:iCs w:val="0"/>
                <w:color w:val="auto"/>
                <w:kern w:val="0"/>
                <w:sz w:val="21"/>
                <w:szCs w:val="21"/>
                <w:u w:val="none"/>
                <w:lang w:val="en-US" w:eastAsia="zh-CN" w:bidi="ar"/>
              </w:rPr>
              <w:t>0.0000002</w:t>
            </w:r>
          </w:p>
        </w:tc>
        <w:tc>
          <w:tcPr>
            <w:tcW w:w="721" w:type="pct"/>
            <w:vMerge w:val="continue"/>
            <w:vAlign w:val="center"/>
          </w:tcPr>
          <w:p w14:paraId="216ECF47">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4EFE1A10">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5DCDA853">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436919D1">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0D35E53A">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1E6B4383">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16D8E9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5B4BCFDB">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3A5E83C6">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3706AEDE">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1BC0E173">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cs="Times New Roman" w:eastAsiaTheme="minorEastAsia"/>
                <w:color w:val="auto"/>
                <w:spacing w:val="6"/>
                <w:szCs w:val="21"/>
                <w:highlight w:val="none"/>
              </w:rPr>
              <w:t>pH(无量纲)</w:t>
            </w:r>
          </w:p>
        </w:tc>
        <w:tc>
          <w:tcPr>
            <w:tcW w:w="212" w:type="pct"/>
            <w:vMerge w:val="continue"/>
            <w:vAlign w:val="center"/>
          </w:tcPr>
          <w:p w14:paraId="5F81F157">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03DFC758">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5F28067D">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8.7</w:t>
            </w:r>
          </w:p>
        </w:tc>
        <w:tc>
          <w:tcPr>
            <w:tcW w:w="485" w:type="pct"/>
            <w:vAlign w:val="center"/>
          </w:tcPr>
          <w:p w14:paraId="58B44032">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w:t>
            </w:r>
          </w:p>
        </w:tc>
        <w:tc>
          <w:tcPr>
            <w:tcW w:w="721" w:type="pct"/>
            <w:vMerge w:val="continue"/>
            <w:vAlign w:val="center"/>
          </w:tcPr>
          <w:p w14:paraId="7D0E0C0B">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59BBCC09">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2B39ECEB">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6F471359">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72ACD16B">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3A18A5BA">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549EEC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1CFED4FA">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3EF52EDC">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0686C6B9">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1E7DB357">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cs="Times New Roman" w:eastAsiaTheme="minorEastAsia"/>
                <w:color w:val="auto"/>
                <w:spacing w:val="7"/>
                <w:szCs w:val="21"/>
                <w:highlight w:val="none"/>
              </w:rPr>
              <w:t>石</w:t>
            </w:r>
            <w:r>
              <w:rPr>
                <w:rFonts w:hint="default" w:ascii="Times New Roman" w:hAnsi="Times New Roman" w:cs="Times New Roman" w:eastAsiaTheme="minorEastAsia"/>
                <w:color w:val="auto"/>
                <w:spacing w:val="6"/>
                <w:szCs w:val="21"/>
                <w:highlight w:val="none"/>
              </w:rPr>
              <w:t>油类</w:t>
            </w:r>
          </w:p>
        </w:tc>
        <w:tc>
          <w:tcPr>
            <w:tcW w:w="212" w:type="pct"/>
            <w:vMerge w:val="continue"/>
            <w:vAlign w:val="center"/>
          </w:tcPr>
          <w:p w14:paraId="0466805E">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13E308B9">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106AA0BC">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0.06</w:t>
            </w:r>
          </w:p>
        </w:tc>
        <w:tc>
          <w:tcPr>
            <w:tcW w:w="485" w:type="pct"/>
            <w:vAlign w:val="center"/>
          </w:tcPr>
          <w:p w14:paraId="7C10DF8A">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0.00000006</w:t>
            </w:r>
          </w:p>
        </w:tc>
        <w:tc>
          <w:tcPr>
            <w:tcW w:w="721" w:type="pct"/>
            <w:vMerge w:val="continue"/>
            <w:vAlign w:val="center"/>
          </w:tcPr>
          <w:p w14:paraId="77C4EF03">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536E1486">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3150A807">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2FD6C22E">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66965002">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0540F0A7">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4ABBCA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5F5A8A3">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072EECD3">
            <w:pPr>
              <w:widowControl/>
              <w:adjustRightInd w:val="0"/>
              <w:snapToGrid w:val="0"/>
              <w:jc w:val="center"/>
              <w:rPr>
                <w:rFonts w:hint="default" w:ascii="Times New Roman" w:hAnsi="Times New Roman" w:cs="Times New Roman"/>
                <w:color w:val="auto"/>
                <w:kern w:val="0"/>
                <w:szCs w:val="21"/>
                <w:highlight w:val="none"/>
              </w:rPr>
            </w:pPr>
          </w:p>
        </w:tc>
        <w:tc>
          <w:tcPr>
            <w:tcW w:w="0" w:type="auto"/>
            <w:vMerge w:val="continue"/>
            <w:vAlign w:val="center"/>
          </w:tcPr>
          <w:p w14:paraId="581F1E30">
            <w:pPr>
              <w:widowControl/>
              <w:adjustRightInd w:val="0"/>
              <w:snapToGrid w:val="0"/>
              <w:jc w:val="center"/>
              <w:rPr>
                <w:rFonts w:hint="default" w:ascii="Times New Roman" w:hAnsi="Times New Roman" w:cs="Times New Roman"/>
                <w:color w:val="auto"/>
                <w:kern w:val="0"/>
                <w:szCs w:val="21"/>
                <w:highlight w:val="none"/>
              </w:rPr>
            </w:pPr>
          </w:p>
        </w:tc>
        <w:tc>
          <w:tcPr>
            <w:tcW w:w="405" w:type="pct"/>
            <w:vAlign w:val="center"/>
          </w:tcPr>
          <w:p w14:paraId="70F64E03">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cs="Times New Roman" w:eastAsiaTheme="minorEastAsia"/>
                <w:color w:val="auto"/>
                <w:spacing w:val="7"/>
                <w:szCs w:val="21"/>
                <w:highlight w:val="none"/>
              </w:rPr>
              <w:t>动植物油</w:t>
            </w:r>
          </w:p>
        </w:tc>
        <w:tc>
          <w:tcPr>
            <w:tcW w:w="212" w:type="pct"/>
            <w:vMerge w:val="continue"/>
            <w:vAlign w:val="center"/>
          </w:tcPr>
          <w:p w14:paraId="1C85FFAB">
            <w:pPr>
              <w:widowControl/>
              <w:adjustRightInd w:val="0"/>
              <w:snapToGrid w:val="0"/>
              <w:jc w:val="center"/>
              <w:rPr>
                <w:rFonts w:hint="default" w:ascii="Times New Roman" w:hAnsi="Times New Roman" w:cs="Times New Roman"/>
                <w:color w:val="auto"/>
                <w:szCs w:val="21"/>
                <w:highlight w:val="none"/>
                <w:lang w:val="zh-CN"/>
              </w:rPr>
            </w:pPr>
          </w:p>
        </w:tc>
        <w:tc>
          <w:tcPr>
            <w:tcW w:w="330" w:type="pct"/>
            <w:vMerge w:val="continue"/>
            <w:vAlign w:val="center"/>
          </w:tcPr>
          <w:p w14:paraId="62665ADF">
            <w:pPr>
              <w:widowControl/>
              <w:adjustRightInd w:val="0"/>
              <w:snapToGrid w:val="0"/>
              <w:jc w:val="center"/>
              <w:rPr>
                <w:rFonts w:hint="default" w:ascii="Times New Roman" w:hAnsi="Times New Roman" w:eastAsia="等线" w:cs="Times New Roman"/>
                <w:color w:val="auto"/>
                <w:kern w:val="0"/>
                <w:szCs w:val="21"/>
                <w:highlight w:val="none"/>
                <w:lang w:val="zh-CN"/>
              </w:rPr>
            </w:pPr>
          </w:p>
        </w:tc>
        <w:tc>
          <w:tcPr>
            <w:tcW w:w="426" w:type="pct"/>
            <w:vAlign w:val="center"/>
          </w:tcPr>
          <w:p w14:paraId="1E44C455">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0.06</w:t>
            </w:r>
          </w:p>
        </w:tc>
        <w:tc>
          <w:tcPr>
            <w:tcW w:w="485" w:type="pct"/>
            <w:vAlign w:val="center"/>
          </w:tcPr>
          <w:p w14:paraId="64B04E5F">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0.00000006</w:t>
            </w:r>
          </w:p>
        </w:tc>
        <w:tc>
          <w:tcPr>
            <w:tcW w:w="721" w:type="pct"/>
            <w:vMerge w:val="continue"/>
            <w:vAlign w:val="center"/>
          </w:tcPr>
          <w:p w14:paraId="023734B4">
            <w:pPr>
              <w:widowControl/>
              <w:adjustRightInd w:val="0"/>
              <w:snapToGrid w:val="0"/>
              <w:jc w:val="center"/>
              <w:rPr>
                <w:rFonts w:hint="default" w:ascii="Times New Roman" w:hAnsi="Times New Roman" w:cs="Times New Roman"/>
                <w:color w:val="auto"/>
                <w:szCs w:val="21"/>
                <w:highlight w:val="none"/>
                <w:lang w:val="zh-CN"/>
              </w:rPr>
            </w:pPr>
          </w:p>
        </w:tc>
        <w:tc>
          <w:tcPr>
            <w:tcW w:w="325" w:type="pct"/>
            <w:vAlign w:val="center"/>
          </w:tcPr>
          <w:p w14:paraId="59FDE2EB">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lang w:val="zh-CN"/>
              </w:rPr>
              <w:t>/</w:t>
            </w:r>
          </w:p>
        </w:tc>
        <w:tc>
          <w:tcPr>
            <w:tcW w:w="0" w:type="auto"/>
            <w:vMerge w:val="continue"/>
            <w:vAlign w:val="center"/>
          </w:tcPr>
          <w:p w14:paraId="5E9C8C58">
            <w:pPr>
              <w:widowControl/>
              <w:adjustRightInd w:val="0"/>
              <w:snapToGrid w:val="0"/>
              <w:jc w:val="center"/>
              <w:rPr>
                <w:rFonts w:hint="default" w:ascii="Times New Roman" w:hAnsi="Times New Roman" w:cs="Times New Roman"/>
                <w:color w:val="auto"/>
                <w:szCs w:val="21"/>
                <w:highlight w:val="none"/>
                <w:lang w:val="zh-CN"/>
              </w:rPr>
            </w:pPr>
          </w:p>
        </w:tc>
        <w:tc>
          <w:tcPr>
            <w:tcW w:w="0" w:type="auto"/>
            <w:vAlign w:val="center"/>
          </w:tcPr>
          <w:p w14:paraId="5DB3F9DD">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Align w:val="center"/>
          </w:tcPr>
          <w:p w14:paraId="22FDD46B">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Align w:val="center"/>
          </w:tcPr>
          <w:p w14:paraId="53B2869F">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7C3D7B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vAlign w:val="center"/>
          </w:tcPr>
          <w:p w14:paraId="3CAE7BEF">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工作人员生活</w:t>
            </w:r>
          </w:p>
        </w:tc>
        <w:tc>
          <w:tcPr>
            <w:tcW w:w="0" w:type="auto"/>
            <w:vMerge w:val="restart"/>
            <w:vAlign w:val="center"/>
          </w:tcPr>
          <w:p w14:paraId="2A15DC42">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工作人员生活</w:t>
            </w:r>
          </w:p>
        </w:tc>
        <w:tc>
          <w:tcPr>
            <w:tcW w:w="0" w:type="auto"/>
            <w:vMerge w:val="restart"/>
            <w:vAlign w:val="center"/>
          </w:tcPr>
          <w:p w14:paraId="492386A7">
            <w:pPr>
              <w:widowControl/>
              <w:adjustRightInd w:val="0"/>
              <w:snapToGrid w:val="0"/>
              <w:jc w:val="center"/>
              <w:rPr>
                <w:rFonts w:hint="default" w:ascii="Times New Roman" w:hAnsi="Times New Roman" w:cs="Times New Roman"/>
                <w:color w:val="auto"/>
                <w:kern w:val="0"/>
                <w:szCs w:val="21"/>
                <w:highlight w:val="none"/>
              </w:rPr>
            </w:pPr>
            <w:r>
              <w:rPr>
                <w:rFonts w:hint="default" w:ascii="Times New Roman" w:hAnsi="Times New Roman" w:cs="Times New Roman"/>
                <w:color w:val="auto"/>
                <w:kern w:val="0"/>
                <w:szCs w:val="21"/>
                <w:highlight w:val="none"/>
              </w:rPr>
              <w:t>工作人员生活</w:t>
            </w:r>
          </w:p>
        </w:tc>
        <w:tc>
          <w:tcPr>
            <w:tcW w:w="405" w:type="pct"/>
            <w:vAlign w:val="center"/>
          </w:tcPr>
          <w:p w14:paraId="4A6C1894">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eastAsia="等线" w:cs="Times New Roman"/>
                <w:color w:val="auto"/>
                <w:kern w:val="0"/>
                <w:szCs w:val="21"/>
                <w:highlight w:val="none"/>
                <w:lang w:val="zh-CN"/>
              </w:rPr>
              <w:t>CODcr</w:t>
            </w:r>
          </w:p>
        </w:tc>
        <w:tc>
          <w:tcPr>
            <w:tcW w:w="212" w:type="pct"/>
            <w:vMerge w:val="restart"/>
            <w:vAlign w:val="center"/>
          </w:tcPr>
          <w:p w14:paraId="060D4B64">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类比法</w:t>
            </w:r>
          </w:p>
        </w:tc>
        <w:tc>
          <w:tcPr>
            <w:tcW w:w="330" w:type="pct"/>
            <w:vMerge w:val="restart"/>
            <w:vAlign w:val="center"/>
          </w:tcPr>
          <w:p w14:paraId="63899551">
            <w:pPr>
              <w:widowControl/>
              <w:adjustRightInd w:val="0"/>
              <w:snapToGrid w:val="0"/>
              <w:jc w:val="center"/>
              <w:rPr>
                <w:rFonts w:hint="default" w:ascii="Times New Roman" w:hAnsi="Times New Roman" w:eastAsia="等线" w:cs="Times New Roman"/>
                <w:color w:val="auto"/>
                <w:kern w:val="0"/>
                <w:szCs w:val="21"/>
                <w:highlight w:val="none"/>
                <w:lang w:val="zh-CN"/>
              </w:rPr>
            </w:pPr>
            <w:r>
              <w:rPr>
                <w:rFonts w:hint="default" w:ascii="Times New Roman" w:hAnsi="Times New Roman" w:eastAsia="宋体" w:cs="Times New Roman"/>
                <w:color w:val="auto"/>
                <w:kern w:val="2"/>
                <w:sz w:val="21"/>
                <w:szCs w:val="21"/>
                <w:highlight w:val="none"/>
                <w:lang w:val="en-US" w:eastAsia="zh-CN" w:bidi="ar-SA"/>
              </w:rPr>
              <w:t>348.48</w:t>
            </w:r>
          </w:p>
        </w:tc>
        <w:tc>
          <w:tcPr>
            <w:tcW w:w="426" w:type="pct"/>
            <w:vAlign w:val="center"/>
          </w:tcPr>
          <w:p w14:paraId="5544D2E9">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300</w:t>
            </w:r>
          </w:p>
        </w:tc>
        <w:tc>
          <w:tcPr>
            <w:tcW w:w="485" w:type="pct"/>
            <w:vAlign w:val="center"/>
          </w:tcPr>
          <w:p w14:paraId="4277D8E9">
            <w:pPr>
              <w:widowControl/>
              <w:adjustRightInd w:val="0"/>
              <w:snapToGrid w:val="0"/>
              <w:jc w:val="center"/>
              <w:rPr>
                <w:rFonts w:hint="default" w:ascii="Times New Roman" w:hAnsi="Times New Roman" w:eastAsia="等线" w:cs="Times New Roman"/>
                <w:color w:val="auto"/>
                <w:kern w:val="0"/>
                <w:szCs w:val="21"/>
                <w:highlight w:val="none"/>
                <w:lang w:val="en-US" w:eastAsia="zh-CN"/>
              </w:rPr>
            </w:pPr>
            <w:r>
              <w:rPr>
                <w:rFonts w:hint="default" w:ascii="Times New Roman" w:hAnsi="Times New Roman" w:eastAsia="等线" w:cs="Times New Roman"/>
                <w:color w:val="auto"/>
                <w:kern w:val="0"/>
                <w:szCs w:val="21"/>
                <w:highlight w:val="none"/>
                <w:lang w:val="en-US" w:eastAsia="zh-CN"/>
              </w:rPr>
              <w:t>0.0003</w:t>
            </w:r>
          </w:p>
        </w:tc>
        <w:tc>
          <w:tcPr>
            <w:tcW w:w="721" w:type="pct"/>
            <w:vMerge w:val="restart"/>
            <w:vAlign w:val="center"/>
          </w:tcPr>
          <w:p w14:paraId="6E997F51">
            <w:pPr>
              <w:widowControl/>
              <w:adjustRightInd w:val="0"/>
              <w:snapToGrid w:val="0"/>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lang w:val="zh-CN"/>
              </w:rPr>
              <w:t>排入新泉村五队民房的防渗旱厕，定期清掏，外运积肥</w:t>
            </w:r>
          </w:p>
        </w:tc>
        <w:tc>
          <w:tcPr>
            <w:tcW w:w="325" w:type="pct"/>
            <w:vMerge w:val="restart"/>
            <w:vAlign w:val="center"/>
          </w:tcPr>
          <w:p w14:paraId="78CA079B">
            <w:pPr>
              <w:pStyle w:val="84"/>
              <w:rPr>
                <w:rFonts w:hint="default" w:ascii="Times New Roman" w:hAnsi="Times New Roman" w:cs="Times New Roman"/>
                <w:color w:val="auto"/>
                <w:highlight w:val="none"/>
              </w:rPr>
            </w:pPr>
            <w:r>
              <w:rPr>
                <w:rFonts w:hint="default" w:ascii="Times New Roman" w:hAnsi="Times New Roman" w:cs="Times New Roman"/>
                <w:color w:val="auto"/>
                <w:kern w:val="0"/>
                <w:highlight w:val="none"/>
              </w:rPr>
              <w:t>/</w:t>
            </w:r>
          </w:p>
        </w:tc>
        <w:tc>
          <w:tcPr>
            <w:tcW w:w="0" w:type="auto"/>
            <w:vMerge w:val="restart"/>
            <w:vAlign w:val="center"/>
          </w:tcPr>
          <w:p w14:paraId="6F48832C">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类比法</w:t>
            </w:r>
          </w:p>
        </w:tc>
        <w:tc>
          <w:tcPr>
            <w:tcW w:w="0" w:type="auto"/>
            <w:vMerge w:val="restart"/>
            <w:vAlign w:val="center"/>
          </w:tcPr>
          <w:p w14:paraId="126C8CD9">
            <w:pPr>
              <w:widowControl/>
              <w:adjustRightInd w:val="0"/>
              <w:snapToGrid w:val="0"/>
              <w:jc w:val="center"/>
              <w:rPr>
                <w:rFonts w:hint="default" w:ascii="Times New Roman" w:hAnsi="Times New Roman" w:cs="Times New Roman"/>
                <w:color w:val="auto"/>
                <w:szCs w:val="21"/>
                <w:highlight w:val="none"/>
                <w:lang w:val="zh-CN"/>
              </w:rPr>
            </w:pPr>
            <w:r>
              <w:rPr>
                <w:rFonts w:hint="default" w:ascii="Times New Roman" w:hAnsi="Times New Roman" w:cs="Times New Roman"/>
                <w:color w:val="auto"/>
                <w:szCs w:val="21"/>
                <w:highlight w:val="none"/>
              </w:rPr>
              <w:t>0</w:t>
            </w:r>
          </w:p>
        </w:tc>
        <w:tc>
          <w:tcPr>
            <w:tcW w:w="444" w:type="pct"/>
            <w:vMerge w:val="restart"/>
            <w:vAlign w:val="center"/>
          </w:tcPr>
          <w:p w14:paraId="53852373">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c>
          <w:tcPr>
            <w:tcW w:w="344" w:type="pct"/>
            <w:vMerge w:val="restart"/>
            <w:vAlign w:val="center"/>
          </w:tcPr>
          <w:p w14:paraId="39971722">
            <w:pPr>
              <w:pStyle w:val="84"/>
              <w:rPr>
                <w:rFonts w:hint="default" w:ascii="Times New Roman" w:hAnsi="Times New Roman" w:cs="Times New Roman"/>
                <w:color w:val="auto"/>
                <w:kern w:val="0"/>
                <w:highlight w:val="none"/>
              </w:rPr>
            </w:pPr>
            <w:r>
              <w:rPr>
                <w:rFonts w:hint="default" w:ascii="Times New Roman" w:hAnsi="Times New Roman" w:cs="Times New Roman"/>
                <w:color w:val="auto"/>
                <w:kern w:val="0"/>
                <w:highlight w:val="none"/>
              </w:rPr>
              <w:t>0</w:t>
            </w:r>
          </w:p>
        </w:tc>
      </w:tr>
      <w:tr w14:paraId="02439B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08315369">
            <w:pPr>
              <w:widowControl/>
              <w:adjustRightInd w:val="0"/>
              <w:snapToGrid w:val="0"/>
              <w:jc w:val="center"/>
              <w:rPr>
                <w:rFonts w:ascii="宋体" w:hAnsi="宋体" w:cs="宋体"/>
                <w:color w:val="auto"/>
                <w:kern w:val="0"/>
                <w:szCs w:val="21"/>
              </w:rPr>
            </w:pPr>
          </w:p>
        </w:tc>
        <w:tc>
          <w:tcPr>
            <w:tcW w:w="0" w:type="auto"/>
            <w:vMerge w:val="continue"/>
            <w:vAlign w:val="center"/>
          </w:tcPr>
          <w:p w14:paraId="62743057">
            <w:pPr>
              <w:widowControl/>
              <w:adjustRightInd w:val="0"/>
              <w:snapToGrid w:val="0"/>
              <w:jc w:val="center"/>
              <w:rPr>
                <w:rFonts w:ascii="宋体" w:hAnsi="宋体" w:cs="宋体"/>
                <w:color w:val="auto"/>
                <w:kern w:val="0"/>
                <w:szCs w:val="21"/>
              </w:rPr>
            </w:pPr>
          </w:p>
        </w:tc>
        <w:tc>
          <w:tcPr>
            <w:tcW w:w="0" w:type="auto"/>
            <w:vMerge w:val="continue"/>
            <w:vAlign w:val="center"/>
          </w:tcPr>
          <w:p w14:paraId="62C88C11">
            <w:pPr>
              <w:widowControl/>
              <w:adjustRightInd w:val="0"/>
              <w:snapToGrid w:val="0"/>
              <w:jc w:val="center"/>
              <w:rPr>
                <w:rFonts w:ascii="宋体" w:hAnsi="宋体" w:cs="宋体"/>
                <w:color w:val="auto"/>
                <w:kern w:val="0"/>
                <w:szCs w:val="21"/>
              </w:rPr>
            </w:pPr>
          </w:p>
        </w:tc>
        <w:tc>
          <w:tcPr>
            <w:tcW w:w="405" w:type="pct"/>
            <w:vAlign w:val="center"/>
          </w:tcPr>
          <w:p w14:paraId="63612A55">
            <w:pPr>
              <w:widowControl/>
              <w:adjustRightInd w:val="0"/>
              <w:snapToGrid w:val="0"/>
              <w:jc w:val="center"/>
              <w:rPr>
                <w:rFonts w:eastAsia="等线"/>
                <w:color w:val="auto"/>
                <w:kern w:val="0"/>
                <w:szCs w:val="21"/>
                <w:lang w:val="zh-CN"/>
              </w:rPr>
            </w:pPr>
            <w:r>
              <w:rPr>
                <w:rFonts w:eastAsia="等线"/>
                <w:color w:val="auto"/>
                <w:kern w:val="0"/>
                <w:szCs w:val="21"/>
                <w:lang w:val="zh-CN"/>
              </w:rPr>
              <w:t>BOD</w:t>
            </w:r>
            <w:r>
              <w:rPr>
                <w:rFonts w:eastAsia="等线"/>
                <w:color w:val="auto"/>
                <w:kern w:val="0"/>
                <w:szCs w:val="21"/>
                <w:vertAlign w:val="subscript"/>
                <w:lang w:val="zh-CN"/>
              </w:rPr>
              <w:t>5</w:t>
            </w:r>
          </w:p>
        </w:tc>
        <w:tc>
          <w:tcPr>
            <w:tcW w:w="212" w:type="pct"/>
            <w:vMerge w:val="continue"/>
            <w:vAlign w:val="center"/>
          </w:tcPr>
          <w:p w14:paraId="339F4B1E">
            <w:pPr>
              <w:widowControl/>
              <w:adjustRightInd w:val="0"/>
              <w:snapToGrid w:val="0"/>
              <w:jc w:val="center"/>
              <w:rPr>
                <w:color w:val="auto"/>
                <w:szCs w:val="21"/>
                <w:lang w:val="zh-CN"/>
              </w:rPr>
            </w:pPr>
          </w:p>
        </w:tc>
        <w:tc>
          <w:tcPr>
            <w:tcW w:w="330" w:type="pct"/>
            <w:vMerge w:val="continue"/>
            <w:vAlign w:val="center"/>
          </w:tcPr>
          <w:p w14:paraId="3BA29FDE">
            <w:pPr>
              <w:widowControl/>
              <w:adjustRightInd w:val="0"/>
              <w:snapToGrid w:val="0"/>
              <w:jc w:val="center"/>
              <w:rPr>
                <w:rFonts w:eastAsia="等线"/>
                <w:color w:val="auto"/>
                <w:kern w:val="0"/>
                <w:szCs w:val="21"/>
                <w:lang w:val="zh-CN"/>
              </w:rPr>
            </w:pPr>
          </w:p>
        </w:tc>
        <w:tc>
          <w:tcPr>
            <w:tcW w:w="426" w:type="pct"/>
            <w:vAlign w:val="center"/>
          </w:tcPr>
          <w:p w14:paraId="6DC8E0E9">
            <w:pPr>
              <w:widowControl/>
              <w:adjustRightInd w:val="0"/>
              <w:snapToGrid w:val="0"/>
              <w:jc w:val="center"/>
              <w:rPr>
                <w:rFonts w:hint="default" w:eastAsia="等线"/>
                <w:color w:val="auto"/>
                <w:kern w:val="0"/>
                <w:szCs w:val="21"/>
                <w:lang w:val="en-US" w:eastAsia="zh-CN"/>
              </w:rPr>
            </w:pPr>
            <w:r>
              <w:rPr>
                <w:rFonts w:hint="eastAsia" w:eastAsia="等线"/>
                <w:color w:val="auto"/>
                <w:kern w:val="0"/>
                <w:szCs w:val="21"/>
                <w:lang w:val="en-US" w:eastAsia="zh-CN"/>
              </w:rPr>
              <w:t>2</w:t>
            </w:r>
            <w:r>
              <w:rPr>
                <w:rFonts w:hint="default" w:eastAsia="等线"/>
                <w:color w:val="auto"/>
                <w:kern w:val="0"/>
                <w:szCs w:val="21"/>
                <w:lang w:val="en-US" w:eastAsia="zh-CN"/>
              </w:rPr>
              <w:t>00</w:t>
            </w:r>
          </w:p>
        </w:tc>
        <w:tc>
          <w:tcPr>
            <w:tcW w:w="485" w:type="pct"/>
            <w:vAlign w:val="center"/>
          </w:tcPr>
          <w:p w14:paraId="7440F9FC">
            <w:pPr>
              <w:widowControl/>
              <w:adjustRightInd w:val="0"/>
              <w:snapToGrid w:val="0"/>
              <w:jc w:val="center"/>
              <w:rPr>
                <w:rFonts w:hint="default" w:eastAsia="等线"/>
                <w:color w:val="auto"/>
                <w:kern w:val="0"/>
                <w:szCs w:val="21"/>
                <w:lang w:val="en-US" w:eastAsia="zh-CN"/>
              </w:rPr>
            </w:pPr>
            <w:r>
              <w:rPr>
                <w:rFonts w:hint="default" w:eastAsia="等线"/>
                <w:color w:val="auto"/>
                <w:kern w:val="0"/>
                <w:szCs w:val="21"/>
                <w:lang w:val="en-US" w:eastAsia="zh-CN"/>
              </w:rPr>
              <w:t>0.0002</w:t>
            </w:r>
          </w:p>
        </w:tc>
        <w:tc>
          <w:tcPr>
            <w:tcW w:w="721" w:type="pct"/>
            <w:vMerge w:val="continue"/>
            <w:vAlign w:val="center"/>
          </w:tcPr>
          <w:p w14:paraId="13864836">
            <w:pPr>
              <w:widowControl/>
              <w:adjustRightInd w:val="0"/>
              <w:snapToGrid w:val="0"/>
              <w:jc w:val="center"/>
              <w:rPr>
                <w:color w:val="auto"/>
                <w:szCs w:val="21"/>
                <w:lang w:val="zh-CN"/>
              </w:rPr>
            </w:pPr>
          </w:p>
        </w:tc>
        <w:tc>
          <w:tcPr>
            <w:tcW w:w="325" w:type="pct"/>
            <w:vMerge w:val="continue"/>
            <w:vAlign w:val="center"/>
          </w:tcPr>
          <w:p w14:paraId="37728D31">
            <w:pPr>
              <w:pStyle w:val="84"/>
              <w:rPr>
                <w:color w:val="auto"/>
              </w:rPr>
            </w:pPr>
          </w:p>
        </w:tc>
        <w:tc>
          <w:tcPr>
            <w:tcW w:w="0" w:type="auto"/>
            <w:vMerge w:val="continue"/>
            <w:vAlign w:val="center"/>
          </w:tcPr>
          <w:p w14:paraId="3D391CA4">
            <w:pPr>
              <w:widowControl/>
              <w:adjustRightInd w:val="0"/>
              <w:snapToGrid w:val="0"/>
              <w:jc w:val="center"/>
              <w:rPr>
                <w:color w:val="auto"/>
                <w:szCs w:val="21"/>
                <w:lang w:val="zh-CN"/>
              </w:rPr>
            </w:pPr>
          </w:p>
        </w:tc>
        <w:tc>
          <w:tcPr>
            <w:tcW w:w="0" w:type="auto"/>
            <w:vMerge w:val="continue"/>
            <w:vAlign w:val="center"/>
          </w:tcPr>
          <w:p w14:paraId="6093BE37">
            <w:pPr>
              <w:widowControl/>
              <w:adjustRightInd w:val="0"/>
              <w:snapToGrid w:val="0"/>
              <w:jc w:val="center"/>
              <w:rPr>
                <w:color w:val="auto"/>
                <w:szCs w:val="21"/>
                <w:lang w:val="zh-CN"/>
              </w:rPr>
            </w:pPr>
          </w:p>
        </w:tc>
        <w:tc>
          <w:tcPr>
            <w:tcW w:w="444" w:type="pct"/>
            <w:vMerge w:val="continue"/>
            <w:vAlign w:val="center"/>
          </w:tcPr>
          <w:p w14:paraId="493F16F2">
            <w:pPr>
              <w:pStyle w:val="84"/>
              <w:rPr>
                <w:color w:val="auto"/>
                <w:kern w:val="0"/>
              </w:rPr>
            </w:pPr>
          </w:p>
        </w:tc>
        <w:tc>
          <w:tcPr>
            <w:tcW w:w="344" w:type="pct"/>
            <w:vMerge w:val="continue"/>
            <w:vAlign w:val="center"/>
          </w:tcPr>
          <w:p w14:paraId="0B0008E6">
            <w:pPr>
              <w:pStyle w:val="84"/>
              <w:rPr>
                <w:color w:val="auto"/>
                <w:kern w:val="0"/>
              </w:rPr>
            </w:pPr>
          </w:p>
        </w:tc>
      </w:tr>
      <w:tr w14:paraId="7C5722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2FCAF253">
            <w:pPr>
              <w:widowControl/>
              <w:adjustRightInd w:val="0"/>
              <w:snapToGrid w:val="0"/>
              <w:jc w:val="center"/>
              <w:rPr>
                <w:rFonts w:ascii="宋体" w:hAnsi="宋体" w:cs="宋体"/>
                <w:color w:val="auto"/>
                <w:kern w:val="0"/>
                <w:szCs w:val="21"/>
              </w:rPr>
            </w:pPr>
          </w:p>
        </w:tc>
        <w:tc>
          <w:tcPr>
            <w:tcW w:w="0" w:type="auto"/>
            <w:vMerge w:val="continue"/>
            <w:vAlign w:val="center"/>
          </w:tcPr>
          <w:p w14:paraId="7EC1ADE6">
            <w:pPr>
              <w:widowControl/>
              <w:adjustRightInd w:val="0"/>
              <w:snapToGrid w:val="0"/>
              <w:jc w:val="center"/>
              <w:rPr>
                <w:rFonts w:ascii="宋体" w:hAnsi="宋体" w:cs="宋体"/>
                <w:color w:val="auto"/>
                <w:kern w:val="0"/>
                <w:szCs w:val="21"/>
              </w:rPr>
            </w:pPr>
          </w:p>
        </w:tc>
        <w:tc>
          <w:tcPr>
            <w:tcW w:w="0" w:type="auto"/>
            <w:vMerge w:val="continue"/>
            <w:vAlign w:val="center"/>
          </w:tcPr>
          <w:p w14:paraId="73361EF3">
            <w:pPr>
              <w:widowControl/>
              <w:adjustRightInd w:val="0"/>
              <w:snapToGrid w:val="0"/>
              <w:jc w:val="center"/>
              <w:rPr>
                <w:rFonts w:ascii="宋体" w:hAnsi="宋体" w:cs="宋体"/>
                <w:color w:val="auto"/>
                <w:kern w:val="0"/>
                <w:szCs w:val="21"/>
              </w:rPr>
            </w:pPr>
          </w:p>
        </w:tc>
        <w:tc>
          <w:tcPr>
            <w:tcW w:w="405" w:type="pct"/>
            <w:vAlign w:val="center"/>
          </w:tcPr>
          <w:p w14:paraId="77773889">
            <w:pPr>
              <w:widowControl/>
              <w:adjustRightInd w:val="0"/>
              <w:snapToGrid w:val="0"/>
              <w:jc w:val="center"/>
              <w:rPr>
                <w:rFonts w:eastAsia="等线"/>
                <w:color w:val="auto"/>
                <w:kern w:val="0"/>
                <w:szCs w:val="21"/>
                <w:lang w:val="zh-CN"/>
              </w:rPr>
            </w:pPr>
            <w:r>
              <w:rPr>
                <w:rFonts w:eastAsia="等线"/>
                <w:color w:val="auto"/>
                <w:kern w:val="0"/>
                <w:szCs w:val="21"/>
                <w:lang w:val="zh-CN"/>
              </w:rPr>
              <w:t>SS</w:t>
            </w:r>
          </w:p>
        </w:tc>
        <w:tc>
          <w:tcPr>
            <w:tcW w:w="212" w:type="pct"/>
            <w:vMerge w:val="continue"/>
            <w:vAlign w:val="center"/>
          </w:tcPr>
          <w:p w14:paraId="608DD1DF">
            <w:pPr>
              <w:widowControl/>
              <w:adjustRightInd w:val="0"/>
              <w:snapToGrid w:val="0"/>
              <w:jc w:val="center"/>
              <w:rPr>
                <w:color w:val="auto"/>
                <w:szCs w:val="21"/>
                <w:lang w:val="zh-CN"/>
              </w:rPr>
            </w:pPr>
          </w:p>
        </w:tc>
        <w:tc>
          <w:tcPr>
            <w:tcW w:w="330" w:type="pct"/>
            <w:vMerge w:val="continue"/>
            <w:vAlign w:val="center"/>
          </w:tcPr>
          <w:p w14:paraId="0B58E27C">
            <w:pPr>
              <w:widowControl/>
              <w:adjustRightInd w:val="0"/>
              <w:snapToGrid w:val="0"/>
              <w:jc w:val="center"/>
              <w:rPr>
                <w:rFonts w:eastAsia="等线"/>
                <w:color w:val="auto"/>
                <w:kern w:val="0"/>
                <w:szCs w:val="21"/>
                <w:lang w:val="zh-CN"/>
              </w:rPr>
            </w:pPr>
          </w:p>
        </w:tc>
        <w:tc>
          <w:tcPr>
            <w:tcW w:w="426" w:type="pct"/>
            <w:vAlign w:val="center"/>
          </w:tcPr>
          <w:p w14:paraId="468937E5">
            <w:pPr>
              <w:widowControl/>
              <w:adjustRightInd w:val="0"/>
              <w:snapToGrid w:val="0"/>
              <w:jc w:val="center"/>
              <w:rPr>
                <w:rFonts w:hint="default" w:eastAsia="等线"/>
                <w:color w:val="auto"/>
                <w:kern w:val="0"/>
                <w:szCs w:val="21"/>
                <w:lang w:val="en-US" w:eastAsia="zh-CN"/>
              </w:rPr>
            </w:pPr>
            <w:r>
              <w:rPr>
                <w:rFonts w:hint="eastAsia" w:eastAsia="等线"/>
                <w:color w:val="auto"/>
                <w:kern w:val="0"/>
                <w:szCs w:val="21"/>
                <w:lang w:val="en-US" w:eastAsia="zh-CN"/>
              </w:rPr>
              <w:t>2</w:t>
            </w:r>
            <w:r>
              <w:rPr>
                <w:rFonts w:hint="default" w:eastAsia="等线"/>
                <w:color w:val="auto"/>
                <w:kern w:val="0"/>
                <w:szCs w:val="21"/>
                <w:lang w:val="en-US" w:eastAsia="zh-CN"/>
              </w:rPr>
              <w:t>00</w:t>
            </w:r>
          </w:p>
        </w:tc>
        <w:tc>
          <w:tcPr>
            <w:tcW w:w="485" w:type="pct"/>
            <w:vAlign w:val="center"/>
          </w:tcPr>
          <w:p w14:paraId="395EECA0">
            <w:pPr>
              <w:widowControl/>
              <w:adjustRightInd w:val="0"/>
              <w:snapToGrid w:val="0"/>
              <w:jc w:val="center"/>
              <w:rPr>
                <w:rFonts w:hint="default" w:eastAsia="等线"/>
                <w:color w:val="auto"/>
                <w:kern w:val="0"/>
                <w:szCs w:val="21"/>
                <w:lang w:val="en-US" w:eastAsia="zh-CN"/>
              </w:rPr>
            </w:pPr>
            <w:r>
              <w:rPr>
                <w:rFonts w:hint="default" w:eastAsia="等线"/>
                <w:color w:val="auto"/>
                <w:kern w:val="0"/>
                <w:szCs w:val="21"/>
                <w:lang w:val="en-US" w:eastAsia="zh-CN"/>
              </w:rPr>
              <w:t>0.0002</w:t>
            </w:r>
          </w:p>
        </w:tc>
        <w:tc>
          <w:tcPr>
            <w:tcW w:w="721" w:type="pct"/>
            <w:vMerge w:val="continue"/>
            <w:vAlign w:val="center"/>
          </w:tcPr>
          <w:p w14:paraId="13A0EF76">
            <w:pPr>
              <w:widowControl/>
              <w:adjustRightInd w:val="0"/>
              <w:snapToGrid w:val="0"/>
              <w:jc w:val="center"/>
              <w:rPr>
                <w:color w:val="auto"/>
                <w:szCs w:val="21"/>
                <w:lang w:val="zh-CN"/>
              </w:rPr>
            </w:pPr>
          </w:p>
        </w:tc>
        <w:tc>
          <w:tcPr>
            <w:tcW w:w="325" w:type="pct"/>
            <w:vMerge w:val="continue"/>
            <w:vAlign w:val="center"/>
          </w:tcPr>
          <w:p w14:paraId="40FBE0EB">
            <w:pPr>
              <w:pStyle w:val="84"/>
              <w:rPr>
                <w:color w:val="auto"/>
              </w:rPr>
            </w:pPr>
          </w:p>
        </w:tc>
        <w:tc>
          <w:tcPr>
            <w:tcW w:w="0" w:type="auto"/>
            <w:vMerge w:val="continue"/>
            <w:vAlign w:val="center"/>
          </w:tcPr>
          <w:p w14:paraId="136C9E79">
            <w:pPr>
              <w:widowControl/>
              <w:adjustRightInd w:val="0"/>
              <w:snapToGrid w:val="0"/>
              <w:jc w:val="center"/>
              <w:rPr>
                <w:color w:val="auto"/>
                <w:szCs w:val="21"/>
                <w:lang w:val="zh-CN"/>
              </w:rPr>
            </w:pPr>
          </w:p>
        </w:tc>
        <w:tc>
          <w:tcPr>
            <w:tcW w:w="0" w:type="auto"/>
            <w:vMerge w:val="continue"/>
            <w:vAlign w:val="center"/>
          </w:tcPr>
          <w:p w14:paraId="7C06BC9B">
            <w:pPr>
              <w:widowControl/>
              <w:adjustRightInd w:val="0"/>
              <w:snapToGrid w:val="0"/>
              <w:jc w:val="center"/>
              <w:rPr>
                <w:color w:val="auto"/>
                <w:szCs w:val="21"/>
                <w:lang w:val="zh-CN"/>
              </w:rPr>
            </w:pPr>
          </w:p>
        </w:tc>
        <w:tc>
          <w:tcPr>
            <w:tcW w:w="444" w:type="pct"/>
            <w:vMerge w:val="continue"/>
            <w:vAlign w:val="center"/>
          </w:tcPr>
          <w:p w14:paraId="09B13BD2">
            <w:pPr>
              <w:pStyle w:val="84"/>
              <w:rPr>
                <w:color w:val="auto"/>
                <w:kern w:val="0"/>
              </w:rPr>
            </w:pPr>
          </w:p>
        </w:tc>
        <w:tc>
          <w:tcPr>
            <w:tcW w:w="344" w:type="pct"/>
            <w:vMerge w:val="continue"/>
            <w:vAlign w:val="center"/>
          </w:tcPr>
          <w:p w14:paraId="732C752F">
            <w:pPr>
              <w:pStyle w:val="84"/>
              <w:rPr>
                <w:color w:val="auto"/>
                <w:kern w:val="0"/>
              </w:rPr>
            </w:pPr>
          </w:p>
        </w:tc>
      </w:tr>
      <w:tr w14:paraId="691152B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vAlign w:val="center"/>
          </w:tcPr>
          <w:p w14:paraId="7EF16792">
            <w:pPr>
              <w:widowControl/>
              <w:adjustRightInd w:val="0"/>
              <w:snapToGrid w:val="0"/>
              <w:jc w:val="center"/>
              <w:rPr>
                <w:rFonts w:ascii="宋体" w:hAnsi="宋体" w:cs="宋体"/>
                <w:color w:val="auto"/>
                <w:kern w:val="0"/>
                <w:szCs w:val="21"/>
              </w:rPr>
            </w:pPr>
          </w:p>
        </w:tc>
        <w:tc>
          <w:tcPr>
            <w:tcW w:w="0" w:type="auto"/>
            <w:vMerge w:val="continue"/>
            <w:vAlign w:val="center"/>
          </w:tcPr>
          <w:p w14:paraId="214F9BAF">
            <w:pPr>
              <w:widowControl/>
              <w:adjustRightInd w:val="0"/>
              <w:snapToGrid w:val="0"/>
              <w:jc w:val="center"/>
              <w:rPr>
                <w:rFonts w:ascii="宋体" w:hAnsi="宋体" w:cs="宋体"/>
                <w:color w:val="auto"/>
                <w:kern w:val="0"/>
                <w:szCs w:val="21"/>
              </w:rPr>
            </w:pPr>
          </w:p>
        </w:tc>
        <w:tc>
          <w:tcPr>
            <w:tcW w:w="0" w:type="auto"/>
            <w:vMerge w:val="continue"/>
            <w:vAlign w:val="center"/>
          </w:tcPr>
          <w:p w14:paraId="15D41066">
            <w:pPr>
              <w:widowControl/>
              <w:adjustRightInd w:val="0"/>
              <w:snapToGrid w:val="0"/>
              <w:jc w:val="center"/>
              <w:rPr>
                <w:rFonts w:ascii="宋体" w:hAnsi="宋体" w:cs="宋体"/>
                <w:color w:val="auto"/>
                <w:kern w:val="0"/>
                <w:szCs w:val="21"/>
              </w:rPr>
            </w:pPr>
          </w:p>
        </w:tc>
        <w:tc>
          <w:tcPr>
            <w:tcW w:w="405" w:type="pct"/>
            <w:vAlign w:val="center"/>
          </w:tcPr>
          <w:p w14:paraId="2151DCE6">
            <w:pPr>
              <w:pStyle w:val="84"/>
              <w:rPr>
                <w:color w:val="auto"/>
              </w:rPr>
            </w:pPr>
            <w:r>
              <w:rPr>
                <w:rFonts w:hint="eastAsia"/>
                <w:color w:val="auto"/>
              </w:rPr>
              <w:t>氨氮</w:t>
            </w:r>
          </w:p>
        </w:tc>
        <w:tc>
          <w:tcPr>
            <w:tcW w:w="212" w:type="pct"/>
            <w:vMerge w:val="continue"/>
            <w:vAlign w:val="center"/>
          </w:tcPr>
          <w:p w14:paraId="5FD6A08D">
            <w:pPr>
              <w:widowControl/>
              <w:adjustRightInd w:val="0"/>
              <w:snapToGrid w:val="0"/>
              <w:jc w:val="center"/>
              <w:rPr>
                <w:color w:val="auto"/>
                <w:szCs w:val="21"/>
                <w:lang w:val="zh-CN"/>
              </w:rPr>
            </w:pPr>
          </w:p>
        </w:tc>
        <w:tc>
          <w:tcPr>
            <w:tcW w:w="330" w:type="pct"/>
            <w:vMerge w:val="continue"/>
            <w:vAlign w:val="center"/>
          </w:tcPr>
          <w:p w14:paraId="2BDED256">
            <w:pPr>
              <w:widowControl/>
              <w:adjustRightInd w:val="0"/>
              <w:snapToGrid w:val="0"/>
              <w:jc w:val="center"/>
              <w:rPr>
                <w:rFonts w:eastAsia="等线"/>
                <w:color w:val="auto"/>
                <w:kern w:val="0"/>
                <w:szCs w:val="21"/>
                <w:lang w:val="zh-CN"/>
              </w:rPr>
            </w:pPr>
          </w:p>
        </w:tc>
        <w:tc>
          <w:tcPr>
            <w:tcW w:w="426" w:type="pct"/>
            <w:vAlign w:val="center"/>
          </w:tcPr>
          <w:p w14:paraId="6A3770F6">
            <w:pPr>
              <w:widowControl/>
              <w:adjustRightInd w:val="0"/>
              <w:snapToGrid w:val="0"/>
              <w:jc w:val="center"/>
              <w:rPr>
                <w:rFonts w:hint="default" w:eastAsia="等线"/>
                <w:color w:val="auto"/>
                <w:kern w:val="0"/>
                <w:szCs w:val="21"/>
                <w:lang w:val="en-US" w:eastAsia="zh-CN"/>
              </w:rPr>
            </w:pPr>
            <w:r>
              <w:rPr>
                <w:rFonts w:hint="eastAsia" w:eastAsia="等线"/>
                <w:color w:val="auto"/>
                <w:kern w:val="0"/>
                <w:szCs w:val="21"/>
                <w:lang w:val="en-US" w:eastAsia="zh-CN"/>
              </w:rPr>
              <w:t>3</w:t>
            </w:r>
            <w:r>
              <w:rPr>
                <w:rFonts w:hint="default" w:eastAsia="等线"/>
                <w:color w:val="auto"/>
                <w:kern w:val="0"/>
                <w:szCs w:val="21"/>
                <w:lang w:val="en-US" w:eastAsia="zh-CN"/>
              </w:rPr>
              <w:t>0</w:t>
            </w:r>
          </w:p>
        </w:tc>
        <w:tc>
          <w:tcPr>
            <w:tcW w:w="485" w:type="pct"/>
            <w:vAlign w:val="center"/>
          </w:tcPr>
          <w:p w14:paraId="00CEDC87">
            <w:pPr>
              <w:widowControl/>
              <w:adjustRightInd w:val="0"/>
              <w:snapToGrid w:val="0"/>
              <w:jc w:val="center"/>
              <w:rPr>
                <w:rFonts w:hint="default" w:eastAsia="等线"/>
                <w:color w:val="auto"/>
                <w:kern w:val="0"/>
                <w:szCs w:val="21"/>
                <w:lang w:val="en-US" w:eastAsia="zh-CN"/>
              </w:rPr>
            </w:pPr>
            <w:r>
              <w:rPr>
                <w:rFonts w:hint="default" w:eastAsia="等线"/>
                <w:color w:val="auto"/>
                <w:kern w:val="0"/>
                <w:szCs w:val="21"/>
                <w:lang w:val="en-US" w:eastAsia="zh-CN"/>
              </w:rPr>
              <w:t>0.00003</w:t>
            </w:r>
          </w:p>
        </w:tc>
        <w:tc>
          <w:tcPr>
            <w:tcW w:w="721" w:type="pct"/>
            <w:vMerge w:val="continue"/>
            <w:vAlign w:val="center"/>
          </w:tcPr>
          <w:p w14:paraId="088B041B">
            <w:pPr>
              <w:widowControl/>
              <w:adjustRightInd w:val="0"/>
              <w:snapToGrid w:val="0"/>
              <w:jc w:val="center"/>
              <w:rPr>
                <w:color w:val="auto"/>
                <w:szCs w:val="21"/>
                <w:lang w:val="zh-CN"/>
              </w:rPr>
            </w:pPr>
          </w:p>
        </w:tc>
        <w:tc>
          <w:tcPr>
            <w:tcW w:w="325" w:type="pct"/>
            <w:vMerge w:val="continue"/>
            <w:vAlign w:val="center"/>
          </w:tcPr>
          <w:p w14:paraId="2961DFC1">
            <w:pPr>
              <w:pStyle w:val="84"/>
              <w:rPr>
                <w:color w:val="auto"/>
              </w:rPr>
            </w:pPr>
          </w:p>
        </w:tc>
        <w:tc>
          <w:tcPr>
            <w:tcW w:w="0" w:type="auto"/>
            <w:vMerge w:val="continue"/>
            <w:vAlign w:val="center"/>
          </w:tcPr>
          <w:p w14:paraId="42382DA0">
            <w:pPr>
              <w:widowControl/>
              <w:adjustRightInd w:val="0"/>
              <w:snapToGrid w:val="0"/>
              <w:jc w:val="center"/>
              <w:rPr>
                <w:color w:val="auto"/>
                <w:szCs w:val="21"/>
                <w:lang w:val="zh-CN"/>
              </w:rPr>
            </w:pPr>
          </w:p>
        </w:tc>
        <w:tc>
          <w:tcPr>
            <w:tcW w:w="0" w:type="auto"/>
            <w:vMerge w:val="continue"/>
            <w:vAlign w:val="center"/>
          </w:tcPr>
          <w:p w14:paraId="1B5A3DED">
            <w:pPr>
              <w:widowControl/>
              <w:adjustRightInd w:val="0"/>
              <w:snapToGrid w:val="0"/>
              <w:jc w:val="center"/>
              <w:rPr>
                <w:color w:val="auto"/>
                <w:szCs w:val="21"/>
                <w:lang w:val="zh-CN"/>
              </w:rPr>
            </w:pPr>
          </w:p>
        </w:tc>
        <w:tc>
          <w:tcPr>
            <w:tcW w:w="444" w:type="pct"/>
            <w:vMerge w:val="continue"/>
            <w:vAlign w:val="center"/>
          </w:tcPr>
          <w:p w14:paraId="57A9A434">
            <w:pPr>
              <w:pStyle w:val="84"/>
              <w:rPr>
                <w:color w:val="auto"/>
                <w:kern w:val="0"/>
              </w:rPr>
            </w:pPr>
          </w:p>
        </w:tc>
        <w:tc>
          <w:tcPr>
            <w:tcW w:w="344" w:type="pct"/>
            <w:vMerge w:val="continue"/>
            <w:vAlign w:val="center"/>
          </w:tcPr>
          <w:p w14:paraId="0FE5B9B4">
            <w:pPr>
              <w:pStyle w:val="84"/>
              <w:rPr>
                <w:color w:val="auto"/>
                <w:kern w:val="0"/>
              </w:rPr>
            </w:pPr>
          </w:p>
        </w:tc>
      </w:tr>
    </w:tbl>
    <w:p w14:paraId="5031A9CA">
      <w:pPr>
        <w:pStyle w:val="59"/>
        <w:ind w:firstLine="480"/>
        <w:rPr>
          <w:color w:val="auto"/>
        </w:rPr>
      </w:pPr>
    </w:p>
    <w:p w14:paraId="3A0E6780">
      <w:pPr>
        <w:pStyle w:val="59"/>
        <w:ind w:firstLine="480"/>
        <w:rPr>
          <w:color w:val="auto"/>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43B367B8">
      <w:pPr>
        <w:pStyle w:val="135"/>
        <w:rPr>
          <w:color w:val="auto"/>
        </w:rPr>
      </w:pPr>
      <w:r>
        <w:rPr>
          <w:rFonts w:hint="eastAsia"/>
          <w:color w:val="auto"/>
        </w:rPr>
        <w:t>3</w:t>
      </w:r>
      <w:r>
        <w:rPr>
          <w:color w:val="auto"/>
        </w:rPr>
        <w:t>.3.2.3</w:t>
      </w:r>
      <w:r>
        <w:rPr>
          <w:rFonts w:hint="eastAsia"/>
          <w:color w:val="auto"/>
        </w:rPr>
        <w:t>噪声</w:t>
      </w:r>
    </w:p>
    <w:p w14:paraId="328C6FEB">
      <w:pPr>
        <w:pStyle w:val="59"/>
        <w:ind w:firstLine="480"/>
        <w:rPr>
          <w:color w:val="auto"/>
        </w:rPr>
      </w:pPr>
      <w:r>
        <w:rPr>
          <w:color w:val="auto"/>
        </w:rPr>
        <w:t>项目的高噪声设备主要来自</w:t>
      </w:r>
      <w:r>
        <w:rPr>
          <w:rFonts w:hint="eastAsia"/>
          <w:color w:val="auto"/>
        </w:rPr>
        <w:t>洒水车和</w:t>
      </w:r>
      <w:r>
        <w:rPr>
          <w:color w:val="auto"/>
        </w:rPr>
        <w:t>作业机械，</w:t>
      </w:r>
      <w:r>
        <w:rPr>
          <w:rFonts w:hint="eastAsia"/>
          <w:color w:val="auto"/>
        </w:rPr>
        <w:t>根据《环境噪声与振动控制工程技术导则》</w:t>
      </w:r>
      <w:r>
        <w:rPr>
          <w:color w:val="auto"/>
        </w:rPr>
        <w:t>(HJ2034-2013)附录A，本项目机械噪声值在81～90dB（A）之间</w:t>
      </w:r>
      <w:r>
        <w:rPr>
          <w:rFonts w:hint="eastAsia"/>
          <w:color w:val="auto"/>
        </w:rPr>
        <w:t>，本项目各种机械的</w:t>
      </w:r>
      <w:r>
        <w:rPr>
          <w:color w:val="auto"/>
        </w:rPr>
        <w:t>噪声源强见表3</w:t>
      </w:r>
      <w:r>
        <w:rPr>
          <w:rFonts w:hint="eastAsia"/>
          <w:color w:val="auto"/>
        </w:rPr>
        <w:t>-</w:t>
      </w:r>
      <w:r>
        <w:rPr>
          <w:color w:val="auto"/>
        </w:rPr>
        <w:t>3</w:t>
      </w:r>
      <w:r>
        <w:rPr>
          <w:rFonts w:hint="eastAsia"/>
          <w:color w:val="auto"/>
        </w:rPr>
        <w:t>-</w:t>
      </w:r>
      <w:r>
        <w:rPr>
          <w:color w:val="auto"/>
        </w:rPr>
        <w:t>10。</w:t>
      </w:r>
    </w:p>
    <w:p w14:paraId="711256E9">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表3</w:t>
      </w:r>
      <w:r>
        <w:rPr>
          <w:rFonts w:hint="eastAsia" w:eastAsia="黑体"/>
          <w:color w:val="auto"/>
          <w:sz w:val="24"/>
          <w:szCs w:val="22"/>
          <w:lang w:val="zh-CN"/>
        </w:rPr>
        <w:t>-</w:t>
      </w:r>
      <w:r>
        <w:rPr>
          <w:rFonts w:eastAsia="黑体"/>
          <w:color w:val="auto"/>
          <w:sz w:val="24"/>
          <w:szCs w:val="22"/>
          <w:lang w:val="zh-CN"/>
        </w:rPr>
        <w:t>3</w:t>
      </w:r>
      <w:r>
        <w:rPr>
          <w:rFonts w:hint="eastAsia" w:eastAsia="黑体"/>
          <w:color w:val="auto"/>
          <w:sz w:val="24"/>
          <w:szCs w:val="22"/>
          <w:lang w:val="zh-CN"/>
        </w:rPr>
        <w:t>-</w:t>
      </w:r>
      <w:r>
        <w:rPr>
          <w:rFonts w:eastAsia="黑体"/>
          <w:color w:val="auto"/>
          <w:sz w:val="24"/>
          <w:szCs w:val="22"/>
          <w:lang w:val="zh-CN"/>
        </w:rPr>
        <w:t>10项目噪声源强表</w:t>
      </w:r>
    </w:p>
    <w:tbl>
      <w:tblPr>
        <w:tblStyle w:val="77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556"/>
        <w:gridCol w:w="550"/>
        <w:gridCol w:w="460"/>
        <w:gridCol w:w="566"/>
        <w:gridCol w:w="533"/>
        <w:gridCol w:w="754"/>
        <w:gridCol w:w="1708"/>
        <w:gridCol w:w="753"/>
        <w:gridCol w:w="611"/>
        <w:gridCol w:w="753"/>
        <w:gridCol w:w="636"/>
      </w:tblGrid>
      <w:tr w14:paraId="0E2045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3" w:hRule="atLeast"/>
        </w:trPr>
        <w:tc>
          <w:tcPr>
            <w:tcW w:w="256" w:type="pct"/>
            <w:vMerge w:val="restart"/>
            <w:vAlign w:val="center"/>
          </w:tcPr>
          <w:p w14:paraId="1CB637BE">
            <w:pPr>
              <w:adjustRightInd w:val="0"/>
              <w:snapToGrid w:val="0"/>
              <w:jc w:val="center"/>
              <w:rPr>
                <w:snapToGrid w:val="0"/>
                <w:color w:val="auto"/>
                <w:szCs w:val="22"/>
                <w:lang w:val="zh-CN"/>
              </w:rPr>
            </w:pPr>
            <w:r>
              <w:rPr>
                <w:rFonts w:hint="eastAsia"/>
                <w:snapToGrid w:val="0"/>
                <w:color w:val="auto"/>
                <w:szCs w:val="22"/>
                <w:lang w:val="zh-CN"/>
              </w:rPr>
              <w:t>序号</w:t>
            </w:r>
          </w:p>
        </w:tc>
        <w:tc>
          <w:tcPr>
            <w:tcW w:w="335" w:type="pct"/>
            <w:vMerge w:val="restart"/>
            <w:vAlign w:val="center"/>
          </w:tcPr>
          <w:p w14:paraId="693B3F17">
            <w:pPr>
              <w:adjustRightInd w:val="0"/>
              <w:snapToGrid w:val="0"/>
              <w:jc w:val="center"/>
              <w:rPr>
                <w:snapToGrid w:val="0"/>
                <w:color w:val="auto"/>
                <w:szCs w:val="22"/>
                <w:lang w:val="zh-CN"/>
              </w:rPr>
            </w:pPr>
            <w:r>
              <w:rPr>
                <w:rFonts w:hint="eastAsia"/>
                <w:snapToGrid w:val="0"/>
                <w:color w:val="auto"/>
                <w:szCs w:val="22"/>
                <w:lang w:val="zh-CN"/>
              </w:rPr>
              <w:t>噪声源</w:t>
            </w:r>
          </w:p>
        </w:tc>
        <w:tc>
          <w:tcPr>
            <w:tcW w:w="331" w:type="pct"/>
            <w:vMerge w:val="restart"/>
            <w:vAlign w:val="center"/>
          </w:tcPr>
          <w:p w14:paraId="2687427C">
            <w:pPr>
              <w:adjustRightInd w:val="0"/>
              <w:snapToGrid w:val="0"/>
              <w:jc w:val="center"/>
              <w:rPr>
                <w:snapToGrid w:val="0"/>
                <w:color w:val="auto"/>
                <w:szCs w:val="22"/>
                <w:lang w:val="zh-CN"/>
              </w:rPr>
            </w:pPr>
            <w:r>
              <w:rPr>
                <w:rFonts w:hint="eastAsia"/>
                <w:snapToGrid w:val="0"/>
                <w:color w:val="auto"/>
                <w:szCs w:val="22"/>
                <w:lang w:val="zh-CN"/>
              </w:rPr>
              <w:t>位置</w:t>
            </w:r>
          </w:p>
        </w:tc>
        <w:tc>
          <w:tcPr>
            <w:tcW w:w="277" w:type="pct"/>
            <w:vMerge w:val="restart"/>
            <w:vAlign w:val="center"/>
          </w:tcPr>
          <w:p w14:paraId="0A5EBE08">
            <w:pPr>
              <w:adjustRightInd w:val="0"/>
              <w:snapToGrid w:val="0"/>
              <w:jc w:val="center"/>
              <w:rPr>
                <w:snapToGrid w:val="0"/>
                <w:color w:val="auto"/>
                <w:szCs w:val="22"/>
                <w:lang w:val="zh-CN"/>
              </w:rPr>
            </w:pPr>
            <w:r>
              <w:rPr>
                <w:rFonts w:hint="eastAsia"/>
                <w:snapToGrid w:val="0"/>
                <w:color w:val="auto"/>
                <w:szCs w:val="22"/>
                <w:lang w:val="zh-CN"/>
              </w:rPr>
              <w:t>声源类型</w:t>
            </w:r>
          </w:p>
        </w:tc>
        <w:tc>
          <w:tcPr>
            <w:tcW w:w="341" w:type="pct"/>
            <w:vMerge w:val="restart"/>
            <w:vAlign w:val="center"/>
          </w:tcPr>
          <w:p w14:paraId="6AE16144">
            <w:pPr>
              <w:adjustRightInd w:val="0"/>
              <w:snapToGrid w:val="0"/>
              <w:jc w:val="center"/>
              <w:rPr>
                <w:snapToGrid w:val="0"/>
                <w:color w:val="auto"/>
                <w:szCs w:val="22"/>
                <w:lang w:val="zh-CN"/>
              </w:rPr>
            </w:pPr>
            <w:r>
              <w:rPr>
                <w:rFonts w:hint="eastAsia"/>
                <w:snapToGrid w:val="0"/>
                <w:color w:val="auto"/>
                <w:szCs w:val="22"/>
                <w:lang w:val="zh-CN"/>
              </w:rPr>
              <w:t>数量</w:t>
            </w:r>
          </w:p>
          <w:p w14:paraId="2989D360">
            <w:pPr>
              <w:adjustRightInd w:val="0"/>
              <w:snapToGrid w:val="0"/>
              <w:jc w:val="center"/>
              <w:rPr>
                <w:snapToGrid w:val="0"/>
                <w:color w:val="auto"/>
                <w:szCs w:val="22"/>
                <w:lang w:val="zh-CN"/>
              </w:rPr>
            </w:pPr>
            <w:r>
              <w:rPr>
                <w:rFonts w:hint="eastAsia"/>
                <w:snapToGrid w:val="0"/>
                <w:color w:val="auto"/>
                <w:szCs w:val="22"/>
                <w:lang w:val="zh-CN"/>
              </w:rPr>
              <w:t>台</w:t>
            </w:r>
            <w:r>
              <w:rPr>
                <w:snapToGrid w:val="0"/>
                <w:color w:val="auto"/>
                <w:szCs w:val="22"/>
                <w:lang w:val="zh-CN"/>
              </w:rPr>
              <w:t>(</w:t>
            </w:r>
            <w:r>
              <w:rPr>
                <w:rFonts w:hint="eastAsia"/>
                <w:snapToGrid w:val="0"/>
                <w:color w:val="auto"/>
                <w:szCs w:val="22"/>
                <w:lang w:val="zh-CN"/>
              </w:rPr>
              <w:t>套</w:t>
            </w:r>
            <w:r>
              <w:rPr>
                <w:snapToGrid w:val="0"/>
                <w:color w:val="auto"/>
                <w:szCs w:val="22"/>
                <w:lang w:val="zh-CN"/>
              </w:rPr>
              <w:t>)</w:t>
            </w:r>
          </w:p>
        </w:tc>
        <w:tc>
          <w:tcPr>
            <w:tcW w:w="775" w:type="pct"/>
            <w:gridSpan w:val="2"/>
            <w:vAlign w:val="center"/>
          </w:tcPr>
          <w:p w14:paraId="46B6B4E6">
            <w:pPr>
              <w:adjustRightInd w:val="0"/>
              <w:snapToGrid w:val="0"/>
              <w:jc w:val="center"/>
              <w:rPr>
                <w:snapToGrid w:val="0"/>
                <w:color w:val="auto"/>
                <w:szCs w:val="22"/>
                <w:lang w:val="zh-CN"/>
              </w:rPr>
            </w:pPr>
            <w:r>
              <w:rPr>
                <w:rFonts w:hint="eastAsia"/>
                <w:snapToGrid w:val="0"/>
                <w:color w:val="auto"/>
                <w:szCs w:val="22"/>
                <w:lang w:val="zh-CN"/>
              </w:rPr>
              <w:t>噪声源强</w:t>
            </w:r>
          </w:p>
        </w:tc>
        <w:tc>
          <w:tcPr>
            <w:tcW w:w="1481" w:type="pct"/>
            <w:gridSpan w:val="2"/>
            <w:vAlign w:val="center"/>
          </w:tcPr>
          <w:p w14:paraId="6B7CBE49">
            <w:pPr>
              <w:adjustRightInd w:val="0"/>
              <w:snapToGrid w:val="0"/>
              <w:jc w:val="center"/>
              <w:rPr>
                <w:snapToGrid w:val="0"/>
                <w:color w:val="auto"/>
                <w:szCs w:val="22"/>
                <w:lang w:val="zh-CN"/>
              </w:rPr>
            </w:pPr>
            <w:r>
              <w:rPr>
                <w:rFonts w:hint="eastAsia"/>
                <w:snapToGrid w:val="0"/>
                <w:color w:val="auto"/>
                <w:szCs w:val="22"/>
                <w:lang w:val="zh-CN"/>
              </w:rPr>
              <w:t>降噪措施</w:t>
            </w:r>
          </w:p>
        </w:tc>
        <w:tc>
          <w:tcPr>
            <w:tcW w:w="821" w:type="pct"/>
            <w:gridSpan w:val="2"/>
            <w:vAlign w:val="center"/>
          </w:tcPr>
          <w:p w14:paraId="2401D179">
            <w:pPr>
              <w:adjustRightInd w:val="0"/>
              <w:snapToGrid w:val="0"/>
              <w:jc w:val="center"/>
              <w:rPr>
                <w:snapToGrid w:val="0"/>
                <w:color w:val="auto"/>
                <w:szCs w:val="22"/>
                <w:lang w:val="zh-CN"/>
              </w:rPr>
            </w:pPr>
            <w:r>
              <w:rPr>
                <w:rFonts w:hint="eastAsia"/>
                <w:snapToGrid w:val="0"/>
                <w:color w:val="auto"/>
                <w:szCs w:val="22"/>
                <w:lang w:val="zh-CN"/>
              </w:rPr>
              <w:t>噪声排放</w:t>
            </w:r>
          </w:p>
        </w:tc>
        <w:tc>
          <w:tcPr>
            <w:tcW w:w="383" w:type="pct"/>
            <w:vMerge w:val="restart"/>
            <w:vAlign w:val="center"/>
          </w:tcPr>
          <w:p w14:paraId="38FF6B13">
            <w:pPr>
              <w:adjustRightInd w:val="0"/>
              <w:snapToGrid w:val="0"/>
              <w:jc w:val="center"/>
              <w:rPr>
                <w:snapToGrid w:val="0"/>
                <w:color w:val="auto"/>
                <w:szCs w:val="22"/>
                <w:lang w:val="zh-CN"/>
              </w:rPr>
            </w:pPr>
            <w:r>
              <w:rPr>
                <w:rFonts w:hint="eastAsia"/>
                <w:snapToGrid w:val="0"/>
                <w:color w:val="auto"/>
                <w:szCs w:val="22"/>
                <w:lang w:val="zh-CN"/>
              </w:rPr>
              <w:t>持续时间</w:t>
            </w:r>
            <w:r>
              <w:rPr>
                <w:snapToGrid w:val="0"/>
                <w:color w:val="auto"/>
                <w:szCs w:val="22"/>
                <w:lang w:val="zh-CN"/>
              </w:rPr>
              <w:t>/h</w:t>
            </w:r>
          </w:p>
        </w:tc>
      </w:tr>
      <w:tr w14:paraId="0D4F12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256" w:type="pct"/>
            <w:vMerge w:val="continue"/>
            <w:vAlign w:val="center"/>
          </w:tcPr>
          <w:p w14:paraId="713C0FF8">
            <w:pPr>
              <w:widowControl/>
              <w:adjustRightInd w:val="0"/>
              <w:snapToGrid w:val="0"/>
              <w:jc w:val="center"/>
              <w:rPr>
                <w:snapToGrid w:val="0"/>
                <w:color w:val="auto"/>
                <w:szCs w:val="22"/>
                <w:lang w:val="zh-CN"/>
              </w:rPr>
            </w:pPr>
          </w:p>
        </w:tc>
        <w:tc>
          <w:tcPr>
            <w:tcW w:w="335" w:type="pct"/>
            <w:vMerge w:val="continue"/>
            <w:vAlign w:val="center"/>
          </w:tcPr>
          <w:p w14:paraId="3426DF30">
            <w:pPr>
              <w:widowControl/>
              <w:adjustRightInd w:val="0"/>
              <w:snapToGrid w:val="0"/>
              <w:jc w:val="center"/>
              <w:rPr>
                <w:snapToGrid w:val="0"/>
                <w:color w:val="auto"/>
                <w:szCs w:val="22"/>
                <w:lang w:val="zh-CN"/>
              </w:rPr>
            </w:pPr>
          </w:p>
        </w:tc>
        <w:tc>
          <w:tcPr>
            <w:tcW w:w="331" w:type="pct"/>
            <w:vMerge w:val="continue"/>
            <w:vAlign w:val="center"/>
          </w:tcPr>
          <w:p w14:paraId="6D53B0AF">
            <w:pPr>
              <w:widowControl/>
              <w:adjustRightInd w:val="0"/>
              <w:snapToGrid w:val="0"/>
              <w:jc w:val="center"/>
              <w:rPr>
                <w:snapToGrid w:val="0"/>
                <w:color w:val="auto"/>
                <w:szCs w:val="22"/>
                <w:lang w:val="zh-CN"/>
              </w:rPr>
            </w:pPr>
          </w:p>
        </w:tc>
        <w:tc>
          <w:tcPr>
            <w:tcW w:w="277" w:type="pct"/>
            <w:vMerge w:val="continue"/>
            <w:vAlign w:val="center"/>
          </w:tcPr>
          <w:p w14:paraId="0B42DBD0">
            <w:pPr>
              <w:widowControl/>
              <w:adjustRightInd w:val="0"/>
              <w:snapToGrid w:val="0"/>
              <w:jc w:val="center"/>
              <w:rPr>
                <w:snapToGrid w:val="0"/>
                <w:color w:val="auto"/>
                <w:szCs w:val="22"/>
                <w:lang w:val="zh-CN"/>
              </w:rPr>
            </w:pPr>
          </w:p>
        </w:tc>
        <w:tc>
          <w:tcPr>
            <w:tcW w:w="341" w:type="pct"/>
            <w:vMerge w:val="continue"/>
            <w:vAlign w:val="center"/>
          </w:tcPr>
          <w:p w14:paraId="6B55E75F">
            <w:pPr>
              <w:widowControl/>
              <w:adjustRightInd w:val="0"/>
              <w:snapToGrid w:val="0"/>
              <w:jc w:val="center"/>
              <w:rPr>
                <w:snapToGrid w:val="0"/>
                <w:color w:val="auto"/>
                <w:szCs w:val="22"/>
                <w:lang w:val="zh-CN"/>
              </w:rPr>
            </w:pPr>
          </w:p>
        </w:tc>
        <w:tc>
          <w:tcPr>
            <w:tcW w:w="321" w:type="pct"/>
            <w:vAlign w:val="center"/>
          </w:tcPr>
          <w:p w14:paraId="4BC1A537">
            <w:pPr>
              <w:adjustRightInd w:val="0"/>
              <w:snapToGrid w:val="0"/>
              <w:jc w:val="center"/>
              <w:rPr>
                <w:snapToGrid w:val="0"/>
                <w:color w:val="auto"/>
                <w:szCs w:val="22"/>
                <w:lang w:val="zh-CN"/>
              </w:rPr>
            </w:pPr>
            <w:r>
              <w:rPr>
                <w:rFonts w:hint="eastAsia"/>
                <w:snapToGrid w:val="0"/>
                <w:color w:val="auto"/>
                <w:szCs w:val="22"/>
                <w:lang w:val="zh-CN"/>
              </w:rPr>
              <w:t>核算方法</w:t>
            </w:r>
          </w:p>
        </w:tc>
        <w:tc>
          <w:tcPr>
            <w:tcW w:w="454" w:type="pct"/>
            <w:vAlign w:val="center"/>
          </w:tcPr>
          <w:p w14:paraId="1583F3A6">
            <w:pPr>
              <w:adjustRightInd w:val="0"/>
              <w:snapToGrid w:val="0"/>
              <w:jc w:val="center"/>
              <w:rPr>
                <w:snapToGrid w:val="0"/>
                <w:color w:val="auto"/>
                <w:szCs w:val="22"/>
                <w:lang w:val="zh-CN"/>
              </w:rPr>
            </w:pPr>
            <w:r>
              <w:rPr>
                <w:rFonts w:hint="eastAsia"/>
                <w:snapToGrid w:val="0"/>
                <w:color w:val="auto"/>
                <w:szCs w:val="22"/>
                <w:lang w:val="zh-CN"/>
              </w:rPr>
              <w:t>声功率级</w:t>
            </w:r>
            <w:r>
              <w:rPr>
                <w:snapToGrid w:val="0"/>
                <w:color w:val="auto"/>
                <w:szCs w:val="22"/>
                <w:lang w:val="zh-CN"/>
              </w:rPr>
              <w:t>dB(A)</w:t>
            </w:r>
          </w:p>
        </w:tc>
        <w:tc>
          <w:tcPr>
            <w:tcW w:w="1028" w:type="pct"/>
            <w:vAlign w:val="center"/>
          </w:tcPr>
          <w:p w14:paraId="149729CB">
            <w:pPr>
              <w:adjustRightInd w:val="0"/>
              <w:snapToGrid w:val="0"/>
              <w:jc w:val="center"/>
              <w:rPr>
                <w:snapToGrid w:val="0"/>
                <w:color w:val="auto"/>
                <w:szCs w:val="21"/>
                <w:lang w:val="zh-CN"/>
              </w:rPr>
            </w:pPr>
            <w:r>
              <w:rPr>
                <w:rFonts w:hint="eastAsia"/>
                <w:snapToGrid w:val="0"/>
                <w:color w:val="auto"/>
                <w:szCs w:val="21"/>
                <w:lang w:val="zh-CN"/>
              </w:rPr>
              <w:t>工艺</w:t>
            </w:r>
          </w:p>
        </w:tc>
        <w:tc>
          <w:tcPr>
            <w:tcW w:w="453" w:type="pct"/>
            <w:vAlign w:val="center"/>
          </w:tcPr>
          <w:p w14:paraId="37B3F6A3">
            <w:pPr>
              <w:adjustRightInd w:val="0"/>
              <w:snapToGrid w:val="0"/>
              <w:jc w:val="center"/>
              <w:rPr>
                <w:snapToGrid w:val="0"/>
                <w:color w:val="auto"/>
                <w:szCs w:val="21"/>
                <w:lang w:val="zh-CN"/>
              </w:rPr>
            </w:pPr>
            <w:r>
              <w:rPr>
                <w:rFonts w:hint="eastAsia"/>
                <w:snapToGrid w:val="0"/>
                <w:color w:val="auto"/>
                <w:szCs w:val="21"/>
                <w:lang w:val="zh-CN"/>
              </w:rPr>
              <w:t>降噪效果</w:t>
            </w:r>
            <w:r>
              <w:rPr>
                <w:snapToGrid w:val="0"/>
                <w:color w:val="auto"/>
                <w:szCs w:val="21"/>
                <w:lang w:val="zh-CN"/>
              </w:rPr>
              <w:t>dB(A)</w:t>
            </w:r>
          </w:p>
        </w:tc>
        <w:tc>
          <w:tcPr>
            <w:tcW w:w="368" w:type="pct"/>
            <w:vAlign w:val="center"/>
          </w:tcPr>
          <w:p w14:paraId="04EF9E6E">
            <w:pPr>
              <w:adjustRightInd w:val="0"/>
              <w:snapToGrid w:val="0"/>
              <w:jc w:val="center"/>
              <w:rPr>
                <w:snapToGrid w:val="0"/>
                <w:color w:val="auto"/>
                <w:szCs w:val="21"/>
                <w:lang w:val="zh-CN"/>
              </w:rPr>
            </w:pPr>
            <w:r>
              <w:rPr>
                <w:rFonts w:hint="eastAsia"/>
                <w:snapToGrid w:val="0"/>
                <w:color w:val="auto"/>
                <w:szCs w:val="21"/>
                <w:lang w:val="zh-CN"/>
              </w:rPr>
              <w:t>核算方法</w:t>
            </w:r>
          </w:p>
        </w:tc>
        <w:tc>
          <w:tcPr>
            <w:tcW w:w="453" w:type="pct"/>
            <w:vAlign w:val="center"/>
          </w:tcPr>
          <w:p w14:paraId="54A5491C">
            <w:pPr>
              <w:adjustRightInd w:val="0"/>
              <w:snapToGrid w:val="0"/>
              <w:jc w:val="center"/>
              <w:rPr>
                <w:snapToGrid w:val="0"/>
                <w:color w:val="auto"/>
                <w:szCs w:val="21"/>
                <w:lang w:val="zh-CN"/>
              </w:rPr>
            </w:pPr>
            <w:r>
              <w:rPr>
                <w:rFonts w:hint="eastAsia"/>
                <w:snapToGrid w:val="0"/>
                <w:color w:val="auto"/>
                <w:szCs w:val="21"/>
                <w:lang w:val="zh-CN"/>
              </w:rPr>
              <w:t>噪声值</w:t>
            </w:r>
          </w:p>
          <w:p w14:paraId="0D1C9517">
            <w:pPr>
              <w:adjustRightInd w:val="0"/>
              <w:snapToGrid w:val="0"/>
              <w:jc w:val="center"/>
              <w:rPr>
                <w:snapToGrid w:val="0"/>
                <w:color w:val="auto"/>
                <w:szCs w:val="21"/>
                <w:lang w:val="zh-CN"/>
              </w:rPr>
            </w:pPr>
            <w:r>
              <w:rPr>
                <w:snapToGrid w:val="0"/>
                <w:color w:val="auto"/>
                <w:szCs w:val="21"/>
                <w:lang w:val="zh-CN"/>
              </w:rPr>
              <w:t>dB(A)</w:t>
            </w:r>
          </w:p>
        </w:tc>
        <w:tc>
          <w:tcPr>
            <w:tcW w:w="383" w:type="pct"/>
            <w:vMerge w:val="continue"/>
            <w:vAlign w:val="center"/>
          </w:tcPr>
          <w:p w14:paraId="555ABB13">
            <w:pPr>
              <w:widowControl/>
              <w:adjustRightInd w:val="0"/>
              <w:snapToGrid w:val="0"/>
              <w:jc w:val="center"/>
              <w:rPr>
                <w:snapToGrid w:val="0"/>
                <w:color w:val="auto"/>
                <w:szCs w:val="22"/>
                <w:lang w:val="zh-CN"/>
              </w:rPr>
            </w:pPr>
          </w:p>
        </w:tc>
      </w:tr>
      <w:tr w14:paraId="387862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6" w:type="pct"/>
            <w:vAlign w:val="center"/>
          </w:tcPr>
          <w:p w14:paraId="5D25DE76">
            <w:pPr>
              <w:adjustRightInd w:val="0"/>
              <w:snapToGrid w:val="0"/>
              <w:jc w:val="center"/>
              <w:rPr>
                <w:snapToGrid w:val="0"/>
                <w:color w:val="auto"/>
                <w:szCs w:val="22"/>
                <w:lang w:val="zh-CN"/>
              </w:rPr>
            </w:pPr>
            <w:r>
              <w:rPr>
                <w:snapToGrid w:val="0"/>
                <w:color w:val="auto"/>
                <w:szCs w:val="22"/>
                <w:lang w:val="zh-CN"/>
              </w:rPr>
              <w:t>1</w:t>
            </w:r>
          </w:p>
        </w:tc>
        <w:tc>
          <w:tcPr>
            <w:tcW w:w="335" w:type="pct"/>
            <w:vAlign w:val="center"/>
          </w:tcPr>
          <w:p w14:paraId="397DBA47">
            <w:pPr>
              <w:adjustRightInd w:val="0"/>
              <w:snapToGrid w:val="0"/>
              <w:jc w:val="center"/>
              <w:rPr>
                <w:snapToGrid w:val="0"/>
                <w:color w:val="auto"/>
                <w:szCs w:val="22"/>
                <w:lang w:val="zh-CN"/>
              </w:rPr>
            </w:pPr>
            <w:r>
              <w:rPr>
                <w:snapToGrid w:val="0"/>
                <w:color w:val="auto"/>
                <w:szCs w:val="21"/>
                <w:lang w:val="zh-CN"/>
              </w:rPr>
              <w:t>推土机</w:t>
            </w:r>
          </w:p>
        </w:tc>
        <w:tc>
          <w:tcPr>
            <w:tcW w:w="331" w:type="pct"/>
            <w:vAlign w:val="center"/>
          </w:tcPr>
          <w:p w14:paraId="3BBC9DB5">
            <w:pPr>
              <w:adjustRightInd w:val="0"/>
              <w:snapToGrid w:val="0"/>
              <w:jc w:val="center"/>
              <w:rPr>
                <w:snapToGrid w:val="0"/>
                <w:color w:val="auto"/>
                <w:szCs w:val="22"/>
                <w:lang w:val="zh-CN"/>
              </w:rPr>
            </w:pPr>
            <w:r>
              <w:rPr>
                <w:rFonts w:hint="eastAsia"/>
                <w:snapToGrid w:val="0"/>
                <w:color w:val="auto"/>
                <w:szCs w:val="22"/>
                <w:lang w:val="zh-CN"/>
              </w:rPr>
              <w:t>回填</w:t>
            </w:r>
            <w:r>
              <w:rPr>
                <w:snapToGrid w:val="0"/>
                <w:color w:val="auto"/>
                <w:szCs w:val="22"/>
                <w:lang w:val="zh-CN"/>
              </w:rPr>
              <w:t>区</w:t>
            </w:r>
          </w:p>
        </w:tc>
        <w:tc>
          <w:tcPr>
            <w:tcW w:w="277" w:type="pct"/>
            <w:vAlign w:val="center"/>
          </w:tcPr>
          <w:p w14:paraId="05EF1DF1">
            <w:pPr>
              <w:adjustRightInd w:val="0"/>
              <w:snapToGrid w:val="0"/>
              <w:jc w:val="center"/>
              <w:rPr>
                <w:snapToGrid w:val="0"/>
                <w:color w:val="auto"/>
                <w:kern w:val="0"/>
                <w:szCs w:val="22"/>
                <w:lang w:val="zh-CN"/>
              </w:rPr>
            </w:pPr>
            <w:r>
              <w:rPr>
                <w:rFonts w:hint="eastAsia"/>
                <w:snapToGrid w:val="0"/>
                <w:color w:val="auto"/>
                <w:kern w:val="0"/>
                <w:szCs w:val="22"/>
                <w:lang w:val="zh-CN"/>
              </w:rPr>
              <w:t>频发</w:t>
            </w:r>
          </w:p>
        </w:tc>
        <w:tc>
          <w:tcPr>
            <w:tcW w:w="341" w:type="pct"/>
            <w:vAlign w:val="center"/>
          </w:tcPr>
          <w:p w14:paraId="54C578EA">
            <w:pPr>
              <w:adjustRightInd w:val="0"/>
              <w:snapToGrid w:val="0"/>
              <w:jc w:val="center"/>
              <w:rPr>
                <w:snapToGrid w:val="0"/>
                <w:color w:val="auto"/>
                <w:szCs w:val="22"/>
                <w:lang w:val="zh-CN"/>
              </w:rPr>
            </w:pPr>
            <w:r>
              <w:rPr>
                <w:snapToGrid w:val="0"/>
                <w:color w:val="auto"/>
                <w:szCs w:val="21"/>
                <w:lang w:val="zh-CN"/>
              </w:rPr>
              <w:t>1</w:t>
            </w:r>
          </w:p>
        </w:tc>
        <w:tc>
          <w:tcPr>
            <w:tcW w:w="321" w:type="pct"/>
            <w:vAlign w:val="center"/>
          </w:tcPr>
          <w:p w14:paraId="1BB6DC67">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4" w:type="pct"/>
            <w:vAlign w:val="center"/>
          </w:tcPr>
          <w:p w14:paraId="4D1A82D4">
            <w:pPr>
              <w:adjustRightInd w:val="0"/>
              <w:snapToGrid w:val="0"/>
              <w:jc w:val="center"/>
              <w:rPr>
                <w:snapToGrid w:val="0"/>
                <w:color w:val="auto"/>
                <w:szCs w:val="22"/>
                <w:lang w:val="zh-CN"/>
              </w:rPr>
            </w:pPr>
            <w:r>
              <w:rPr>
                <w:snapToGrid w:val="0"/>
                <w:color w:val="auto"/>
                <w:szCs w:val="22"/>
                <w:lang w:val="zh-CN"/>
              </w:rPr>
              <w:t>86</w:t>
            </w:r>
          </w:p>
        </w:tc>
        <w:tc>
          <w:tcPr>
            <w:tcW w:w="1028" w:type="pct"/>
            <w:vAlign w:val="center"/>
          </w:tcPr>
          <w:p w14:paraId="4D04CAAA">
            <w:pPr>
              <w:adjustRightInd w:val="0"/>
              <w:snapToGrid w:val="0"/>
              <w:rPr>
                <w:snapToGrid w:val="0"/>
                <w:color w:val="auto"/>
                <w:szCs w:val="22"/>
                <w:lang w:val="zh-CN"/>
              </w:rPr>
            </w:pPr>
            <w:r>
              <w:rPr>
                <w:rFonts w:hint="eastAsia"/>
                <w:snapToGrid w:val="0"/>
                <w:color w:val="auto"/>
                <w:szCs w:val="22"/>
                <w:lang w:val="zh-CN"/>
              </w:rPr>
              <w:t>低噪声设备，加强车辆维护保养，作业时围挡</w:t>
            </w:r>
          </w:p>
        </w:tc>
        <w:tc>
          <w:tcPr>
            <w:tcW w:w="453" w:type="pct"/>
            <w:vAlign w:val="center"/>
          </w:tcPr>
          <w:p w14:paraId="0D925227">
            <w:pPr>
              <w:adjustRightInd w:val="0"/>
              <w:snapToGrid w:val="0"/>
              <w:jc w:val="center"/>
              <w:rPr>
                <w:snapToGrid w:val="0"/>
                <w:color w:val="auto"/>
                <w:szCs w:val="22"/>
                <w:lang w:val="zh-CN"/>
              </w:rPr>
            </w:pPr>
            <w:r>
              <w:rPr>
                <w:snapToGrid w:val="0"/>
                <w:color w:val="auto"/>
                <w:szCs w:val="22"/>
                <w:lang w:val="zh-CN"/>
              </w:rPr>
              <w:t>20</w:t>
            </w:r>
          </w:p>
        </w:tc>
        <w:tc>
          <w:tcPr>
            <w:tcW w:w="368" w:type="pct"/>
            <w:vAlign w:val="center"/>
          </w:tcPr>
          <w:p w14:paraId="609F854F">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3" w:type="pct"/>
            <w:vAlign w:val="center"/>
          </w:tcPr>
          <w:p w14:paraId="6BD871CB">
            <w:pPr>
              <w:adjustRightInd w:val="0"/>
              <w:snapToGrid w:val="0"/>
              <w:jc w:val="center"/>
              <w:rPr>
                <w:snapToGrid w:val="0"/>
                <w:color w:val="auto"/>
                <w:szCs w:val="22"/>
                <w:lang w:val="zh-CN"/>
              </w:rPr>
            </w:pPr>
            <w:r>
              <w:rPr>
                <w:snapToGrid w:val="0"/>
                <w:color w:val="auto"/>
                <w:szCs w:val="22"/>
                <w:lang w:val="zh-CN"/>
              </w:rPr>
              <w:t>66</w:t>
            </w:r>
          </w:p>
        </w:tc>
        <w:tc>
          <w:tcPr>
            <w:tcW w:w="383" w:type="pct"/>
            <w:vAlign w:val="center"/>
          </w:tcPr>
          <w:p w14:paraId="407C4BE1">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4356</w:t>
            </w:r>
          </w:p>
        </w:tc>
      </w:tr>
      <w:tr w14:paraId="14080C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6" w:type="pct"/>
            <w:vAlign w:val="center"/>
          </w:tcPr>
          <w:p w14:paraId="0C3733FD">
            <w:pPr>
              <w:adjustRightInd w:val="0"/>
              <w:snapToGrid w:val="0"/>
              <w:jc w:val="center"/>
              <w:rPr>
                <w:snapToGrid w:val="0"/>
                <w:color w:val="auto"/>
                <w:szCs w:val="22"/>
                <w:lang w:val="zh-CN"/>
              </w:rPr>
            </w:pPr>
            <w:r>
              <w:rPr>
                <w:snapToGrid w:val="0"/>
                <w:color w:val="auto"/>
                <w:szCs w:val="22"/>
                <w:lang w:val="zh-CN"/>
              </w:rPr>
              <w:t>2</w:t>
            </w:r>
          </w:p>
        </w:tc>
        <w:tc>
          <w:tcPr>
            <w:tcW w:w="335" w:type="pct"/>
            <w:vAlign w:val="center"/>
          </w:tcPr>
          <w:p w14:paraId="2B6E0AED">
            <w:pPr>
              <w:adjustRightInd w:val="0"/>
              <w:snapToGrid w:val="0"/>
              <w:jc w:val="center"/>
              <w:rPr>
                <w:snapToGrid w:val="0"/>
                <w:color w:val="auto"/>
                <w:szCs w:val="22"/>
                <w:lang w:val="zh-CN"/>
              </w:rPr>
            </w:pPr>
            <w:r>
              <w:rPr>
                <w:snapToGrid w:val="0"/>
                <w:color w:val="auto"/>
                <w:szCs w:val="21"/>
                <w:lang w:val="zh-CN"/>
              </w:rPr>
              <w:t>压</w:t>
            </w:r>
            <w:r>
              <w:rPr>
                <w:rFonts w:hint="eastAsia"/>
                <w:snapToGrid w:val="0"/>
                <w:color w:val="auto"/>
                <w:szCs w:val="21"/>
                <w:lang w:val="zh-CN"/>
              </w:rPr>
              <w:t>实</w:t>
            </w:r>
            <w:r>
              <w:rPr>
                <w:snapToGrid w:val="0"/>
                <w:color w:val="auto"/>
                <w:szCs w:val="21"/>
                <w:lang w:val="zh-CN"/>
              </w:rPr>
              <w:t>机</w:t>
            </w:r>
          </w:p>
        </w:tc>
        <w:tc>
          <w:tcPr>
            <w:tcW w:w="331" w:type="pct"/>
            <w:vAlign w:val="center"/>
          </w:tcPr>
          <w:p w14:paraId="15F864E3">
            <w:pPr>
              <w:adjustRightInd w:val="0"/>
              <w:snapToGrid w:val="0"/>
              <w:jc w:val="center"/>
              <w:rPr>
                <w:snapToGrid w:val="0"/>
                <w:color w:val="auto"/>
                <w:szCs w:val="22"/>
                <w:lang w:val="zh-CN"/>
              </w:rPr>
            </w:pPr>
            <w:r>
              <w:rPr>
                <w:rFonts w:hint="eastAsia"/>
                <w:snapToGrid w:val="0"/>
                <w:color w:val="auto"/>
                <w:szCs w:val="22"/>
                <w:lang w:val="zh-CN"/>
              </w:rPr>
              <w:t>回填</w:t>
            </w:r>
            <w:r>
              <w:rPr>
                <w:snapToGrid w:val="0"/>
                <w:color w:val="auto"/>
                <w:szCs w:val="22"/>
                <w:lang w:val="zh-CN"/>
              </w:rPr>
              <w:t>区</w:t>
            </w:r>
          </w:p>
        </w:tc>
        <w:tc>
          <w:tcPr>
            <w:tcW w:w="277" w:type="pct"/>
            <w:vAlign w:val="center"/>
          </w:tcPr>
          <w:p w14:paraId="3A0012D2">
            <w:pPr>
              <w:adjustRightInd w:val="0"/>
              <w:snapToGrid w:val="0"/>
              <w:jc w:val="center"/>
              <w:rPr>
                <w:snapToGrid w:val="0"/>
                <w:color w:val="auto"/>
                <w:szCs w:val="22"/>
                <w:lang w:val="zh-CN"/>
              </w:rPr>
            </w:pPr>
            <w:r>
              <w:rPr>
                <w:rFonts w:hint="eastAsia"/>
                <w:snapToGrid w:val="0"/>
                <w:color w:val="auto"/>
                <w:kern w:val="0"/>
                <w:szCs w:val="22"/>
                <w:lang w:val="zh-CN"/>
              </w:rPr>
              <w:t>频发</w:t>
            </w:r>
          </w:p>
        </w:tc>
        <w:tc>
          <w:tcPr>
            <w:tcW w:w="341" w:type="pct"/>
            <w:vAlign w:val="center"/>
          </w:tcPr>
          <w:p w14:paraId="0B84EE91">
            <w:pPr>
              <w:adjustRightInd w:val="0"/>
              <w:snapToGrid w:val="0"/>
              <w:jc w:val="center"/>
              <w:rPr>
                <w:snapToGrid w:val="0"/>
                <w:color w:val="auto"/>
                <w:szCs w:val="22"/>
                <w:lang w:val="zh-CN"/>
              </w:rPr>
            </w:pPr>
            <w:r>
              <w:rPr>
                <w:snapToGrid w:val="0"/>
                <w:color w:val="auto"/>
                <w:szCs w:val="21"/>
                <w:lang w:val="zh-CN"/>
              </w:rPr>
              <w:t>1</w:t>
            </w:r>
          </w:p>
        </w:tc>
        <w:tc>
          <w:tcPr>
            <w:tcW w:w="321" w:type="pct"/>
            <w:vAlign w:val="center"/>
          </w:tcPr>
          <w:p w14:paraId="6BA95959">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4" w:type="pct"/>
            <w:vAlign w:val="center"/>
          </w:tcPr>
          <w:p w14:paraId="6F284ED9">
            <w:pPr>
              <w:adjustRightInd w:val="0"/>
              <w:snapToGrid w:val="0"/>
              <w:jc w:val="center"/>
              <w:rPr>
                <w:snapToGrid w:val="0"/>
                <w:color w:val="auto"/>
                <w:szCs w:val="22"/>
                <w:lang w:val="zh-CN"/>
              </w:rPr>
            </w:pPr>
            <w:r>
              <w:rPr>
                <w:snapToGrid w:val="0"/>
                <w:color w:val="auto"/>
                <w:szCs w:val="22"/>
                <w:lang w:val="zh-CN"/>
              </w:rPr>
              <w:t>86</w:t>
            </w:r>
          </w:p>
        </w:tc>
        <w:tc>
          <w:tcPr>
            <w:tcW w:w="1028" w:type="pct"/>
            <w:vAlign w:val="center"/>
          </w:tcPr>
          <w:p w14:paraId="4A60C6CB">
            <w:pPr>
              <w:adjustRightInd w:val="0"/>
              <w:snapToGrid w:val="0"/>
              <w:rPr>
                <w:snapToGrid w:val="0"/>
                <w:color w:val="auto"/>
                <w:szCs w:val="22"/>
                <w:lang w:val="zh-CN"/>
              </w:rPr>
            </w:pPr>
            <w:r>
              <w:rPr>
                <w:rFonts w:hint="eastAsia"/>
                <w:snapToGrid w:val="0"/>
                <w:color w:val="auto"/>
                <w:szCs w:val="22"/>
                <w:lang w:val="zh-CN"/>
              </w:rPr>
              <w:t>低噪声设备，加强车辆维护保养，作业时围挡</w:t>
            </w:r>
          </w:p>
        </w:tc>
        <w:tc>
          <w:tcPr>
            <w:tcW w:w="453" w:type="pct"/>
            <w:vAlign w:val="center"/>
          </w:tcPr>
          <w:p w14:paraId="313BE042">
            <w:pPr>
              <w:adjustRightInd w:val="0"/>
              <w:snapToGrid w:val="0"/>
              <w:jc w:val="center"/>
              <w:rPr>
                <w:snapToGrid w:val="0"/>
                <w:color w:val="auto"/>
                <w:szCs w:val="22"/>
                <w:lang w:val="zh-CN"/>
              </w:rPr>
            </w:pPr>
            <w:r>
              <w:rPr>
                <w:snapToGrid w:val="0"/>
                <w:color w:val="auto"/>
                <w:szCs w:val="22"/>
                <w:lang w:val="zh-CN"/>
              </w:rPr>
              <w:t>20</w:t>
            </w:r>
          </w:p>
        </w:tc>
        <w:tc>
          <w:tcPr>
            <w:tcW w:w="368" w:type="pct"/>
            <w:vAlign w:val="center"/>
          </w:tcPr>
          <w:p w14:paraId="0540B843">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3" w:type="pct"/>
            <w:vAlign w:val="center"/>
          </w:tcPr>
          <w:p w14:paraId="3B8FF81B">
            <w:pPr>
              <w:adjustRightInd w:val="0"/>
              <w:snapToGrid w:val="0"/>
              <w:jc w:val="center"/>
              <w:rPr>
                <w:snapToGrid w:val="0"/>
                <w:color w:val="auto"/>
                <w:szCs w:val="22"/>
                <w:lang w:val="zh-CN"/>
              </w:rPr>
            </w:pPr>
            <w:r>
              <w:rPr>
                <w:snapToGrid w:val="0"/>
                <w:color w:val="auto"/>
                <w:szCs w:val="22"/>
                <w:lang w:val="zh-CN"/>
              </w:rPr>
              <w:t>66</w:t>
            </w:r>
          </w:p>
        </w:tc>
        <w:tc>
          <w:tcPr>
            <w:tcW w:w="636" w:type="dxa"/>
            <w:vAlign w:val="center"/>
          </w:tcPr>
          <w:p w14:paraId="5184A8F1">
            <w:pPr>
              <w:adjustRightInd w:val="0"/>
              <w:snapToGrid w:val="0"/>
              <w:jc w:val="center"/>
              <w:rPr>
                <w:snapToGrid w:val="0"/>
                <w:color w:val="auto"/>
                <w:szCs w:val="22"/>
                <w:lang w:val="zh-CN"/>
              </w:rPr>
            </w:pPr>
            <w:r>
              <w:rPr>
                <w:rFonts w:hint="eastAsia"/>
                <w:snapToGrid w:val="0"/>
                <w:color w:val="auto"/>
                <w:szCs w:val="22"/>
                <w:lang w:val="en-US" w:eastAsia="zh-CN"/>
              </w:rPr>
              <w:t>4356</w:t>
            </w:r>
          </w:p>
        </w:tc>
      </w:tr>
      <w:tr w14:paraId="7A7FE9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6" w:type="pct"/>
            <w:vAlign w:val="center"/>
          </w:tcPr>
          <w:p w14:paraId="74F69402">
            <w:pPr>
              <w:adjustRightInd w:val="0"/>
              <w:snapToGrid w:val="0"/>
              <w:jc w:val="center"/>
              <w:rPr>
                <w:snapToGrid w:val="0"/>
                <w:color w:val="auto"/>
                <w:szCs w:val="22"/>
                <w:lang w:val="zh-CN"/>
              </w:rPr>
            </w:pPr>
            <w:r>
              <w:rPr>
                <w:snapToGrid w:val="0"/>
                <w:color w:val="auto"/>
                <w:szCs w:val="22"/>
                <w:lang w:val="zh-CN"/>
              </w:rPr>
              <w:t>3</w:t>
            </w:r>
          </w:p>
        </w:tc>
        <w:tc>
          <w:tcPr>
            <w:tcW w:w="335" w:type="pct"/>
            <w:vAlign w:val="center"/>
          </w:tcPr>
          <w:p w14:paraId="615339BE">
            <w:pPr>
              <w:adjustRightInd w:val="0"/>
              <w:snapToGrid w:val="0"/>
              <w:jc w:val="center"/>
              <w:rPr>
                <w:snapToGrid w:val="0"/>
                <w:color w:val="auto"/>
                <w:szCs w:val="22"/>
                <w:lang w:val="zh-CN"/>
              </w:rPr>
            </w:pPr>
            <w:r>
              <w:rPr>
                <w:rFonts w:hint="eastAsia"/>
                <w:snapToGrid w:val="0"/>
                <w:color w:val="auto"/>
                <w:szCs w:val="21"/>
                <w:lang w:val="zh-CN"/>
              </w:rPr>
              <w:t>铲车</w:t>
            </w:r>
          </w:p>
        </w:tc>
        <w:tc>
          <w:tcPr>
            <w:tcW w:w="331" w:type="pct"/>
            <w:vAlign w:val="center"/>
          </w:tcPr>
          <w:p w14:paraId="10814510">
            <w:pPr>
              <w:adjustRightInd w:val="0"/>
              <w:snapToGrid w:val="0"/>
              <w:jc w:val="center"/>
              <w:rPr>
                <w:snapToGrid w:val="0"/>
                <w:color w:val="auto"/>
                <w:szCs w:val="22"/>
                <w:lang w:val="zh-CN"/>
              </w:rPr>
            </w:pPr>
            <w:r>
              <w:rPr>
                <w:rFonts w:hint="eastAsia"/>
                <w:snapToGrid w:val="0"/>
                <w:color w:val="auto"/>
                <w:szCs w:val="22"/>
                <w:lang w:val="zh-CN"/>
              </w:rPr>
              <w:t>回填</w:t>
            </w:r>
            <w:r>
              <w:rPr>
                <w:snapToGrid w:val="0"/>
                <w:color w:val="auto"/>
                <w:szCs w:val="22"/>
                <w:lang w:val="zh-CN"/>
              </w:rPr>
              <w:t>区</w:t>
            </w:r>
          </w:p>
        </w:tc>
        <w:tc>
          <w:tcPr>
            <w:tcW w:w="277" w:type="pct"/>
            <w:vAlign w:val="center"/>
          </w:tcPr>
          <w:p w14:paraId="5851B3EC">
            <w:pPr>
              <w:adjustRightInd w:val="0"/>
              <w:snapToGrid w:val="0"/>
              <w:jc w:val="center"/>
              <w:rPr>
                <w:snapToGrid w:val="0"/>
                <w:color w:val="auto"/>
                <w:szCs w:val="22"/>
                <w:lang w:val="zh-CN"/>
              </w:rPr>
            </w:pPr>
            <w:r>
              <w:rPr>
                <w:rFonts w:hint="eastAsia"/>
                <w:snapToGrid w:val="0"/>
                <w:color w:val="auto"/>
                <w:kern w:val="0"/>
                <w:szCs w:val="22"/>
                <w:lang w:val="zh-CN"/>
              </w:rPr>
              <w:t>频发</w:t>
            </w:r>
          </w:p>
        </w:tc>
        <w:tc>
          <w:tcPr>
            <w:tcW w:w="341" w:type="pct"/>
            <w:vAlign w:val="center"/>
          </w:tcPr>
          <w:p w14:paraId="2EB6B356">
            <w:pPr>
              <w:adjustRightInd w:val="0"/>
              <w:snapToGrid w:val="0"/>
              <w:jc w:val="center"/>
              <w:rPr>
                <w:snapToGrid w:val="0"/>
                <w:color w:val="auto"/>
                <w:szCs w:val="22"/>
                <w:lang w:val="zh-CN"/>
              </w:rPr>
            </w:pPr>
            <w:r>
              <w:rPr>
                <w:snapToGrid w:val="0"/>
                <w:color w:val="auto"/>
                <w:szCs w:val="21"/>
                <w:lang w:val="zh-CN"/>
              </w:rPr>
              <w:t>1</w:t>
            </w:r>
          </w:p>
        </w:tc>
        <w:tc>
          <w:tcPr>
            <w:tcW w:w="321" w:type="pct"/>
            <w:vAlign w:val="center"/>
          </w:tcPr>
          <w:p w14:paraId="0540B24F">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4" w:type="pct"/>
            <w:vAlign w:val="center"/>
          </w:tcPr>
          <w:p w14:paraId="5964FFAD">
            <w:pPr>
              <w:adjustRightInd w:val="0"/>
              <w:snapToGrid w:val="0"/>
              <w:jc w:val="center"/>
              <w:rPr>
                <w:snapToGrid w:val="0"/>
                <w:color w:val="auto"/>
                <w:szCs w:val="22"/>
                <w:lang w:val="zh-CN"/>
              </w:rPr>
            </w:pPr>
            <w:r>
              <w:rPr>
                <w:snapToGrid w:val="0"/>
                <w:color w:val="auto"/>
                <w:szCs w:val="22"/>
                <w:lang w:val="zh-CN"/>
              </w:rPr>
              <w:t>90</w:t>
            </w:r>
          </w:p>
        </w:tc>
        <w:tc>
          <w:tcPr>
            <w:tcW w:w="1028" w:type="pct"/>
            <w:vAlign w:val="center"/>
          </w:tcPr>
          <w:p w14:paraId="09C786DD">
            <w:pPr>
              <w:adjustRightInd w:val="0"/>
              <w:snapToGrid w:val="0"/>
              <w:rPr>
                <w:snapToGrid w:val="0"/>
                <w:color w:val="auto"/>
                <w:szCs w:val="22"/>
                <w:lang w:val="zh-CN"/>
              </w:rPr>
            </w:pPr>
            <w:r>
              <w:rPr>
                <w:rFonts w:hint="eastAsia"/>
                <w:snapToGrid w:val="0"/>
                <w:color w:val="auto"/>
                <w:szCs w:val="22"/>
                <w:lang w:val="zh-CN"/>
              </w:rPr>
              <w:t>低噪声设备，加强车辆维护保养，作业时围挡</w:t>
            </w:r>
          </w:p>
        </w:tc>
        <w:tc>
          <w:tcPr>
            <w:tcW w:w="453" w:type="pct"/>
            <w:vAlign w:val="center"/>
          </w:tcPr>
          <w:p w14:paraId="18BE7F8C">
            <w:pPr>
              <w:adjustRightInd w:val="0"/>
              <w:snapToGrid w:val="0"/>
              <w:jc w:val="center"/>
              <w:rPr>
                <w:snapToGrid w:val="0"/>
                <w:color w:val="auto"/>
                <w:szCs w:val="22"/>
                <w:lang w:val="zh-CN"/>
              </w:rPr>
            </w:pPr>
            <w:r>
              <w:rPr>
                <w:rFonts w:hint="eastAsia"/>
                <w:snapToGrid w:val="0"/>
                <w:color w:val="auto"/>
                <w:szCs w:val="22"/>
                <w:lang w:val="zh-CN"/>
              </w:rPr>
              <w:t>2</w:t>
            </w:r>
            <w:r>
              <w:rPr>
                <w:snapToGrid w:val="0"/>
                <w:color w:val="auto"/>
                <w:szCs w:val="22"/>
                <w:lang w:val="zh-CN"/>
              </w:rPr>
              <w:t>0</w:t>
            </w:r>
          </w:p>
        </w:tc>
        <w:tc>
          <w:tcPr>
            <w:tcW w:w="368" w:type="pct"/>
            <w:vAlign w:val="center"/>
          </w:tcPr>
          <w:p w14:paraId="3AEF7C56">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3" w:type="pct"/>
            <w:vAlign w:val="center"/>
          </w:tcPr>
          <w:p w14:paraId="3F4BDBB1">
            <w:pPr>
              <w:adjustRightInd w:val="0"/>
              <w:snapToGrid w:val="0"/>
              <w:jc w:val="center"/>
              <w:rPr>
                <w:snapToGrid w:val="0"/>
                <w:color w:val="auto"/>
                <w:szCs w:val="22"/>
                <w:lang w:val="zh-CN"/>
              </w:rPr>
            </w:pPr>
            <w:r>
              <w:rPr>
                <w:snapToGrid w:val="0"/>
                <w:color w:val="auto"/>
                <w:szCs w:val="22"/>
                <w:lang w:val="zh-CN"/>
              </w:rPr>
              <w:t>71</w:t>
            </w:r>
          </w:p>
        </w:tc>
        <w:tc>
          <w:tcPr>
            <w:tcW w:w="636" w:type="dxa"/>
            <w:vAlign w:val="center"/>
          </w:tcPr>
          <w:p w14:paraId="7538A182">
            <w:pPr>
              <w:adjustRightInd w:val="0"/>
              <w:snapToGrid w:val="0"/>
              <w:jc w:val="center"/>
              <w:rPr>
                <w:snapToGrid w:val="0"/>
                <w:color w:val="auto"/>
                <w:szCs w:val="22"/>
                <w:lang w:val="zh-CN"/>
              </w:rPr>
            </w:pPr>
            <w:r>
              <w:rPr>
                <w:rFonts w:hint="eastAsia"/>
                <w:snapToGrid w:val="0"/>
                <w:color w:val="auto"/>
                <w:szCs w:val="22"/>
                <w:lang w:val="en-US" w:eastAsia="zh-CN"/>
              </w:rPr>
              <w:t>4356</w:t>
            </w:r>
          </w:p>
        </w:tc>
      </w:tr>
      <w:tr w14:paraId="57B708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6" w:type="pct"/>
            <w:vAlign w:val="center"/>
          </w:tcPr>
          <w:p w14:paraId="50CFE217">
            <w:pPr>
              <w:adjustRightInd w:val="0"/>
              <w:snapToGrid w:val="0"/>
              <w:jc w:val="center"/>
              <w:rPr>
                <w:snapToGrid w:val="0"/>
                <w:color w:val="auto"/>
                <w:szCs w:val="22"/>
                <w:lang w:val="zh-CN"/>
              </w:rPr>
            </w:pPr>
            <w:r>
              <w:rPr>
                <w:snapToGrid w:val="0"/>
                <w:color w:val="auto"/>
                <w:szCs w:val="22"/>
                <w:lang w:val="zh-CN"/>
              </w:rPr>
              <w:t>4</w:t>
            </w:r>
          </w:p>
        </w:tc>
        <w:tc>
          <w:tcPr>
            <w:tcW w:w="335" w:type="pct"/>
            <w:vAlign w:val="center"/>
          </w:tcPr>
          <w:p w14:paraId="52931787">
            <w:pPr>
              <w:adjustRightInd w:val="0"/>
              <w:snapToGrid w:val="0"/>
              <w:jc w:val="center"/>
              <w:rPr>
                <w:snapToGrid w:val="0"/>
                <w:color w:val="auto"/>
                <w:szCs w:val="21"/>
                <w:lang w:val="zh-CN"/>
              </w:rPr>
            </w:pPr>
            <w:r>
              <w:rPr>
                <w:rFonts w:hint="eastAsia"/>
                <w:snapToGrid w:val="0"/>
                <w:color w:val="auto"/>
                <w:szCs w:val="21"/>
                <w:lang w:val="zh-CN"/>
              </w:rPr>
              <w:t>自卸翻斗车</w:t>
            </w:r>
          </w:p>
        </w:tc>
        <w:tc>
          <w:tcPr>
            <w:tcW w:w="331" w:type="pct"/>
            <w:vAlign w:val="center"/>
          </w:tcPr>
          <w:p w14:paraId="2EAB89BC">
            <w:pPr>
              <w:adjustRightInd w:val="0"/>
              <w:snapToGrid w:val="0"/>
              <w:jc w:val="center"/>
              <w:rPr>
                <w:snapToGrid w:val="0"/>
                <w:color w:val="auto"/>
                <w:szCs w:val="22"/>
                <w:lang w:val="zh-CN"/>
              </w:rPr>
            </w:pPr>
            <w:r>
              <w:rPr>
                <w:rFonts w:hint="eastAsia"/>
                <w:snapToGrid w:val="0"/>
                <w:color w:val="auto"/>
                <w:szCs w:val="22"/>
                <w:lang w:val="zh-CN"/>
              </w:rPr>
              <w:t>回填</w:t>
            </w:r>
            <w:r>
              <w:rPr>
                <w:snapToGrid w:val="0"/>
                <w:color w:val="auto"/>
                <w:szCs w:val="22"/>
                <w:lang w:val="zh-CN"/>
              </w:rPr>
              <w:t>区</w:t>
            </w:r>
          </w:p>
        </w:tc>
        <w:tc>
          <w:tcPr>
            <w:tcW w:w="277" w:type="pct"/>
            <w:vAlign w:val="center"/>
          </w:tcPr>
          <w:p w14:paraId="2039DDF4">
            <w:pPr>
              <w:adjustRightInd w:val="0"/>
              <w:snapToGrid w:val="0"/>
              <w:jc w:val="center"/>
              <w:rPr>
                <w:snapToGrid w:val="0"/>
                <w:color w:val="auto"/>
                <w:kern w:val="0"/>
                <w:szCs w:val="22"/>
                <w:lang w:val="zh-CN"/>
              </w:rPr>
            </w:pPr>
            <w:r>
              <w:rPr>
                <w:rFonts w:hint="eastAsia"/>
                <w:snapToGrid w:val="0"/>
                <w:color w:val="auto"/>
                <w:kern w:val="0"/>
                <w:szCs w:val="22"/>
                <w:lang w:val="zh-CN"/>
              </w:rPr>
              <w:t>频发</w:t>
            </w:r>
          </w:p>
        </w:tc>
        <w:tc>
          <w:tcPr>
            <w:tcW w:w="341" w:type="pct"/>
            <w:vAlign w:val="center"/>
          </w:tcPr>
          <w:p w14:paraId="2332FD9C">
            <w:pPr>
              <w:adjustRightInd w:val="0"/>
              <w:snapToGrid w:val="0"/>
              <w:jc w:val="center"/>
              <w:rPr>
                <w:snapToGrid w:val="0"/>
                <w:color w:val="auto"/>
                <w:szCs w:val="21"/>
                <w:lang w:val="zh-CN"/>
              </w:rPr>
            </w:pPr>
            <w:r>
              <w:rPr>
                <w:snapToGrid w:val="0"/>
                <w:color w:val="auto"/>
                <w:szCs w:val="21"/>
                <w:lang w:val="zh-CN"/>
              </w:rPr>
              <w:t>1</w:t>
            </w:r>
          </w:p>
        </w:tc>
        <w:tc>
          <w:tcPr>
            <w:tcW w:w="321" w:type="pct"/>
            <w:vAlign w:val="center"/>
          </w:tcPr>
          <w:p w14:paraId="6E1E0799">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4" w:type="pct"/>
            <w:vAlign w:val="center"/>
          </w:tcPr>
          <w:p w14:paraId="00080D01">
            <w:pPr>
              <w:adjustRightInd w:val="0"/>
              <w:snapToGrid w:val="0"/>
              <w:jc w:val="center"/>
              <w:rPr>
                <w:snapToGrid w:val="0"/>
                <w:color w:val="auto"/>
                <w:szCs w:val="22"/>
                <w:lang w:val="zh-CN"/>
              </w:rPr>
            </w:pPr>
            <w:r>
              <w:rPr>
                <w:rFonts w:hint="eastAsia"/>
                <w:snapToGrid w:val="0"/>
                <w:color w:val="auto"/>
                <w:szCs w:val="22"/>
                <w:lang w:val="zh-CN"/>
              </w:rPr>
              <w:t>8</w:t>
            </w:r>
            <w:r>
              <w:rPr>
                <w:snapToGrid w:val="0"/>
                <w:color w:val="auto"/>
                <w:szCs w:val="22"/>
                <w:lang w:val="zh-CN"/>
              </w:rPr>
              <w:t>6</w:t>
            </w:r>
          </w:p>
        </w:tc>
        <w:tc>
          <w:tcPr>
            <w:tcW w:w="1028" w:type="pct"/>
            <w:vAlign w:val="center"/>
          </w:tcPr>
          <w:p w14:paraId="6DE84DF4">
            <w:pPr>
              <w:adjustRightInd w:val="0"/>
              <w:snapToGrid w:val="0"/>
              <w:rPr>
                <w:snapToGrid w:val="0"/>
                <w:color w:val="auto"/>
                <w:szCs w:val="22"/>
                <w:lang w:val="zh-CN"/>
              </w:rPr>
            </w:pPr>
            <w:r>
              <w:rPr>
                <w:rFonts w:hint="eastAsia"/>
                <w:snapToGrid w:val="0"/>
                <w:color w:val="auto"/>
                <w:szCs w:val="22"/>
                <w:lang w:val="zh-CN"/>
              </w:rPr>
              <w:t>低噪声设备，加强车辆维护保养，作业时围挡</w:t>
            </w:r>
          </w:p>
        </w:tc>
        <w:tc>
          <w:tcPr>
            <w:tcW w:w="453" w:type="pct"/>
            <w:vAlign w:val="center"/>
          </w:tcPr>
          <w:p w14:paraId="28DF6D84">
            <w:pPr>
              <w:adjustRightInd w:val="0"/>
              <w:snapToGrid w:val="0"/>
              <w:jc w:val="center"/>
              <w:rPr>
                <w:snapToGrid w:val="0"/>
                <w:color w:val="auto"/>
                <w:szCs w:val="22"/>
                <w:lang w:val="zh-CN"/>
              </w:rPr>
            </w:pPr>
            <w:r>
              <w:rPr>
                <w:snapToGrid w:val="0"/>
                <w:color w:val="auto"/>
                <w:szCs w:val="22"/>
                <w:lang w:val="zh-CN"/>
              </w:rPr>
              <w:t>20</w:t>
            </w:r>
          </w:p>
        </w:tc>
        <w:tc>
          <w:tcPr>
            <w:tcW w:w="368" w:type="pct"/>
            <w:vAlign w:val="center"/>
          </w:tcPr>
          <w:p w14:paraId="206001B8">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3" w:type="pct"/>
            <w:vAlign w:val="center"/>
          </w:tcPr>
          <w:p w14:paraId="088306FB">
            <w:pPr>
              <w:adjustRightInd w:val="0"/>
              <w:snapToGrid w:val="0"/>
              <w:jc w:val="center"/>
              <w:rPr>
                <w:snapToGrid w:val="0"/>
                <w:color w:val="auto"/>
                <w:szCs w:val="22"/>
                <w:lang w:val="zh-CN"/>
              </w:rPr>
            </w:pPr>
            <w:r>
              <w:rPr>
                <w:snapToGrid w:val="0"/>
                <w:color w:val="auto"/>
                <w:szCs w:val="22"/>
                <w:lang w:val="zh-CN"/>
              </w:rPr>
              <w:t>66</w:t>
            </w:r>
          </w:p>
        </w:tc>
        <w:tc>
          <w:tcPr>
            <w:tcW w:w="636" w:type="dxa"/>
            <w:vAlign w:val="center"/>
          </w:tcPr>
          <w:p w14:paraId="1E20AA66">
            <w:pPr>
              <w:adjustRightInd w:val="0"/>
              <w:snapToGrid w:val="0"/>
              <w:jc w:val="center"/>
              <w:rPr>
                <w:snapToGrid w:val="0"/>
                <w:color w:val="auto"/>
                <w:szCs w:val="22"/>
                <w:lang w:val="zh-CN"/>
              </w:rPr>
            </w:pPr>
            <w:r>
              <w:rPr>
                <w:rFonts w:hint="eastAsia"/>
                <w:snapToGrid w:val="0"/>
                <w:color w:val="auto"/>
                <w:szCs w:val="22"/>
                <w:lang w:val="en-US" w:eastAsia="zh-CN"/>
              </w:rPr>
              <w:t>4356</w:t>
            </w:r>
          </w:p>
        </w:tc>
      </w:tr>
      <w:tr w14:paraId="641DD9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56" w:type="pct"/>
            <w:vAlign w:val="center"/>
          </w:tcPr>
          <w:p w14:paraId="0ADBEED8">
            <w:pPr>
              <w:adjustRightInd w:val="0"/>
              <w:snapToGrid w:val="0"/>
              <w:jc w:val="center"/>
              <w:rPr>
                <w:snapToGrid w:val="0"/>
                <w:color w:val="auto"/>
                <w:szCs w:val="22"/>
                <w:lang w:val="zh-CN"/>
              </w:rPr>
            </w:pPr>
            <w:r>
              <w:rPr>
                <w:rFonts w:hint="eastAsia"/>
                <w:snapToGrid w:val="0"/>
                <w:color w:val="auto"/>
                <w:szCs w:val="22"/>
                <w:lang w:val="zh-CN"/>
              </w:rPr>
              <w:t>5</w:t>
            </w:r>
          </w:p>
        </w:tc>
        <w:tc>
          <w:tcPr>
            <w:tcW w:w="335" w:type="pct"/>
            <w:vAlign w:val="center"/>
          </w:tcPr>
          <w:p w14:paraId="440AF8E0">
            <w:pPr>
              <w:adjustRightInd w:val="0"/>
              <w:snapToGrid w:val="0"/>
              <w:jc w:val="center"/>
              <w:rPr>
                <w:snapToGrid w:val="0"/>
                <w:color w:val="auto"/>
                <w:szCs w:val="22"/>
                <w:lang w:val="zh-CN"/>
              </w:rPr>
            </w:pPr>
            <w:r>
              <w:rPr>
                <w:snapToGrid w:val="0"/>
                <w:color w:val="auto"/>
                <w:szCs w:val="21"/>
                <w:lang w:val="zh-CN"/>
              </w:rPr>
              <w:t>洒水车</w:t>
            </w:r>
          </w:p>
        </w:tc>
        <w:tc>
          <w:tcPr>
            <w:tcW w:w="331" w:type="pct"/>
            <w:vAlign w:val="center"/>
          </w:tcPr>
          <w:p w14:paraId="3D9E7358">
            <w:pPr>
              <w:adjustRightInd w:val="0"/>
              <w:snapToGrid w:val="0"/>
              <w:jc w:val="center"/>
              <w:rPr>
                <w:snapToGrid w:val="0"/>
                <w:color w:val="auto"/>
                <w:szCs w:val="22"/>
                <w:lang w:val="zh-CN"/>
              </w:rPr>
            </w:pPr>
            <w:r>
              <w:rPr>
                <w:rFonts w:hint="eastAsia"/>
                <w:snapToGrid w:val="0"/>
                <w:color w:val="auto"/>
                <w:szCs w:val="22"/>
                <w:lang w:val="zh-CN"/>
              </w:rPr>
              <w:t>回填</w:t>
            </w:r>
            <w:r>
              <w:rPr>
                <w:snapToGrid w:val="0"/>
                <w:color w:val="auto"/>
                <w:szCs w:val="22"/>
                <w:lang w:val="zh-CN"/>
              </w:rPr>
              <w:t>区</w:t>
            </w:r>
          </w:p>
        </w:tc>
        <w:tc>
          <w:tcPr>
            <w:tcW w:w="277" w:type="pct"/>
            <w:vAlign w:val="center"/>
          </w:tcPr>
          <w:p w14:paraId="526F9C63">
            <w:pPr>
              <w:adjustRightInd w:val="0"/>
              <w:snapToGrid w:val="0"/>
              <w:jc w:val="center"/>
              <w:rPr>
                <w:snapToGrid w:val="0"/>
                <w:color w:val="auto"/>
                <w:szCs w:val="22"/>
                <w:lang w:val="zh-CN"/>
              </w:rPr>
            </w:pPr>
            <w:r>
              <w:rPr>
                <w:rFonts w:hint="eastAsia"/>
                <w:snapToGrid w:val="0"/>
                <w:color w:val="auto"/>
                <w:kern w:val="0"/>
                <w:szCs w:val="22"/>
                <w:lang w:val="zh-CN"/>
              </w:rPr>
              <w:t>频发</w:t>
            </w:r>
          </w:p>
        </w:tc>
        <w:tc>
          <w:tcPr>
            <w:tcW w:w="341" w:type="pct"/>
            <w:vAlign w:val="center"/>
          </w:tcPr>
          <w:p w14:paraId="01F98104">
            <w:pPr>
              <w:adjustRightInd w:val="0"/>
              <w:snapToGrid w:val="0"/>
              <w:jc w:val="center"/>
              <w:rPr>
                <w:snapToGrid w:val="0"/>
                <w:color w:val="auto"/>
                <w:szCs w:val="22"/>
                <w:lang w:val="zh-CN"/>
              </w:rPr>
            </w:pPr>
            <w:r>
              <w:rPr>
                <w:snapToGrid w:val="0"/>
                <w:color w:val="auto"/>
                <w:szCs w:val="21"/>
                <w:lang w:val="zh-CN"/>
              </w:rPr>
              <w:t>1</w:t>
            </w:r>
          </w:p>
        </w:tc>
        <w:tc>
          <w:tcPr>
            <w:tcW w:w="321" w:type="pct"/>
            <w:vAlign w:val="center"/>
          </w:tcPr>
          <w:p w14:paraId="634CDBEA">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4" w:type="pct"/>
            <w:vAlign w:val="center"/>
          </w:tcPr>
          <w:p w14:paraId="032B5C9C">
            <w:pPr>
              <w:adjustRightInd w:val="0"/>
              <w:snapToGrid w:val="0"/>
              <w:jc w:val="center"/>
              <w:rPr>
                <w:snapToGrid w:val="0"/>
                <w:color w:val="auto"/>
                <w:szCs w:val="22"/>
                <w:lang w:val="zh-CN"/>
              </w:rPr>
            </w:pPr>
            <w:r>
              <w:rPr>
                <w:snapToGrid w:val="0"/>
                <w:color w:val="auto"/>
                <w:szCs w:val="22"/>
                <w:lang w:val="zh-CN"/>
              </w:rPr>
              <w:t>81</w:t>
            </w:r>
          </w:p>
        </w:tc>
        <w:tc>
          <w:tcPr>
            <w:tcW w:w="1028" w:type="pct"/>
            <w:vAlign w:val="center"/>
          </w:tcPr>
          <w:p w14:paraId="76126FA8">
            <w:pPr>
              <w:adjustRightInd w:val="0"/>
              <w:snapToGrid w:val="0"/>
              <w:rPr>
                <w:snapToGrid w:val="0"/>
                <w:color w:val="auto"/>
                <w:szCs w:val="22"/>
                <w:lang w:val="zh-CN"/>
              </w:rPr>
            </w:pPr>
            <w:r>
              <w:rPr>
                <w:rFonts w:hint="eastAsia"/>
                <w:snapToGrid w:val="0"/>
                <w:color w:val="auto"/>
                <w:szCs w:val="22"/>
                <w:lang w:val="zh-CN"/>
              </w:rPr>
              <w:t>低噪声设备，加强车辆维护保养，作业时围挡</w:t>
            </w:r>
          </w:p>
        </w:tc>
        <w:tc>
          <w:tcPr>
            <w:tcW w:w="453" w:type="pct"/>
            <w:vAlign w:val="center"/>
          </w:tcPr>
          <w:p w14:paraId="553EC1A8">
            <w:pPr>
              <w:adjustRightInd w:val="0"/>
              <w:snapToGrid w:val="0"/>
              <w:jc w:val="center"/>
              <w:rPr>
                <w:snapToGrid w:val="0"/>
                <w:color w:val="auto"/>
                <w:szCs w:val="22"/>
                <w:lang w:val="zh-CN"/>
              </w:rPr>
            </w:pPr>
            <w:r>
              <w:rPr>
                <w:snapToGrid w:val="0"/>
                <w:color w:val="auto"/>
                <w:szCs w:val="22"/>
                <w:lang w:val="zh-CN"/>
              </w:rPr>
              <w:t>20</w:t>
            </w:r>
          </w:p>
        </w:tc>
        <w:tc>
          <w:tcPr>
            <w:tcW w:w="368" w:type="pct"/>
            <w:vAlign w:val="center"/>
          </w:tcPr>
          <w:p w14:paraId="2D2CBC27">
            <w:pPr>
              <w:adjustRightInd w:val="0"/>
              <w:snapToGrid w:val="0"/>
              <w:jc w:val="center"/>
              <w:rPr>
                <w:snapToGrid w:val="0"/>
                <w:color w:val="auto"/>
                <w:kern w:val="0"/>
                <w:szCs w:val="22"/>
                <w:lang w:val="zh-CN"/>
              </w:rPr>
            </w:pPr>
            <w:r>
              <w:rPr>
                <w:rFonts w:hint="eastAsia"/>
                <w:snapToGrid w:val="0"/>
                <w:color w:val="auto"/>
                <w:kern w:val="0"/>
                <w:szCs w:val="22"/>
                <w:lang w:val="zh-CN"/>
              </w:rPr>
              <w:t>类比法</w:t>
            </w:r>
          </w:p>
        </w:tc>
        <w:tc>
          <w:tcPr>
            <w:tcW w:w="453" w:type="pct"/>
            <w:vAlign w:val="center"/>
          </w:tcPr>
          <w:p w14:paraId="07C11A61">
            <w:pPr>
              <w:adjustRightInd w:val="0"/>
              <w:snapToGrid w:val="0"/>
              <w:jc w:val="center"/>
              <w:rPr>
                <w:snapToGrid w:val="0"/>
                <w:color w:val="auto"/>
                <w:szCs w:val="22"/>
                <w:lang w:val="zh-CN"/>
              </w:rPr>
            </w:pPr>
            <w:r>
              <w:rPr>
                <w:snapToGrid w:val="0"/>
                <w:color w:val="auto"/>
                <w:szCs w:val="22"/>
                <w:lang w:val="zh-CN"/>
              </w:rPr>
              <w:t>61</w:t>
            </w:r>
          </w:p>
        </w:tc>
        <w:tc>
          <w:tcPr>
            <w:tcW w:w="636" w:type="dxa"/>
            <w:vAlign w:val="center"/>
          </w:tcPr>
          <w:p w14:paraId="4EA94A06">
            <w:pPr>
              <w:adjustRightInd w:val="0"/>
              <w:snapToGrid w:val="0"/>
              <w:jc w:val="center"/>
              <w:rPr>
                <w:snapToGrid w:val="0"/>
                <w:color w:val="auto"/>
                <w:szCs w:val="22"/>
                <w:lang w:val="zh-CN"/>
              </w:rPr>
            </w:pPr>
            <w:r>
              <w:rPr>
                <w:rFonts w:hint="eastAsia"/>
                <w:snapToGrid w:val="0"/>
                <w:color w:val="auto"/>
                <w:szCs w:val="22"/>
                <w:lang w:val="en-US" w:eastAsia="zh-CN"/>
              </w:rPr>
              <w:t>4356</w:t>
            </w:r>
          </w:p>
        </w:tc>
      </w:tr>
    </w:tbl>
    <w:p w14:paraId="693E3819">
      <w:pPr>
        <w:pStyle w:val="135"/>
        <w:rPr>
          <w:color w:val="auto"/>
          <w:highlight w:val="none"/>
        </w:rPr>
      </w:pPr>
      <w:r>
        <w:rPr>
          <w:rFonts w:hint="eastAsia"/>
          <w:color w:val="auto"/>
          <w:highlight w:val="none"/>
        </w:rPr>
        <w:t>3</w:t>
      </w:r>
      <w:r>
        <w:rPr>
          <w:color w:val="auto"/>
          <w:highlight w:val="none"/>
        </w:rPr>
        <w:t>.3.2.4</w:t>
      </w:r>
      <w:r>
        <w:rPr>
          <w:rFonts w:hint="eastAsia"/>
          <w:color w:val="auto"/>
          <w:highlight w:val="none"/>
        </w:rPr>
        <w:t>固体废物</w:t>
      </w:r>
    </w:p>
    <w:p w14:paraId="2AE6CF7E">
      <w:pPr>
        <w:pStyle w:val="59"/>
        <w:ind w:firstLine="480"/>
        <w:rPr>
          <w:color w:val="auto"/>
          <w:highlight w:val="none"/>
        </w:rPr>
      </w:pPr>
      <w:r>
        <w:rPr>
          <w:rFonts w:hint="eastAsia"/>
          <w:color w:val="auto"/>
          <w:highlight w:val="none"/>
        </w:rPr>
        <w:t>运营中产生的固体废物主要有暂存池的沉渣和少量</w:t>
      </w:r>
      <w:r>
        <w:rPr>
          <w:color w:val="auto"/>
          <w:highlight w:val="none"/>
        </w:rPr>
        <w:t>生活垃圾。</w:t>
      </w:r>
    </w:p>
    <w:p w14:paraId="1C8392A3">
      <w:pPr>
        <w:pStyle w:val="59"/>
        <w:ind w:firstLine="48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1 \* GB3</w:instrText>
      </w:r>
      <w:r>
        <w:rPr>
          <w:color w:val="auto"/>
          <w:highlight w:val="none"/>
        </w:rPr>
        <w:instrText xml:space="preserve"> </w:instrText>
      </w:r>
      <w:r>
        <w:rPr>
          <w:color w:val="auto"/>
          <w:highlight w:val="none"/>
        </w:rPr>
        <w:fldChar w:fldCharType="separate"/>
      </w:r>
      <w:r>
        <w:rPr>
          <w:rFonts w:hint="eastAsia"/>
          <w:color w:val="auto"/>
          <w:highlight w:val="none"/>
        </w:rPr>
        <w:t>①</w:t>
      </w:r>
      <w:r>
        <w:rPr>
          <w:color w:val="auto"/>
          <w:highlight w:val="none"/>
        </w:rPr>
        <w:fldChar w:fldCharType="end"/>
      </w:r>
      <w:bookmarkStart w:id="103" w:name="_Hlk149054887"/>
      <w:r>
        <w:rPr>
          <w:rFonts w:hint="eastAsia"/>
          <w:color w:val="auto"/>
          <w:highlight w:val="none"/>
        </w:rPr>
        <w:t>暂存池</w:t>
      </w:r>
      <w:bookmarkEnd w:id="103"/>
      <w:r>
        <w:rPr>
          <w:rFonts w:hint="eastAsia"/>
          <w:color w:val="auto"/>
          <w:highlight w:val="none"/>
        </w:rPr>
        <w:t>沉渣</w:t>
      </w:r>
    </w:p>
    <w:p w14:paraId="502796CA">
      <w:pPr>
        <w:pStyle w:val="59"/>
        <w:ind w:firstLine="480"/>
        <w:rPr>
          <w:color w:val="auto"/>
          <w:highlight w:val="none"/>
        </w:rPr>
      </w:pPr>
      <w:r>
        <w:rPr>
          <w:rFonts w:hint="eastAsia"/>
          <w:color w:val="auto"/>
          <w:highlight w:val="none"/>
        </w:rPr>
        <w:t>根据质量守恒原理，悬浮物减少的质量为沉渣增加的质量，本项目塘内积水量为</w:t>
      </w:r>
      <w:r>
        <w:rPr>
          <w:rFonts w:hint="eastAsia"/>
          <w:color w:val="auto"/>
          <w:highlight w:val="none"/>
          <w:lang w:val="en-US" w:eastAsia="zh-CN"/>
        </w:rPr>
        <w:t>19.356</w:t>
      </w:r>
      <w:r>
        <w:rPr>
          <w:rFonts w:hint="eastAsia"/>
          <w:color w:val="auto"/>
          <w:highlight w:val="none"/>
        </w:rPr>
        <w:t>t</w:t>
      </w:r>
      <w:r>
        <w:rPr>
          <w:color w:val="auto"/>
          <w:highlight w:val="none"/>
        </w:rPr>
        <w:t>/d</w:t>
      </w:r>
      <w:r>
        <w:rPr>
          <w:rFonts w:hint="eastAsia"/>
          <w:color w:val="auto"/>
          <w:highlight w:val="none"/>
        </w:rPr>
        <w:t>，</w:t>
      </w:r>
      <w:r>
        <w:rPr>
          <w:rFonts w:hint="eastAsia"/>
          <w:color w:val="auto"/>
          <w:highlight w:val="none"/>
          <w:lang w:val="en-US" w:eastAsia="zh-CN"/>
        </w:rPr>
        <w:t>7027</w:t>
      </w:r>
      <w:r>
        <w:rPr>
          <w:rFonts w:hint="eastAsia"/>
          <w:color w:val="auto"/>
          <w:highlight w:val="none"/>
        </w:rPr>
        <w:t>t</w:t>
      </w:r>
      <w:r>
        <w:rPr>
          <w:color w:val="auto"/>
          <w:highlight w:val="none"/>
        </w:rPr>
        <w:t>/</w:t>
      </w:r>
      <w:r>
        <w:rPr>
          <w:rFonts w:hint="eastAsia"/>
          <w:color w:val="auto"/>
          <w:highlight w:val="none"/>
        </w:rPr>
        <w:t>a。暂存池进水</w:t>
      </w:r>
      <w:r>
        <w:rPr>
          <w:color w:val="auto"/>
          <w:highlight w:val="none"/>
        </w:rPr>
        <w:t>SS</w:t>
      </w:r>
      <w:r>
        <w:rPr>
          <w:rFonts w:hint="eastAsia"/>
          <w:color w:val="auto"/>
          <w:highlight w:val="none"/>
        </w:rPr>
        <w:t>浓度为</w:t>
      </w:r>
      <w:r>
        <w:rPr>
          <w:rFonts w:hint="eastAsia"/>
          <w:color w:val="auto"/>
          <w:highlight w:val="none"/>
          <w:lang w:val="en-US" w:eastAsia="zh-CN"/>
        </w:rPr>
        <w:t>38</w:t>
      </w:r>
      <w:r>
        <w:rPr>
          <w:color w:val="auto"/>
          <w:highlight w:val="none"/>
        </w:rPr>
        <w:t>mg/L</w:t>
      </w:r>
      <w:r>
        <w:rPr>
          <w:rFonts w:hint="eastAsia"/>
          <w:color w:val="auto"/>
          <w:highlight w:val="none"/>
        </w:rPr>
        <w:t>，沉淀后</w:t>
      </w:r>
      <w:r>
        <w:rPr>
          <w:color w:val="auto"/>
          <w:highlight w:val="none"/>
        </w:rPr>
        <w:t>SS</w:t>
      </w:r>
      <w:r>
        <w:rPr>
          <w:rFonts w:hint="eastAsia"/>
          <w:color w:val="auto"/>
          <w:highlight w:val="none"/>
        </w:rPr>
        <w:t>浓度为</w:t>
      </w:r>
      <w:r>
        <w:rPr>
          <w:rFonts w:hint="eastAsia"/>
          <w:color w:val="auto"/>
          <w:highlight w:val="none"/>
          <w:lang w:val="en-US" w:eastAsia="zh-CN"/>
        </w:rPr>
        <w:t>15.2</w:t>
      </w:r>
      <w:r>
        <w:rPr>
          <w:color w:val="auto"/>
          <w:highlight w:val="none"/>
        </w:rPr>
        <w:t>mg/L</w:t>
      </w:r>
      <w:r>
        <w:rPr>
          <w:rFonts w:hint="eastAsia"/>
          <w:color w:val="auto"/>
          <w:highlight w:val="none"/>
        </w:rPr>
        <w:t>，则</w:t>
      </w:r>
      <w:r>
        <w:rPr>
          <w:color w:val="auto"/>
          <w:highlight w:val="none"/>
        </w:rPr>
        <w:t>SS</w:t>
      </w:r>
      <w:r>
        <w:rPr>
          <w:rFonts w:hint="eastAsia"/>
          <w:color w:val="auto"/>
          <w:highlight w:val="none"/>
        </w:rPr>
        <w:t>去除量为</w:t>
      </w:r>
      <w:r>
        <w:rPr>
          <w:color w:val="auto"/>
          <w:highlight w:val="none"/>
        </w:rPr>
        <w:t>0.000</w:t>
      </w:r>
      <w:r>
        <w:rPr>
          <w:rFonts w:hint="eastAsia"/>
          <w:color w:val="auto"/>
          <w:highlight w:val="none"/>
          <w:lang w:val="en-US" w:eastAsia="zh-CN"/>
        </w:rPr>
        <w:t>4</w:t>
      </w:r>
      <w:r>
        <w:rPr>
          <w:color w:val="auto"/>
          <w:highlight w:val="none"/>
        </w:rPr>
        <w:t>t/</w:t>
      </w:r>
      <w:r>
        <w:rPr>
          <w:rFonts w:hint="eastAsia"/>
          <w:color w:val="auto"/>
          <w:highlight w:val="none"/>
        </w:rPr>
        <w:t>d，0</w:t>
      </w:r>
      <w:r>
        <w:rPr>
          <w:color w:val="auto"/>
          <w:highlight w:val="none"/>
        </w:rPr>
        <w:t>.</w:t>
      </w:r>
      <w:r>
        <w:rPr>
          <w:rFonts w:hint="eastAsia"/>
          <w:color w:val="auto"/>
          <w:highlight w:val="none"/>
          <w:lang w:val="en-US" w:eastAsia="zh-CN"/>
        </w:rPr>
        <w:t>16</w:t>
      </w:r>
      <w:r>
        <w:rPr>
          <w:rFonts w:hint="eastAsia"/>
          <w:color w:val="auto"/>
          <w:highlight w:val="none"/>
        </w:rPr>
        <w:t>t/a。则本项目暂存池沉渣产生量为</w:t>
      </w:r>
      <w:r>
        <w:rPr>
          <w:color w:val="auto"/>
          <w:highlight w:val="none"/>
        </w:rPr>
        <w:t>0.000</w:t>
      </w:r>
      <w:r>
        <w:rPr>
          <w:rFonts w:hint="eastAsia"/>
          <w:color w:val="auto"/>
          <w:highlight w:val="none"/>
          <w:lang w:val="en-US" w:eastAsia="zh-CN"/>
        </w:rPr>
        <w:t>4</w:t>
      </w:r>
      <w:r>
        <w:rPr>
          <w:color w:val="auto"/>
          <w:highlight w:val="none"/>
        </w:rPr>
        <w:t>t/</w:t>
      </w:r>
      <w:r>
        <w:rPr>
          <w:rFonts w:hint="eastAsia"/>
          <w:color w:val="auto"/>
          <w:highlight w:val="none"/>
        </w:rPr>
        <w:t>d，0</w:t>
      </w:r>
      <w:r>
        <w:rPr>
          <w:color w:val="auto"/>
          <w:highlight w:val="none"/>
        </w:rPr>
        <w:t>.</w:t>
      </w:r>
      <w:r>
        <w:rPr>
          <w:rFonts w:hint="eastAsia"/>
          <w:color w:val="auto"/>
          <w:highlight w:val="none"/>
          <w:lang w:val="en-US" w:eastAsia="zh-CN"/>
        </w:rPr>
        <w:t>16</w:t>
      </w:r>
      <w:r>
        <w:rPr>
          <w:rFonts w:hint="eastAsia"/>
          <w:color w:val="auto"/>
          <w:highlight w:val="none"/>
        </w:rPr>
        <w:t>t/a。定期清理后，由回填至作业区。</w:t>
      </w:r>
    </w:p>
    <w:p w14:paraId="13C7BC5E">
      <w:pPr>
        <w:pStyle w:val="59"/>
        <w:ind w:firstLine="48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2 \* GB3</w:instrText>
      </w:r>
      <w:r>
        <w:rPr>
          <w:color w:val="auto"/>
          <w:highlight w:val="none"/>
        </w:rPr>
        <w:instrText xml:space="preserve"> </w:instrText>
      </w:r>
      <w:r>
        <w:rPr>
          <w:color w:val="auto"/>
          <w:highlight w:val="none"/>
        </w:rPr>
        <w:fldChar w:fldCharType="separate"/>
      </w:r>
      <w:r>
        <w:rPr>
          <w:rFonts w:hint="eastAsia"/>
          <w:color w:val="auto"/>
          <w:highlight w:val="none"/>
        </w:rPr>
        <w:t>②</w:t>
      </w:r>
      <w:r>
        <w:rPr>
          <w:color w:val="auto"/>
          <w:highlight w:val="none"/>
        </w:rPr>
        <w:fldChar w:fldCharType="end"/>
      </w:r>
      <w:r>
        <w:rPr>
          <w:rFonts w:hint="eastAsia"/>
          <w:color w:val="auto"/>
          <w:highlight w:val="none"/>
        </w:rPr>
        <w:t>生活垃圾</w:t>
      </w:r>
    </w:p>
    <w:p w14:paraId="7A5A0C67">
      <w:pPr>
        <w:pStyle w:val="59"/>
        <w:ind w:firstLine="480"/>
        <w:rPr>
          <w:color w:val="auto"/>
          <w:highlight w:val="none"/>
        </w:rPr>
      </w:pPr>
      <w:r>
        <w:rPr>
          <w:rFonts w:hint="eastAsia"/>
          <w:color w:val="auto"/>
        </w:rPr>
        <w:t>生</w:t>
      </w:r>
      <w:r>
        <w:rPr>
          <w:rFonts w:hint="eastAsia"/>
          <w:color w:val="auto"/>
          <w:highlight w:val="none"/>
        </w:rPr>
        <w:t>活垃圾产生量按每人每天</w:t>
      </w:r>
      <w:r>
        <w:rPr>
          <w:color w:val="auto"/>
          <w:highlight w:val="none"/>
        </w:rPr>
        <w:t>0.5kg计，则生活垃圾产生量为</w:t>
      </w:r>
      <w:r>
        <w:rPr>
          <w:rFonts w:hint="eastAsia"/>
          <w:color w:val="auto"/>
          <w:highlight w:val="none"/>
          <w:lang w:val="en-US" w:eastAsia="zh-CN"/>
        </w:rPr>
        <w:t>7.5</w:t>
      </w:r>
      <w:r>
        <w:rPr>
          <w:rFonts w:hint="eastAsia"/>
          <w:color w:val="auto"/>
          <w:highlight w:val="none"/>
        </w:rPr>
        <w:t>kg/d，</w:t>
      </w:r>
      <w:r>
        <w:rPr>
          <w:color w:val="auto"/>
          <w:highlight w:val="none"/>
        </w:rPr>
        <w:t>2.</w:t>
      </w:r>
      <w:r>
        <w:rPr>
          <w:rFonts w:hint="eastAsia"/>
          <w:color w:val="auto"/>
          <w:highlight w:val="none"/>
          <w:lang w:val="en-US" w:eastAsia="zh-CN"/>
        </w:rPr>
        <w:t>723</w:t>
      </w:r>
      <w:r>
        <w:rPr>
          <w:color w:val="auto"/>
          <w:highlight w:val="none"/>
        </w:rPr>
        <w:t>t/a。</w:t>
      </w:r>
      <w:r>
        <w:rPr>
          <w:rFonts w:hint="eastAsia"/>
          <w:color w:val="auto"/>
          <w:highlight w:val="none"/>
        </w:rPr>
        <w:t>场区设置生活垃圾箱</w:t>
      </w:r>
      <w:r>
        <w:rPr>
          <w:color w:val="auto"/>
          <w:highlight w:val="none"/>
        </w:rPr>
        <w:t>，</w:t>
      </w:r>
      <w:r>
        <w:rPr>
          <w:rFonts w:hint="eastAsia"/>
          <w:color w:val="auto"/>
          <w:highlight w:val="none"/>
        </w:rPr>
        <w:t>生活</w:t>
      </w:r>
      <w:r>
        <w:rPr>
          <w:color w:val="auto"/>
          <w:highlight w:val="none"/>
        </w:rPr>
        <w:t>垃圾经集中收集后由环卫部门统一清运。</w:t>
      </w:r>
    </w:p>
    <w:p w14:paraId="1ACB9400">
      <w:pPr>
        <w:pStyle w:val="76"/>
        <w:rPr>
          <w:color w:val="auto"/>
          <w:highlight w:val="none"/>
        </w:rPr>
      </w:pPr>
      <w:r>
        <w:rPr>
          <w:rFonts w:hint="eastAsia"/>
          <w:color w:val="auto"/>
          <w:highlight w:val="none"/>
        </w:rPr>
        <w:t>表3-</w:t>
      </w:r>
      <w:r>
        <w:rPr>
          <w:color w:val="auto"/>
          <w:highlight w:val="none"/>
        </w:rPr>
        <w:t>3</w:t>
      </w:r>
      <w:r>
        <w:rPr>
          <w:rFonts w:hint="eastAsia"/>
          <w:color w:val="auto"/>
          <w:highlight w:val="none"/>
        </w:rPr>
        <w:t>-</w:t>
      </w:r>
      <w:r>
        <w:rPr>
          <w:color w:val="auto"/>
          <w:highlight w:val="none"/>
        </w:rPr>
        <w:t>11</w:t>
      </w:r>
      <w:r>
        <w:rPr>
          <w:rFonts w:hint="eastAsia"/>
          <w:color w:val="auto"/>
          <w:highlight w:val="none"/>
        </w:rPr>
        <w:t>固体废物源强一览表</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94"/>
        <w:gridCol w:w="696"/>
        <w:gridCol w:w="696"/>
        <w:gridCol w:w="1263"/>
        <w:gridCol w:w="947"/>
        <w:gridCol w:w="1004"/>
        <w:gridCol w:w="1273"/>
        <w:gridCol w:w="942"/>
        <w:gridCol w:w="791"/>
      </w:tblGrid>
      <w:tr w14:paraId="6D7814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418" w:type="pct"/>
            <w:vMerge w:val="restart"/>
            <w:shd w:val="clear" w:color="auto" w:fill="auto"/>
            <w:vAlign w:val="center"/>
          </w:tcPr>
          <w:p w14:paraId="79BE5853">
            <w:pPr>
              <w:pStyle w:val="84"/>
              <w:rPr>
                <w:color w:val="auto"/>
                <w:highlight w:val="none"/>
              </w:rPr>
            </w:pPr>
            <w:r>
              <w:rPr>
                <w:rFonts w:hint="eastAsia"/>
                <w:color w:val="auto"/>
                <w:highlight w:val="none"/>
              </w:rPr>
              <w:t>固废名称</w:t>
            </w:r>
          </w:p>
        </w:tc>
        <w:tc>
          <w:tcPr>
            <w:tcW w:w="419" w:type="pct"/>
            <w:vMerge w:val="restart"/>
            <w:shd w:val="clear" w:color="auto" w:fill="auto"/>
            <w:vAlign w:val="center"/>
          </w:tcPr>
          <w:p w14:paraId="7795B59E">
            <w:pPr>
              <w:pStyle w:val="84"/>
              <w:rPr>
                <w:color w:val="auto"/>
                <w:highlight w:val="none"/>
              </w:rPr>
            </w:pPr>
            <w:r>
              <w:rPr>
                <w:rFonts w:hint="eastAsia"/>
                <w:color w:val="auto"/>
                <w:highlight w:val="none"/>
              </w:rPr>
              <w:t>产生</w:t>
            </w:r>
            <w:r>
              <w:rPr>
                <w:color w:val="auto"/>
                <w:highlight w:val="none"/>
              </w:rPr>
              <w:t>装置或工艺单元</w:t>
            </w:r>
          </w:p>
        </w:tc>
        <w:tc>
          <w:tcPr>
            <w:tcW w:w="419" w:type="pct"/>
            <w:vMerge w:val="restart"/>
            <w:shd w:val="clear" w:color="auto" w:fill="auto"/>
            <w:vAlign w:val="center"/>
          </w:tcPr>
          <w:p w14:paraId="192DCF1F">
            <w:pPr>
              <w:pStyle w:val="84"/>
              <w:rPr>
                <w:color w:val="auto"/>
                <w:highlight w:val="none"/>
              </w:rPr>
            </w:pPr>
            <w:r>
              <w:rPr>
                <w:rFonts w:hint="eastAsia"/>
                <w:color w:val="auto"/>
                <w:highlight w:val="none"/>
              </w:rPr>
              <w:t>固废</w:t>
            </w:r>
          </w:p>
          <w:p w14:paraId="45518135">
            <w:pPr>
              <w:pStyle w:val="84"/>
              <w:rPr>
                <w:color w:val="auto"/>
                <w:highlight w:val="none"/>
              </w:rPr>
            </w:pPr>
            <w:r>
              <w:rPr>
                <w:rFonts w:hint="eastAsia"/>
                <w:color w:val="auto"/>
                <w:highlight w:val="none"/>
              </w:rPr>
              <w:t>属性</w:t>
            </w:r>
          </w:p>
        </w:tc>
        <w:tc>
          <w:tcPr>
            <w:tcW w:w="760" w:type="pct"/>
            <w:vMerge w:val="restart"/>
            <w:vAlign w:val="center"/>
          </w:tcPr>
          <w:p w14:paraId="0774DB38">
            <w:pPr>
              <w:pStyle w:val="84"/>
              <w:rPr>
                <w:color w:val="auto"/>
                <w:highlight w:val="none"/>
              </w:rPr>
            </w:pPr>
            <w:r>
              <w:rPr>
                <w:rFonts w:hint="eastAsia"/>
                <w:color w:val="auto"/>
                <w:highlight w:val="none"/>
              </w:rPr>
              <w:t>代码</w:t>
            </w:r>
          </w:p>
        </w:tc>
        <w:tc>
          <w:tcPr>
            <w:tcW w:w="1174" w:type="pct"/>
            <w:gridSpan w:val="2"/>
            <w:shd w:val="clear" w:color="auto" w:fill="auto"/>
            <w:vAlign w:val="center"/>
          </w:tcPr>
          <w:p w14:paraId="53EE7295">
            <w:pPr>
              <w:pStyle w:val="84"/>
              <w:rPr>
                <w:color w:val="auto"/>
                <w:highlight w:val="none"/>
              </w:rPr>
            </w:pPr>
            <w:r>
              <w:rPr>
                <w:rFonts w:hint="eastAsia"/>
                <w:color w:val="auto"/>
                <w:highlight w:val="none"/>
              </w:rPr>
              <w:t>产生情况</w:t>
            </w:r>
          </w:p>
        </w:tc>
        <w:tc>
          <w:tcPr>
            <w:tcW w:w="1333" w:type="pct"/>
            <w:gridSpan w:val="2"/>
            <w:shd w:val="clear" w:color="auto" w:fill="auto"/>
            <w:vAlign w:val="center"/>
          </w:tcPr>
          <w:p w14:paraId="6BACDDC1">
            <w:pPr>
              <w:pStyle w:val="84"/>
              <w:rPr>
                <w:color w:val="auto"/>
                <w:highlight w:val="none"/>
              </w:rPr>
            </w:pPr>
            <w:r>
              <w:rPr>
                <w:color w:val="auto"/>
                <w:highlight w:val="none"/>
              </w:rPr>
              <w:t>处理措施</w:t>
            </w:r>
          </w:p>
        </w:tc>
        <w:tc>
          <w:tcPr>
            <w:tcW w:w="476" w:type="pct"/>
            <w:vMerge w:val="restart"/>
            <w:shd w:val="clear" w:color="auto" w:fill="auto"/>
            <w:vAlign w:val="center"/>
          </w:tcPr>
          <w:p w14:paraId="7D7809BD">
            <w:pPr>
              <w:pStyle w:val="84"/>
              <w:rPr>
                <w:color w:val="auto"/>
                <w:highlight w:val="none"/>
              </w:rPr>
            </w:pPr>
            <w:r>
              <w:rPr>
                <w:rFonts w:hint="eastAsia"/>
                <w:color w:val="auto"/>
                <w:highlight w:val="none"/>
              </w:rPr>
              <w:t>最终去向</w:t>
            </w:r>
          </w:p>
        </w:tc>
      </w:tr>
      <w:tr w14:paraId="635D45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18" w:type="pct"/>
            <w:vMerge w:val="continue"/>
            <w:shd w:val="clear" w:color="auto" w:fill="auto"/>
            <w:vAlign w:val="center"/>
          </w:tcPr>
          <w:p w14:paraId="1C4168A4">
            <w:pPr>
              <w:pStyle w:val="84"/>
              <w:rPr>
                <w:color w:val="auto"/>
                <w:highlight w:val="none"/>
              </w:rPr>
            </w:pPr>
          </w:p>
        </w:tc>
        <w:tc>
          <w:tcPr>
            <w:tcW w:w="419" w:type="pct"/>
            <w:vMerge w:val="continue"/>
            <w:shd w:val="clear" w:color="auto" w:fill="auto"/>
            <w:vAlign w:val="center"/>
          </w:tcPr>
          <w:p w14:paraId="3A7A1619">
            <w:pPr>
              <w:pStyle w:val="84"/>
              <w:rPr>
                <w:color w:val="auto"/>
                <w:highlight w:val="none"/>
              </w:rPr>
            </w:pPr>
          </w:p>
        </w:tc>
        <w:tc>
          <w:tcPr>
            <w:tcW w:w="419" w:type="pct"/>
            <w:vMerge w:val="continue"/>
            <w:shd w:val="clear" w:color="auto" w:fill="auto"/>
            <w:vAlign w:val="center"/>
          </w:tcPr>
          <w:p w14:paraId="7864C278">
            <w:pPr>
              <w:pStyle w:val="84"/>
              <w:rPr>
                <w:color w:val="auto"/>
                <w:highlight w:val="none"/>
              </w:rPr>
            </w:pPr>
          </w:p>
        </w:tc>
        <w:tc>
          <w:tcPr>
            <w:tcW w:w="760" w:type="pct"/>
            <w:vMerge w:val="continue"/>
            <w:vAlign w:val="center"/>
          </w:tcPr>
          <w:p w14:paraId="0E9812A2">
            <w:pPr>
              <w:pStyle w:val="84"/>
              <w:rPr>
                <w:color w:val="auto"/>
                <w:highlight w:val="none"/>
              </w:rPr>
            </w:pPr>
          </w:p>
        </w:tc>
        <w:tc>
          <w:tcPr>
            <w:tcW w:w="570" w:type="pct"/>
            <w:shd w:val="clear" w:color="auto" w:fill="auto"/>
            <w:vAlign w:val="center"/>
          </w:tcPr>
          <w:p w14:paraId="74EA7C93">
            <w:pPr>
              <w:pStyle w:val="84"/>
              <w:rPr>
                <w:color w:val="auto"/>
                <w:highlight w:val="none"/>
              </w:rPr>
            </w:pPr>
            <w:r>
              <w:rPr>
                <w:rFonts w:hint="eastAsia"/>
                <w:color w:val="auto"/>
                <w:highlight w:val="none"/>
              </w:rPr>
              <w:t>核算方法</w:t>
            </w:r>
          </w:p>
        </w:tc>
        <w:tc>
          <w:tcPr>
            <w:tcW w:w="604" w:type="pct"/>
            <w:shd w:val="clear" w:color="auto" w:fill="auto"/>
            <w:vAlign w:val="center"/>
          </w:tcPr>
          <w:p w14:paraId="59C63BAF">
            <w:pPr>
              <w:pStyle w:val="84"/>
              <w:rPr>
                <w:color w:val="auto"/>
                <w:highlight w:val="none"/>
              </w:rPr>
            </w:pPr>
            <w:r>
              <w:rPr>
                <w:color w:val="auto"/>
                <w:highlight w:val="none"/>
              </w:rPr>
              <w:t>产生量</w:t>
            </w:r>
          </w:p>
        </w:tc>
        <w:tc>
          <w:tcPr>
            <w:tcW w:w="766" w:type="pct"/>
            <w:shd w:val="clear" w:color="auto" w:fill="auto"/>
            <w:vAlign w:val="center"/>
          </w:tcPr>
          <w:p w14:paraId="35DFF6CA">
            <w:pPr>
              <w:pStyle w:val="84"/>
              <w:rPr>
                <w:color w:val="auto"/>
                <w:highlight w:val="none"/>
              </w:rPr>
            </w:pPr>
            <w:r>
              <w:rPr>
                <w:rFonts w:hint="eastAsia"/>
                <w:color w:val="auto"/>
                <w:highlight w:val="none"/>
              </w:rPr>
              <w:t>工艺</w:t>
            </w:r>
          </w:p>
        </w:tc>
        <w:tc>
          <w:tcPr>
            <w:tcW w:w="567" w:type="pct"/>
            <w:shd w:val="clear" w:color="auto" w:fill="auto"/>
            <w:vAlign w:val="center"/>
          </w:tcPr>
          <w:p w14:paraId="77DD0DD5">
            <w:pPr>
              <w:pStyle w:val="84"/>
              <w:rPr>
                <w:color w:val="auto"/>
                <w:highlight w:val="none"/>
              </w:rPr>
            </w:pPr>
            <w:r>
              <w:rPr>
                <w:rFonts w:hint="eastAsia"/>
                <w:color w:val="auto"/>
                <w:highlight w:val="none"/>
              </w:rPr>
              <w:t>处置量</w:t>
            </w:r>
          </w:p>
        </w:tc>
        <w:tc>
          <w:tcPr>
            <w:tcW w:w="476" w:type="pct"/>
            <w:vMerge w:val="continue"/>
            <w:shd w:val="clear" w:color="auto" w:fill="auto"/>
            <w:vAlign w:val="center"/>
          </w:tcPr>
          <w:p w14:paraId="1F74D4DA">
            <w:pPr>
              <w:pStyle w:val="84"/>
              <w:rPr>
                <w:color w:val="auto"/>
                <w:highlight w:val="none"/>
              </w:rPr>
            </w:pPr>
          </w:p>
        </w:tc>
      </w:tr>
      <w:tr w14:paraId="5D4FD1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418" w:type="pct"/>
            <w:shd w:val="clear" w:color="auto" w:fill="auto"/>
            <w:vAlign w:val="center"/>
          </w:tcPr>
          <w:p w14:paraId="1C1DB715">
            <w:pPr>
              <w:pStyle w:val="84"/>
              <w:rPr>
                <w:color w:val="auto"/>
                <w:highlight w:val="none"/>
              </w:rPr>
            </w:pPr>
            <w:bookmarkStart w:id="104" w:name="_Hlk21538555"/>
            <w:r>
              <w:rPr>
                <w:rFonts w:hint="eastAsia"/>
                <w:color w:val="auto"/>
                <w:highlight w:val="none"/>
              </w:rPr>
              <w:t>暂存池沉渣</w:t>
            </w:r>
          </w:p>
        </w:tc>
        <w:tc>
          <w:tcPr>
            <w:tcW w:w="419" w:type="pct"/>
            <w:shd w:val="clear" w:color="auto" w:fill="auto"/>
            <w:vAlign w:val="center"/>
          </w:tcPr>
          <w:p w14:paraId="2AE8E719">
            <w:pPr>
              <w:pStyle w:val="84"/>
              <w:rPr>
                <w:color w:val="auto"/>
                <w:highlight w:val="none"/>
              </w:rPr>
            </w:pPr>
            <w:r>
              <w:rPr>
                <w:rFonts w:hint="eastAsia"/>
                <w:color w:val="auto"/>
                <w:highlight w:val="none"/>
              </w:rPr>
              <w:t>暂存池</w:t>
            </w:r>
          </w:p>
        </w:tc>
        <w:tc>
          <w:tcPr>
            <w:tcW w:w="419" w:type="pct"/>
            <w:shd w:val="clear" w:color="auto" w:fill="auto"/>
            <w:vAlign w:val="center"/>
          </w:tcPr>
          <w:p w14:paraId="47B7C9D8">
            <w:pPr>
              <w:pStyle w:val="84"/>
              <w:rPr>
                <w:color w:val="auto"/>
                <w:highlight w:val="none"/>
              </w:rPr>
            </w:pPr>
            <w:r>
              <w:rPr>
                <w:rFonts w:hint="eastAsia"/>
                <w:color w:val="auto"/>
                <w:highlight w:val="none"/>
              </w:rPr>
              <w:t>一般固废</w:t>
            </w:r>
          </w:p>
        </w:tc>
        <w:tc>
          <w:tcPr>
            <w:tcW w:w="760" w:type="pct"/>
            <w:vAlign w:val="center"/>
          </w:tcPr>
          <w:p w14:paraId="7804224B">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SW90461-0</w:t>
            </w:r>
          </w:p>
          <w:p w14:paraId="42C5982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01-S90</w:t>
            </w:r>
          </w:p>
        </w:tc>
        <w:tc>
          <w:tcPr>
            <w:tcW w:w="570" w:type="pct"/>
            <w:shd w:val="clear" w:color="auto" w:fill="auto"/>
            <w:vAlign w:val="center"/>
          </w:tcPr>
          <w:p w14:paraId="66161646">
            <w:pPr>
              <w:pStyle w:val="84"/>
              <w:rPr>
                <w:color w:val="auto"/>
                <w:highlight w:val="none"/>
              </w:rPr>
            </w:pPr>
            <w:r>
              <w:rPr>
                <w:rFonts w:hint="eastAsia"/>
                <w:color w:val="auto"/>
                <w:highlight w:val="none"/>
              </w:rPr>
              <w:t>类比法</w:t>
            </w:r>
          </w:p>
        </w:tc>
        <w:tc>
          <w:tcPr>
            <w:tcW w:w="604" w:type="pct"/>
            <w:shd w:val="clear" w:color="auto" w:fill="auto"/>
            <w:vAlign w:val="center"/>
          </w:tcPr>
          <w:p w14:paraId="20734F77">
            <w:pPr>
              <w:pStyle w:val="84"/>
              <w:rPr>
                <w:color w:val="auto"/>
                <w:highlight w:val="none"/>
              </w:rPr>
            </w:pPr>
            <w:r>
              <w:rPr>
                <w:color w:val="auto"/>
                <w:highlight w:val="none"/>
              </w:rPr>
              <w:t>0.05t/a</w:t>
            </w:r>
          </w:p>
        </w:tc>
        <w:tc>
          <w:tcPr>
            <w:tcW w:w="766" w:type="pct"/>
            <w:shd w:val="clear" w:color="auto" w:fill="auto"/>
            <w:vAlign w:val="center"/>
          </w:tcPr>
          <w:p w14:paraId="56D56419">
            <w:pPr>
              <w:pStyle w:val="84"/>
              <w:jc w:val="both"/>
              <w:rPr>
                <w:color w:val="auto"/>
                <w:highlight w:val="none"/>
              </w:rPr>
            </w:pPr>
            <w:r>
              <w:rPr>
                <w:rFonts w:hint="eastAsia"/>
                <w:color w:val="auto"/>
                <w:highlight w:val="none"/>
              </w:rPr>
              <w:t>定期清理后，回填作业区。</w:t>
            </w:r>
          </w:p>
        </w:tc>
        <w:tc>
          <w:tcPr>
            <w:tcW w:w="567" w:type="pct"/>
            <w:shd w:val="clear" w:color="auto" w:fill="auto"/>
            <w:vAlign w:val="center"/>
          </w:tcPr>
          <w:p w14:paraId="5BDA753A">
            <w:pPr>
              <w:pStyle w:val="84"/>
              <w:rPr>
                <w:color w:val="auto"/>
                <w:highlight w:val="none"/>
              </w:rPr>
            </w:pPr>
            <w:r>
              <w:rPr>
                <w:color w:val="auto"/>
                <w:highlight w:val="none"/>
              </w:rPr>
              <w:t>0.05t/a</w:t>
            </w:r>
          </w:p>
        </w:tc>
        <w:tc>
          <w:tcPr>
            <w:tcW w:w="476" w:type="pct"/>
            <w:shd w:val="clear" w:color="auto" w:fill="auto"/>
            <w:vAlign w:val="center"/>
          </w:tcPr>
          <w:p w14:paraId="76927F5D">
            <w:pPr>
              <w:pStyle w:val="84"/>
              <w:rPr>
                <w:color w:val="auto"/>
                <w:highlight w:val="none"/>
              </w:rPr>
            </w:pPr>
            <w:r>
              <w:rPr>
                <w:rFonts w:hint="eastAsia"/>
                <w:color w:val="auto"/>
                <w:highlight w:val="none"/>
              </w:rPr>
              <w:t>回填</w:t>
            </w:r>
          </w:p>
        </w:tc>
      </w:tr>
      <w:tr w14:paraId="7D1C04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4" w:hRule="atLeast"/>
        </w:trPr>
        <w:tc>
          <w:tcPr>
            <w:tcW w:w="418" w:type="pct"/>
            <w:shd w:val="clear" w:color="auto" w:fill="auto"/>
            <w:vAlign w:val="center"/>
          </w:tcPr>
          <w:p w14:paraId="6E01C318">
            <w:pPr>
              <w:pStyle w:val="84"/>
              <w:rPr>
                <w:color w:val="auto"/>
                <w:highlight w:val="none"/>
              </w:rPr>
            </w:pPr>
            <w:r>
              <w:rPr>
                <w:rFonts w:hint="eastAsia"/>
                <w:color w:val="auto"/>
                <w:highlight w:val="none"/>
              </w:rPr>
              <w:t>生活垃圾</w:t>
            </w:r>
          </w:p>
        </w:tc>
        <w:tc>
          <w:tcPr>
            <w:tcW w:w="419" w:type="pct"/>
            <w:shd w:val="clear" w:color="auto" w:fill="auto"/>
            <w:vAlign w:val="center"/>
          </w:tcPr>
          <w:p w14:paraId="42544D2F">
            <w:pPr>
              <w:pStyle w:val="84"/>
              <w:rPr>
                <w:color w:val="auto"/>
                <w:highlight w:val="none"/>
              </w:rPr>
            </w:pPr>
            <w:r>
              <w:rPr>
                <w:rFonts w:hint="eastAsia"/>
                <w:color w:val="auto"/>
                <w:highlight w:val="none"/>
              </w:rPr>
              <w:t>职工生活</w:t>
            </w:r>
          </w:p>
        </w:tc>
        <w:tc>
          <w:tcPr>
            <w:tcW w:w="419" w:type="pct"/>
            <w:shd w:val="clear" w:color="auto" w:fill="auto"/>
            <w:vAlign w:val="center"/>
          </w:tcPr>
          <w:p w14:paraId="6FD73A97">
            <w:pPr>
              <w:pStyle w:val="84"/>
              <w:rPr>
                <w:color w:val="auto"/>
                <w:highlight w:val="none"/>
              </w:rPr>
            </w:pPr>
            <w:r>
              <w:rPr>
                <w:rFonts w:hint="eastAsia"/>
                <w:color w:val="auto"/>
                <w:highlight w:val="none"/>
              </w:rPr>
              <w:t>一般固废</w:t>
            </w:r>
          </w:p>
        </w:tc>
        <w:tc>
          <w:tcPr>
            <w:tcW w:w="760" w:type="pct"/>
            <w:vAlign w:val="center"/>
          </w:tcPr>
          <w:p w14:paraId="696C8DE7">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SW64900-0</w:t>
            </w:r>
          </w:p>
          <w:p w14:paraId="7F698C51">
            <w:pPr>
              <w:keepNext w:val="0"/>
              <w:keepLines w:val="0"/>
              <w:pageBreakBefore w:val="0"/>
              <w:widowControl/>
              <w:suppressLineNumbers w:val="0"/>
              <w:kinsoku/>
              <w:wordWrap/>
              <w:overflowPunct/>
              <w:topLinePunct w:val="0"/>
              <w:autoSpaceDE/>
              <w:autoSpaceDN/>
              <w:bidi w:val="0"/>
              <w:adjustRightInd w:val="0"/>
              <w:snapToGrid w:val="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99-S64</w:t>
            </w:r>
          </w:p>
        </w:tc>
        <w:tc>
          <w:tcPr>
            <w:tcW w:w="570" w:type="pct"/>
            <w:shd w:val="clear" w:color="auto" w:fill="auto"/>
            <w:vAlign w:val="center"/>
          </w:tcPr>
          <w:p w14:paraId="1A0B940B">
            <w:pPr>
              <w:pStyle w:val="84"/>
              <w:rPr>
                <w:color w:val="auto"/>
                <w:highlight w:val="none"/>
              </w:rPr>
            </w:pPr>
            <w:r>
              <w:rPr>
                <w:rFonts w:hint="eastAsia"/>
                <w:color w:val="auto"/>
                <w:highlight w:val="none"/>
              </w:rPr>
              <w:t>类比法</w:t>
            </w:r>
          </w:p>
        </w:tc>
        <w:tc>
          <w:tcPr>
            <w:tcW w:w="604" w:type="pct"/>
            <w:shd w:val="clear" w:color="auto" w:fill="auto"/>
            <w:vAlign w:val="center"/>
          </w:tcPr>
          <w:p w14:paraId="7D416CE5">
            <w:pPr>
              <w:pStyle w:val="84"/>
              <w:rPr>
                <w:color w:val="auto"/>
                <w:highlight w:val="none"/>
              </w:rPr>
            </w:pPr>
            <w:r>
              <w:rPr>
                <w:color w:val="auto"/>
                <w:highlight w:val="none"/>
              </w:rPr>
              <w:t>2.25</w:t>
            </w:r>
            <w:r>
              <w:rPr>
                <w:rFonts w:hint="eastAsia"/>
                <w:color w:val="auto"/>
                <w:highlight w:val="none"/>
              </w:rPr>
              <w:t>t/a</w:t>
            </w:r>
          </w:p>
        </w:tc>
        <w:tc>
          <w:tcPr>
            <w:tcW w:w="766" w:type="pct"/>
            <w:shd w:val="clear" w:color="auto" w:fill="auto"/>
            <w:vAlign w:val="center"/>
          </w:tcPr>
          <w:p w14:paraId="1046B3C3">
            <w:pPr>
              <w:pStyle w:val="84"/>
              <w:jc w:val="both"/>
              <w:rPr>
                <w:color w:val="auto"/>
                <w:highlight w:val="none"/>
              </w:rPr>
            </w:pPr>
            <w:r>
              <w:rPr>
                <w:rFonts w:hint="eastAsia"/>
                <w:color w:val="auto"/>
                <w:highlight w:val="none"/>
              </w:rPr>
              <w:t>场区设置生活垃圾箱</w:t>
            </w:r>
            <w:r>
              <w:rPr>
                <w:color w:val="auto"/>
                <w:highlight w:val="none"/>
              </w:rPr>
              <w:t>，</w:t>
            </w:r>
            <w:r>
              <w:rPr>
                <w:rFonts w:hint="eastAsia"/>
                <w:color w:val="auto"/>
                <w:highlight w:val="none"/>
              </w:rPr>
              <w:t>生活</w:t>
            </w:r>
            <w:r>
              <w:rPr>
                <w:color w:val="auto"/>
                <w:highlight w:val="none"/>
              </w:rPr>
              <w:t>垃圾经集中收集后由环卫部门统一清运。</w:t>
            </w:r>
          </w:p>
        </w:tc>
        <w:tc>
          <w:tcPr>
            <w:tcW w:w="567" w:type="pct"/>
            <w:shd w:val="clear" w:color="auto" w:fill="auto"/>
            <w:vAlign w:val="center"/>
          </w:tcPr>
          <w:p w14:paraId="55143702">
            <w:pPr>
              <w:pStyle w:val="84"/>
              <w:rPr>
                <w:color w:val="auto"/>
                <w:highlight w:val="none"/>
              </w:rPr>
            </w:pPr>
            <w:r>
              <w:rPr>
                <w:color w:val="auto"/>
                <w:highlight w:val="none"/>
              </w:rPr>
              <w:t>2.25</w:t>
            </w:r>
            <w:r>
              <w:rPr>
                <w:rFonts w:hint="eastAsia"/>
                <w:color w:val="auto"/>
                <w:highlight w:val="none"/>
              </w:rPr>
              <w:t>t/a</w:t>
            </w:r>
          </w:p>
        </w:tc>
        <w:tc>
          <w:tcPr>
            <w:tcW w:w="476" w:type="pct"/>
            <w:shd w:val="clear" w:color="auto" w:fill="auto"/>
            <w:vAlign w:val="center"/>
          </w:tcPr>
          <w:p w14:paraId="55317FF4">
            <w:pPr>
              <w:pStyle w:val="84"/>
              <w:rPr>
                <w:color w:val="auto"/>
                <w:highlight w:val="none"/>
              </w:rPr>
            </w:pPr>
            <w:r>
              <w:rPr>
                <w:rFonts w:hint="eastAsia"/>
                <w:color w:val="auto"/>
                <w:highlight w:val="none"/>
              </w:rPr>
              <w:t>市政部门统一处理</w:t>
            </w:r>
          </w:p>
        </w:tc>
      </w:tr>
      <w:bookmarkEnd w:id="104"/>
    </w:tbl>
    <w:p w14:paraId="1F1FFB84">
      <w:pPr>
        <w:pStyle w:val="135"/>
        <w:rPr>
          <w:color w:val="auto"/>
        </w:rPr>
      </w:pPr>
      <w:r>
        <w:rPr>
          <w:rFonts w:hint="eastAsia"/>
          <w:color w:val="auto"/>
        </w:rPr>
        <w:t>3</w:t>
      </w:r>
      <w:r>
        <w:rPr>
          <w:color w:val="auto"/>
        </w:rPr>
        <w:t>.3.2.5</w:t>
      </w:r>
      <w:r>
        <w:rPr>
          <w:rFonts w:hint="eastAsia"/>
          <w:color w:val="auto"/>
        </w:rPr>
        <w:t>地下水</w:t>
      </w:r>
    </w:p>
    <w:p w14:paraId="336C21B5">
      <w:pPr>
        <w:pStyle w:val="59"/>
        <w:ind w:firstLine="480"/>
        <w:rPr>
          <w:color w:val="auto"/>
        </w:rPr>
      </w:pPr>
      <w:r>
        <w:rPr>
          <w:rFonts w:hint="eastAsia" w:ascii="宋体" w:hAnsi="宋体" w:cs="宋体"/>
          <w:color w:val="auto"/>
        </w:rPr>
        <w:t>①</w:t>
      </w:r>
      <w:r>
        <w:rPr>
          <w:rFonts w:hint="eastAsia"/>
          <w:color w:val="auto"/>
        </w:rPr>
        <w:t>正常状况下</w:t>
      </w:r>
    </w:p>
    <w:p w14:paraId="45929519">
      <w:pPr>
        <w:pStyle w:val="59"/>
        <w:ind w:firstLine="480"/>
        <w:rPr>
          <w:color w:val="auto"/>
        </w:rPr>
      </w:pPr>
      <w:r>
        <w:rPr>
          <w:rFonts w:hint="eastAsia"/>
          <w:color w:val="auto"/>
        </w:rPr>
        <w:t>评价区属于温带大陆性季风气候，回填区内的降水能够自然蒸发，碾压后的</w:t>
      </w:r>
      <w:r>
        <w:rPr>
          <w:rFonts w:hint="eastAsia"/>
          <w:color w:val="auto"/>
          <w:lang w:eastAsia="zh-CN"/>
        </w:rPr>
        <w:t>灰渣</w:t>
      </w:r>
      <w:r>
        <w:rPr>
          <w:rFonts w:hint="eastAsia"/>
          <w:color w:val="auto"/>
        </w:rPr>
        <w:t>有较高的密实度和不透水性，本身含水率较低，基本不会产生淋溶水。淋溶水</w:t>
      </w:r>
      <w:r>
        <w:rPr>
          <w:color w:val="auto"/>
        </w:rPr>
        <w:t>暂存池在达到防渗要求时正常运营状态下</w:t>
      </w:r>
      <w:r>
        <w:rPr>
          <w:rFonts w:hint="eastAsia"/>
          <w:color w:val="auto"/>
        </w:rPr>
        <w:t>也</w:t>
      </w:r>
      <w:r>
        <w:rPr>
          <w:color w:val="auto"/>
        </w:rPr>
        <w:t>不会有污水渗漏</w:t>
      </w:r>
      <w:r>
        <w:rPr>
          <w:rFonts w:hint="eastAsia"/>
          <w:color w:val="auto"/>
        </w:rPr>
        <w:t>。</w:t>
      </w:r>
    </w:p>
    <w:p w14:paraId="01443048">
      <w:pPr>
        <w:pStyle w:val="59"/>
        <w:ind w:firstLine="480"/>
        <w:rPr>
          <w:color w:val="auto"/>
          <w:highlight w:val="none"/>
        </w:rPr>
      </w:pPr>
      <w:r>
        <w:rPr>
          <w:color w:val="auto"/>
          <w:highlight w:val="none"/>
        </w:rPr>
        <w:fldChar w:fldCharType="begin"/>
      </w:r>
      <w:r>
        <w:rPr>
          <w:color w:val="auto"/>
          <w:highlight w:val="none"/>
        </w:rPr>
        <w:instrText xml:space="preserve"> </w:instrText>
      </w:r>
      <w:r>
        <w:rPr>
          <w:rFonts w:hint="eastAsia"/>
          <w:color w:val="auto"/>
          <w:highlight w:val="none"/>
        </w:rPr>
        <w:instrText xml:space="preserve">= 2 \* GB3</w:instrText>
      </w:r>
      <w:r>
        <w:rPr>
          <w:color w:val="auto"/>
          <w:highlight w:val="none"/>
        </w:rPr>
        <w:instrText xml:space="preserve"> </w:instrText>
      </w:r>
      <w:r>
        <w:rPr>
          <w:color w:val="auto"/>
          <w:highlight w:val="none"/>
        </w:rPr>
        <w:fldChar w:fldCharType="separate"/>
      </w:r>
      <w:r>
        <w:rPr>
          <w:rFonts w:hint="eastAsia"/>
          <w:color w:val="auto"/>
          <w:highlight w:val="none"/>
        </w:rPr>
        <w:t>②</w:t>
      </w:r>
      <w:r>
        <w:rPr>
          <w:color w:val="auto"/>
          <w:highlight w:val="none"/>
        </w:rPr>
        <w:fldChar w:fldCharType="end"/>
      </w:r>
      <w:r>
        <w:rPr>
          <w:rFonts w:hint="eastAsia"/>
          <w:color w:val="auto"/>
          <w:highlight w:val="none"/>
        </w:rPr>
        <w:t>非正常状况下强</w:t>
      </w:r>
      <w:r>
        <w:rPr>
          <w:color w:val="auto"/>
          <w:highlight w:val="none"/>
        </w:rPr>
        <w:t>降雨时</w:t>
      </w:r>
      <w:r>
        <w:rPr>
          <w:rFonts w:hint="eastAsia"/>
          <w:color w:val="auto"/>
          <w:highlight w:val="none"/>
        </w:rPr>
        <w:t>淋溶水</w:t>
      </w:r>
      <w:r>
        <w:rPr>
          <w:color w:val="auto"/>
          <w:highlight w:val="none"/>
        </w:rPr>
        <w:t>的产生量</w:t>
      </w:r>
    </w:p>
    <w:p w14:paraId="31DACD83">
      <w:pPr>
        <w:pStyle w:val="59"/>
        <w:ind w:firstLine="480"/>
        <w:rPr>
          <w:color w:val="auto"/>
          <w:highlight w:val="none"/>
        </w:rPr>
      </w:pPr>
      <w:r>
        <w:rPr>
          <w:rFonts w:hint="eastAsia"/>
          <w:color w:val="auto"/>
          <w:highlight w:val="none"/>
        </w:rPr>
        <w:t>回填区虽经过改性粘土碾压防渗处理，但仍具有一定的孔隙。回填区在持续强降雨的条件下，因地质</w:t>
      </w:r>
      <w:r>
        <w:rPr>
          <w:color w:val="auto"/>
          <w:highlight w:val="none"/>
        </w:rPr>
        <w:t>塌陷等原因防渗层失效，</w:t>
      </w:r>
      <w:r>
        <w:rPr>
          <w:rFonts w:hint="eastAsia"/>
          <w:color w:val="auto"/>
          <w:highlight w:val="none"/>
        </w:rPr>
        <w:t>淋溶水通过回填区底层渗入地下，造成对区域地下水的污染。</w:t>
      </w:r>
    </w:p>
    <w:p w14:paraId="17E6F666">
      <w:pPr>
        <w:pStyle w:val="59"/>
        <w:ind w:firstLine="480"/>
        <w:rPr>
          <w:color w:val="auto"/>
          <w:highlight w:val="none"/>
        </w:rPr>
      </w:pPr>
      <w:r>
        <w:rPr>
          <w:color w:val="auto"/>
          <w:highlight w:val="none"/>
        </w:rPr>
        <w:t>在</w:t>
      </w:r>
      <w:r>
        <w:rPr>
          <w:rFonts w:hint="eastAsia"/>
          <w:color w:val="auto"/>
          <w:highlight w:val="none"/>
        </w:rPr>
        <w:t>强降雨</w:t>
      </w:r>
      <w:r>
        <w:rPr>
          <w:color w:val="auto"/>
          <w:highlight w:val="none"/>
        </w:rPr>
        <w:t>状况下，下渗量按下式计算：</w:t>
      </w:r>
    </w:p>
    <w:p w14:paraId="4AA5306B">
      <w:pPr>
        <w:pStyle w:val="59"/>
        <w:ind w:firstLine="480"/>
        <w:jc w:val="center"/>
        <w:rPr>
          <w:color w:val="auto"/>
        </w:rPr>
      </w:pPr>
      <w:r>
        <w:rPr>
          <w:color w:val="auto"/>
        </w:rPr>
        <w:t>A=M×V×T</w:t>
      </w:r>
    </w:p>
    <w:p w14:paraId="0CE2895F">
      <w:pPr>
        <w:pStyle w:val="59"/>
        <w:ind w:firstLine="480"/>
        <w:rPr>
          <w:color w:val="auto"/>
        </w:rPr>
      </w:pPr>
      <w:r>
        <w:rPr>
          <w:color w:val="auto"/>
        </w:rPr>
        <w:t>式中：</w:t>
      </w:r>
    </w:p>
    <w:p w14:paraId="6DE537D8">
      <w:pPr>
        <w:pStyle w:val="59"/>
        <w:ind w:firstLine="480"/>
        <w:rPr>
          <w:color w:val="auto"/>
        </w:rPr>
      </w:pPr>
      <w:r>
        <w:rPr>
          <w:color w:val="auto"/>
        </w:rPr>
        <w:t>A—下渗</w:t>
      </w:r>
      <w:r>
        <w:rPr>
          <w:rFonts w:hint="eastAsia"/>
          <w:color w:val="auto"/>
        </w:rPr>
        <w:t>渗漏</w:t>
      </w:r>
      <w:r>
        <w:rPr>
          <w:color w:val="auto"/>
        </w:rPr>
        <w:t>量，m</w:t>
      </w:r>
      <w:r>
        <w:rPr>
          <w:color w:val="auto"/>
          <w:vertAlign w:val="superscript"/>
        </w:rPr>
        <w:t>3</w:t>
      </w:r>
      <w:r>
        <w:rPr>
          <w:color w:val="auto"/>
        </w:rPr>
        <w:t>/d；</w:t>
      </w:r>
    </w:p>
    <w:p w14:paraId="68AF51E5">
      <w:pPr>
        <w:pStyle w:val="59"/>
        <w:ind w:firstLine="480"/>
        <w:rPr>
          <w:color w:val="auto"/>
        </w:rPr>
      </w:pPr>
      <w:r>
        <w:rPr>
          <w:color w:val="auto"/>
        </w:rPr>
        <w:t>M—</w:t>
      </w:r>
      <w:r>
        <w:rPr>
          <w:rFonts w:hint="eastAsia"/>
          <w:color w:val="auto"/>
        </w:rPr>
        <w:t>渗漏</w:t>
      </w:r>
      <w:r>
        <w:rPr>
          <w:color w:val="auto"/>
        </w:rPr>
        <w:t>面积，</w:t>
      </w:r>
      <w:r>
        <w:rPr>
          <w:rFonts w:hint="eastAsia"/>
          <w:color w:val="auto"/>
        </w:rPr>
        <w:t>整体渗漏面积为回填区</w:t>
      </w:r>
      <w:r>
        <w:rPr>
          <w:color w:val="auto"/>
        </w:rPr>
        <w:t>下部分表面积，为</w:t>
      </w:r>
      <w:r>
        <w:rPr>
          <w:rFonts w:hint="eastAsia"/>
          <w:color w:val="auto"/>
          <w:lang w:val="en-US" w:eastAsia="zh-CN"/>
        </w:rPr>
        <w:t>52320</w:t>
      </w:r>
      <w:r>
        <w:rPr>
          <w:color w:val="auto"/>
        </w:rPr>
        <w:t>m</w:t>
      </w:r>
      <w:r>
        <w:rPr>
          <w:color w:val="auto"/>
          <w:vertAlign w:val="superscript"/>
        </w:rPr>
        <w:t>2</w:t>
      </w:r>
      <w:r>
        <w:rPr>
          <w:color w:val="auto"/>
        </w:rPr>
        <w:t>；</w:t>
      </w:r>
    </w:p>
    <w:p w14:paraId="54543474">
      <w:pPr>
        <w:pStyle w:val="59"/>
        <w:ind w:firstLine="480"/>
        <w:rPr>
          <w:color w:val="auto"/>
        </w:rPr>
      </w:pPr>
      <w:r>
        <w:rPr>
          <w:color w:val="auto"/>
        </w:rPr>
        <w:t>V—渗透速度，m/s，渗透速度取决于土壤层介质，</w:t>
      </w:r>
      <w:r>
        <w:rPr>
          <w:rFonts w:hint="eastAsia"/>
          <w:color w:val="auto"/>
        </w:rPr>
        <w:t>本项目对场底进行改性压实粘土压实防渗，</w:t>
      </w:r>
      <w:r>
        <w:rPr>
          <w:color w:val="auto"/>
        </w:rPr>
        <w:t>渗透系数取1.0×</w:t>
      </w:r>
      <w:r>
        <w:rPr>
          <w:rFonts w:hint="eastAsia"/>
          <w:color w:val="auto"/>
        </w:rPr>
        <w:t>10</w:t>
      </w:r>
      <w:r>
        <w:rPr>
          <w:color w:val="auto"/>
          <w:vertAlign w:val="superscript"/>
        </w:rPr>
        <w:t>-</w:t>
      </w:r>
      <w:r>
        <w:rPr>
          <w:rFonts w:hint="eastAsia"/>
          <w:color w:val="auto"/>
          <w:vertAlign w:val="superscript"/>
        </w:rPr>
        <w:t>7</w:t>
      </w:r>
      <w:r>
        <w:rPr>
          <w:color w:val="auto"/>
        </w:rPr>
        <w:t>cm/s；</w:t>
      </w:r>
    </w:p>
    <w:p w14:paraId="53BE4D88">
      <w:pPr>
        <w:pStyle w:val="59"/>
        <w:ind w:firstLine="480"/>
        <w:rPr>
          <w:color w:val="auto"/>
        </w:rPr>
      </w:pPr>
      <w:r>
        <w:rPr>
          <w:color w:val="auto"/>
        </w:rPr>
        <w:t>T—</w:t>
      </w:r>
      <w:r>
        <w:rPr>
          <w:rFonts w:hint="eastAsia"/>
          <w:color w:val="auto"/>
        </w:rPr>
        <w:t>渗漏</w:t>
      </w:r>
      <w:r>
        <w:rPr>
          <w:color w:val="auto"/>
        </w:rPr>
        <w:t>时间，s。</w:t>
      </w:r>
    </w:p>
    <w:p w14:paraId="46CB1B97">
      <w:pPr>
        <w:pStyle w:val="59"/>
        <w:ind w:firstLine="480"/>
        <w:rPr>
          <w:color w:val="auto"/>
        </w:rPr>
      </w:pPr>
      <w:r>
        <w:rPr>
          <w:color w:val="auto"/>
        </w:rPr>
        <w:t>A=M×V×T=</w:t>
      </w:r>
      <w:r>
        <w:rPr>
          <w:rFonts w:hint="eastAsia"/>
          <w:color w:val="auto"/>
          <w:lang w:val="en-US" w:eastAsia="zh-CN"/>
        </w:rPr>
        <w:t>52320</w:t>
      </w:r>
      <w:r>
        <w:rPr>
          <w:color w:val="auto"/>
        </w:rPr>
        <w:t>m</w:t>
      </w:r>
      <w:r>
        <w:rPr>
          <w:color w:val="auto"/>
          <w:vertAlign w:val="superscript"/>
        </w:rPr>
        <w:t>2</w:t>
      </w:r>
      <w:r>
        <w:rPr>
          <w:color w:val="auto"/>
        </w:rPr>
        <w:t>×1×10</w:t>
      </w:r>
      <w:r>
        <w:rPr>
          <w:color w:val="auto"/>
          <w:vertAlign w:val="superscript"/>
        </w:rPr>
        <w:t>-</w:t>
      </w:r>
      <w:r>
        <w:rPr>
          <w:rFonts w:hint="eastAsia"/>
          <w:color w:val="auto"/>
          <w:vertAlign w:val="superscript"/>
        </w:rPr>
        <w:t>7</w:t>
      </w:r>
      <w:r>
        <w:rPr>
          <w:color w:val="auto"/>
        </w:rPr>
        <w:t>m/s×86400s=</w:t>
      </w:r>
      <w:r>
        <w:rPr>
          <w:rFonts w:hint="eastAsia"/>
          <w:color w:val="auto"/>
          <w:lang w:val="en-US" w:eastAsia="zh-CN"/>
        </w:rPr>
        <w:t>452.045</w:t>
      </w:r>
      <w:r>
        <w:rPr>
          <w:color w:val="auto"/>
        </w:rPr>
        <w:t>m</w:t>
      </w:r>
      <w:r>
        <w:rPr>
          <w:color w:val="auto"/>
          <w:vertAlign w:val="superscript"/>
        </w:rPr>
        <w:t>3</w:t>
      </w:r>
      <w:r>
        <w:rPr>
          <w:color w:val="auto"/>
        </w:rPr>
        <w:t>/d</w:t>
      </w:r>
    </w:p>
    <w:p w14:paraId="3A46EC59">
      <w:pPr>
        <w:pStyle w:val="59"/>
        <w:ind w:firstLine="480"/>
        <w:rPr>
          <w:color w:val="auto"/>
        </w:rPr>
      </w:pPr>
      <w:r>
        <w:rPr>
          <w:rFonts w:hint="eastAsia"/>
          <w:color w:val="auto"/>
        </w:rPr>
        <w:t>根据</w:t>
      </w:r>
      <w:r>
        <w:rPr>
          <w:rFonts w:hint="eastAsia"/>
          <w:color w:val="auto"/>
          <w:lang w:eastAsia="zh-CN"/>
        </w:rPr>
        <w:t>灰渣</w:t>
      </w:r>
      <w:r>
        <w:rPr>
          <w:rFonts w:hint="eastAsia"/>
          <w:color w:val="auto"/>
        </w:rPr>
        <w:t>浸出液检测结果，强降雨情况下淋溶水下渗</w:t>
      </w:r>
      <w:r>
        <w:rPr>
          <w:color w:val="auto"/>
        </w:rPr>
        <w:t>的污染源</w:t>
      </w:r>
      <w:r>
        <w:rPr>
          <w:rFonts w:hint="eastAsia"/>
          <w:color w:val="auto"/>
        </w:rPr>
        <w:t>强</w:t>
      </w:r>
      <w:r>
        <w:rPr>
          <w:color w:val="auto"/>
        </w:rPr>
        <w:t>见</w:t>
      </w:r>
      <w:r>
        <w:rPr>
          <w:rFonts w:hint="eastAsia"/>
          <w:color w:val="auto"/>
        </w:rPr>
        <w:t>下表</w:t>
      </w:r>
      <w:r>
        <w:rPr>
          <w:color w:val="auto"/>
        </w:rPr>
        <w:t>。</w:t>
      </w:r>
    </w:p>
    <w:p w14:paraId="7936763A">
      <w:pPr>
        <w:pStyle w:val="76"/>
        <w:rPr>
          <w:color w:val="auto"/>
        </w:rPr>
      </w:pPr>
      <w:r>
        <w:rPr>
          <w:color w:val="auto"/>
        </w:rPr>
        <w:t>表</w:t>
      </w:r>
      <w:r>
        <w:rPr>
          <w:rFonts w:hint="eastAsia"/>
          <w:color w:val="auto"/>
        </w:rPr>
        <w:t>3</w:t>
      </w:r>
      <w:r>
        <w:rPr>
          <w:color w:val="auto"/>
        </w:rPr>
        <w:t>-3-12淋溶水下渗污染源强计算表</w:t>
      </w:r>
    </w:p>
    <w:tbl>
      <w:tblPr>
        <w:tblStyle w:val="45"/>
        <w:tblW w:w="4749"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636"/>
        <w:gridCol w:w="608"/>
        <w:gridCol w:w="1497"/>
        <w:gridCol w:w="1110"/>
        <w:gridCol w:w="1349"/>
        <w:gridCol w:w="1344"/>
        <w:gridCol w:w="1345"/>
      </w:tblGrid>
      <w:tr w14:paraId="2BBBC49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77" w:hRule="atLeast"/>
          <w:tblHeader/>
          <w:jc w:val="center"/>
        </w:trPr>
        <w:tc>
          <w:tcPr>
            <w:tcW w:w="392" w:type="pct"/>
            <w:vAlign w:val="center"/>
          </w:tcPr>
          <w:p w14:paraId="549C1F3B">
            <w:pPr>
              <w:pStyle w:val="84"/>
              <w:rPr>
                <w:color w:val="auto"/>
              </w:rPr>
            </w:pPr>
            <w:r>
              <w:rPr>
                <w:rFonts w:hint="eastAsia"/>
                <w:color w:val="auto"/>
              </w:rPr>
              <w:t>非正常状况</w:t>
            </w:r>
          </w:p>
        </w:tc>
        <w:tc>
          <w:tcPr>
            <w:tcW w:w="387" w:type="pct"/>
            <w:vAlign w:val="center"/>
          </w:tcPr>
          <w:p w14:paraId="41F49BF3">
            <w:pPr>
              <w:pStyle w:val="84"/>
              <w:rPr>
                <w:color w:val="auto"/>
              </w:rPr>
            </w:pPr>
            <w:r>
              <w:rPr>
                <w:color w:val="auto"/>
              </w:rPr>
              <w:t>序号</w:t>
            </w:r>
          </w:p>
        </w:tc>
        <w:tc>
          <w:tcPr>
            <w:tcW w:w="950" w:type="pct"/>
            <w:vAlign w:val="center"/>
          </w:tcPr>
          <w:p w14:paraId="119DC90B">
            <w:pPr>
              <w:pStyle w:val="84"/>
              <w:rPr>
                <w:color w:val="auto"/>
              </w:rPr>
            </w:pPr>
            <w:r>
              <w:rPr>
                <w:rFonts w:hint="eastAsia"/>
                <w:color w:val="auto"/>
              </w:rPr>
              <w:t>污染物</w:t>
            </w:r>
          </w:p>
        </w:tc>
        <w:tc>
          <w:tcPr>
            <w:tcW w:w="705" w:type="pct"/>
            <w:vAlign w:val="center"/>
          </w:tcPr>
          <w:p w14:paraId="61313118">
            <w:pPr>
              <w:pStyle w:val="84"/>
              <w:rPr>
                <w:rFonts w:hAnsiTheme="minorEastAsia" w:eastAsiaTheme="minorEastAsia"/>
                <w:color w:val="auto"/>
                <w:spacing w:val="9"/>
              </w:rPr>
            </w:pPr>
            <w:r>
              <w:rPr>
                <w:rFonts w:hint="eastAsia" w:hAnsiTheme="minorEastAsia" w:eastAsiaTheme="minorEastAsia"/>
                <w:color w:val="auto"/>
                <w:spacing w:val="9"/>
              </w:rPr>
              <w:t>渗漏面积（m</w:t>
            </w:r>
            <w:r>
              <w:rPr>
                <w:rFonts w:hAnsiTheme="minorEastAsia" w:eastAsiaTheme="minorEastAsia"/>
                <w:color w:val="auto"/>
                <w:spacing w:val="9"/>
                <w:vertAlign w:val="superscript"/>
              </w:rPr>
              <w:t>2</w:t>
            </w:r>
            <w:r>
              <w:rPr>
                <w:rFonts w:hint="eastAsia" w:hAnsiTheme="minorEastAsia" w:eastAsiaTheme="minorEastAsia"/>
                <w:color w:val="auto"/>
                <w:spacing w:val="9"/>
              </w:rPr>
              <w:t>）</w:t>
            </w:r>
          </w:p>
        </w:tc>
        <w:tc>
          <w:tcPr>
            <w:tcW w:w="856" w:type="pct"/>
            <w:vAlign w:val="center"/>
          </w:tcPr>
          <w:p w14:paraId="1CEE8578">
            <w:pPr>
              <w:pStyle w:val="84"/>
              <w:rPr>
                <w:rFonts w:hAnsiTheme="minorEastAsia" w:eastAsiaTheme="minorEastAsia"/>
                <w:color w:val="auto"/>
                <w:spacing w:val="9"/>
              </w:rPr>
            </w:pPr>
            <w:r>
              <w:rPr>
                <w:rFonts w:hint="eastAsia" w:hAnsiTheme="minorEastAsia" w:eastAsiaTheme="minorEastAsia"/>
                <w:color w:val="auto"/>
                <w:spacing w:val="9"/>
              </w:rPr>
              <w:t>渗漏强度（m</w:t>
            </w:r>
            <w:r>
              <w:rPr>
                <w:rFonts w:hAnsiTheme="minorEastAsia" w:eastAsiaTheme="minorEastAsia"/>
                <w:color w:val="auto"/>
                <w:spacing w:val="9"/>
                <w:vertAlign w:val="superscript"/>
              </w:rPr>
              <w:t>3</w:t>
            </w:r>
            <w:r>
              <w:rPr>
                <w:rFonts w:hAnsiTheme="minorEastAsia" w:eastAsiaTheme="minorEastAsia"/>
                <w:color w:val="auto"/>
                <w:spacing w:val="9"/>
              </w:rPr>
              <w:t>/d</w:t>
            </w:r>
            <w:r>
              <w:rPr>
                <w:rFonts w:hint="eastAsia" w:hAnsiTheme="minorEastAsia" w:eastAsiaTheme="minorEastAsia"/>
                <w:color w:val="auto"/>
                <w:spacing w:val="9"/>
              </w:rPr>
              <w:t>）</w:t>
            </w:r>
          </w:p>
        </w:tc>
        <w:tc>
          <w:tcPr>
            <w:tcW w:w="853" w:type="pct"/>
            <w:vAlign w:val="center"/>
          </w:tcPr>
          <w:p w14:paraId="5A96D1EC">
            <w:pPr>
              <w:pStyle w:val="84"/>
              <w:rPr>
                <w:color w:val="auto"/>
              </w:rPr>
            </w:pPr>
            <w:r>
              <w:rPr>
                <w:rFonts w:hint="eastAsia" w:hAnsiTheme="minorEastAsia" w:eastAsiaTheme="minorEastAsia"/>
                <w:color w:val="auto"/>
                <w:spacing w:val="9"/>
              </w:rPr>
              <w:t>污染物浓度（mg/L）</w:t>
            </w:r>
          </w:p>
        </w:tc>
        <w:tc>
          <w:tcPr>
            <w:tcW w:w="853" w:type="pct"/>
            <w:vAlign w:val="center"/>
          </w:tcPr>
          <w:p w14:paraId="012554D6">
            <w:pPr>
              <w:pStyle w:val="84"/>
              <w:rPr>
                <w:rFonts w:hAnsiTheme="minorEastAsia" w:eastAsiaTheme="minorEastAsia"/>
                <w:color w:val="auto"/>
                <w:spacing w:val="9"/>
              </w:rPr>
            </w:pPr>
            <w:r>
              <w:rPr>
                <w:rFonts w:hint="eastAsia" w:hAnsiTheme="minorEastAsia" w:eastAsiaTheme="minorEastAsia"/>
                <w:color w:val="auto"/>
                <w:spacing w:val="9"/>
              </w:rPr>
              <w:t>污染物质量（kg/d）</w:t>
            </w:r>
          </w:p>
        </w:tc>
      </w:tr>
      <w:tr w14:paraId="0B6372A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restart"/>
            <w:vAlign w:val="center"/>
          </w:tcPr>
          <w:p w14:paraId="4FCF8D0A">
            <w:pPr>
              <w:pStyle w:val="84"/>
              <w:jc w:val="both"/>
              <w:rPr>
                <w:color w:val="auto"/>
              </w:rPr>
            </w:pPr>
            <w:r>
              <w:rPr>
                <w:rFonts w:hint="eastAsia"/>
                <w:color w:val="auto"/>
              </w:rPr>
              <w:t>持续强降雨情况下，淋溶水下渗</w:t>
            </w:r>
          </w:p>
        </w:tc>
        <w:tc>
          <w:tcPr>
            <w:tcW w:w="387" w:type="pct"/>
            <w:vAlign w:val="center"/>
          </w:tcPr>
          <w:p w14:paraId="21246DB0">
            <w:pPr>
              <w:pStyle w:val="84"/>
              <w:rPr>
                <w:color w:val="auto"/>
              </w:rPr>
            </w:pPr>
            <w:r>
              <w:rPr>
                <w:color w:val="auto"/>
              </w:rPr>
              <w:t>1</w:t>
            </w:r>
          </w:p>
        </w:tc>
        <w:tc>
          <w:tcPr>
            <w:tcW w:w="950" w:type="pct"/>
            <w:vAlign w:val="center"/>
          </w:tcPr>
          <w:p w14:paraId="7799276E">
            <w:pPr>
              <w:pStyle w:val="84"/>
              <w:rPr>
                <w:color w:val="auto"/>
              </w:rPr>
            </w:pPr>
            <w:r>
              <w:rPr>
                <w:color w:val="auto"/>
              </w:rPr>
              <w:t>COD</w:t>
            </w:r>
          </w:p>
        </w:tc>
        <w:tc>
          <w:tcPr>
            <w:tcW w:w="705" w:type="pct"/>
            <w:vAlign w:val="center"/>
          </w:tcPr>
          <w:p w14:paraId="0EB1C5A3">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5F7C7500">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63AF3B74">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88</w:t>
            </w:r>
          </w:p>
        </w:tc>
        <w:tc>
          <w:tcPr>
            <w:tcW w:w="853" w:type="pct"/>
            <w:vAlign w:val="center"/>
          </w:tcPr>
          <w:p w14:paraId="62907DA1">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39.78</w:t>
            </w:r>
          </w:p>
        </w:tc>
      </w:tr>
      <w:tr w14:paraId="3249564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38284854">
            <w:pPr>
              <w:pStyle w:val="84"/>
              <w:rPr>
                <w:color w:val="auto"/>
              </w:rPr>
            </w:pPr>
          </w:p>
        </w:tc>
        <w:tc>
          <w:tcPr>
            <w:tcW w:w="387" w:type="pct"/>
            <w:vAlign w:val="center"/>
          </w:tcPr>
          <w:p w14:paraId="778C378B">
            <w:pPr>
              <w:pStyle w:val="84"/>
              <w:rPr>
                <w:color w:val="auto"/>
              </w:rPr>
            </w:pPr>
            <w:r>
              <w:rPr>
                <w:color w:val="auto"/>
              </w:rPr>
              <w:t>2</w:t>
            </w:r>
          </w:p>
        </w:tc>
        <w:tc>
          <w:tcPr>
            <w:tcW w:w="950" w:type="pct"/>
            <w:vAlign w:val="center"/>
          </w:tcPr>
          <w:p w14:paraId="6FDA0FE0">
            <w:pPr>
              <w:pStyle w:val="84"/>
              <w:rPr>
                <w:color w:val="auto"/>
              </w:rPr>
            </w:pPr>
            <w:r>
              <w:rPr>
                <w:color w:val="auto"/>
              </w:rPr>
              <w:t>BOD</w:t>
            </w:r>
            <w:r>
              <w:rPr>
                <w:color w:val="auto"/>
                <w:vertAlign w:val="subscript"/>
              </w:rPr>
              <w:t>5</w:t>
            </w:r>
          </w:p>
        </w:tc>
        <w:tc>
          <w:tcPr>
            <w:tcW w:w="705" w:type="pct"/>
            <w:vAlign w:val="center"/>
          </w:tcPr>
          <w:p w14:paraId="67AACCC5">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37D8447E">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1DD0B905">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18.7</w:t>
            </w:r>
          </w:p>
        </w:tc>
        <w:tc>
          <w:tcPr>
            <w:tcW w:w="853" w:type="pct"/>
            <w:vAlign w:val="center"/>
          </w:tcPr>
          <w:p w14:paraId="4BA5F5A3">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8.453 </w:t>
            </w:r>
          </w:p>
        </w:tc>
      </w:tr>
      <w:tr w14:paraId="0F2AD5E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6BD9E2E8">
            <w:pPr>
              <w:pStyle w:val="84"/>
              <w:rPr>
                <w:color w:val="auto"/>
              </w:rPr>
            </w:pPr>
          </w:p>
        </w:tc>
        <w:tc>
          <w:tcPr>
            <w:tcW w:w="387" w:type="pct"/>
            <w:vAlign w:val="center"/>
          </w:tcPr>
          <w:p w14:paraId="6E4853C3">
            <w:pPr>
              <w:pStyle w:val="84"/>
              <w:rPr>
                <w:color w:val="auto"/>
              </w:rPr>
            </w:pPr>
            <w:r>
              <w:rPr>
                <w:color w:val="auto"/>
              </w:rPr>
              <w:t>3</w:t>
            </w:r>
          </w:p>
        </w:tc>
        <w:tc>
          <w:tcPr>
            <w:tcW w:w="950" w:type="pct"/>
            <w:vAlign w:val="center"/>
          </w:tcPr>
          <w:p w14:paraId="75B8BA3F">
            <w:pPr>
              <w:pStyle w:val="84"/>
              <w:rPr>
                <w:color w:val="auto"/>
              </w:rPr>
            </w:pPr>
            <w:r>
              <w:rPr>
                <w:color w:val="auto"/>
              </w:rPr>
              <w:t>氨氮</w:t>
            </w:r>
          </w:p>
        </w:tc>
        <w:tc>
          <w:tcPr>
            <w:tcW w:w="705" w:type="pct"/>
            <w:vAlign w:val="center"/>
          </w:tcPr>
          <w:p w14:paraId="73E6F605">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54848356">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7286F506">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0.39</w:t>
            </w:r>
          </w:p>
        </w:tc>
        <w:tc>
          <w:tcPr>
            <w:tcW w:w="853" w:type="pct"/>
            <w:vAlign w:val="center"/>
          </w:tcPr>
          <w:p w14:paraId="1ACFECB5">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0.176 </w:t>
            </w:r>
          </w:p>
        </w:tc>
      </w:tr>
      <w:tr w14:paraId="672881D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6797FE5F">
            <w:pPr>
              <w:pStyle w:val="84"/>
              <w:rPr>
                <w:color w:val="auto"/>
              </w:rPr>
            </w:pPr>
          </w:p>
        </w:tc>
        <w:tc>
          <w:tcPr>
            <w:tcW w:w="387" w:type="pct"/>
            <w:vAlign w:val="center"/>
          </w:tcPr>
          <w:p w14:paraId="624FAB0F">
            <w:pPr>
              <w:pStyle w:val="84"/>
              <w:rPr>
                <w:color w:val="auto"/>
              </w:rPr>
            </w:pPr>
            <w:r>
              <w:rPr>
                <w:rFonts w:hint="eastAsia"/>
                <w:color w:val="auto"/>
              </w:rPr>
              <w:t>4</w:t>
            </w:r>
          </w:p>
        </w:tc>
        <w:tc>
          <w:tcPr>
            <w:tcW w:w="950" w:type="pct"/>
            <w:vAlign w:val="center"/>
          </w:tcPr>
          <w:p w14:paraId="62D78176">
            <w:pPr>
              <w:pStyle w:val="84"/>
              <w:rPr>
                <w:color w:val="auto"/>
              </w:rPr>
            </w:pPr>
            <w:r>
              <w:rPr>
                <w:color w:val="auto"/>
              </w:rPr>
              <w:t>磷酸盐</w:t>
            </w:r>
          </w:p>
        </w:tc>
        <w:tc>
          <w:tcPr>
            <w:tcW w:w="705" w:type="pct"/>
            <w:vAlign w:val="center"/>
          </w:tcPr>
          <w:p w14:paraId="7492DFCE">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673DD902">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7EE491C4">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0.37</w:t>
            </w:r>
          </w:p>
        </w:tc>
        <w:tc>
          <w:tcPr>
            <w:tcW w:w="853" w:type="pct"/>
            <w:vAlign w:val="center"/>
          </w:tcPr>
          <w:p w14:paraId="757478CD">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0.167 </w:t>
            </w:r>
          </w:p>
        </w:tc>
      </w:tr>
      <w:tr w14:paraId="3AF79C7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7F891182">
            <w:pPr>
              <w:pStyle w:val="84"/>
              <w:rPr>
                <w:color w:val="auto"/>
              </w:rPr>
            </w:pPr>
          </w:p>
        </w:tc>
        <w:tc>
          <w:tcPr>
            <w:tcW w:w="387" w:type="pct"/>
            <w:vAlign w:val="center"/>
          </w:tcPr>
          <w:p w14:paraId="315DCCCA">
            <w:pPr>
              <w:pStyle w:val="84"/>
              <w:rPr>
                <w:color w:val="auto"/>
              </w:rPr>
            </w:pPr>
            <w:r>
              <w:rPr>
                <w:color w:val="auto"/>
              </w:rPr>
              <w:t>5</w:t>
            </w:r>
          </w:p>
        </w:tc>
        <w:tc>
          <w:tcPr>
            <w:tcW w:w="950" w:type="pct"/>
            <w:vAlign w:val="center"/>
          </w:tcPr>
          <w:p w14:paraId="179DFEED">
            <w:pPr>
              <w:pStyle w:val="84"/>
              <w:rPr>
                <w:color w:val="auto"/>
              </w:rPr>
            </w:pPr>
            <w:r>
              <w:rPr>
                <w:rFonts w:hAnsiTheme="minorEastAsia" w:eastAsiaTheme="minorEastAsia"/>
                <w:color w:val="auto"/>
                <w:spacing w:val="7"/>
              </w:rPr>
              <w:t>氟</w:t>
            </w:r>
            <w:r>
              <w:rPr>
                <w:rFonts w:hAnsiTheme="minorEastAsia" w:eastAsiaTheme="minorEastAsia"/>
                <w:color w:val="auto"/>
                <w:spacing w:val="6"/>
              </w:rPr>
              <w:t>化物</w:t>
            </w:r>
          </w:p>
        </w:tc>
        <w:tc>
          <w:tcPr>
            <w:tcW w:w="705" w:type="pct"/>
            <w:vAlign w:val="center"/>
          </w:tcPr>
          <w:p w14:paraId="656F2BCD">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05C17FB4">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1896469A">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0.55</w:t>
            </w:r>
          </w:p>
        </w:tc>
        <w:tc>
          <w:tcPr>
            <w:tcW w:w="853" w:type="pct"/>
            <w:vAlign w:val="center"/>
          </w:tcPr>
          <w:p w14:paraId="7125B6C0">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0.249 </w:t>
            </w:r>
          </w:p>
        </w:tc>
      </w:tr>
      <w:tr w14:paraId="54AA9A21">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6A28041F">
            <w:pPr>
              <w:pStyle w:val="84"/>
              <w:rPr>
                <w:color w:val="auto"/>
              </w:rPr>
            </w:pPr>
          </w:p>
        </w:tc>
        <w:tc>
          <w:tcPr>
            <w:tcW w:w="387" w:type="pct"/>
            <w:vAlign w:val="center"/>
          </w:tcPr>
          <w:p w14:paraId="57092EB1">
            <w:pPr>
              <w:pStyle w:val="84"/>
              <w:rPr>
                <w:color w:val="auto"/>
              </w:rPr>
            </w:pPr>
            <w:r>
              <w:rPr>
                <w:color w:val="auto"/>
              </w:rPr>
              <w:t>6</w:t>
            </w:r>
          </w:p>
        </w:tc>
        <w:tc>
          <w:tcPr>
            <w:tcW w:w="950" w:type="pct"/>
            <w:vAlign w:val="center"/>
          </w:tcPr>
          <w:p w14:paraId="49A2B4AB">
            <w:pPr>
              <w:pStyle w:val="84"/>
              <w:rPr>
                <w:rFonts w:hint="eastAsia" w:eastAsia="宋体"/>
                <w:color w:val="auto"/>
                <w:lang w:eastAsia="zh-CN"/>
              </w:rPr>
            </w:pPr>
            <w:r>
              <w:rPr>
                <w:rFonts w:hint="eastAsia"/>
                <w:color w:val="auto"/>
                <w:lang w:eastAsia="zh-CN"/>
              </w:rPr>
              <w:t>铅</w:t>
            </w:r>
          </w:p>
        </w:tc>
        <w:tc>
          <w:tcPr>
            <w:tcW w:w="705" w:type="pct"/>
            <w:vAlign w:val="center"/>
          </w:tcPr>
          <w:p w14:paraId="08A005CB">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298045D6">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7F2171FD">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0.2</w:t>
            </w:r>
          </w:p>
        </w:tc>
        <w:tc>
          <w:tcPr>
            <w:tcW w:w="853" w:type="pct"/>
            <w:vAlign w:val="center"/>
          </w:tcPr>
          <w:p w14:paraId="5C6FFE62">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0.0</w:t>
            </w:r>
            <w:r>
              <w:rPr>
                <w:rFonts w:hint="eastAsia" w:cs="Times New Roman"/>
                <w:color w:val="auto"/>
                <w:lang w:val="en-US" w:eastAsia="zh-CN"/>
              </w:rPr>
              <w:t>9</w:t>
            </w:r>
          </w:p>
        </w:tc>
      </w:tr>
      <w:tr w14:paraId="45F72CF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65B9B47E">
            <w:pPr>
              <w:pStyle w:val="84"/>
              <w:rPr>
                <w:color w:val="auto"/>
              </w:rPr>
            </w:pPr>
          </w:p>
        </w:tc>
        <w:tc>
          <w:tcPr>
            <w:tcW w:w="627" w:type="dxa"/>
            <w:vAlign w:val="center"/>
          </w:tcPr>
          <w:p w14:paraId="632266AC">
            <w:pPr>
              <w:pStyle w:val="84"/>
              <w:rPr>
                <w:color w:val="auto"/>
              </w:rPr>
            </w:pPr>
            <w:r>
              <w:rPr>
                <w:color w:val="auto"/>
              </w:rPr>
              <w:t>7</w:t>
            </w:r>
          </w:p>
        </w:tc>
        <w:tc>
          <w:tcPr>
            <w:tcW w:w="950" w:type="pct"/>
            <w:vAlign w:val="center"/>
          </w:tcPr>
          <w:p w14:paraId="522CDA4D">
            <w:pPr>
              <w:pStyle w:val="84"/>
              <w:rPr>
                <w:color w:val="auto"/>
              </w:rPr>
            </w:pPr>
            <w:r>
              <w:rPr>
                <w:rFonts w:hAnsiTheme="minorEastAsia" w:eastAsiaTheme="minorEastAsia"/>
                <w:color w:val="auto"/>
                <w:spacing w:val="7"/>
              </w:rPr>
              <w:t>石</w:t>
            </w:r>
            <w:r>
              <w:rPr>
                <w:rFonts w:hAnsiTheme="minorEastAsia" w:eastAsiaTheme="minorEastAsia"/>
                <w:color w:val="auto"/>
                <w:spacing w:val="6"/>
              </w:rPr>
              <w:t>油类</w:t>
            </w:r>
          </w:p>
        </w:tc>
        <w:tc>
          <w:tcPr>
            <w:tcW w:w="705" w:type="pct"/>
            <w:vAlign w:val="center"/>
          </w:tcPr>
          <w:p w14:paraId="02EB37E9">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1886C760">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7CBE4CD9">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0.06</w:t>
            </w:r>
          </w:p>
        </w:tc>
        <w:tc>
          <w:tcPr>
            <w:tcW w:w="853" w:type="pct"/>
            <w:vAlign w:val="center"/>
          </w:tcPr>
          <w:p w14:paraId="30C347AD">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0.027 </w:t>
            </w:r>
          </w:p>
        </w:tc>
      </w:tr>
      <w:tr w14:paraId="7BEDA8E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78725CAC">
            <w:pPr>
              <w:pStyle w:val="84"/>
              <w:rPr>
                <w:color w:val="auto"/>
              </w:rPr>
            </w:pPr>
          </w:p>
        </w:tc>
        <w:tc>
          <w:tcPr>
            <w:tcW w:w="627" w:type="dxa"/>
            <w:vAlign w:val="center"/>
          </w:tcPr>
          <w:p w14:paraId="72093469">
            <w:pPr>
              <w:pStyle w:val="84"/>
              <w:rPr>
                <w:color w:val="auto"/>
              </w:rPr>
            </w:pPr>
            <w:r>
              <w:rPr>
                <w:color w:val="auto"/>
              </w:rPr>
              <w:t>8</w:t>
            </w:r>
          </w:p>
        </w:tc>
        <w:tc>
          <w:tcPr>
            <w:tcW w:w="950" w:type="pct"/>
            <w:vAlign w:val="center"/>
          </w:tcPr>
          <w:p w14:paraId="4ACBCCFE">
            <w:pPr>
              <w:pStyle w:val="84"/>
              <w:rPr>
                <w:color w:val="auto"/>
              </w:rPr>
            </w:pPr>
            <w:r>
              <w:rPr>
                <w:rFonts w:hAnsiTheme="minorEastAsia" w:eastAsiaTheme="minorEastAsia"/>
                <w:color w:val="auto"/>
                <w:spacing w:val="7"/>
              </w:rPr>
              <w:t>动植物油</w:t>
            </w:r>
          </w:p>
        </w:tc>
        <w:tc>
          <w:tcPr>
            <w:tcW w:w="705" w:type="pct"/>
            <w:vAlign w:val="center"/>
          </w:tcPr>
          <w:p w14:paraId="0C1B47B7">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31319816">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651CDACE">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0.06</w:t>
            </w:r>
          </w:p>
        </w:tc>
        <w:tc>
          <w:tcPr>
            <w:tcW w:w="853" w:type="pct"/>
            <w:vAlign w:val="center"/>
          </w:tcPr>
          <w:p w14:paraId="7ADC9D1B">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0.027 </w:t>
            </w:r>
          </w:p>
        </w:tc>
      </w:tr>
      <w:tr w14:paraId="6AD9F47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46" w:hRule="atLeast"/>
          <w:tblHeader/>
          <w:jc w:val="center"/>
        </w:trPr>
        <w:tc>
          <w:tcPr>
            <w:tcW w:w="392" w:type="pct"/>
            <w:vMerge w:val="continue"/>
            <w:vAlign w:val="center"/>
          </w:tcPr>
          <w:p w14:paraId="40BF2207">
            <w:pPr>
              <w:pStyle w:val="84"/>
              <w:rPr>
                <w:color w:val="auto"/>
              </w:rPr>
            </w:pPr>
          </w:p>
        </w:tc>
        <w:tc>
          <w:tcPr>
            <w:tcW w:w="627" w:type="dxa"/>
            <w:vAlign w:val="center"/>
          </w:tcPr>
          <w:p w14:paraId="53A8DF89">
            <w:pPr>
              <w:pStyle w:val="84"/>
              <w:rPr>
                <w:rFonts w:hint="default" w:eastAsia="宋体"/>
                <w:color w:val="auto"/>
                <w:lang w:val="en-US" w:eastAsia="zh-CN"/>
              </w:rPr>
            </w:pPr>
            <w:r>
              <w:rPr>
                <w:rFonts w:hint="eastAsia"/>
                <w:color w:val="auto"/>
              </w:rPr>
              <w:t>9</w:t>
            </w:r>
          </w:p>
        </w:tc>
        <w:tc>
          <w:tcPr>
            <w:tcW w:w="950" w:type="pct"/>
            <w:vAlign w:val="center"/>
          </w:tcPr>
          <w:p w14:paraId="4390B0FC">
            <w:pPr>
              <w:pStyle w:val="84"/>
              <w:rPr>
                <w:color w:val="auto"/>
              </w:rPr>
            </w:pPr>
            <w:r>
              <w:rPr>
                <w:rFonts w:ascii="宋体" w:hAnsi="宋体" w:cs="宋体"/>
                <w:color w:val="auto"/>
                <w:spacing w:val="5"/>
              </w:rPr>
              <w:t>悬浮物</w:t>
            </w:r>
          </w:p>
        </w:tc>
        <w:tc>
          <w:tcPr>
            <w:tcW w:w="705" w:type="pct"/>
            <w:vAlign w:val="center"/>
          </w:tcPr>
          <w:p w14:paraId="06EF1985">
            <w:pPr>
              <w:pStyle w:val="84"/>
              <w:rPr>
                <w:rFonts w:ascii="Times New Roman" w:hAnsi="Times New Roman" w:eastAsia="宋体" w:cs="Times New Roman"/>
                <w:color w:val="auto"/>
              </w:rPr>
            </w:pPr>
            <w:r>
              <w:rPr>
                <w:rFonts w:hint="eastAsia" w:ascii="Times New Roman" w:hAnsi="Times New Roman" w:eastAsia="宋体" w:cs="Times New Roman"/>
                <w:color w:val="auto"/>
                <w:lang w:val="en-US" w:eastAsia="zh-CN"/>
              </w:rPr>
              <w:t>52320</w:t>
            </w:r>
          </w:p>
        </w:tc>
        <w:tc>
          <w:tcPr>
            <w:tcW w:w="856" w:type="pct"/>
            <w:vAlign w:val="center"/>
          </w:tcPr>
          <w:p w14:paraId="08AABED2">
            <w:pPr>
              <w:pStyle w:val="84"/>
              <w:rPr>
                <w:rFonts w:hint="eastAsia" w:ascii="Times New Roman" w:hAnsi="Times New Roman" w:eastAsia="宋体" w:cs="Times New Roman"/>
                <w:color w:val="auto"/>
                <w:lang w:val="en-US" w:eastAsia="zh-CN"/>
              </w:rPr>
            </w:pPr>
            <w:r>
              <w:rPr>
                <w:rFonts w:hint="eastAsia" w:ascii="Times New Roman" w:hAnsi="Times New Roman" w:eastAsia="宋体" w:cs="Times New Roman"/>
                <w:color w:val="auto"/>
                <w:lang w:val="en-US" w:eastAsia="zh-CN"/>
              </w:rPr>
              <w:t>452.045</w:t>
            </w:r>
          </w:p>
        </w:tc>
        <w:tc>
          <w:tcPr>
            <w:tcW w:w="853" w:type="pct"/>
            <w:vAlign w:val="center"/>
          </w:tcPr>
          <w:p w14:paraId="35F0C073">
            <w:pPr>
              <w:pStyle w:val="84"/>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38</w:t>
            </w:r>
          </w:p>
        </w:tc>
        <w:tc>
          <w:tcPr>
            <w:tcW w:w="853" w:type="pct"/>
            <w:vAlign w:val="center"/>
          </w:tcPr>
          <w:p w14:paraId="7B5FA725">
            <w:pPr>
              <w:pStyle w:val="84"/>
              <w:rPr>
                <w:rFonts w:hint="eastAsia" w:ascii="Times New Roman" w:hAnsi="Times New Roman" w:eastAsia="宋体" w:cs="Times New Roman"/>
                <w:color w:val="auto"/>
              </w:rPr>
            </w:pPr>
            <w:r>
              <w:rPr>
                <w:rFonts w:hint="default" w:ascii="Times New Roman" w:hAnsi="Times New Roman" w:eastAsia="宋体" w:cs="Times New Roman"/>
                <w:color w:val="auto"/>
                <w:lang w:val="en-US" w:eastAsia="zh-CN"/>
              </w:rPr>
              <w:t xml:space="preserve">17.178 </w:t>
            </w:r>
          </w:p>
        </w:tc>
      </w:tr>
    </w:tbl>
    <w:p w14:paraId="588D7FD7">
      <w:pPr>
        <w:pStyle w:val="59"/>
        <w:ind w:firstLine="480"/>
        <w:rPr>
          <w:color w:val="auto"/>
        </w:rPr>
      </w:pPr>
      <w:r>
        <w:rPr>
          <w:color w:val="auto"/>
        </w:rPr>
        <w:fldChar w:fldCharType="begin"/>
      </w:r>
      <w:r>
        <w:rPr>
          <w:color w:val="auto"/>
        </w:rPr>
        <w:instrText xml:space="preserve"> </w:instrText>
      </w:r>
      <w:r>
        <w:rPr>
          <w:rFonts w:hint="eastAsia"/>
          <w:color w:val="auto"/>
        </w:rPr>
        <w:instrText xml:space="preserve">= 3 \* GB3</w:instrText>
      </w:r>
      <w:r>
        <w:rPr>
          <w:color w:val="auto"/>
        </w:rPr>
        <w:instrText xml:space="preserve"> </w:instrText>
      </w:r>
      <w:r>
        <w:rPr>
          <w:color w:val="auto"/>
        </w:rPr>
        <w:fldChar w:fldCharType="separate"/>
      </w:r>
      <w:r>
        <w:rPr>
          <w:rFonts w:hint="eastAsia"/>
          <w:color w:val="auto"/>
        </w:rPr>
        <w:t>③</w:t>
      </w:r>
      <w:r>
        <w:rPr>
          <w:color w:val="auto"/>
        </w:rPr>
        <w:fldChar w:fldCharType="end"/>
      </w:r>
      <w:r>
        <w:rPr>
          <w:rFonts w:hint="eastAsia"/>
          <w:color w:val="auto"/>
        </w:rPr>
        <w:t>非正常情况下淋溶水暂存池</w:t>
      </w:r>
      <w:r>
        <w:rPr>
          <w:color w:val="auto"/>
        </w:rPr>
        <w:t>防渗膜破裂</w:t>
      </w:r>
    </w:p>
    <w:p w14:paraId="3A546002">
      <w:pPr>
        <w:pStyle w:val="59"/>
        <w:ind w:firstLine="480"/>
        <w:rPr>
          <w:rFonts w:hint="eastAsia"/>
          <w:color w:val="auto"/>
          <w:highlight w:val="none"/>
        </w:rPr>
      </w:pPr>
      <w:r>
        <w:rPr>
          <w:rFonts w:hint="eastAsia"/>
          <w:color w:val="auto"/>
          <w:highlight w:val="none"/>
        </w:rPr>
        <w:t>结合项目的特点，本项目淋溶水暂存池储存淋溶水量最大，一旦</w:t>
      </w:r>
      <w:r>
        <w:rPr>
          <w:rFonts w:hint="eastAsia"/>
          <w:color w:val="auto"/>
          <w:highlight w:val="none"/>
          <w:lang w:eastAsia="zh-CN"/>
        </w:rPr>
        <w:t>泄漏</w:t>
      </w:r>
      <w:r>
        <w:rPr>
          <w:rFonts w:hint="eastAsia"/>
          <w:color w:val="auto"/>
          <w:highlight w:val="none"/>
        </w:rPr>
        <w:t>对地下水影响最大，从最大风险原则考虑，事故状况下为池体破裂和防渗层同时破裂时污水渗漏对地下水水质造成影响。根据《给排水构筑物工程施工及验收规范》，水池允许最大渗水量按池壁和池底浸湿面积计算，钢筋混凝土结构水池渗漏量不得超过2L/（m</w:t>
      </w:r>
      <w:r>
        <w:rPr>
          <w:rFonts w:hint="eastAsia"/>
          <w:color w:val="auto"/>
          <w:highlight w:val="none"/>
          <w:vertAlign w:val="superscript"/>
        </w:rPr>
        <w:t>2</w:t>
      </w:r>
      <w:r>
        <w:rPr>
          <w:rFonts w:hint="eastAsia"/>
          <w:color w:val="auto"/>
          <w:highlight w:val="none"/>
        </w:rPr>
        <w:t>·d）。在正常状况下，淋溶水暂存池渗漏面积为：池底面积+池壁面积</w:t>
      </w:r>
      <w:r>
        <w:rPr>
          <w:rFonts w:hint="default" w:ascii="Times New Roman" w:hAnsi="Times New Roman" w:cs="Times New Roman"/>
          <w:color w:val="auto"/>
          <w:highlight w:val="none"/>
        </w:rPr>
        <w:t>=L×B+2×B×H+2×L×H=</w:t>
      </w:r>
      <w:r>
        <w:rPr>
          <w:rFonts w:hint="default" w:ascii="Times New Roman" w:hAnsi="Times New Roman" w:cs="Times New Roman"/>
          <w:color w:val="auto"/>
          <w:highlight w:val="none"/>
          <w:lang w:val="en-US" w:eastAsia="zh-CN"/>
        </w:rPr>
        <w:t>15×5+2×15×2+2×5×2=75+60+20=155m²，</w:t>
      </w:r>
      <w:r>
        <w:rPr>
          <w:rFonts w:hint="default" w:ascii="Times New Roman" w:hAnsi="Times New Roman" w:cs="Times New Roman"/>
          <w:color w:val="auto"/>
          <w:highlight w:val="none"/>
        </w:rPr>
        <w:t>=L×B+2×B×H+2×L×H=</w:t>
      </w:r>
      <w:r>
        <w:rPr>
          <w:rFonts w:hint="default" w:ascii="Times New Roman" w:hAnsi="Times New Roman" w:cs="Times New Roman"/>
          <w:color w:val="auto"/>
          <w:highlight w:val="none"/>
          <w:lang w:val="en-US" w:eastAsia="zh-CN"/>
        </w:rPr>
        <w:t>15×5+2×15×2+2×5×2=10×4+2×10×2+2×4×2=40+40+16=96m²</w:t>
      </w:r>
      <w:r>
        <w:rPr>
          <w:rFonts w:hint="default" w:ascii="Times New Roman" w:hAnsi="Times New Roman" w:cs="Times New Roman"/>
          <w:color w:val="auto"/>
          <w:highlight w:val="none"/>
        </w:rPr>
        <w:t>，</w:t>
      </w:r>
      <w:r>
        <w:rPr>
          <w:rFonts w:hint="eastAsia"/>
          <w:color w:val="auto"/>
          <w:highlight w:val="none"/>
        </w:rPr>
        <w:t>每日的最大允许污水渗透量Q计算如下：渗漏量=渗漏面积×渗漏强度=2L/（m</w:t>
      </w:r>
      <w:r>
        <w:rPr>
          <w:rFonts w:hint="eastAsia"/>
          <w:color w:val="auto"/>
          <w:highlight w:val="none"/>
          <w:vertAlign w:val="superscript"/>
        </w:rPr>
        <w:t>2</w:t>
      </w:r>
      <w:r>
        <w:rPr>
          <w:rFonts w:hint="eastAsia"/>
          <w:color w:val="auto"/>
          <w:highlight w:val="none"/>
        </w:rPr>
        <w:t>·d）×</w:t>
      </w:r>
      <w:r>
        <w:rPr>
          <w:rFonts w:hint="eastAsia"/>
          <w:color w:val="auto"/>
          <w:highlight w:val="none"/>
          <w:lang w:val="en-US" w:eastAsia="zh-CN"/>
        </w:rPr>
        <w:t>251</w:t>
      </w:r>
      <w:r>
        <w:rPr>
          <w:rFonts w:hint="eastAsia"/>
          <w:color w:val="auto"/>
          <w:highlight w:val="none"/>
        </w:rPr>
        <w:t>m</w:t>
      </w:r>
      <w:r>
        <w:rPr>
          <w:rFonts w:hint="eastAsia"/>
          <w:color w:val="auto"/>
          <w:highlight w:val="none"/>
          <w:vertAlign w:val="superscript"/>
        </w:rPr>
        <w:t>2</w:t>
      </w:r>
      <w:r>
        <w:rPr>
          <w:rFonts w:hint="eastAsia"/>
          <w:color w:val="auto"/>
          <w:highlight w:val="none"/>
        </w:rPr>
        <w:t>=</w:t>
      </w:r>
      <w:r>
        <w:rPr>
          <w:rFonts w:hint="eastAsia"/>
          <w:color w:val="auto"/>
          <w:highlight w:val="none"/>
          <w:lang w:val="en-US" w:eastAsia="zh-CN"/>
        </w:rPr>
        <w:t>502</w:t>
      </w:r>
      <w:r>
        <w:rPr>
          <w:rFonts w:hint="eastAsia"/>
          <w:color w:val="auto"/>
          <w:highlight w:val="none"/>
        </w:rPr>
        <w:t>L/d，本次非正常状况下的污染源强按正常状态下的10倍计算，则非正常状况下源强如下表所示：</w:t>
      </w:r>
    </w:p>
    <w:p w14:paraId="0A2572A0">
      <w:pPr>
        <w:pStyle w:val="76"/>
        <w:rPr>
          <w:color w:val="auto"/>
        </w:rPr>
      </w:pPr>
      <w:r>
        <w:rPr>
          <w:color w:val="auto"/>
        </w:rPr>
        <w:t>表3-3-13</w:t>
      </w:r>
      <w:r>
        <w:rPr>
          <w:rFonts w:hint="eastAsia"/>
          <w:color w:val="auto"/>
        </w:rPr>
        <w:t>淋溶水暂存池防渗膜破裂</w:t>
      </w:r>
      <w:r>
        <w:rPr>
          <w:color w:val="auto"/>
        </w:rPr>
        <w:t>源强排放情况一览表</w:t>
      </w:r>
    </w:p>
    <w:tbl>
      <w:tblPr>
        <w:tblStyle w:val="45"/>
        <w:tblW w:w="474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8"/>
        <w:gridCol w:w="997"/>
        <w:gridCol w:w="1094"/>
        <w:gridCol w:w="1369"/>
        <w:gridCol w:w="995"/>
        <w:gridCol w:w="1159"/>
        <w:gridCol w:w="1087"/>
      </w:tblGrid>
      <w:tr w14:paraId="120947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56" w:type="pct"/>
            <w:shd w:val="clear" w:color="auto" w:fill="auto"/>
            <w:vAlign w:val="center"/>
          </w:tcPr>
          <w:p w14:paraId="32755978">
            <w:pPr>
              <w:jc w:val="center"/>
              <w:rPr>
                <w:snapToGrid w:val="0"/>
                <w:color w:val="auto"/>
                <w:szCs w:val="21"/>
              </w:rPr>
            </w:pPr>
            <w:r>
              <w:rPr>
                <w:snapToGrid w:val="0"/>
                <w:color w:val="auto"/>
                <w:szCs w:val="21"/>
              </w:rPr>
              <w:t>非正常工况</w:t>
            </w:r>
          </w:p>
        </w:tc>
        <w:tc>
          <w:tcPr>
            <w:tcW w:w="635" w:type="pct"/>
            <w:shd w:val="clear" w:color="auto" w:fill="auto"/>
            <w:vAlign w:val="center"/>
          </w:tcPr>
          <w:p w14:paraId="53CE9E61">
            <w:pPr>
              <w:jc w:val="center"/>
              <w:rPr>
                <w:snapToGrid w:val="0"/>
                <w:color w:val="auto"/>
                <w:szCs w:val="21"/>
              </w:rPr>
            </w:pPr>
            <w:r>
              <w:rPr>
                <w:snapToGrid w:val="0"/>
                <w:color w:val="auto"/>
                <w:szCs w:val="21"/>
              </w:rPr>
              <w:t>预测因子</w:t>
            </w:r>
          </w:p>
        </w:tc>
        <w:tc>
          <w:tcPr>
            <w:tcW w:w="697" w:type="pct"/>
            <w:shd w:val="clear" w:color="auto" w:fill="auto"/>
            <w:vAlign w:val="center"/>
          </w:tcPr>
          <w:p w14:paraId="6A8325CF">
            <w:pPr>
              <w:jc w:val="center"/>
              <w:rPr>
                <w:snapToGrid w:val="0"/>
                <w:color w:val="auto"/>
                <w:szCs w:val="21"/>
              </w:rPr>
            </w:pPr>
            <w:r>
              <w:rPr>
                <w:snapToGrid w:val="0"/>
                <w:color w:val="auto"/>
                <w:szCs w:val="21"/>
              </w:rPr>
              <w:t>渗漏面积（m</w:t>
            </w:r>
            <w:r>
              <w:rPr>
                <w:snapToGrid w:val="0"/>
                <w:color w:val="auto"/>
                <w:szCs w:val="21"/>
                <w:vertAlign w:val="superscript"/>
              </w:rPr>
              <w:t>2</w:t>
            </w:r>
            <w:r>
              <w:rPr>
                <w:snapToGrid w:val="0"/>
                <w:color w:val="auto"/>
                <w:szCs w:val="21"/>
              </w:rPr>
              <w:t>）</w:t>
            </w:r>
          </w:p>
        </w:tc>
        <w:tc>
          <w:tcPr>
            <w:tcW w:w="845" w:type="pct"/>
            <w:shd w:val="clear" w:color="auto" w:fill="auto"/>
            <w:vAlign w:val="center"/>
          </w:tcPr>
          <w:p w14:paraId="06828E92">
            <w:pPr>
              <w:jc w:val="center"/>
              <w:rPr>
                <w:snapToGrid w:val="0"/>
                <w:color w:val="auto"/>
                <w:szCs w:val="21"/>
              </w:rPr>
            </w:pPr>
            <w:r>
              <w:rPr>
                <w:snapToGrid w:val="0"/>
                <w:color w:val="auto"/>
                <w:szCs w:val="21"/>
              </w:rPr>
              <w:t>渗漏强度（L/m</w:t>
            </w:r>
            <w:r>
              <w:rPr>
                <w:snapToGrid w:val="0"/>
                <w:color w:val="auto"/>
                <w:szCs w:val="21"/>
                <w:vertAlign w:val="superscript"/>
              </w:rPr>
              <w:t>2</w:t>
            </w:r>
            <w:r>
              <w:rPr>
                <w:snapToGrid w:val="0"/>
                <w:color w:val="auto"/>
                <w:szCs w:val="21"/>
              </w:rPr>
              <w:t>﹒d）</w:t>
            </w:r>
          </w:p>
        </w:tc>
        <w:tc>
          <w:tcPr>
            <w:tcW w:w="634" w:type="pct"/>
            <w:shd w:val="clear" w:color="auto" w:fill="auto"/>
            <w:vAlign w:val="center"/>
          </w:tcPr>
          <w:p w14:paraId="0D0FB0F0">
            <w:pPr>
              <w:jc w:val="center"/>
              <w:rPr>
                <w:snapToGrid w:val="0"/>
                <w:color w:val="auto"/>
                <w:szCs w:val="21"/>
              </w:rPr>
            </w:pPr>
            <w:r>
              <w:rPr>
                <w:snapToGrid w:val="0"/>
                <w:color w:val="auto"/>
                <w:szCs w:val="21"/>
              </w:rPr>
              <w:t>渗漏量（L/d）</w:t>
            </w:r>
          </w:p>
        </w:tc>
        <w:tc>
          <w:tcPr>
            <w:tcW w:w="738" w:type="pct"/>
            <w:shd w:val="clear" w:color="auto" w:fill="auto"/>
            <w:vAlign w:val="center"/>
          </w:tcPr>
          <w:p w14:paraId="04866447">
            <w:pPr>
              <w:jc w:val="center"/>
              <w:rPr>
                <w:snapToGrid w:val="0"/>
                <w:color w:val="auto"/>
                <w:szCs w:val="21"/>
              </w:rPr>
            </w:pPr>
            <w:r>
              <w:rPr>
                <w:snapToGrid w:val="0"/>
                <w:color w:val="auto"/>
                <w:szCs w:val="21"/>
              </w:rPr>
              <w:t>浓度（mg/L）</w:t>
            </w:r>
          </w:p>
        </w:tc>
        <w:tc>
          <w:tcPr>
            <w:tcW w:w="692" w:type="pct"/>
            <w:shd w:val="clear" w:color="auto" w:fill="auto"/>
            <w:vAlign w:val="center"/>
          </w:tcPr>
          <w:p w14:paraId="3950020F">
            <w:pPr>
              <w:jc w:val="center"/>
              <w:rPr>
                <w:snapToGrid w:val="0"/>
                <w:color w:val="auto"/>
                <w:szCs w:val="21"/>
              </w:rPr>
            </w:pPr>
            <w:r>
              <w:rPr>
                <w:snapToGrid w:val="0"/>
                <w:color w:val="auto"/>
                <w:szCs w:val="21"/>
              </w:rPr>
              <w:t>污染物质量（kg/d）</w:t>
            </w:r>
          </w:p>
        </w:tc>
      </w:tr>
      <w:tr w14:paraId="1E9522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restart"/>
            <w:shd w:val="clear" w:color="auto" w:fill="auto"/>
            <w:vAlign w:val="center"/>
          </w:tcPr>
          <w:p w14:paraId="0D96C56F">
            <w:pPr>
              <w:jc w:val="center"/>
              <w:rPr>
                <w:snapToGrid w:val="0"/>
                <w:color w:val="auto"/>
                <w:szCs w:val="21"/>
              </w:rPr>
            </w:pPr>
            <w:r>
              <w:rPr>
                <w:rFonts w:hint="eastAsia"/>
                <w:color w:val="auto"/>
              </w:rPr>
              <w:t>淋溶水暂存池防渗膜破裂</w:t>
            </w:r>
          </w:p>
        </w:tc>
        <w:tc>
          <w:tcPr>
            <w:tcW w:w="635" w:type="pct"/>
            <w:shd w:val="clear" w:color="auto" w:fill="auto"/>
            <w:vAlign w:val="center"/>
          </w:tcPr>
          <w:p w14:paraId="504B6A8E">
            <w:pPr>
              <w:jc w:val="center"/>
              <w:rPr>
                <w:snapToGrid w:val="0"/>
                <w:color w:val="auto"/>
                <w:szCs w:val="21"/>
              </w:rPr>
            </w:pPr>
            <w:r>
              <w:rPr>
                <w:color w:val="auto"/>
              </w:rPr>
              <w:t>COD</w:t>
            </w:r>
          </w:p>
        </w:tc>
        <w:tc>
          <w:tcPr>
            <w:tcW w:w="697" w:type="pct"/>
            <w:shd w:val="clear" w:color="auto" w:fill="auto"/>
            <w:vAlign w:val="center"/>
          </w:tcPr>
          <w:p w14:paraId="6245D1EA">
            <w:pPr>
              <w:jc w:val="center"/>
              <w:rPr>
                <w:rFonts w:hint="default" w:eastAsia="宋体"/>
                <w:color w:val="auto"/>
                <w:szCs w:val="21"/>
                <w:lang w:val="en-US" w:eastAsia="zh-CN"/>
              </w:rPr>
            </w:pPr>
            <w:r>
              <w:rPr>
                <w:rFonts w:hint="eastAsia"/>
                <w:color w:val="auto"/>
                <w:szCs w:val="21"/>
                <w:lang w:val="en-US" w:eastAsia="zh-CN"/>
              </w:rPr>
              <w:t>251</w:t>
            </w:r>
          </w:p>
        </w:tc>
        <w:tc>
          <w:tcPr>
            <w:tcW w:w="845" w:type="pct"/>
            <w:shd w:val="clear" w:color="auto" w:fill="auto"/>
            <w:vAlign w:val="center"/>
          </w:tcPr>
          <w:p w14:paraId="3DFF682A">
            <w:pPr>
              <w:jc w:val="center"/>
              <w:rPr>
                <w:snapToGrid w:val="0"/>
                <w:color w:val="auto"/>
                <w:szCs w:val="21"/>
              </w:rPr>
            </w:pPr>
            <w:r>
              <w:rPr>
                <w:snapToGrid w:val="0"/>
                <w:color w:val="auto"/>
                <w:szCs w:val="21"/>
              </w:rPr>
              <w:t>20</w:t>
            </w:r>
          </w:p>
        </w:tc>
        <w:tc>
          <w:tcPr>
            <w:tcW w:w="634" w:type="pct"/>
            <w:shd w:val="clear" w:color="auto" w:fill="auto"/>
            <w:vAlign w:val="center"/>
          </w:tcPr>
          <w:p w14:paraId="1411F51C">
            <w:pPr>
              <w:jc w:val="center"/>
              <w:rPr>
                <w:rFonts w:hint="default" w:eastAsia="宋体"/>
                <w:snapToGrid w:val="0"/>
                <w:color w:val="auto"/>
                <w:szCs w:val="21"/>
                <w:lang w:val="en-US" w:eastAsia="zh-CN"/>
              </w:rPr>
            </w:pPr>
            <w:r>
              <w:rPr>
                <w:rFonts w:hint="eastAsia"/>
                <w:color w:val="auto"/>
                <w:szCs w:val="21"/>
                <w:lang w:val="en-US" w:eastAsia="zh-CN"/>
              </w:rPr>
              <w:t>5020</w:t>
            </w:r>
          </w:p>
        </w:tc>
        <w:tc>
          <w:tcPr>
            <w:tcW w:w="738" w:type="pct"/>
            <w:shd w:val="clear" w:color="auto" w:fill="auto"/>
            <w:vAlign w:val="center"/>
          </w:tcPr>
          <w:p w14:paraId="0F6169FB">
            <w:pPr>
              <w:jc w:val="center"/>
              <w:rPr>
                <w:rFonts w:hint="eastAsia"/>
                <w:color w:val="auto"/>
                <w:szCs w:val="21"/>
                <w:lang w:val="en-US" w:eastAsia="zh-CN"/>
              </w:rPr>
            </w:pPr>
            <w:r>
              <w:rPr>
                <w:rFonts w:hint="default"/>
                <w:color w:val="auto"/>
                <w:szCs w:val="21"/>
                <w:lang w:val="en-US" w:eastAsia="zh-CN"/>
              </w:rPr>
              <w:t>88</w:t>
            </w:r>
          </w:p>
        </w:tc>
        <w:tc>
          <w:tcPr>
            <w:tcW w:w="692" w:type="pct"/>
            <w:shd w:val="clear" w:color="auto" w:fill="auto"/>
            <w:vAlign w:val="center"/>
          </w:tcPr>
          <w:p w14:paraId="55A29B34">
            <w:pPr>
              <w:jc w:val="center"/>
              <w:rPr>
                <w:rFonts w:hint="eastAsia"/>
                <w:color w:val="auto"/>
                <w:szCs w:val="21"/>
                <w:lang w:val="en-US" w:eastAsia="zh-CN"/>
              </w:rPr>
            </w:pPr>
            <w:r>
              <w:rPr>
                <w:rFonts w:hint="default"/>
                <w:color w:val="auto"/>
                <w:szCs w:val="21"/>
                <w:lang w:val="en-US" w:eastAsia="zh-CN"/>
              </w:rPr>
              <w:t xml:space="preserve">441.760 </w:t>
            </w:r>
          </w:p>
        </w:tc>
      </w:tr>
      <w:tr w14:paraId="34F212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44C177D0">
            <w:pPr>
              <w:jc w:val="center"/>
              <w:rPr>
                <w:snapToGrid w:val="0"/>
                <w:color w:val="auto"/>
                <w:szCs w:val="21"/>
              </w:rPr>
            </w:pPr>
          </w:p>
        </w:tc>
        <w:tc>
          <w:tcPr>
            <w:tcW w:w="635" w:type="pct"/>
            <w:shd w:val="clear" w:color="auto" w:fill="auto"/>
            <w:vAlign w:val="center"/>
          </w:tcPr>
          <w:p w14:paraId="4BF7C661">
            <w:pPr>
              <w:jc w:val="center"/>
              <w:rPr>
                <w:snapToGrid w:val="0"/>
                <w:color w:val="auto"/>
                <w:szCs w:val="21"/>
              </w:rPr>
            </w:pPr>
            <w:r>
              <w:rPr>
                <w:color w:val="auto"/>
              </w:rPr>
              <w:t>BOD</w:t>
            </w:r>
            <w:r>
              <w:rPr>
                <w:color w:val="auto"/>
                <w:vertAlign w:val="subscript"/>
              </w:rPr>
              <w:t>5</w:t>
            </w:r>
          </w:p>
        </w:tc>
        <w:tc>
          <w:tcPr>
            <w:tcW w:w="697" w:type="pct"/>
            <w:shd w:val="clear" w:color="auto" w:fill="auto"/>
            <w:vAlign w:val="center"/>
          </w:tcPr>
          <w:p w14:paraId="2EE8975E">
            <w:pPr>
              <w:jc w:val="center"/>
              <w:rPr>
                <w:color w:val="auto"/>
                <w:szCs w:val="21"/>
              </w:rPr>
            </w:pPr>
            <w:r>
              <w:rPr>
                <w:rFonts w:hint="eastAsia"/>
                <w:color w:val="auto"/>
                <w:szCs w:val="21"/>
                <w:lang w:val="en-US" w:eastAsia="zh-CN"/>
              </w:rPr>
              <w:t>251</w:t>
            </w:r>
          </w:p>
        </w:tc>
        <w:tc>
          <w:tcPr>
            <w:tcW w:w="845" w:type="pct"/>
            <w:shd w:val="clear" w:color="auto" w:fill="auto"/>
            <w:vAlign w:val="center"/>
          </w:tcPr>
          <w:p w14:paraId="57FC5477">
            <w:pPr>
              <w:jc w:val="center"/>
              <w:rPr>
                <w:snapToGrid w:val="0"/>
                <w:color w:val="auto"/>
                <w:szCs w:val="21"/>
              </w:rPr>
            </w:pPr>
            <w:r>
              <w:rPr>
                <w:snapToGrid w:val="0"/>
                <w:color w:val="auto"/>
                <w:szCs w:val="21"/>
              </w:rPr>
              <w:t>20</w:t>
            </w:r>
          </w:p>
        </w:tc>
        <w:tc>
          <w:tcPr>
            <w:tcW w:w="634" w:type="pct"/>
            <w:shd w:val="clear" w:color="auto" w:fill="auto"/>
            <w:vAlign w:val="center"/>
          </w:tcPr>
          <w:p w14:paraId="2F31AEAF">
            <w:pPr>
              <w:jc w:val="center"/>
              <w:rPr>
                <w:color w:val="auto"/>
                <w:szCs w:val="21"/>
              </w:rPr>
            </w:pPr>
            <w:r>
              <w:rPr>
                <w:rFonts w:hint="eastAsia"/>
                <w:color w:val="auto"/>
                <w:szCs w:val="21"/>
                <w:lang w:val="en-US" w:eastAsia="zh-CN"/>
              </w:rPr>
              <w:t>5020</w:t>
            </w:r>
          </w:p>
        </w:tc>
        <w:tc>
          <w:tcPr>
            <w:tcW w:w="738" w:type="pct"/>
            <w:shd w:val="clear" w:color="auto" w:fill="auto"/>
            <w:vAlign w:val="center"/>
          </w:tcPr>
          <w:p w14:paraId="3AE7319A">
            <w:pPr>
              <w:jc w:val="center"/>
              <w:rPr>
                <w:rFonts w:hint="eastAsia"/>
                <w:color w:val="auto"/>
                <w:szCs w:val="21"/>
                <w:lang w:val="en-US" w:eastAsia="zh-CN"/>
              </w:rPr>
            </w:pPr>
            <w:r>
              <w:rPr>
                <w:rFonts w:hint="default"/>
                <w:color w:val="auto"/>
                <w:szCs w:val="21"/>
                <w:lang w:val="en-US" w:eastAsia="zh-CN"/>
              </w:rPr>
              <w:t>18.7</w:t>
            </w:r>
          </w:p>
        </w:tc>
        <w:tc>
          <w:tcPr>
            <w:tcW w:w="692" w:type="pct"/>
            <w:shd w:val="clear" w:color="auto" w:fill="auto"/>
            <w:vAlign w:val="center"/>
          </w:tcPr>
          <w:p w14:paraId="0C531BD0">
            <w:pPr>
              <w:jc w:val="center"/>
              <w:rPr>
                <w:rFonts w:hint="eastAsia"/>
                <w:color w:val="auto"/>
                <w:szCs w:val="21"/>
                <w:lang w:val="en-US" w:eastAsia="zh-CN"/>
              </w:rPr>
            </w:pPr>
            <w:r>
              <w:rPr>
                <w:rFonts w:hint="default"/>
                <w:color w:val="auto"/>
                <w:szCs w:val="21"/>
                <w:lang w:val="en-US" w:eastAsia="zh-CN"/>
              </w:rPr>
              <w:t xml:space="preserve">93.874 </w:t>
            </w:r>
          </w:p>
        </w:tc>
      </w:tr>
      <w:tr w14:paraId="7AEA11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70FB5FE0">
            <w:pPr>
              <w:jc w:val="center"/>
              <w:rPr>
                <w:snapToGrid w:val="0"/>
                <w:color w:val="auto"/>
                <w:szCs w:val="21"/>
              </w:rPr>
            </w:pPr>
          </w:p>
        </w:tc>
        <w:tc>
          <w:tcPr>
            <w:tcW w:w="635" w:type="pct"/>
            <w:shd w:val="clear" w:color="auto" w:fill="auto"/>
            <w:vAlign w:val="center"/>
          </w:tcPr>
          <w:p w14:paraId="53B32B3E">
            <w:pPr>
              <w:jc w:val="center"/>
              <w:rPr>
                <w:snapToGrid w:val="0"/>
                <w:color w:val="auto"/>
                <w:szCs w:val="21"/>
              </w:rPr>
            </w:pPr>
            <w:r>
              <w:rPr>
                <w:color w:val="auto"/>
              </w:rPr>
              <w:t>氨氮</w:t>
            </w:r>
          </w:p>
        </w:tc>
        <w:tc>
          <w:tcPr>
            <w:tcW w:w="697" w:type="pct"/>
            <w:shd w:val="clear" w:color="auto" w:fill="auto"/>
            <w:vAlign w:val="center"/>
          </w:tcPr>
          <w:p w14:paraId="17074AB2">
            <w:pPr>
              <w:jc w:val="center"/>
              <w:rPr>
                <w:color w:val="auto"/>
                <w:szCs w:val="21"/>
              </w:rPr>
            </w:pPr>
            <w:r>
              <w:rPr>
                <w:rFonts w:hint="eastAsia"/>
                <w:color w:val="auto"/>
                <w:szCs w:val="21"/>
                <w:lang w:val="en-US" w:eastAsia="zh-CN"/>
              </w:rPr>
              <w:t>251</w:t>
            </w:r>
          </w:p>
        </w:tc>
        <w:tc>
          <w:tcPr>
            <w:tcW w:w="845" w:type="pct"/>
            <w:shd w:val="clear" w:color="auto" w:fill="auto"/>
            <w:vAlign w:val="center"/>
          </w:tcPr>
          <w:p w14:paraId="7D6590DB">
            <w:pPr>
              <w:jc w:val="center"/>
              <w:rPr>
                <w:snapToGrid w:val="0"/>
                <w:color w:val="auto"/>
                <w:szCs w:val="21"/>
              </w:rPr>
            </w:pPr>
            <w:r>
              <w:rPr>
                <w:snapToGrid w:val="0"/>
                <w:color w:val="auto"/>
                <w:szCs w:val="21"/>
              </w:rPr>
              <w:t>20</w:t>
            </w:r>
          </w:p>
        </w:tc>
        <w:tc>
          <w:tcPr>
            <w:tcW w:w="634" w:type="pct"/>
            <w:shd w:val="clear" w:color="auto" w:fill="auto"/>
            <w:vAlign w:val="center"/>
          </w:tcPr>
          <w:p w14:paraId="1F329DF1">
            <w:pPr>
              <w:jc w:val="center"/>
              <w:rPr>
                <w:color w:val="auto"/>
                <w:szCs w:val="21"/>
              </w:rPr>
            </w:pPr>
            <w:r>
              <w:rPr>
                <w:rFonts w:hint="eastAsia"/>
                <w:color w:val="auto"/>
                <w:szCs w:val="21"/>
                <w:lang w:val="en-US" w:eastAsia="zh-CN"/>
              </w:rPr>
              <w:t>5020</w:t>
            </w:r>
          </w:p>
        </w:tc>
        <w:tc>
          <w:tcPr>
            <w:tcW w:w="738" w:type="pct"/>
            <w:shd w:val="clear" w:color="auto" w:fill="auto"/>
            <w:vAlign w:val="center"/>
          </w:tcPr>
          <w:p w14:paraId="5AF6965D">
            <w:pPr>
              <w:jc w:val="center"/>
              <w:rPr>
                <w:rFonts w:hint="eastAsia"/>
                <w:color w:val="auto"/>
                <w:szCs w:val="21"/>
                <w:lang w:val="en-US" w:eastAsia="zh-CN"/>
              </w:rPr>
            </w:pPr>
            <w:r>
              <w:rPr>
                <w:rFonts w:hint="default"/>
                <w:color w:val="auto"/>
                <w:szCs w:val="21"/>
                <w:lang w:val="en-US" w:eastAsia="zh-CN"/>
              </w:rPr>
              <w:t>0.39</w:t>
            </w:r>
          </w:p>
        </w:tc>
        <w:tc>
          <w:tcPr>
            <w:tcW w:w="692" w:type="pct"/>
            <w:shd w:val="clear" w:color="auto" w:fill="auto"/>
            <w:vAlign w:val="center"/>
          </w:tcPr>
          <w:p w14:paraId="47FB0560">
            <w:pPr>
              <w:jc w:val="center"/>
              <w:rPr>
                <w:rFonts w:hint="eastAsia"/>
                <w:color w:val="auto"/>
                <w:szCs w:val="21"/>
                <w:lang w:val="en-US" w:eastAsia="zh-CN"/>
              </w:rPr>
            </w:pPr>
            <w:r>
              <w:rPr>
                <w:rFonts w:hint="default"/>
                <w:color w:val="auto"/>
                <w:szCs w:val="21"/>
                <w:lang w:val="en-US" w:eastAsia="zh-CN"/>
              </w:rPr>
              <w:t xml:space="preserve">1.958 </w:t>
            </w:r>
          </w:p>
        </w:tc>
      </w:tr>
      <w:tr w14:paraId="52731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1BB012C3">
            <w:pPr>
              <w:jc w:val="center"/>
              <w:rPr>
                <w:snapToGrid w:val="0"/>
                <w:color w:val="auto"/>
                <w:szCs w:val="21"/>
              </w:rPr>
            </w:pPr>
          </w:p>
        </w:tc>
        <w:tc>
          <w:tcPr>
            <w:tcW w:w="635" w:type="pct"/>
            <w:shd w:val="clear" w:color="auto" w:fill="auto"/>
            <w:vAlign w:val="center"/>
          </w:tcPr>
          <w:p w14:paraId="7C9DA324">
            <w:pPr>
              <w:jc w:val="center"/>
              <w:rPr>
                <w:snapToGrid w:val="0"/>
                <w:color w:val="auto"/>
                <w:szCs w:val="21"/>
              </w:rPr>
            </w:pPr>
            <w:r>
              <w:rPr>
                <w:color w:val="auto"/>
              </w:rPr>
              <w:t>磷酸盐</w:t>
            </w:r>
          </w:p>
        </w:tc>
        <w:tc>
          <w:tcPr>
            <w:tcW w:w="697" w:type="pct"/>
            <w:shd w:val="clear" w:color="auto" w:fill="auto"/>
            <w:vAlign w:val="center"/>
          </w:tcPr>
          <w:p w14:paraId="414E9AA6">
            <w:pPr>
              <w:jc w:val="center"/>
              <w:rPr>
                <w:color w:val="auto"/>
                <w:szCs w:val="21"/>
              </w:rPr>
            </w:pPr>
            <w:r>
              <w:rPr>
                <w:rFonts w:hint="eastAsia"/>
                <w:color w:val="auto"/>
                <w:szCs w:val="21"/>
                <w:lang w:val="en-US" w:eastAsia="zh-CN"/>
              </w:rPr>
              <w:t>251</w:t>
            </w:r>
          </w:p>
        </w:tc>
        <w:tc>
          <w:tcPr>
            <w:tcW w:w="845" w:type="pct"/>
            <w:shd w:val="clear" w:color="auto" w:fill="auto"/>
            <w:vAlign w:val="center"/>
          </w:tcPr>
          <w:p w14:paraId="7CE5093C">
            <w:pPr>
              <w:jc w:val="center"/>
              <w:rPr>
                <w:snapToGrid w:val="0"/>
                <w:color w:val="auto"/>
                <w:szCs w:val="21"/>
              </w:rPr>
            </w:pPr>
            <w:r>
              <w:rPr>
                <w:snapToGrid w:val="0"/>
                <w:color w:val="auto"/>
                <w:szCs w:val="21"/>
              </w:rPr>
              <w:t>20</w:t>
            </w:r>
          </w:p>
        </w:tc>
        <w:tc>
          <w:tcPr>
            <w:tcW w:w="634" w:type="pct"/>
            <w:shd w:val="clear" w:color="auto" w:fill="auto"/>
            <w:vAlign w:val="center"/>
          </w:tcPr>
          <w:p w14:paraId="3A7793DC">
            <w:pPr>
              <w:jc w:val="center"/>
              <w:rPr>
                <w:color w:val="auto"/>
                <w:szCs w:val="21"/>
              </w:rPr>
            </w:pPr>
            <w:r>
              <w:rPr>
                <w:rFonts w:hint="eastAsia"/>
                <w:color w:val="auto"/>
                <w:szCs w:val="21"/>
                <w:lang w:val="en-US" w:eastAsia="zh-CN"/>
              </w:rPr>
              <w:t>5020</w:t>
            </w:r>
          </w:p>
        </w:tc>
        <w:tc>
          <w:tcPr>
            <w:tcW w:w="738" w:type="pct"/>
            <w:shd w:val="clear" w:color="auto" w:fill="auto"/>
            <w:vAlign w:val="center"/>
          </w:tcPr>
          <w:p w14:paraId="42779167">
            <w:pPr>
              <w:jc w:val="center"/>
              <w:rPr>
                <w:rFonts w:hint="eastAsia"/>
                <w:color w:val="auto"/>
                <w:szCs w:val="21"/>
                <w:lang w:val="en-US" w:eastAsia="zh-CN"/>
              </w:rPr>
            </w:pPr>
            <w:r>
              <w:rPr>
                <w:rFonts w:hint="default"/>
                <w:color w:val="auto"/>
                <w:szCs w:val="21"/>
                <w:lang w:val="en-US" w:eastAsia="zh-CN"/>
              </w:rPr>
              <w:t>0.37</w:t>
            </w:r>
          </w:p>
        </w:tc>
        <w:tc>
          <w:tcPr>
            <w:tcW w:w="692" w:type="pct"/>
            <w:shd w:val="clear" w:color="auto" w:fill="auto"/>
            <w:vAlign w:val="center"/>
          </w:tcPr>
          <w:p w14:paraId="5676B341">
            <w:pPr>
              <w:jc w:val="center"/>
              <w:rPr>
                <w:rFonts w:hint="eastAsia"/>
                <w:color w:val="auto"/>
                <w:szCs w:val="21"/>
                <w:lang w:val="en-US" w:eastAsia="zh-CN"/>
              </w:rPr>
            </w:pPr>
            <w:r>
              <w:rPr>
                <w:rFonts w:hint="default"/>
                <w:color w:val="auto"/>
                <w:szCs w:val="21"/>
                <w:lang w:val="en-US" w:eastAsia="zh-CN"/>
              </w:rPr>
              <w:t xml:space="preserve">1.857 </w:t>
            </w:r>
          </w:p>
        </w:tc>
      </w:tr>
      <w:tr w14:paraId="70C0C9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460476E6">
            <w:pPr>
              <w:jc w:val="center"/>
              <w:rPr>
                <w:snapToGrid w:val="0"/>
                <w:color w:val="auto"/>
                <w:szCs w:val="21"/>
              </w:rPr>
            </w:pPr>
          </w:p>
        </w:tc>
        <w:tc>
          <w:tcPr>
            <w:tcW w:w="635" w:type="pct"/>
            <w:shd w:val="clear" w:color="auto" w:fill="auto"/>
            <w:vAlign w:val="center"/>
          </w:tcPr>
          <w:p w14:paraId="22E61C29">
            <w:pPr>
              <w:jc w:val="center"/>
              <w:rPr>
                <w:snapToGrid w:val="0"/>
                <w:color w:val="auto"/>
                <w:szCs w:val="21"/>
              </w:rPr>
            </w:pPr>
            <w:r>
              <w:rPr>
                <w:rFonts w:hAnsiTheme="minorEastAsia" w:eastAsiaTheme="minorEastAsia"/>
                <w:color w:val="auto"/>
                <w:spacing w:val="7"/>
              </w:rPr>
              <w:t>氟</w:t>
            </w:r>
            <w:r>
              <w:rPr>
                <w:rFonts w:hAnsiTheme="minorEastAsia" w:eastAsiaTheme="minorEastAsia"/>
                <w:color w:val="auto"/>
                <w:spacing w:val="6"/>
              </w:rPr>
              <w:t>化物</w:t>
            </w:r>
          </w:p>
        </w:tc>
        <w:tc>
          <w:tcPr>
            <w:tcW w:w="697" w:type="pct"/>
            <w:shd w:val="clear" w:color="auto" w:fill="auto"/>
            <w:vAlign w:val="center"/>
          </w:tcPr>
          <w:p w14:paraId="317DE90D">
            <w:pPr>
              <w:jc w:val="center"/>
              <w:rPr>
                <w:color w:val="auto"/>
                <w:szCs w:val="21"/>
              </w:rPr>
            </w:pPr>
            <w:r>
              <w:rPr>
                <w:rFonts w:hint="eastAsia"/>
                <w:color w:val="auto"/>
                <w:szCs w:val="21"/>
                <w:lang w:val="en-US" w:eastAsia="zh-CN"/>
              </w:rPr>
              <w:t>251</w:t>
            </w:r>
          </w:p>
        </w:tc>
        <w:tc>
          <w:tcPr>
            <w:tcW w:w="845" w:type="pct"/>
            <w:shd w:val="clear" w:color="auto" w:fill="auto"/>
            <w:vAlign w:val="center"/>
          </w:tcPr>
          <w:p w14:paraId="14E803FE">
            <w:pPr>
              <w:jc w:val="center"/>
              <w:rPr>
                <w:snapToGrid w:val="0"/>
                <w:color w:val="auto"/>
                <w:szCs w:val="21"/>
              </w:rPr>
            </w:pPr>
            <w:r>
              <w:rPr>
                <w:snapToGrid w:val="0"/>
                <w:color w:val="auto"/>
                <w:szCs w:val="21"/>
              </w:rPr>
              <w:t>20</w:t>
            </w:r>
          </w:p>
        </w:tc>
        <w:tc>
          <w:tcPr>
            <w:tcW w:w="634" w:type="pct"/>
            <w:shd w:val="clear" w:color="auto" w:fill="auto"/>
            <w:vAlign w:val="center"/>
          </w:tcPr>
          <w:p w14:paraId="762442B8">
            <w:pPr>
              <w:jc w:val="center"/>
              <w:rPr>
                <w:color w:val="auto"/>
                <w:szCs w:val="21"/>
              </w:rPr>
            </w:pPr>
            <w:r>
              <w:rPr>
                <w:rFonts w:hint="eastAsia"/>
                <w:color w:val="auto"/>
                <w:szCs w:val="21"/>
                <w:lang w:val="en-US" w:eastAsia="zh-CN"/>
              </w:rPr>
              <w:t>5020</w:t>
            </w:r>
          </w:p>
        </w:tc>
        <w:tc>
          <w:tcPr>
            <w:tcW w:w="738" w:type="pct"/>
            <w:shd w:val="clear" w:color="auto" w:fill="auto"/>
            <w:vAlign w:val="center"/>
          </w:tcPr>
          <w:p w14:paraId="01FA9C13">
            <w:pPr>
              <w:jc w:val="center"/>
              <w:rPr>
                <w:rFonts w:hint="eastAsia"/>
                <w:color w:val="auto"/>
                <w:szCs w:val="21"/>
                <w:lang w:val="en-US" w:eastAsia="zh-CN"/>
              </w:rPr>
            </w:pPr>
            <w:r>
              <w:rPr>
                <w:rFonts w:hint="default"/>
                <w:color w:val="auto"/>
                <w:szCs w:val="21"/>
                <w:lang w:val="en-US" w:eastAsia="zh-CN"/>
              </w:rPr>
              <w:t>0.55</w:t>
            </w:r>
          </w:p>
        </w:tc>
        <w:tc>
          <w:tcPr>
            <w:tcW w:w="692" w:type="pct"/>
            <w:shd w:val="clear" w:color="auto" w:fill="auto"/>
            <w:vAlign w:val="center"/>
          </w:tcPr>
          <w:p w14:paraId="059CF71A">
            <w:pPr>
              <w:jc w:val="center"/>
              <w:rPr>
                <w:rFonts w:hint="eastAsia"/>
                <w:color w:val="auto"/>
                <w:szCs w:val="21"/>
                <w:lang w:val="en-US" w:eastAsia="zh-CN"/>
              </w:rPr>
            </w:pPr>
            <w:r>
              <w:rPr>
                <w:rFonts w:hint="default"/>
                <w:color w:val="auto"/>
                <w:szCs w:val="21"/>
                <w:lang w:val="en-US" w:eastAsia="zh-CN"/>
              </w:rPr>
              <w:t xml:space="preserve">2.761 </w:t>
            </w:r>
          </w:p>
        </w:tc>
      </w:tr>
      <w:tr w14:paraId="681AC0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206FBE44">
            <w:pPr>
              <w:jc w:val="center"/>
              <w:rPr>
                <w:snapToGrid w:val="0"/>
                <w:color w:val="auto"/>
                <w:szCs w:val="21"/>
              </w:rPr>
            </w:pPr>
          </w:p>
        </w:tc>
        <w:tc>
          <w:tcPr>
            <w:tcW w:w="635" w:type="pct"/>
            <w:shd w:val="clear" w:color="auto" w:fill="auto"/>
            <w:vAlign w:val="center"/>
          </w:tcPr>
          <w:p w14:paraId="3274D5A1">
            <w:pPr>
              <w:jc w:val="center"/>
              <w:rPr>
                <w:rFonts w:hint="eastAsia" w:eastAsia="宋体"/>
                <w:snapToGrid w:val="0"/>
                <w:color w:val="auto"/>
                <w:szCs w:val="21"/>
                <w:lang w:eastAsia="zh-CN"/>
              </w:rPr>
            </w:pPr>
            <w:r>
              <w:rPr>
                <w:rFonts w:hint="eastAsia" w:hAnsiTheme="minorEastAsia" w:eastAsiaTheme="minorEastAsia"/>
                <w:color w:val="auto"/>
                <w:spacing w:val="2"/>
                <w:lang w:eastAsia="zh-CN"/>
              </w:rPr>
              <w:t>铅</w:t>
            </w:r>
          </w:p>
        </w:tc>
        <w:tc>
          <w:tcPr>
            <w:tcW w:w="697" w:type="pct"/>
            <w:shd w:val="clear" w:color="auto" w:fill="auto"/>
            <w:vAlign w:val="center"/>
          </w:tcPr>
          <w:p w14:paraId="1A546D75">
            <w:pPr>
              <w:jc w:val="center"/>
              <w:rPr>
                <w:color w:val="auto"/>
                <w:szCs w:val="21"/>
              </w:rPr>
            </w:pPr>
            <w:r>
              <w:rPr>
                <w:rFonts w:hint="eastAsia"/>
                <w:color w:val="auto"/>
                <w:szCs w:val="21"/>
              </w:rPr>
              <w:t>350</w:t>
            </w:r>
          </w:p>
        </w:tc>
        <w:tc>
          <w:tcPr>
            <w:tcW w:w="845" w:type="pct"/>
            <w:shd w:val="clear" w:color="auto" w:fill="auto"/>
            <w:vAlign w:val="center"/>
          </w:tcPr>
          <w:p w14:paraId="1881C315">
            <w:pPr>
              <w:jc w:val="center"/>
              <w:rPr>
                <w:snapToGrid w:val="0"/>
                <w:color w:val="auto"/>
                <w:szCs w:val="21"/>
              </w:rPr>
            </w:pPr>
            <w:r>
              <w:rPr>
                <w:snapToGrid w:val="0"/>
                <w:color w:val="auto"/>
                <w:szCs w:val="21"/>
              </w:rPr>
              <w:t>20</w:t>
            </w:r>
          </w:p>
        </w:tc>
        <w:tc>
          <w:tcPr>
            <w:tcW w:w="634" w:type="pct"/>
            <w:shd w:val="clear" w:color="auto" w:fill="auto"/>
            <w:vAlign w:val="center"/>
          </w:tcPr>
          <w:p w14:paraId="65BAADB1">
            <w:pPr>
              <w:jc w:val="center"/>
              <w:rPr>
                <w:color w:val="auto"/>
                <w:szCs w:val="21"/>
              </w:rPr>
            </w:pPr>
            <w:r>
              <w:rPr>
                <w:rFonts w:hint="eastAsia"/>
                <w:color w:val="auto"/>
                <w:szCs w:val="21"/>
              </w:rPr>
              <w:t>7000</w:t>
            </w:r>
          </w:p>
        </w:tc>
        <w:tc>
          <w:tcPr>
            <w:tcW w:w="738" w:type="pct"/>
            <w:shd w:val="clear" w:color="auto" w:fill="auto"/>
            <w:vAlign w:val="center"/>
          </w:tcPr>
          <w:p w14:paraId="186F961B">
            <w:pPr>
              <w:jc w:val="center"/>
              <w:rPr>
                <w:rFonts w:hint="eastAsia"/>
                <w:color w:val="auto"/>
                <w:szCs w:val="21"/>
                <w:lang w:val="en-US" w:eastAsia="zh-CN"/>
              </w:rPr>
            </w:pPr>
            <w:r>
              <w:rPr>
                <w:rFonts w:hint="default"/>
                <w:color w:val="auto"/>
                <w:szCs w:val="21"/>
                <w:lang w:val="en-US" w:eastAsia="zh-CN"/>
              </w:rPr>
              <w:t>0.2</w:t>
            </w:r>
          </w:p>
        </w:tc>
        <w:tc>
          <w:tcPr>
            <w:tcW w:w="692" w:type="pct"/>
            <w:shd w:val="clear" w:color="auto" w:fill="auto"/>
            <w:vAlign w:val="center"/>
          </w:tcPr>
          <w:p w14:paraId="258B7F9B">
            <w:pPr>
              <w:jc w:val="center"/>
              <w:rPr>
                <w:rFonts w:hint="eastAsia"/>
                <w:color w:val="auto"/>
                <w:szCs w:val="21"/>
                <w:lang w:val="en-US" w:eastAsia="zh-CN"/>
              </w:rPr>
            </w:pPr>
            <w:r>
              <w:rPr>
                <w:rFonts w:hint="eastAsia"/>
                <w:color w:val="auto"/>
                <w:szCs w:val="21"/>
                <w:lang w:val="en-US" w:eastAsia="zh-CN"/>
              </w:rPr>
              <w:t>1.4</w:t>
            </w:r>
            <w:r>
              <w:rPr>
                <w:rFonts w:hint="default"/>
                <w:color w:val="auto"/>
                <w:szCs w:val="21"/>
                <w:lang w:val="en-US" w:eastAsia="zh-CN"/>
              </w:rPr>
              <w:t xml:space="preserve"> </w:t>
            </w:r>
          </w:p>
        </w:tc>
      </w:tr>
      <w:tr w14:paraId="5579EF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4D6C90CA">
            <w:pPr>
              <w:jc w:val="center"/>
              <w:rPr>
                <w:snapToGrid w:val="0"/>
                <w:color w:val="auto"/>
                <w:szCs w:val="21"/>
              </w:rPr>
            </w:pPr>
          </w:p>
        </w:tc>
        <w:tc>
          <w:tcPr>
            <w:tcW w:w="635" w:type="pct"/>
            <w:shd w:val="clear" w:color="auto" w:fill="auto"/>
            <w:vAlign w:val="center"/>
          </w:tcPr>
          <w:p w14:paraId="79FD7E66">
            <w:pPr>
              <w:jc w:val="center"/>
              <w:rPr>
                <w:snapToGrid w:val="0"/>
                <w:color w:val="auto"/>
                <w:szCs w:val="21"/>
              </w:rPr>
            </w:pPr>
            <w:r>
              <w:rPr>
                <w:rFonts w:hAnsiTheme="minorEastAsia" w:eastAsiaTheme="minorEastAsia"/>
                <w:color w:val="auto"/>
                <w:spacing w:val="7"/>
              </w:rPr>
              <w:t>石</w:t>
            </w:r>
            <w:r>
              <w:rPr>
                <w:rFonts w:hAnsiTheme="minorEastAsia" w:eastAsiaTheme="minorEastAsia"/>
                <w:color w:val="auto"/>
                <w:spacing w:val="6"/>
              </w:rPr>
              <w:t>油类</w:t>
            </w:r>
          </w:p>
        </w:tc>
        <w:tc>
          <w:tcPr>
            <w:tcW w:w="697" w:type="pct"/>
            <w:shd w:val="clear" w:color="auto" w:fill="auto"/>
            <w:vAlign w:val="center"/>
          </w:tcPr>
          <w:p w14:paraId="5206B07C">
            <w:pPr>
              <w:jc w:val="center"/>
              <w:rPr>
                <w:color w:val="auto"/>
                <w:szCs w:val="21"/>
              </w:rPr>
            </w:pPr>
            <w:r>
              <w:rPr>
                <w:rFonts w:hint="eastAsia"/>
                <w:color w:val="auto"/>
                <w:szCs w:val="21"/>
              </w:rPr>
              <w:t>350</w:t>
            </w:r>
          </w:p>
        </w:tc>
        <w:tc>
          <w:tcPr>
            <w:tcW w:w="845" w:type="pct"/>
            <w:shd w:val="clear" w:color="auto" w:fill="auto"/>
            <w:vAlign w:val="center"/>
          </w:tcPr>
          <w:p w14:paraId="7212A048">
            <w:pPr>
              <w:jc w:val="center"/>
              <w:rPr>
                <w:snapToGrid w:val="0"/>
                <w:color w:val="auto"/>
                <w:szCs w:val="21"/>
              </w:rPr>
            </w:pPr>
            <w:r>
              <w:rPr>
                <w:snapToGrid w:val="0"/>
                <w:color w:val="auto"/>
                <w:szCs w:val="21"/>
              </w:rPr>
              <w:t>20</w:t>
            </w:r>
          </w:p>
        </w:tc>
        <w:tc>
          <w:tcPr>
            <w:tcW w:w="634" w:type="pct"/>
            <w:shd w:val="clear" w:color="auto" w:fill="auto"/>
            <w:vAlign w:val="center"/>
          </w:tcPr>
          <w:p w14:paraId="6D908509">
            <w:pPr>
              <w:jc w:val="center"/>
              <w:rPr>
                <w:color w:val="auto"/>
                <w:szCs w:val="21"/>
              </w:rPr>
            </w:pPr>
            <w:r>
              <w:rPr>
                <w:rFonts w:hint="eastAsia"/>
                <w:color w:val="auto"/>
                <w:szCs w:val="21"/>
              </w:rPr>
              <w:t>7000</w:t>
            </w:r>
          </w:p>
        </w:tc>
        <w:tc>
          <w:tcPr>
            <w:tcW w:w="738" w:type="pct"/>
            <w:shd w:val="clear" w:color="auto" w:fill="auto"/>
            <w:vAlign w:val="center"/>
          </w:tcPr>
          <w:p w14:paraId="72A05369">
            <w:pPr>
              <w:jc w:val="center"/>
              <w:rPr>
                <w:rFonts w:hint="eastAsia"/>
                <w:color w:val="auto"/>
                <w:szCs w:val="21"/>
                <w:lang w:val="en-US" w:eastAsia="zh-CN"/>
              </w:rPr>
            </w:pPr>
            <w:r>
              <w:rPr>
                <w:rFonts w:hint="default"/>
                <w:color w:val="auto"/>
                <w:szCs w:val="21"/>
                <w:lang w:val="en-US" w:eastAsia="zh-CN"/>
              </w:rPr>
              <w:t>0.06</w:t>
            </w:r>
          </w:p>
        </w:tc>
        <w:tc>
          <w:tcPr>
            <w:tcW w:w="692" w:type="pct"/>
            <w:shd w:val="clear" w:color="auto" w:fill="auto"/>
            <w:vAlign w:val="center"/>
          </w:tcPr>
          <w:p w14:paraId="137A40B2">
            <w:pPr>
              <w:jc w:val="center"/>
              <w:rPr>
                <w:rFonts w:hint="eastAsia"/>
                <w:color w:val="auto"/>
                <w:szCs w:val="21"/>
                <w:lang w:val="en-US" w:eastAsia="zh-CN"/>
              </w:rPr>
            </w:pPr>
            <w:r>
              <w:rPr>
                <w:rFonts w:hint="default"/>
                <w:color w:val="auto"/>
                <w:szCs w:val="21"/>
                <w:lang w:val="en-US" w:eastAsia="zh-CN"/>
              </w:rPr>
              <w:t xml:space="preserve">0.420 </w:t>
            </w:r>
          </w:p>
        </w:tc>
      </w:tr>
      <w:tr w14:paraId="5306CC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18C3DCFB">
            <w:pPr>
              <w:jc w:val="center"/>
              <w:rPr>
                <w:snapToGrid w:val="0"/>
                <w:color w:val="auto"/>
                <w:szCs w:val="21"/>
              </w:rPr>
            </w:pPr>
          </w:p>
        </w:tc>
        <w:tc>
          <w:tcPr>
            <w:tcW w:w="635" w:type="pct"/>
            <w:shd w:val="clear" w:color="auto" w:fill="auto"/>
            <w:vAlign w:val="center"/>
          </w:tcPr>
          <w:p w14:paraId="49B99535">
            <w:pPr>
              <w:jc w:val="center"/>
              <w:rPr>
                <w:snapToGrid w:val="0"/>
                <w:color w:val="auto"/>
                <w:szCs w:val="21"/>
              </w:rPr>
            </w:pPr>
            <w:r>
              <w:rPr>
                <w:rFonts w:hAnsiTheme="minorEastAsia" w:eastAsiaTheme="minorEastAsia"/>
                <w:color w:val="auto"/>
                <w:spacing w:val="7"/>
              </w:rPr>
              <w:t>动植物油</w:t>
            </w:r>
          </w:p>
        </w:tc>
        <w:tc>
          <w:tcPr>
            <w:tcW w:w="697" w:type="pct"/>
            <w:shd w:val="clear" w:color="auto" w:fill="auto"/>
            <w:vAlign w:val="center"/>
          </w:tcPr>
          <w:p w14:paraId="722A6F63">
            <w:pPr>
              <w:jc w:val="center"/>
              <w:rPr>
                <w:color w:val="auto"/>
                <w:szCs w:val="21"/>
              </w:rPr>
            </w:pPr>
            <w:r>
              <w:rPr>
                <w:rFonts w:hint="eastAsia"/>
                <w:color w:val="auto"/>
                <w:szCs w:val="21"/>
              </w:rPr>
              <w:t>350</w:t>
            </w:r>
          </w:p>
        </w:tc>
        <w:tc>
          <w:tcPr>
            <w:tcW w:w="845" w:type="pct"/>
            <w:shd w:val="clear" w:color="auto" w:fill="auto"/>
            <w:vAlign w:val="center"/>
          </w:tcPr>
          <w:p w14:paraId="3AF8ACB9">
            <w:pPr>
              <w:jc w:val="center"/>
              <w:rPr>
                <w:snapToGrid w:val="0"/>
                <w:color w:val="auto"/>
                <w:szCs w:val="21"/>
              </w:rPr>
            </w:pPr>
            <w:r>
              <w:rPr>
                <w:snapToGrid w:val="0"/>
                <w:color w:val="auto"/>
                <w:szCs w:val="21"/>
              </w:rPr>
              <w:t>20</w:t>
            </w:r>
          </w:p>
        </w:tc>
        <w:tc>
          <w:tcPr>
            <w:tcW w:w="634" w:type="pct"/>
            <w:shd w:val="clear" w:color="auto" w:fill="auto"/>
            <w:vAlign w:val="center"/>
          </w:tcPr>
          <w:p w14:paraId="3C6E0476">
            <w:pPr>
              <w:jc w:val="center"/>
              <w:rPr>
                <w:color w:val="auto"/>
                <w:szCs w:val="21"/>
              </w:rPr>
            </w:pPr>
            <w:r>
              <w:rPr>
                <w:rFonts w:hint="eastAsia"/>
                <w:color w:val="auto"/>
                <w:szCs w:val="21"/>
              </w:rPr>
              <w:t>7000</w:t>
            </w:r>
          </w:p>
        </w:tc>
        <w:tc>
          <w:tcPr>
            <w:tcW w:w="738" w:type="pct"/>
            <w:shd w:val="clear" w:color="auto" w:fill="auto"/>
            <w:vAlign w:val="center"/>
          </w:tcPr>
          <w:p w14:paraId="236343AC">
            <w:pPr>
              <w:jc w:val="center"/>
              <w:rPr>
                <w:rFonts w:hint="eastAsia"/>
                <w:color w:val="auto"/>
                <w:szCs w:val="21"/>
                <w:lang w:val="en-US" w:eastAsia="zh-CN"/>
              </w:rPr>
            </w:pPr>
            <w:r>
              <w:rPr>
                <w:rFonts w:hint="default"/>
                <w:color w:val="auto"/>
                <w:szCs w:val="21"/>
                <w:lang w:val="en-US" w:eastAsia="zh-CN"/>
              </w:rPr>
              <w:t>0.06</w:t>
            </w:r>
          </w:p>
        </w:tc>
        <w:tc>
          <w:tcPr>
            <w:tcW w:w="692" w:type="pct"/>
            <w:shd w:val="clear" w:color="auto" w:fill="auto"/>
            <w:vAlign w:val="center"/>
          </w:tcPr>
          <w:p w14:paraId="554C0CD8">
            <w:pPr>
              <w:jc w:val="center"/>
              <w:rPr>
                <w:rFonts w:hint="eastAsia"/>
                <w:color w:val="auto"/>
                <w:szCs w:val="21"/>
                <w:lang w:val="en-US" w:eastAsia="zh-CN"/>
              </w:rPr>
            </w:pPr>
            <w:r>
              <w:rPr>
                <w:rFonts w:hint="default"/>
                <w:color w:val="auto"/>
                <w:szCs w:val="21"/>
                <w:lang w:val="en-US" w:eastAsia="zh-CN"/>
              </w:rPr>
              <w:t xml:space="preserve">0.420 </w:t>
            </w:r>
          </w:p>
        </w:tc>
      </w:tr>
      <w:tr w14:paraId="0B2CCF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756" w:type="pct"/>
            <w:vMerge w:val="continue"/>
            <w:shd w:val="clear" w:color="auto" w:fill="auto"/>
            <w:vAlign w:val="center"/>
          </w:tcPr>
          <w:p w14:paraId="38E9A88C">
            <w:pPr>
              <w:jc w:val="center"/>
              <w:rPr>
                <w:snapToGrid w:val="0"/>
                <w:color w:val="auto"/>
                <w:szCs w:val="21"/>
              </w:rPr>
            </w:pPr>
          </w:p>
        </w:tc>
        <w:tc>
          <w:tcPr>
            <w:tcW w:w="635" w:type="pct"/>
            <w:shd w:val="clear" w:color="auto" w:fill="auto"/>
            <w:vAlign w:val="center"/>
          </w:tcPr>
          <w:p w14:paraId="2C71DA2A">
            <w:pPr>
              <w:jc w:val="center"/>
              <w:rPr>
                <w:snapToGrid w:val="0"/>
                <w:color w:val="auto"/>
                <w:szCs w:val="21"/>
              </w:rPr>
            </w:pPr>
            <w:r>
              <w:rPr>
                <w:rFonts w:ascii="宋体" w:hAnsi="宋体" w:cs="宋体"/>
                <w:color w:val="auto"/>
                <w:spacing w:val="5"/>
              </w:rPr>
              <w:t>悬浮物</w:t>
            </w:r>
          </w:p>
        </w:tc>
        <w:tc>
          <w:tcPr>
            <w:tcW w:w="697" w:type="pct"/>
            <w:shd w:val="clear" w:color="auto" w:fill="auto"/>
            <w:vAlign w:val="center"/>
          </w:tcPr>
          <w:p w14:paraId="6464C34A">
            <w:pPr>
              <w:jc w:val="center"/>
              <w:rPr>
                <w:color w:val="auto"/>
                <w:szCs w:val="21"/>
              </w:rPr>
            </w:pPr>
            <w:r>
              <w:rPr>
                <w:rFonts w:hint="eastAsia"/>
                <w:color w:val="auto"/>
                <w:szCs w:val="21"/>
              </w:rPr>
              <w:t>350</w:t>
            </w:r>
          </w:p>
        </w:tc>
        <w:tc>
          <w:tcPr>
            <w:tcW w:w="845" w:type="pct"/>
            <w:shd w:val="clear" w:color="auto" w:fill="auto"/>
            <w:vAlign w:val="center"/>
          </w:tcPr>
          <w:p w14:paraId="516EC88B">
            <w:pPr>
              <w:jc w:val="center"/>
              <w:rPr>
                <w:snapToGrid w:val="0"/>
                <w:color w:val="auto"/>
                <w:szCs w:val="21"/>
              </w:rPr>
            </w:pPr>
            <w:r>
              <w:rPr>
                <w:snapToGrid w:val="0"/>
                <w:color w:val="auto"/>
                <w:szCs w:val="21"/>
              </w:rPr>
              <w:t>20</w:t>
            </w:r>
          </w:p>
        </w:tc>
        <w:tc>
          <w:tcPr>
            <w:tcW w:w="634" w:type="pct"/>
            <w:shd w:val="clear" w:color="auto" w:fill="auto"/>
            <w:vAlign w:val="center"/>
          </w:tcPr>
          <w:p w14:paraId="705F51A2">
            <w:pPr>
              <w:jc w:val="center"/>
              <w:rPr>
                <w:color w:val="auto"/>
                <w:szCs w:val="21"/>
              </w:rPr>
            </w:pPr>
            <w:r>
              <w:rPr>
                <w:rFonts w:hint="eastAsia"/>
                <w:color w:val="auto"/>
                <w:szCs w:val="21"/>
              </w:rPr>
              <w:t>7000</w:t>
            </w:r>
          </w:p>
        </w:tc>
        <w:tc>
          <w:tcPr>
            <w:tcW w:w="738" w:type="pct"/>
            <w:shd w:val="clear" w:color="auto" w:fill="auto"/>
            <w:vAlign w:val="center"/>
          </w:tcPr>
          <w:p w14:paraId="268AEA0F">
            <w:pPr>
              <w:jc w:val="center"/>
              <w:rPr>
                <w:rFonts w:hint="eastAsia"/>
                <w:color w:val="auto"/>
                <w:szCs w:val="21"/>
                <w:lang w:val="en-US" w:eastAsia="zh-CN"/>
              </w:rPr>
            </w:pPr>
            <w:r>
              <w:rPr>
                <w:rFonts w:hint="default"/>
                <w:color w:val="auto"/>
                <w:szCs w:val="21"/>
                <w:lang w:val="en-US" w:eastAsia="zh-CN"/>
              </w:rPr>
              <w:t>38</w:t>
            </w:r>
          </w:p>
        </w:tc>
        <w:tc>
          <w:tcPr>
            <w:tcW w:w="692" w:type="pct"/>
            <w:shd w:val="clear" w:color="auto" w:fill="auto"/>
            <w:vAlign w:val="center"/>
          </w:tcPr>
          <w:p w14:paraId="62017FE4">
            <w:pPr>
              <w:jc w:val="center"/>
              <w:rPr>
                <w:rFonts w:hint="eastAsia"/>
                <w:color w:val="auto"/>
                <w:szCs w:val="21"/>
                <w:lang w:val="en-US" w:eastAsia="zh-CN"/>
              </w:rPr>
            </w:pPr>
            <w:r>
              <w:rPr>
                <w:rFonts w:hint="default"/>
                <w:color w:val="auto"/>
                <w:szCs w:val="21"/>
                <w:lang w:val="en-US" w:eastAsia="zh-CN"/>
              </w:rPr>
              <w:t xml:space="preserve">266.000 </w:t>
            </w:r>
          </w:p>
        </w:tc>
      </w:tr>
    </w:tbl>
    <w:p w14:paraId="5DD3C56D">
      <w:pPr>
        <w:pStyle w:val="135"/>
        <w:rPr>
          <w:color w:val="auto"/>
        </w:rPr>
      </w:pPr>
      <w:r>
        <w:rPr>
          <w:rFonts w:hint="eastAsia"/>
          <w:color w:val="auto"/>
        </w:rPr>
        <w:t>3</w:t>
      </w:r>
      <w:r>
        <w:rPr>
          <w:color w:val="auto"/>
        </w:rPr>
        <w:t>.3.2.6生态</w:t>
      </w:r>
    </w:p>
    <w:p w14:paraId="3CBFA7CF">
      <w:pPr>
        <w:pStyle w:val="59"/>
        <w:ind w:firstLine="480"/>
        <w:rPr>
          <w:color w:val="auto"/>
        </w:rPr>
      </w:pPr>
      <w:r>
        <w:rPr>
          <w:rFonts w:hint="eastAsia"/>
          <w:color w:val="auto"/>
        </w:rPr>
        <w:t>项目回填复垦期主要来自于回填过程中产生的扬尘对周围植被的影响、回填过程对区域景观的不利影响以及项目占地对土地利用产生的不利影响，但在生态恢复期可以得到恢复。</w:t>
      </w:r>
    </w:p>
    <w:p w14:paraId="715E3C99">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.3.2.7</w:t>
      </w:r>
      <w:r>
        <w:rPr>
          <w:rFonts w:hint="eastAsia"/>
          <w:color w:val="auto"/>
          <w:sz w:val="24"/>
          <w:szCs w:val="20"/>
          <w:lang w:val="zh-CN"/>
        </w:rPr>
        <w:t>非正常工况</w:t>
      </w:r>
    </w:p>
    <w:p w14:paraId="52E37C27">
      <w:pPr>
        <w:spacing w:line="500" w:lineRule="exact"/>
        <w:ind w:firstLine="480" w:firstLineChars="200"/>
        <w:rPr>
          <w:color w:val="auto"/>
          <w:sz w:val="24"/>
          <w:szCs w:val="22"/>
        </w:rPr>
      </w:pPr>
      <w:r>
        <w:rPr>
          <w:rFonts w:hint="eastAsia"/>
          <w:color w:val="auto"/>
          <w:sz w:val="24"/>
          <w:szCs w:val="22"/>
        </w:rPr>
        <w:t>本项目</w:t>
      </w:r>
      <w:r>
        <w:rPr>
          <w:color w:val="auto"/>
          <w:sz w:val="24"/>
          <w:szCs w:val="22"/>
        </w:rPr>
        <w:t>非正常工况主要为</w:t>
      </w:r>
      <w:r>
        <w:rPr>
          <w:rFonts w:hint="eastAsia"/>
          <w:color w:val="auto"/>
          <w:sz w:val="24"/>
          <w:szCs w:val="22"/>
        </w:rPr>
        <w:t>洒水车故障，导致抑尘效率</w:t>
      </w:r>
      <w:r>
        <w:rPr>
          <w:color w:val="auto"/>
          <w:sz w:val="24"/>
          <w:szCs w:val="22"/>
        </w:rPr>
        <w:t>为</w:t>
      </w:r>
      <w:r>
        <w:rPr>
          <w:rFonts w:hint="eastAsia"/>
          <w:color w:val="auto"/>
          <w:sz w:val="24"/>
          <w:szCs w:val="22"/>
        </w:rPr>
        <w:t>0</w:t>
      </w:r>
      <w:r>
        <w:rPr>
          <w:color w:val="auto"/>
          <w:sz w:val="24"/>
          <w:szCs w:val="22"/>
        </w:rPr>
        <w:t>%</w:t>
      </w:r>
      <w:r>
        <w:rPr>
          <w:rFonts w:hint="eastAsia"/>
          <w:color w:val="auto"/>
          <w:sz w:val="24"/>
          <w:szCs w:val="22"/>
        </w:rPr>
        <w:t>，则非正常工况下，废气源强见下表。</w:t>
      </w:r>
    </w:p>
    <w:p w14:paraId="67135583">
      <w:pPr>
        <w:adjustRightInd w:val="0"/>
        <w:snapToGrid w:val="0"/>
        <w:spacing w:line="500" w:lineRule="exact"/>
        <w:jc w:val="center"/>
        <w:rPr>
          <w:rFonts w:eastAsia="黑体"/>
          <w:color w:val="auto"/>
          <w:sz w:val="24"/>
          <w:szCs w:val="22"/>
        </w:rPr>
      </w:pPr>
      <w:r>
        <w:rPr>
          <w:rFonts w:hint="eastAsia" w:eastAsia="黑体"/>
          <w:color w:val="auto"/>
          <w:sz w:val="24"/>
          <w:szCs w:val="22"/>
          <w:lang w:val="zh-CN"/>
        </w:rPr>
        <w:t>表</w:t>
      </w:r>
      <w:r>
        <w:rPr>
          <w:rFonts w:eastAsia="黑体"/>
          <w:color w:val="auto"/>
          <w:sz w:val="24"/>
          <w:szCs w:val="22"/>
        </w:rPr>
        <w:t>3-3-14</w:t>
      </w:r>
      <w:r>
        <w:rPr>
          <w:rFonts w:hint="eastAsia" w:eastAsia="黑体"/>
          <w:color w:val="auto"/>
          <w:sz w:val="24"/>
          <w:szCs w:val="22"/>
          <w:lang w:val="zh-CN"/>
        </w:rPr>
        <w:t>污染源非正常排放量核算表</w:t>
      </w:r>
    </w:p>
    <w:tbl>
      <w:tblPr>
        <w:tblStyle w:val="761"/>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700"/>
        <w:gridCol w:w="1271"/>
        <w:gridCol w:w="648"/>
        <w:gridCol w:w="1305"/>
        <w:gridCol w:w="1409"/>
        <w:gridCol w:w="743"/>
        <w:gridCol w:w="730"/>
        <w:gridCol w:w="1019"/>
      </w:tblGrid>
      <w:tr w14:paraId="49AE7E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0C3116">
            <w:pPr>
              <w:jc w:val="center"/>
              <w:rPr>
                <w:rFonts w:ascii="Times New Roman" w:hAnsi="Times New Roman"/>
                <w:color w:val="auto"/>
                <w:szCs w:val="22"/>
                <w:lang w:val="zh-CN"/>
              </w:rPr>
            </w:pPr>
            <w:r>
              <w:rPr>
                <w:rFonts w:hint="eastAsia" w:ascii="Times New Roman" w:hAnsi="Times New Roman"/>
                <w:color w:val="auto"/>
                <w:szCs w:val="22"/>
                <w:lang w:val="zh-CN"/>
              </w:rPr>
              <w:t>序号</w:t>
            </w:r>
          </w:p>
        </w:tc>
        <w:tc>
          <w:tcPr>
            <w:tcW w:w="0" w:type="auto"/>
            <w:vAlign w:val="center"/>
          </w:tcPr>
          <w:p w14:paraId="2FF83902">
            <w:pPr>
              <w:rPr>
                <w:rFonts w:ascii="Times New Roman" w:hAnsi="Times New Roman"/>
                <w:color w:val="auto"/>
                <w:szCs w:val="22"/>
                <w:lang w:val="zh-CN"/>
              </w:rPr>
            </w:pPr>
            <w:r>
              <w:rPr>
                <w:rFonts w:hint="eastAsia" w:ascii="Times New Roman" w:hAnsi="Times New Roman"/>
                <w:color w:val="auto"/>
                <w:szCs w:val="22"/>
              </w:rPr>
              <w:t>污染源</w:t>
            </w:r>
          </w:p>
        </w:tc>
        <w:tc>
          <w:tcPr>
            <w:tcW w:w="0" w:type="auto"/>
            <w:vAlign w:val="center"/>
          </w:tcPr>
          <w:p w14:paraId="7A91BC08">
            <w:pPr>
              <w:jc w:val="center"/>
              <w:rPr>
                <w:rFonts w:ascii="Times New Roman" w:hAnsi="Times New Roman"/>
                <w:color w:val="auto"/>
                <w:szCs w:val="22"/>
                <w:lang w:val="zh-CN"/>
              </w:rPr>
            </w:pPr>
            <w:r>
              <w:rPr>
                <w:rFonts w:hint="eastAsia" w:ascii="Times New Roman" w:hAnsi="Times New Roman"/>
                <w:color w:val="auto"/>
                <w:szCs w:val="22"/>
                <w:lang w:val="zh-CN"/>
              </w:rPr>
              <w:t>非正常排放原因</w:t>
            </w:r>
          </w:p>
        </w:tc>
        <w:tc>
          <w:tcPr>
            <w:tcW w:w="0" w:type="auto"/>
            <w:vAlign w:val="center"/>
          </w:tcPr>
          <w:p w14:paraId="594D0FE9">
            <w:pPr>
              <w:jc w:val="center"/>
              <w:rPr>
                <w:rFonts w:ascii="Times New Roman" w:hAnsi="Times New Roman"/>
                <w:color w:val="auto"/>
                <w:szCs w:val="22"/>
                <w:lang w:val="zh-CN"/>
              </w:rPr>
            </w:pPr>
            <w:r>
              <w:rPr>
                <w:rFonts w:ascii="Times New Roman" w:hAnsi="Times New Roman"/>
                <w:color w:val="auto"/>
                <w:szCs w:val="22"/>
                <w:lang w:val="zh-CN"/>
              </w:rPr>
              <w:t>污染物</w:t>
            </w:r>
          </w:p>
        </w:tc>
        <w:tc>
          <w:tcPr>
            <w:tcW w:w="0" w:type="auto"/>
            <w:vAlign w:val="center"/>
          </w:tcPr>
          <w:p w14:paraId="7FE034B7">
            <w:pPr>
              <w:jc w:val="center"/>
              <w:rPr>
                <w:rFonts w:ascii="Times New Roman" w:hAnsi="Times New Roman"/>
                <w:color w:val="auto"/>
                <w:szCs w:val="22"/>
              </w:rPr>
            </w:pPr>
            <w:r>
              <w:rPr>
                <w:rFonts w:ascii="Times New Roman" w:hAnsi="Times New Roman"/>
                <w:color w:val="auto"/>
                <w:szCs w:val="22"/>
              </w:rPr>
              <w:t>非正常排放浓度/(μg/m</w:t>
            </w:r>
            <w:r>
              <w:rPr>
                <w:rFonts w:ascii="Times New Roman" w:hAnsi="Times New Roman"/>
                <w:color w:val="auto"/>
                <w:szCs w:val="22"/>
                <w:vertAlign w:val="superscript"/>
              </w:rPr>
              <w:t>3</w:t>
            </w:r>
            <w:r>
              <w:rPr>
                <w:rFonts w:ascii="Times New Roman" w:hAnsi="Times New Roman"/>
                <w:color w:val="auto"/>
                <w:szCs w:val="22"/>
              </w:rPr>
              <w:t>)</w:t>
            </w:r>
          </w:p>
        </w:tc>
        <w:tc>
          <w:tcPr>
            <w:tcW w:w="0" w:type="auto"/>
            <w:vAlign w:val="center"/>
          </w:tcPr>
          <w:p w14:paraId="617DE735">
            <w:pPr>
              <w:jc w:val="center"/>
              <w:rPr>
                <w:rFonts w:ascii="Times New Roman" w:hAnsi="Times New Roman"/>
                <w:color w:val="auto"/>
                <w:szCs w:val="22"/>
              </w:rPr>
            </w:pPr>
            <w:r>
              <w:rPr>
                <w:rFonts w:hint="eastAsia" w:ascii="Times New Roman" w:hAnsi="Times New Roman"/>
                <w:color w:val="auto"/>
                <w:szCs w:val="22"/>
              </w:rPr>
              <w:t>非正常排放速率/（kg/h）</w:t>
            </w:r>
          </w:p>
        </w:tc>
        <w:tc>
          <w:tcPr>
            <w:tcW w:w="0" w:type="auto"/>
            <w:vAlign w:val="center"/>
          </w:tcPr>
          <w:p w14:paraId="5D92F2F9">
            <w:pPr>
              <w:jc w:val="center"/>
              <w:rPr>
                <w:rFonts w:ascii="Times New Roman" w:hAnsi="Times New Roman"/>
                <w:color w:val="auto"/>
                <w:szCs w:val="22"/>
              </w:rPr>
            </w:pPr>
            <w:r>
              <w:rPr>
                <w:rFonts w:hint="eastAsia" w:ascii="Times New Roman" w:hAnsi="Times New Roman"/>
                <w:color w:val="auto"/>
                <w:szCs w:val="22"/>
              </w:rPr>
              <w:t>单次持续时间/h</w:t>
            </w:r>
          </w:p>
        </w:tc>
        <w:tc>
          <w:tcPr>
            <w:tcW w:w="0" w:type="auto"/>
            <w:vAlign w:val="center"/>
          </w:tcPr>
          <w:p w14:paraId="69AC53B0">
            <w:pPr>
              <w:jc w:val="center"/>
              <w:rPr>
                <w:rFonts w:ascii="Times New Roman" w:hAnsi="Times New Roman"/>
                <w:color w:val="auto"/>
                <w:szCs w:val="22"/>
              </w:rPr>
            </w:pPr>
            <w:r>
              <w:rPr>
                <w:rFonts w:hint="eastAsia" w:ascii="Times New Roman" w:hAnsi="Times New Roman"/>
                <w:color w:val="auto"/>
                <w:szCs w:val="22"/>
              </w:rPr>
              <w:t>年发生频次//次</w:t>
            </w:r>
          </w:p>
        </w:tc>
        <w:tc>
          <w:tcPr>
            <w:tcW w:w="0" w:type="auto"/>
            <w:vAlign w:val="center"/>
          </w:tcPr>
          <w:p w14:paraId="04B06CFD">
            <w:pPr>
              <w:jc w:val="center"/>
              <w:rPr>
                <w:rFonts w:ascii="Times New Roman" w:hAnsi="Times New Roman"/>
                <w:color w:val="auto"/>
                <w:szCs w:val="22"/>
              </w:rPr>
            </w:pPr>
            <w:r>
              <w:rPr>
                <w:rFonts w:hint="eastAsia" w:ascii="Times New Roman" w:hAnsi="Times New Roman"/>
                <w:color w:val="auto"/>
                <w:szCs w:val="22"/>
              </w:rPr>
              <w:t>应对措施</w:t>
            </w:r>
          </w:p>
        </w:tc>
      </w:tr>
      <w:tr w14:paraId="22C253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980396A">
            <w:pPr>
              <w:jc w:val="center"/>
              <w:rPr>
                <w:rFonts w:ascii="Times New Roman" w:hAnsi="Times New Roman"/>
                <w:color w:val="auto"/>
                <w:szCs w:val="22"/>
                <w:lang w:val="zh-CN"/>
              </w:rPr>
            </w:pPr>
            <w:r>
              <w:rPr>
                <w:rFonts w:ascii="Times New Roman" w:hAnsi="Times New Roman"/>
                <w:color w:val="auto"/>
                <w:szCs w:val="22"/>
                <w:lang w:val="zh-CN"/>
              </w:rPr>
              <w:t>1</w:t>
            </w:r>
          </w:p>
        </w:tc>
        <w:tc>
          <w:tcPr>
            <w:tcW w:w="0" w:type="auto"/>
            <w:vAlign w:val="center"/>
          </w:tcPr>
          <w:p w14:paraId="74B3BDC4">
            <w:pPr>
              <w:jc w:val="center"/>
              <w:rPr>
                <w:rFonts w:ascii="Times New Roman" w:hAnsi="Times New Roman"/>
                <w:color w:val="auto"/>
                <w:szCs w:val="22"/>
                <w:lang w:val="zh-CN"/>
              </w:rPr>
            </w:pPr>
            <w:r>
              <w:rPr>
                <w:rFonts w:hint="eastAsia" w:ascii="Times New Roman" w:hAnsi="Times New Roman"/>
                <w:color w:val="auto"/>
                <w:szCs w:val="22"/>
                <w:lang w:val="zh-CN"/>
              </w:rPr>
              <w:t>回填区</w:t>
            </w:r>
          </w:p>
        </w:tc>
        <w:tc>
          <w:tcPr>
            <w:tcW w:w="0" w:type="auto"/>
            <w:vMerge w:val="restart"/>
            <w:vAlign w:val="center"/>
          </w:tcPr>
          <w:p w14:paraId="2F7BBB58">
            <w:pPr>
              <w:jc w:val="center"/>
              <w:rPr>
                <w:rFonts w:ascii="Times New Roman" w:hAnsi="Times New Roman"/>
                <w:color w:val="auto"/>
                <w:szCs w:val="22"/>
              </w:rPr>
            </w:pPr>
            <w:r>
              <w:rPr>
                <w:rFonts w:hint="eastAsia" w:ascii="Times New Roman" w:hAnsi="Times New Roman"/>
                <w:color w:val="auto"/>
                <w:szCs w:val="22"/>
              </w:rPr>
              <w:t>洒水车故障，洒水抑尘效率0</w:t>
            </w:r>
            <w:r>
              <w:rPr>
                <w:rFonts w:ascii="Times New Roman" w:hAnsi="Times New Roman"/>
                <w:color w:val="auto"/>
                <w:szCs w:val="22"/>
              </w:rPr>
              <w:t>%</w:t>
            </w:r>
          </w:p>
        </w:tc>
        <w:tc>
          <w:tcPr>
            <w:tcW w:w="0" w:type="auto"/>
            <w:vAlign w:val="center"/>
          </w:tcPr>
          <w:p w14:paraId="5B281F4C">
            <w:pPr>
              <w:jc w:val="center"/>
              <w:rPr>
                <w:rFonts w:ascii="Times New Roman" w:hAnsi="Times New Roman"/>
                <w:color w:val="auto"/>
                <w:szCs w:val="22"/>
              </w:rPr>
            </w:pPr>
            <w:r>
              <w:rPr>
                <w:rFonts w:hint="eastAsia" w:ascii="Times New Roman" w:hAnsi="Times New Roman"/>
                <w:color w:val="auto"/>
                <w:szCs w:val="22"/>
              </w:rPr>
              <w:t>TSP</w:t>
            </w:r>
          </w:p>
        </w:tc>
        <w:tc>
          <w:tcPr>
            <w:tcW w:w="0" w:type="auto"/>
            <w:vAlign w:val="center"/>
          </w:tcPr>
          <w:p w14:paraId="50767646">
            <w:pPr>
              <w:jc w:val="center"/>
              <w:rPr>
                <w:rFonts w:ascii="Times New Roman" w:hAnsi="Times New Roman"/>
                <w:color w:val="auto"/>
                <w:szCs w:val="22"/>
              </w:rPr>
            </w:pPr>
            <w:r>
              <w:rPr>
                <w:rFonts w:hint="eastAsia" w:ascii="Times New Roman" w:hAnsi="Times New Roman"/>
                <w:color w:val="auto"/>
                <w:szCs w:val="22"/>
              </w:rPr>
              <w:t>/</w:t>
            </w:r>
          </w:p>
        </w:tc>
        <w:tc>
          <w:tcPr>
            <w:tcW w:w="0" w:type="auto"/>
            <w:vAlign w:val="center"/>
          </w:tcPr>
          <w:p w14:paraId="31E0A0BC">
            <w:pPr>
              <w:jc w:val="center"/>
              <w:rPr>
                <w:rFonts w:ascii="Times New Roman" w:hAnsi="Times New Roman"/>
                <w:color w:val="auto"/>
                <w:szCs w:val="22"/>
              </w:rPr>
            </w:pPr>
            <w:r>
              <w:rPr>
                <w:rFonts w:hint="eastAsia" w:ascii="Times New Roman" w:hAnsi="Times New Roman"/>
                <w:color w:val="auto"/>
                <w:szCs w:val="22"/>
                <w:lang w:val="zh-CN"/>
              </w:rPr>
              <w:t>0</w:t>
            </w:r>
            <w:r>
              <w:rPr>
                <w:rFonts w:ascii="Times New Roman" w:hAnsi="Times New Roman"/>
                <w:color w:val="auto"/>
                <w:szCs w:val="22"/>
                <w:lang w:val="zh-CN"/>
              </w:rPr>
              <w:t>.0049</w:t>
            </w:r>
          </w:p>
        </w:tc>
        <w:tc>
          <w:tcPr>
            <w:tcW w:w="0" w:type="auto"/>
            <w:vAlign w:val="center"/>
          </w:tcPr>
          <w:p w14:paraId="0A9E26BD">
            <w:pPr>
              <w:jc w:val="center"/>
              <w:rPr>
                <w:rFonts w:ascii="Times New Roman" w:hAnsi="Times New Roman"/>
                <w:color w:val="auto"/>
                <w:szCs w:val="22"/>
              </w:rPr>
            </w:pPr>
            <w:r>
              <w:rPr>
                <w:rFonts w:hint="eastAsia" w:ascii="Times New Roman" w:hAnsi="Times New Roman"/>
                <w:color w:val="auto"/>
                <w:szCs w:val="22"/>
              </w:rPr>
              <w:t>1</w:t>
            </w:r>
          </w:p>
        </w:tc>
        <w:tc>
          <w:tcPr>
            <w:tcW w:w="0" w:type="auto"/>
            <w:vAlign w:val="center"/>
          </w:tcPr>
          <w:p w14:paraId="38DBA3CD">
            <w:pPr>
              <w:jc w:val="center"/>
              <w:rPr>
                <w:rFonts w:ascii="Times New Roman" w:hAnsi="Times New Roman"/>
                <w:color w:val="auto"/>
                <w:szCs w:val="22"/>
              </w:rPr>
            </w:pPr>
            <w:r>
              <w:rPr>
                <w:rFonts w:ascii="Times New Roman" w:hAnsi="Times New Roman"/>
                <w:color w:val="auto"/>
                <w:szCs w:val="22"/>
              </w:rPr>
              <w:t>2</w:t>
            </w:r>
          </w:p>
        </w:tc>
        <w:tc>
          <w:tcPr>
            <w:tcW w:w="0" w:type="auto"/>
            <w:vMerge w:val="restart"/>
            <w:vAlign w:val="center"/>
          </w:tcPr>
          <w:p w14:paraId="7440D904">
            <w:pPr>
              <w:jc w:val="center"/>
              <w:rPr>
                <w:rFonts w:ascii="Times New Roman" w:hAnsi="Times New Roman"/>
                <w:color w:val="auto"/>
                <w:szCs w:val="22"/>
              </w:rPr>
            </w:pPr>
            <w:r>
              <w:rPr>
                <w:rFonts w:hint="eastAsia" w:ascii="Times New Roman" w:hAnsi="Times New Roman"/>
                <w:color w:val="auto"/>
                <w:szCs w:val="22"/>
              </w:rPr>
              <w:t>及时维修，加强维护</w:t>
            </w:r>
          </w:p>
        </w:tc>
      </w:tr>
      <w:tr w14:paraId="09C267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16AD4E1">
            <w:pPr>
              <w:jc w:val="center"/>
              <w:rPr>
                <w:rFonts w:ascii="Times New Roman" w:hAnsi="Times New Roman"/>
                <w:color w:val="auto"/>
                <w:szCs w:val="22"/>
                <w:lang w:val="zh-CN"/>
              </w:rPr>
            </w:pPr>
            <w:r>
              <w:rPr>
                <w:rFonts w:hint="eastAsia" w:ascii="Times New Roman" w:hAnsi="Times New Roman"/>
                <w:color w:val="auto"/>
                <w:szCs w:val="22"/>
                <w:lang w:val="zh-CN"/>
              </w:rPr>
              <w:t>2</w:t>
            </w:r>
          </w:p>
        </w:tc>
        <w:tc>
          <w:tcPr>
            <w:tcW w:w="0" w:type="auto"/>
            <w:vAlign w:val="center"/>
          </w:tcPr>
          <w:p w14:paraId="5F304BA2">
            <w:pPr>
              <w:jc w:val="center"/>
              <w:rPr>
                <w:rFonts w:ascii="Times New Roman" w:hAnsi="Times New Roman"/>
                <w:color w:val="auto"/>
                <w:szCs w:val="22"/>
                <w:lang w:val="zh-CN"/>
              </w:rPr>
            </w:pPr>
            <w:r>
              <w:rPr>
                <w:rFonts w:hint="eastAsia" w:ascii="Times New Roman" w:hAnsi="Times New Roman"/>
                <w:color w:val="auto"/>
                <w:szCs w:val="22"/>
                <w:lang w:val="zh-CN"/>
              </w:rPr>
              <w:t>场内运输道路</w:t>
            </w:r>
          </w:p>
        </w:tc>
        <w:tc>
          <w:tcPr>
            <w:tcW w:w="0" w:type="auto"/>
            <w:vMerge w:val="continue"/>
            <w:vAlign w:val="center"/>
          </w:tcPr>
          <w:p w14:paraId="145ABDD4">
            <w:pPr>
              <w:jc w:val="center"/>
              <w:rPr>
                <w:rFonts w:ascii="Times New Roman" w:hAnsi="Times New Roman"/>
                <w:color w:val="auto"/>
                <w:szCs w:val="22"/>
              </w:rPr>
            </w:pPr>
          </w:p>
        </w:tc>
        <w:tc>
          <w:tcPr>
            <w:tcW w:w="0" w:type="auto"/>
            <w:vAlign w:val="center"/>
          </w:tcPr>
          <w:p w14:paraId="7B2D34A0">
            <w:pPr>
              <w:jc w:val="center"/>
              <w:rPr>
                <w:rFonts w:ascii="Times New Roman" w:hAnsi="Times New Roman"/>
                <w:color w:val="auto"/>
                <w:szCs w:val="22"/>
              </w:rPr>
            </w:pPr>
            <w:r>
              <w:rPr>
                <w:rFonts w:hint="eastAsia" w:ascii="Times New Roman" w:hAnsi="Times New Roman"/>
                <w:color w:val="auto"/>
                <w:szCs w:val="22"/>
              </w:rPr>
              <w:t>TSP</w:t>
            </w:r>
          </w:p>
        </w:tc>
        <w:tc>
          <w:tcPr>
            <w:tcW w:w="0" w:type="auto"/>
            <w:vAlign w:val="center"/>
          </w:tcPr>
          <w:p w14:paraId="6858A5D0">
            <w:pPr>
              <w:jc w:val="center"/>
              <w:rPr>
                <w:rFonts w:ascii="Times New Roman" w:hAnsi="Times New Roman"/>
                <w:color w:val="auto"/>
                <w:szCs w:val="22"/>
              </w:rPr>
            </w:pPr>
            <w:r>
              <w:rPr>
                <w:rFonts w:hint="eastAsia" w:ascii="Times New Roman" w:hAnsi="Times New Roman"/>
                <w:color w:val="auto"/>
                <w:szCs w:val="22"/>
              </w:rPr>
              <w:t>/</w:t>
            </w:r>
          </w:p>
        </w:tc>
        <w:tc>
          <w:tcPr>
            <w:tcW w:w="0" w:type="auto"/>
            <w:vAlign w:val="center"/>
          </w:tcPr>
          <w:p w14:paraId="38319867">
            <w:pPr>
              <w:jc w:val="center"/>
              <w:rPr>
                <w:rFonts w:ascii="Times New Roman" w:hAnsi="Times New Roman"/>
                <w:color w:val="auto"/>
                <w:szCs w:val="22"/>
              </w:rPr>
            </w:pPr>
            <w:r>
              <w:rPr>
                <w:rFonts w:hint="eastAsia" w:ascii="Times New Roman" w:hAnsi="Times New Roman"/>
                <w:color w:val="auto"/>
                <w:szCs w:val="22"/>
                <w:lang w:val="zh-CN"/>
              </w:rPr>
              <w:t>0</w:t>
            </w:r>
            <w:r>
              <w:rPr>
                <w:rFonts w:ascii="Times New Roman" w:hAnsi="Times New Roman"/>
                <w:color w:val="auto"/>
                <w:szCs w:val="22"/>
                <w:lang w:val="zh-CN"/>
              </w:rPr>
              <w:t>.338</w:t>
            </w:r>
          </w:p>
        </w:tc>
        <w:tc>
          <w:tcPr>
            <w:tcW w:w="0" w:type="auto"/>
            <w:vAlign w:val="center"/>
          </w:tcPr>
          <w:p w14:paraId="428131E4">
            <w:pPr>
              <w:jc w:val="center"/>
              <w:rPr>
                <w:rFonts w:ascii="Times New Roman" w:hAnsi="Times New Roman"/>
                <w:color w:val="auto"/>
                <w:szCs w:val="22"/>
              </w:rPr>
            </w:pPr>
            <w:r>
              <w:rPr>
                <w:rFonts w:hint="eastAsia" w:ascii="Times New Roman" w:hAnsi="Times New Roman"/>
                <w:color w:val="auto"/>
                <w:szCs w:val="22"/>
              </w:rPr>
              <w:t>1</w:t>
            </w:r>
          </w:p>
        </w:tc>
        <w:tc>
          <w:tcPr>
            <w:tcW w:w="0" w:type="auto"/>
            <w:vAlign w:val="center"/>
          </w:tcPr>
          <w:p w14:paraId="1A794AE0">
            <w:pPr>
              <w:jc w:val="center"/>
              <w:rPr>
                <w:rFonts w:ascii="Times New Roman" w:hAnsi="Times New Roman"/>
                <w:color w:val="auto"/>
                <w:szCs w:val="22"/>
              </w:rPr>
            </w:pPr>
            <w:r>
              <w:rPr>
                <w:rFonts w:hint="eastAsia" w:ascii="Times New Roman" w:hAnsi="Times New Roman"/>
                <w:color w:val="auto"/>
                <w:szCs w:val="22"/>
              </w:rPr>
              <w:t>2</w:t>
            </w:r>
          </w:p>
        </w:tc>
        <w:tc>
          <w:tcPr>
            <w:tcW w:w="0" w:type="auto"/>
            <w:vMerge w:val="continue"/>
            <w:vAlign w:val="center"/>
          </w:tcPr>
          <w:p w14:paraId="4A74D360">
            <w:pPr>
              <w:jc w:val="center"/>
              <w:rPr>
                <w:rFonts w:ascii="Times New Roman" w:hAnsi="Times New Roman"/>
                <w:color w:val="auto"/>
                <w:szCs w:val="22"/>
              </w:rPr>
            </w:pPr>
          </w:p>
        </w:tc>
      </w:tr>
    </w:tbl>
    <w:p w14:paraId="05893779">
      <w:pPr>
        <w:pStyle w:val="59"/>
        <w:ind w:firstLine="480"/>
        <w:rPr>
          <w:color w:val="auto"/>
        </w:rPr>
      </w:pPr>
      <w:r>
        <w:rPr>
          <w:rFonts w:hint="eastAsia"/>
          <w:color w:val="auto"/>
        </w:rPr>
        <w:t>非正常状况下地下水源强见3</w:t>
      </w:r>
      <w:r>
        <w:rPr>
          <w:color w:val="auto"/>
        </w:rPr>
        <w:t>.3.2.6</w:t>
      </w:r>
      <w:r>
        <w:rPr>
          <w:rFonts w:hint="eastAsia"/>
          <w:color w:val="auto"/>
        </w:rPr>
        <w:t>节。</w:t>
      </w:r>
    </w:p>
    <w:p w14:paraId="2141920C">
      <w:pPr>
        <w:pStyle w:val="137"/>
        <w:rPr>
          <w:color w:val="auto"/>
        </w:rPr>
      </w:pPr>
      <w:r>
        <w:rPr>
          <w:rFonts w:hint="eastAsia"/>
          <w:color w:val="auto"/>
        </w:rPr>
        <w:t>3</w:t>
      </w:r>
      <w:r>
        <w:rPr>
          <w:color w:val="auto"/>
        </w:rPr>
        <w:t>.3.3</w:t>
      </w:r>
      <w:r>
        <w:rPr>
          <w:rFonts w:hint="eastAsia"/>
          <w:color w:val="auto"/>
        </w:rPr>
        <w:t>生态</w:t>
      </w:r>
      <w:r>
        <w:rPr>
          <w:rFonts w:hint="eastAsia"/>
          <w:color w:val="auto"/>
          <w:lang w:eastAsia="zh-CN"/>
        </w:rPr>
        <w:t>修复期</w:t>
      </w:r>
      <w:r>
        <w:rPr>
          <w:rFonts w:hint="eastAsia"/>
          <w:color w:val="auto"/>
        </w:rPr>
        <w:t>污染源及源强分析</w:t>
      </w:r>
    </w:p>
    <w:p w14:paraId="44097BED">
      <w:pPr>
        <w:pStyle w:val="59"/>
        <w:ind w:firstLine="480"/>
        <w:rPr>
          <w:color w:val="auto"/>
        </w:rPr>
      </w:pPr>
      <w:r>
        <w:rPr>
          <w:color w:val="auto"/>
        </w:rPr>
        <w:t>1、废水</w:t>
      </w:r>
    </w:p>
    <w:p w14:paraId="72F0E7DA">
      <w:pPr>
        <w:pStyle w:val="59"/>
        <w:ind w:firstLine="480"/>
        <w:rPr>
          <w:color w:val="auto"/>
        </w:rPr>
      </w:pPr>
      <w:r>
        <w:rPr>
          <w:rFonts w:hint="eastAsia"/>
          <w:color w:val="auto"/>
          <w:lang w:val="en-US" w:eastAsia="zh-CN"/>
        </w:rPr>
        <w:t>主要为修复期生活污水，施工人员生活污水依托租赁民房的防渗旱厕，定期清掏外运堆肥。</w:t>
      </w:r>
    </w:p>
    <w:p w14:paraId="1E5EB3E3">
      <w:pPr>
        <w:pStyle w:val="59"/>
        <w:ind w:firstLine="480"/>
        <w:rPr>
          <w:color w:val="auto"/>
        </w:rPr>
      </w:pPr>
      <w:r>
        <w:rPr>
          <w:color w:val="auto"/>
        </w:rPr>
        <w:t>2、废气</w:t>
      </w:r>
    </w:p>
    <w:p w14:paraId="7E48831E">
      <w:pPr>
        <w:pStyle w:val="59"/>
        <w:ind w:firstLine="480"/>
        <w:rPr>
          <w:color w:val="auto"/>
        </w:rPr>
      </w:pPr>
      <w:r>
        <w:rPr>
          <w:color w:val="auto"/>
        </w:rPr>
        <w:t>本项目</w:t>
      </w:r>
      <w:r>
        <w:rPr>
          <w:rFonts w:hint="eastAsia"/>
          <w:color w:val="auto"/>
        </w:rPr>
        <w:t>生态恢复期</w:t>
      </w:r>
      <w:r>
        <w:rPr>
          <w:color w:val="auto"/>
        </w:rPr>
        <w:t>不会产生废气。</w:t>
      </w:r>
      <w:r>
        <w:rPr>
          <w:rFonts w:hint="eastAsia"/>
          <w:color w:val="auto"/>
        </w:rPr>
        <w:t>回填后可增加植被覆盖率，有效减少扬尘的产生，对大气环境具有改善作用。</w:t>
      </w:r>
    </w:p>
    <w:p w14:paraId="5BE2F8F5">
      <w:pPr>
        <w:pStyle w:val="59"/>
        <w:ind w:firstLine="480"/>
        <w:rPr>
          <w:color w:val="auto"/>
        </w:rPr>
      </w:pPr>
      <w:r>
        <w:rPr>
          <w:color w:val="auto"/>
        </w:rPr>
        <w:t>3、噪声</w:t>
      </w:r>
    </w:p>
    <w:p w14:paraId="04556C2C">
      <w:pPr>
        <w:pStyle w:val="59"/>
        <w:ind w:firstLine="480"/>
        <w:rPr>
          <w:rFonts w:hint="eastAsia"/>
          <w:color w:val="auto"/>
          <w:lang w:val="en-US" w:eastAsia="zh-CN"/>
        </w:rPr>
      </w:pPr>
      <w:r>
        <w:rPr>
          <w:rFonts w:hint="eastAsia"/>
          <w:color w:val="auto"/>
          <w:lang w:val="en-US" w:eastAsia="zh-CN"/>
        </w:rPr>
        <w:t>修复期噪声主要来自施工现场的各类机械设备噪声以及物料运输过程中的 交通噪声。</w:t>
      </w:r>
    </w:p>
    <w:p w14:paraId="07807137">
      <w:pPr>
        <w:pStyle w:val="59"/>
        <w:ind w:firstLine="480"/>
        <w:rPr>
          <w:rFonts w:hint="eastAsia"/>
          <w:color w:val="auto"/>
          <w:lang w:val="en-US" w:eastAsia="zh-CN"/>
        </w:rPr>
      </w:pPr>
      <w:r>
        <w:rPr>
          <w:rFonts w:hint="eastAsia"/>
          <w:color w:val="auto"/>
          <w:lang w:val="en-US" w:eastAsia="zh-CN"/>
        </w:rPr>
        <w:t>（1）机械噪声 修复期机械噪声源特点是间歇或阵发性的，并具备流动性、噪声较高（</w:t>
      </w:r>
      <w:r>
        <w:rPr>
          <w:rFonts w:hint="default"/>
          <w:color w:val="auto"/>
          <w:lang w:val="en-US" w:eastAsia="zh-CN"/>
        </w:rPr>
        <w:t xml:space="preserve">5m </w:t>
      </w:r>
      <w:r>
        <w:rPr>
          <w:rFonts w:hint="eastAsia"/>
          <w:color w:val="auto"/>
          <w:lang w:val="en-US" w:eastAsia="zh-CN"/>
        </w:rPr>
        <w:t xml:space="preserve">处噪声值在 </w:t>
      </w:r>
      <w:r>
        <w:rPr>
          <w:rFonts w:hint="default"/>
          <w:color w:val="auto"/>
          <w:lang w:val="en-US" w:eastAsia="zh-CN"/>
        </w:rPr>
        <w:t>85~110dB(A)</w:t>
      </w:r>
      <w:r>
        <w:rPr>
          <w:rFonts w:hint="eastAsia"/>
          <w:color w:val="auto"/>
          <w:lang w:val="en-US" w:eastAsia="zh-CN"/>
        </w:rPr>
        <w:t>）的特征。机械噪声源强采用类比调查法获取。</w:t>
      </w:r>
    </w:p>
    <w:p w14:paraId="028D03AB">
      <w:pPr>
        <w:pStyle w:val="59"/>
        <w:ind w:firstLine="480"/>
        <w:rPr>
          <w:color w:val="auto"/>
        </w:rPr>
      </w:pPr>
      <w:r>
        <w:rPr>
          <w:rFonts w:hint="eastAsia"/>
          <w:color w:val="auto"/>
          <w:lang w:val="en-US" w:eastAsia="zh-CN"/>
        </w:rPr>
        <w:t xml:space="preserve">（2）运输车辆噪声 修复过程中使用的大型货运卡车，其噪声级可达 </w:t>
      </w:r>
      <w:r>
        <w:rPr>
          <w:rFonts w:hint="default"/>
          <w:color w:val="auto"/>
          <w:lang w:val="en-US" w:eastAsia="zh-CN"/>
        </w:rPr>
        <w:t>90~95dB(A)</w:t>
      </w:r>
      <w:r>
        <w:rPr>
          <w:rFonts w:hint="eastAsia"/>
          <w:color w:val="auto"/>
          <w:lang w:val="en-US" w:eastAsia="zh-CN"/>
        </w:rPr>
        <w:t xml:space="preserve">，自卸卡车在 装卸石料时的噪声级可达 </w:t>
      </w:r>
      <w:r>
        <w:rPr>
          <w:rFonts w:hint="default"/>
          <w:color w:val="auto"/>
          <w:lang w:val="en-US" w:eastAsia="zh-CN"/>
        </w:rPr>
        <w:t>110dB(A)</w:t>
      </w:r>
      <w:r>
        <w:rPr>
          <w:rFonts w:hint="eastAsia"/>
          <w:color w:val="auto"/>
          <w:lang w:val="en-US" w:eastAsia="zh-CN"/>
        </w:rPr>
        <w:t>。由于现场内设备的位置不断变化，而且同 一施工阶段不同时间设备运行的数量也有变化，因此很难准确地预测施工现场 的场界噪声值。</w:t>
      </w:r>
    </w:p>
    <w:p w14:paraId="400C6C20">
      <w:pPr>
        <w:pStyle w:val="59"/>
        <w:ind w:firstLine="480"/>
        <w:rPr>
          <w:color w:val="auto"/>
        </w:rPr>
      </w:pPr>
      <w:r>
        <w:rPr>
          <w:color w:val="auto"/>
        </w:rPr>
        <w:t>4、固废</w:t>
      </w:r>
    </w:p>
    <w:p w14:paraId="2D1CD059">
      <w:pPr>
        <w:pStyle w:val="59"/>
        <w:ind w:firstLine="480"/>
        <w:rPr>
          <w:color w:val="auto"/>
        </w:rPr>
      </w:pPr>
      <w:r>
        <w:rPr>
          <w:rFonts w:hint="eastAsia"/>
          <w:color w:val="auto"/>
          <w:lang w:val="en-US" w:eastAsia="zh-CN"/>
        </w:rPr>
        <w:t>固体废物主要为生活垃圾，生活垃圾集中收集后由环卫部门统一处理。</w:t>
      </w:r>
    </w:p>
    <w:p w14:paraId="4580BA41">
      <w:pPr>
        <w:keepNext/>
        <w:keepLines/>
        <w:adjustRightInd w:val="0"/>
        <w:snapToGrid w:val="0"/>
        <w:spacing w:line="500" w:lineRule="exact"/>
        <w:outlineLvl w:val="2"/>
        <w:rPr>
          <w:rFonts w:eastAsia="黑体"/>
          <w:bCs/>
          <w:color w:val="auto"/>
          <w:sz w:val="24"/>
          <w:szCs w:val="32"/>
        </w:rPr>
      </w:pPr>
      <w:r>
        <w:rPr>
          <w:rFonts w:eastAsia="黑体"/>
          <w:bCs/>
          <w:color w:val="auto"/>
          <w:sz w:val="24"/>
          <w:szCs w:val="32"/>
        </w:rPr>
        <w:t>3.3.4</w:t>
      </w:r>
      <w:r>
        <w:rPr>
          <w:rFonts w:hint="eastAsia" w:eastAsia="黑体"/>
          <w:bCs/>
          <w:color w:val="auto"/>
          <w:sz w:val="24"/>
          <w:szCs w:val="32"/>
        </w:rPr>
        <w:t>环境风险识别</w:t>
      </w:r>
    </w:p>
    <w:p w14:paraId="29D18C4F">
      <w:pPr>
        <w:keepNext/>
        <w:keepLines/>
        <w:adjustRightInd w:val="0"/>
        <w:snapToGrid w:val="0"/>
        <w:spacing w:line="500" w:lineRule="exact"/>
        <w:outlineLvl w:val="3"/>
        <w:rPr>
          <w:color w:val="auto"/>
          <w:sz w:val="24"/>
          <w:szCs w:val="20"/>
          <w:lang w:val="zh-CN"/>
        </w:rPr>
      </w:pPr>
      <w:r>
        <w:rPr>
          <w:color w:val="auto"/>
          <w:sz w:val="24"/>
          <w:szCs w:val="20"/>
          <w:lang w:val="zh-CN"/>
        </w:rPr>
        <w:t>3.3.4.1</w:t>
      </w:r>
      <w:r>
        <w:rPr>
          <w:rFonts w:hint="eastAsia"/>
          <w:color w:val="auto"/>
          <w:sz w:val="24"/>
          <w:szCs w:val="20"/>
          <w:lang w:val="zh-CN"/>
        </w:rPr>
        <w:t>物质风险识别</w:t>
      </w:r>
    </w:p>
    <w:p w14:paraId="23BF600E">
      <w:pPr>
        <w:spacing w:line="500" w:lineRule="exact"/>
        <w:ind w:firstLine="480" w:firstLineChars="200"/>
        <w:rPr>
          <w:color w:val="auto"/>
          <w:sz w:val="24"/>
          <w:szCs w:val="22"/>
        </w:rPr>
      </w:pPr>
      <w:r>
        <w:rPr>
          <w:rFonts w:hint="eastAsia"/>
          <w:color w:val="auto"/>
          <w:sz w:val="24"/>
          <w:szCs w:val="22"/>
        </w:rPr>
        <w:t>本项目的回填材料主要为</w:t>
      </w:r>
      <w:r>
        <w:rPr>
          <w:rFonts w:hint="eastAsia"/>
          <w:color w:val="auto"/>
          <w:sz w:val="24"/>
          <w:szCs w:val="22"/>
          <w:lang w:eastAsia="zh-CN"/>
        </w:rPr>
        <w:t>灰渣</w:t>
      </w:r>
      <w:r>
        <w:rPr>
          <w:rFonts w:hint="eastAsia"/>
          <w:color w:val="auto"/>
          <w:sz w:val="24"/>
          <w:szCs w:val="22"/>
        </w:rPr>
        <w:t>，</w:t>
      </w:r>
      <w:r>
        <w:rPr>
          <w:color w:val="auto"/>
          <w:sz w:val="24"/>
          <w:szCs w:val="22"/>
        </w:rPr>
        <w:t>属一般工业固体废物。</w:t>
      </w:r>
      <w:r>
        <w:rPr>
          <w:rFonts w:hint="eastAsia"/>
          <w:color w:val="auto"/>
          <w:sz w:val="24"/>
          <w:szCs w:val="22"/>
        </w:rPr>
        <w:t>根据《建设项目环境风险评价技术导则》（</w:t>
      </w:r>
      <w:r>
        <w:rPr>
          <w:color w:val="auto"/>
          <w:sz w:val="24"/>
          <w:szCs w:val="22"/>
        </w:rPr>
        <w:t>HJ/T169</w:t>
      </w:r>
      <w:r>
        <w:rPr>
          <w:rFonts w:hint="eastAsia"/>
          <w:color w:val="auto"/>
          <w:sz w:val="24"/>
          <w:szCs w:val="22"/>
        </w:rPr>
        <w:t>-</w:t>
      </w:r>
      <w:r>
        <w:rPr>
          <w:color w:val="auto"/>
          <w:sz w:val="24"/>
          <w:szCs w:val="22"/>
        </w:rPr>
        <w:t>2018）及《危险化学品重大危险源辨识》（GB18218-2018）判定，本项目不涉及的危险物质。</w:t>
      </w:r>
    </w:p>
    <w:p w14:paraId="4EFDD7D7">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3</w:t>
      </w:r>
      <w:r>
        <w:rPr>
          <w:color w:val="auto"/>
          <w:sz w:val="24"/>
          <w:szCs w:val="20"/>
          <w:lang w:val="zh-CN"/>
        </w:rPr>
        <w:t>.3.4.2设施危险性识别</w:t>
      </w:r>
    </w:p>
    <w:p w14:paraId="59734F6B">
      <w:pPr>
        <w:spacing w:line="500" w:lineRule="exact"/>
        <w:ind w:firstLine="480" w:firstLineChars="200"/>
        <w:rPr>
          <w:color w:val="auto"/>
          <w:sz w:val="24"/>
          <w:szCs w:val="22"/>
        </w:rPr>
      </w:pPr>
      <w:r>
        <w:rPr>
          <w:rFonts w:hint="eastAsia"/>
          <w:color w:val="auto"/>
          <w:sz w:val="24"/>
          <w:szCs w:val="22"/>
        </w:rPr>
        <w:t>本项目出现的主要事故有：排水沟堵塞，场址以外区域雨水大量进入回填区，</w:t>
      </w:r>
      <w:bookmarkStart w:id="105" w:name="_Hlk148604580"/>
      <w:r>
        <w:rPr>
          <w:rFonts w:hint="eastAsia"/>
          <w:color w:val="auto"/>
          <w:sz w:val="24"/>
          <w:szCs w:val="22"/>
        </w:rPr>
        <w:t>淋溶水暂存池防渗膜破裂，造成大量淋溶水下渗入地下水，破坏土壤和地下水环境。</w:t>
      </w:r>
    </w:p>
    <w:bookmarkEnd w:id="105"/>
    <w:p w14:paraId="6767121F">
      <w:pPr>
        <w:keepNext/>
        <w:keepLines/>
        <w:adjustRightInd w:val="0"/>
        <w:snapToGrid w:val="0"/>
        <w:spacing w:line="500" w:lineRule="exact"/>
        <w:outlineLvl w:val="3"/>
        <w:rPr>
          <w:color w:val="auto"/>
          <w:sz w:val="24"/>
          <w:szCs w:val="20"/>
          <w:lang w:val="zh-CN"/>
        </w:rPr>
      </w:pPr>
      <w:r>
        <w:rPr>
          <w:color w:val="auto"/>
          <w:sz w:val="24"/>
          <w:szCs w:val="20"/>
          <w:lang w:val="zh-CN"/>
        </w:rPr>
        <w:t>3.3.4.3</w:t>
      </w:r>
      <w:r>
        <w:rPr>
          <w:rFonts w:hint="eastAsia"/>
          <w:color w:val="auto"/>
          <w:sz w:val="24"/>
          <w:szCs w:val="20"/>
          <w:lang w:val="zh-CN"/>
        </w:rPr>
        <w:t>风险环节及源项分析</w:t>
      </w:r>
    </w:p>
    <w:p w14:paraId="1C7D207A">
      <w:pPr>
        <w:spacing w:line="500" w:lineRule="exact"/>
        <w:ind w:firstLine="480" w:firstLineChars="200"/>
        <w:rPr>
          <w:color w:val="auto"/>
          <w:sz w:val="24"/>
          <w:szCs w:val="22"/>
        </w:rPr>
      </w:pPr>
      <w:r>
        <w:rPr>
          <w:rFonts w:hint="eastAsia"/>
          <w:color w:val="auto"/>
          <w:sz w:val="24"/>
          <w:szCs w:val="22"/>
        </w:rPr>
        <w:t>正常运行的条件下，不会对场区周围的环境产生污染。但在连续大雨或暴雨的情况下，由于排水沟堵塞，使雨水不能及时排出，或由于场区外四周地表降水汇集，大量雨水进入场区而导致淋溶水量显著增大，可能引发环境污染事故。淋溶水暂存池防渗膜破裂，造成淋溶水下渗入地下水，破坏土壤和地下水环境。</w:t>
      </w:r>
    </w:p>
    <w:p w14:paraId="598D1807">
      <w:pPr>
        <w:keepNext/>
        <w:keepLines/>
        <w:adjustRightInd w:val="0"/>
        <w:snapToGrid w:val="0"/>
        <w:spacing w:line="500" w:lineRule="exact"/>
        <w:outlineLvl w:val="2"/>
        <w:rPr>
          <w:rFonts w:eastAsia="黑体"/>
          <w:bCs/>
          <w:color w:val="auto"/>
          <w:sz w:val="24"/>
          <w:szCs w:val="32"/>
        </w:rPr>
      </w:pPr>
      <w:r>
        <w:rPr>
          <w:rFonts w:hint="eastAsia" w:eastAsia="黑体"/>
          <w:bCs/>
          <w:color w:val="auto"/>
          <w:sz w:val="24"/>
          <w:szCs w:val="32"/>
        </w:rPr>
        <w:t>3</w:t>
      </w:r>
      <w:r>
        <w:rPr>
          <w:rFonts w:eastAsia="黑体"/>
          <w:bCs/>
          <w:color w:val="auto"/>
          <w:sz w:val="24"/>
          <w:szCs w:val="32"/>
        </w:rPr>
        <w:t>.3.5</w:t>
      </w:r>
      <w:r>
        <w:rPr>
          <w:rFonts w:hint="eastAsia" w:eastAsia="黑体"/>
          <w:bCs/>
          <w:color w:val="auto"/>
          <w:sz w:val="24"/>
          <w:szCs w:val="32"/>
        </w:rPr>
        <w:t>清洁生产</w:t>
      </w:r>
    </w:p>
    <w:p w14:paraId="74DA6E35">
      <w:pPr>
        <w:spacing w:line="500" w:lineRule="exact"/>
        <w:ind w:firstLine="480" w:firstLineChars="200"/>
        <w:rPr>
          <w:color w:val="auto"/>
          <w:sz w:val="24"/>
          <w:szCs w:val="22"/>
        </w:rPr>
      </w:pPr>
      <w:r>
        <w:rPr>
          <w:rFonts w:hint="eastAsia"/>
          <w:color w:val="auto"/>
          <w:sz w:val="24"/>
          <w:szCs w:val="22"/>
        </w:rPr>
        <w:t>（</w:t>
      </w:r>
      <w:r>
        <w:rPr>
          <w:color w:val="auto"/>
          <w:sz w:val="24"/>
          <w:szCs w:val="22"/>
        </w:rPr>
        <w:t>1）生产工艺与装备要求</w:t>
      </w:r>
    </w:p>
    <w:p w14:paraId="452CA0F0">
      <w:pPr>
        <w:spacing w:line="500" w:lineRule="exact"/>
        <w:ind w:firstLine="480" w:firstLineChars="200"/>
        <w:rPr>
          <w:color w:val="auto"/>
          <w:sz w:val="24"/>
          <w:szCs w:val="22"/>
        </w:rPr>
      </w:pPr>
      <w:r>
        <w:rPr>
          <w:rFonts w:hint="eastAsia"/>
          <w:color w:val="auto"/>
          <w:sz w:val="24"/>
          <w:szCs w:val="22"/>
        </w:rPr>
        <w:t>本项目工艺简单，污染源少，是成熟的固体废物处理工艺。本项目</w:t>
      </w:r>
      <w:r>
        <w:rPr>
          <w:rFonts w:hint="eastAsia"/>
          <w:color w:val="auto"/>
          <w:sz w:val="24"/>
          <w:szCs w:val="22"/>
          <w:lang w:eastAsia="zh-CN"/>
        </w:rPr>
        <w:t>灰渣</w:t>
      </w:r>
      <w:r>
        <w:rPr>
          <w:rFonts w:hint="eastAsia"/>
          <w:color w:val="auto"/>
          <w:sz w:val="24"/>
          <w:szCs w:val="22"/>
        </w:rPr>
        <w:t>为</w:t>
      </w:r>
      <w:r>
        <w:rPr>
          <w:snapToGrid w:val="0"/>
          <w:color w:val="auto"/>
          <w:sz w:val="24"/>
          <w:szCs w:val="22"/>
        </w:rPr>
        <w:fldChar w:fldCharType="begin"/>
      </w:r>
      <w:r>
        <w:rPr>
          <w:snapToGrid w:val="0"/>
          <w:color w:val="auto"/>
          <w:sz w:val="24"/>
          <w:szCs w:val="22"/>
        </w:rPr>
        <w:instrText xml:space="preserve"> </w:instrText>
      </w:r>
      <w:r>
        <w:rPr>
          <w:rFonts w:hint="eastAsia"/>
          <w:snapToGrid w:val="0"/>
          <w:color w:val="auto"/>
          <w:sz w:val="24"/>
          <w:szCs w:val="22"/>
        </w:rPr>
        <w:instrText xml:space="preserve">= 1 \* ROMAN</w:instrText>
      </w:r>
      <w:r>
        <w:rPr>
          <w:snapToGrid w:val="0"/>
          <w:color w:val="auto"/>
          <w:sz w:val="24"/>
          <w:szCs w:val="22"/>
        </w:rPr>
        <w:instrText xml:space="preserve"> </w:instrText>
      </w:r>
      <w:r>
        <w:rPr>
          <w:snapToGrid w:val="0"/>
          <w:color w:val="auto"/>
          <w:sz w:val="24"/>
          <w:szCs w:val="22"/>
        </w:rPr>
        <w:fldChar w:fldCharType="separate"/>
      </w:r>
      <w:r>
        <w:rPr>
          <w:snapToGrid w:val="0"/>
          <w:color w:val="auto"/>
          <w:sz w:val="24"/>
          <w:szCs w:val="22"/>
        </w:rPr>
        <w:t>I</w:t>
      </w:r>
      <w:r>
        <w:rPr>
          <w:snapToGrid w:val="0"/>
          <w:color w:val="auto"/>
          <w:sz w:val="24"/>
          <w:szCs w:val="22"/>
        </w:rPr>
        <w:fldChar w:fldCharType="end"/>
      </w:r>
      <w:r>
        <w:rPr>
          <w:color w:val="auto"/>
          <w:sz w:val="24"/>
          <w:szCs w:val="22"/>
        </w:rPr>
        <w:t>类一般工业固体废物，处理成本较低，废渣收集、清运、处置过程自动化程度高，堆放作业简便，生产工艺与装备要求达到国内先进水平。</w:t>
      </w:r>
    </w:p>
    <w:p w14:paraId="0E2D6ED5">
      <w:pPr>
        <w:spacing w:line="500" w:lineRule="exact"/>
        <w:ind w:firstLine="480" w:firstLineChars="200"/>
        <w:rPr>
          <w:color w:val="auto"/>
          <w:sz w:val="24"/>
          <w:szCs w:val="22"/>
        </w:rPr>
      </w:pPr>
      <w:r>
        <w:rPr>
          <w:rFonts w:hint="eastAsia"/>
          <w:color w:val="auto"/>
          <w:sz w:val="24"/>
          <w:szCs w:val="22"/>
        </w:rPr>
        <w:t>（</w:t>
      </w:r>
      <w:r>
        <w:rPr>
          <w:color w:val="auto"/>
          <w:sz w:val="24"/>
          <w:szCs w:val="22"/>
        </w:rPr>
        <w:t>2）原材料及产品指标</w:t>
      </w:r>
    </w:p>
    <w:p w14:paraId="27FB2B0E">
      <w:pPr>
        <w:pStyle w:val="59"/>
        <w:ind w:firstLine="480"/>
        <w:rPr>
          <w:color w:val="auto"/>
        </w:rPr>
      </w:pPr>
      <w:r>
        <w:rPr>
          <w:rFonts w:hint="eastAsia"/>
          <w:color w:val="auto"/>
        </w:rPr>
        <w:t>本回填区接收</w:t>
      </w:r>
      <w:r>
        <w:rPr>
          <w:rFonts w:hint="eastAsia"/>
          <w:color w:val="auto"/>
          <w:lang w:eastAsia="zh-CN"/>
        </w:rPr>
        <w:t>黑龙江醇能热电有限公司</w:t>
      </w:r>
      <w:r>
        <w:rPr>
          <w:color w:val="auto"/>
        </w:rPr>
        <w:t>产生的</w:t>
      </w:r>
      <w:r>
        <w:rPr>
          <w:rFonts w:hint="eastAsia"/>
          <w:color w:val="auto"/>
          <w:lang w:eastAsia="zh-CN"/>
        </w:rPr>
        <w:t>灰渣</w:t>
      </w:r>
      <w:r>
        <w:rPr>
          <w:rFonts w:hint="eastAsia"/>
          <w:color w:val="auto"/>
        </w:rPr>
        <w:t>，为一般工业固体废物，回填材料唯一，不接受危险废物。</w:t>
      </w:r>
    </w:p>
    <w:p w14:paraId="35467671">
      <w:pPr>
        <w:spacing w:line="500" w:lineRule="exact"/>
        <w:ind w:firstLine="480" w:firstLineChars="200"/>
        <w:rPr>
          <w:color w:val="auto"/>
          <w:sz w:val="24"/>
          <w:szCs w:val="22"/>
        </w:rPr>
      </w:pPr>
      <w:r>
        <w:rPr>
          <w:rFonts w:hint="eastAsia"/>
          <w:color w:val="auto"/>
          <w:sz w:val="24"/>
          <w:szCs w:val="22"/>
        </w:rPr>
        <w:t>本项目不是工业生产类项目，不生产产品，采用回填的工艺技术，对</w:t>
      </w:r>
      <w:r>
        <w:rPr>
          <w:rFonts w:hint="eastAsia"/>
          <w:color w:val="auto"/>
          <w:sz w:val="24"/>
          <w:szCs w:val="22"/>
          <w:lang w:eastAsia="zh-CN"/>
        </w:rPr>
        <w:t>灰渣</w:t>
      </w:r>
      <w:r>
        <w:rPr>
          <w:rFonts w:hint="eastAsia"/>
          <w:color w:val="auto"/>
          <w:sz w:val="24"/>
          <w:szCs w:val="22"/>
        </w:rPr>
        <w:t>进行处置，项目的建设从原材料及产品指标分析满足清洁生产的要求。</w:t>
      </w:r>
    </w:p>
    <w:p w14:paraId="492C65E9">
      <w:pPr>
        <w:spacing w:line="500" w:lineRule="exact"/>
        <w:ind w:firstLine="480" w:firstLineChars="200"/>
        <w:rPr>
          <w:color w:val="auto"/>
          <w:sz w:val="24"/>
          <w:szCs w:val="22"/>
        </w:rPr>
      </w:pPr>
      <w:r>
        <w:rPr>
          <w:rFonts w:hint="eastAsia"/>
          <w:color w:val="auto"/>
          <w:sz w:val="24"/>
          <w:szCs w:val="22"/>
        </w:rPr>
        <w:t>（</w:t>
      </w:r>
      <w:r>
        <w:rPr>
          <w:color w:val="auto"/>
          <w:sz w:val="24"/>
          <w:szCs w:val="22"/>
        </w:rPr>
        <w:t>3）资源和能源利用指标</w:t>
      </w:r>
    </w:p>
    <w:p w14:paraId="3EFB4E4C">
      <w:pPr>
        <w:spacing w:line="500" w:lineRule="exact"/>
        <w:ind w:firstLine="480" w:firstLineChars="200"/>
        <w:rPr>
          <w:color w:val="auto"/>
          <w:sz w:val="24"/>
          <w:szCs w:val="22"/>
        </w:rPr>
      </w:pPr>
      <w:r>
        <w:rPr>
          <w:rFonts w:hint="eastAsia"/>
          <w:color w:val="auto"/>
          <w:sz w:val="24"/>
          <w:szCs w:val="22"/>
        </w:rPr>
        <w:t>本工程主要消耗的是土地资源，本项目现状为废弃采坑，周围没有需要特殊保护的敏感目标。本项目回填完毕后对废弃采坑覆土进行土地复垦，可恢复土地的使用功能，不会造成土地资源的浪费。</w:t>
      </w:r>
    </w:p>
    <w:p w14:paraId="6C02AE47">
      <w:pPr>
        <w:spacing w:line="500" w:lineRule="exact"/>
        <w:ind w:firstLine="480" w:firstLineChars="200"/>
        <w:rPr>
          <w:color w:val="auto"/>
          <w:sz w:val="24"/>
          <w:szCs w:val="22"/>
        </w:rPr>
      </w:pPr>
      <w:r>
        <w:rPr>
          <w:rFonts w:hint="eastAsia"/>
          <w:color w:val="auto"/>
          <w:sz w:val="24"/>
          <w:szCs w:val="22"/>
        </w:rPr>
        <w:t>（</w:t>
      </w:r>
      <w:r>
        <w:rPr>
          <w:color w:val="auto"/>
          <w:sz w:val="24"/>
          <w:szCs w:val="22"/>
        </w:rPr>
        <w:t>4）污染物产生指标清洁生产分析</w:t>
      </w:r>
    </w:p>
    <w:p w14:paraId="5DBA721A">
      <w:pPr>
        <w:spacing w:line="500" w:lineRule="exact"/>
        <w:ind w:firstLine="480" w:firstLineChars="200"/>
        <w:rPr>
          <w:color w:val="auto"/>
          <w:sz w:val="24"/>
          <w:szCs w:val="22"/>
        </w:rPr>
      </w:pPr>
      <w:r>
        <w:rPr>
          <w:rFonts w:hint="eastAsia"/>
          <w:color w:val="auto"/>
          <w:sz w:val="24"/>
          <w:szCs w:val="22"/>
        </w:rPr>
        <w:t>本项目工艺简单，污染物排放较少，产生的生活污水不外排，生活垃圾交由市政部门处理，暂存池池沉渣回填处置，污染物产生指标满足清洁生产要求。</w:t>
      </w:r>
    </w:p>
    <w:p w14:paraId="23151216">
      <w:pPr>
        <w:spacing w:line="500" w:lineRule="exact"/>
        <w:ind w:firstLine="480" w:firstLineChars="200"/>
        <w:rPr>
          <w:color w:val="auto"/>
          <w:sz w:val="24"/>
          <w:szCs w:val="22"/>
        </w:rPr>
      </w:pPr>
      <w:r>
        <w:rPr>
          <w:rFonts w:hint="eastAsia"/>
          <w:color w:val="auto"/>
          <w:sz w:val="24"/>
          <w:szCs w:val="22"/>
        </w:rPr>
        <w:t>（</w:t>
      </w:r>
      <w:r>
        <w:rPr>
          <w:color w:val="auto"/>
          <w:sz w:val="24"/>
          <w:szCs w:val="22"/>
        </w:rPr>
        <w:t>5）废物回收利用指标</w:t>
      </w:r>
    </w:p>
    <w:p w14:paraId="21EAE900">
      <w:pPr>
        <w:spacing w:line="500" w:lineRule="exact"/>
        <w:ind w:firstLine="480" w:firstLineChars="200"/>
        <w:rPr>
          <w:color w:val="auto"/>
          <w:sz w:val="24"/>
          <w:szCs w:val="22"/>
        </w:rPr>
      </w:pPr>
      <w:r>
        <w:rPr>
          <w:rFonts w:hint="eastAsia"/>
          <w:color w:val="auto"/>
          <w:sz w:val="24"/>
          <w:szCs w:val="22"/>
        </w:rPr>
        <w:t>本项目所回填的</w:t>
      </w:r>
      <w:r>
        <w:rPr>
          <w:rFonts w:hint="eastAsia"/>
          <w:color w:val="auto"/>
          <w:sz w:val="24"/>
          <w:szCs w:val="22"/>
          <w:lang w:eastAsia="zh-CN"/>
        </w:rPr>
        <w:t>灰渣</w:t>
      </w:r>
      <w:r>
        <w:rPr>
          <w:rFonts w:hint="eastAsia"/>
          <w:color w:val="auto"/>
          <w:sz w:val="24"/>
          <w:szCs w:val="22"/>
        </w:rPr>
        <w:t>仍然具有一定的利用价值，如果有其他企业有意向接收，可以将其运往相应的企业进行加工再利用，实现资源的综合利用，符合清洁生产的要求。</w:t>
      </w:r>
    </w:p>
    <w:p w14:paraId="072FD7BE">
      <w:pPr>
        <w:spacing w:line="500" w:lineRule="exact"/>
        <w:ind w:firstLine="480" w:firstLineChars="200"/>
        <w:rPr>
          <w:color w:val="auto"/>
          <w:sz w:val="24"/>
          <w:szCs w:val="22"/>
        </w:rPr>
      </w:pPr>
      <w:r>
        <w:rPr>
          <w:rFonts w:hint="eastAsia"/>
          <w:color w:val="auto"/>
          <w:sz w:val="24"/>
          <w:szCs w:val="22"/>
        </w:rPr>
        <w:t>（</w:t>
      </w:r>
      <w:r>
        <w:rPr>
          <w:color w:val="auto"/>
          <w:sz w:val="24"/>
          <w:szCs w:val="22"/>
        </w:rPr>
        <w:t>6）环境管理相关指标</w:t>
      </w:r>
    </w:p>
    <w:p w14:paraId="743FBCD0">
      <w:pPr>
        <w:spacing w:line="500" w:lineRule="exact"/>
        <w:ind w:firstLine="480" w:firstLineChars="200"/>
        <w:rPr>
          <w:color w:val="auto"/>
          <w:sz w:val="24"/>
          <w:szCs w:val="22"/>
        </w:rPr>
      </w:pPr>
      <w:r>
        <w:rPr>
          <w:rFonts w:hint="eastAsia"/>
          <w:color w:val="auto"/>
          <w:sz w:val="24"/>
          <w:szCs w:val="22"/>
        </w:rPr>
        <w:t>环境管理主要包括三个方面，即法律法规标准、废物处理处置、生产过程环境管理。</w:t>
      </w:r>
    </w:p>
    <w:p w14:paraId="41611CE5">
      <w:pPr>
        <w:spacing w:line="500" w:lineRule="exact"/>
        <w:ind w:firstLine="480" w:firstLineChars="200"/>
        <w:rPr>
          <w:color w:val="auto"/>
          <w:sz w:val="24"/>
          <w:szCs w:val="22"/>
        </w:rPr>
      </w:pPr>
      <w:r>
        <w:rPr>
          <w:rFonts w:hint="eastAsia"/>
          <w:color w:val="auto"/>
          <w:sz w:val="24"/>
          <w:szCs w:val="22"/>
        </w:rPr>
        <w:t>法律法规标准：本项目在规划实施及建设和运营的全过程中，可以做到符合国家和地方有关环境法律法规，污染物排放达到国家和地方排放标准、总量控制和排污许可证管理要求。</w:t>
      </w:r>
    </w:p>
    <w:p w14:paraId="4DC05EAC">
      <w:pPr>
        <w:spacing w:line="500" w:lineRule="exact"/>
        <w:ind w:firstLine="480" w:firstLineChars="200"/>
        <w:rPr>
          <w:color w:val="auto"/>
          <w:sz w:val="24"/>
          <w:szCs w:val="22"/>
        </w:rPr>
      </w:pPr>
      <w:r>
        <w:rPr>
          <w:rFonts w:hint="eastAsia"/>
          <w:color w:val="auto"/>
          <w:sz w:val="24"/>
          <w:szCs w:val="22"/>
        </w:rPr>
        <w:t>废物处理处置：本项目的废物处置处理遵循分类原则、回收利用原则、减量化原则、无公害化原则及分散与集中相结合的原则，将废渣堆存。</w:t>
      </w:r>
    </w:p>
    <w:p w14:paraId="3EBF9FA8">
      <w:pPr>
        <w:spacing w:line="500" w:lineRule="exact"/>
        <w:ind w:firstLine="480" w:firstLineChars="200"/>
        <w:rPr>
          <w:color w:val="auto"/>
          <w:sz w:val="24"/>
          <w:szCs w:val="22"/>
        </w:rPr>
      </w:pPr>
      <w:r>
        <w:rPr>
          <w:rFonts w:hint="eastAsia"/>
          <w:color w:val="auto"/>
          <w:sz w:val="24"/>
          <w:szCs w:val="22"/>
        </w:rPr>
        <w:t>生产过程环境管理：本项目拟采取的主要管理措施有环境考核指标岗位责任制和管理制度、产品全面质量管理制度、安全生产管理制度、员工环境管理培训制度、环境风险管理制度等。</w:t>
      </w:r>
    </w:p>
    <w:p w14:paraId="6C6D7664">
      <w:pPr>
        <w:spacing w:line="500" w:lineRule="exact"/>
        <w:ind w:firstLine="480" w:firstLineChars="200"/>
        <w:rPr>
          <w:color w:val="auto"/>
          <w:sz w:val="24"/>
          <w:szCs w:val="22"/>
        </w:rPr>
      </w:pPr>
      <w:r>
        <w:rPr>
          <w:rFonts w:hint="eastAsia"/>
          <w:color w:val="auto"/>
          <w:sz w:val="24"/>
          <w:szCs w:val="22"/>
        </w:rPr>
        <w:t>由以上分析可知，本项目的工艺设备、防渗水平、能源消耗、环境管理制度等方面满足清洁生产要求。</w:t>
      </w:r>
    </w:p>
    <w:p w14:paraId="7F1A407D">
      <w:pPr>
        <w:rPr>
          <w:color w:val="auto"/>
        </w:rPr>
      </w:pPr>
    </w:p>
    <w:p w14:paraId="17FF8BD4">
      <w:pPr>
        <w:pStyle w:val="18"/>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8CAB0B9">
      <w:pPr>
        <w:pStyle w:val="759"/>
        <w:rPr>
          <w:color w:val="auto"/>
        </w:rPr>
      </w:pPr>
      <w:bookmarkStart w:id="106" w:name="_Toc119316800"/>
      <w:bookmarkStart w:id="107" w:name="_Toc149054203"/>
      <w:bookmarkStart w:id="108" w:name="_Toc477954563"/>
      <w:r>
        <w:rPr>
          <w:color w:val="auto"/>
        </w:rPr>
        <w:t>4环境现状调查与评价</w:t>
      </w:r>
      <w:bookmarkEnd w:id="106"/>
      <w:bookmarkEnd w:id="107"/>
      <w:bookmarkEnd w:id="108"/>
    </w:p>
    <w:p w14:paraId="52F48944">
      <w:pPr>
        <w:pStyle w:val="548"/>
        <w:rPr>
          <w:color w:val="auto"/>
        </w:rPr>
      </w:pPr>
      <w:bookmarkStart w:id="109" w:name="_Toc149054204"/>
      <w:bookmarkStart w:id="110" w:name="_Toc119316801"/>
      <w:r>
        <w:rPr>
          <w:color w:val="auto"/>
        </w:rPr>
        <w:t>4.1自然环境概况</w:t>
      </w:r>
      <w:bookmarkEnd w:id="109"/>
      <w:bookmarkEnd w:id="110"/>
    </w:p>
    <w:p w14:paraId="223C1DA8">
      <w:pPr>
        <w:pStyle w:val="137"/>
        <w:rPr>
          <w:color w:val="auto"/>
        </w:rPr>
      </w:pPr>
      <w:bookmarkStart w:id="111" w:name="_Toc218825485"/>
      <w:r>
        <w:rPr>
          <w:color w:val="auto"/>
        </w:rPr>
        <w:t>4.1.1地理位置</w:t>
      </w:r>
      <w:bookmarkEnd w:id="111"/>
    </w:p>
    <w:p w14:paraId="16DA89B6">
      <w:pPr>
        <w:pStyle w:val="59"/>
        <w:adjustRightInd/>
        <w:snapToGrid/>
        <w:ind w:firstLine="472"/>
        <w:rPr>
          <w:rFonts w:cs="Times New Roman"/>
          <w:color w:val="auto"/>
          <w:spacing w:val="-2"/>
        </w:rPr>
      </w:pPr>
      <w:r>
        <w:rPr>
          <w:rFonts w:cs="Times New Roman"/>
          <w:color w:val="auto"/>
          <w:spacing w:val="-2"/>
        </w:rPr>
        <w:t>鸡西市位于黑龙江省东南部，东与密山、虎林县接壤，南与</w:t>
      </w:r>
      <w:r>
        <w:rPr>
          <w:rFonts w:hint="eastAsia" w:cs="Times New Roman"/>
          <w:color w:val="auto"/>
          <w:spacing w:val="-2"/>
          <w:lang w:eastAsia="zh-CN"/>
        </w:rPr>
        <w:t>穆棱市</w:t>
      </w:r>
      <w:r>
        <w:rPr>
          <w:rFonts w:cs="Times New Roman"/>
          <w:color w:val="auto"/>
          <w:spacing w:val="-2"/>
        </w:rPr>
        <w:t>交界，西与林口县相连，北与恒山区、鸡东毗邻。地理坐标为东经130</w:t>
      </w:r>
      <w:r>
        <w:rPr>
          <w:rFonts w:cs="Times New Roman"/>
          <w:color w:val="auto"/>
          <w:spacing w:val="-2"/>
        </w:rPr>
        <w:sym w:font="Symbol" w:char="F0B0"/>
      </w:r>
      <w:r>
        <w:rPr>
          <w:rFonts w:cs="Times New Roman"/>
          <w:color w:val="auto"/>
          <w:spacing w:val="-2"/>
        </w:rPr>
        <w:t>23</w:t>
      </w:r>
      <w:r>
        <w:rPr>
          <w:rFonts w:cs="Times New Roman"/>
          <w:color w:val="auto"/>
          <w:spacing w:val="-2"/>
        </w:rPr>
        <w:sym w:font="Symbol" w:char="F0A2"/>
      </w:r>
      <w:r>
        <w:rPr>
          <w:rFonts w:cs="Times New Roman"/>
          <w:color w:val="auto"/>
          <w:spacing w:val="-2"/>
        </w:rPr>
        <w:t>-131</w:t>
      </w:r>
      <w:r>
        <w:rPr>
          <w:rFonts w:cs="Times New Roman"/>
          <w:color w:val="auto"/>
          <w:spacing w:val="-2"/>
        </w:rPr>
        <w:sym w:font="Symbol" w:char="F0B0"/>
      </w:r>
      <w:r>
        <w:rPr>
          <w:rFonts w:cs="Times New Roman"/>
          <w:color w:val="auto"/>
          <w:spacing w:val="-2"/>
        </w:rPr>
        <w:t>5</w:t>
      </w:r>
      <w:r>
        <w:rPr>
          <w:rFonts w:cs="Times New Roman"/>
          <w:color w:val="auto"/>
          <w:spacing w:val="-2"/>
        </w:rPr>
        <w:sym w:font="Symbol" w:char="F0A2"/>
      </w:r>
      <w:r>
        <w:rPr>
          <w:rFonts w:cs="Times New Roman"/>
          <w:color w:val="auto"/>
          <w:spacing w:val="-2"/>
        </w:rPr>
        <w:t>，北纬44</w:t>
      </w:r>
      <w:r>
        <w:rPr>
          <w:rFonts w:cs="Times New Roman"/>
          <w:color w:val="auto"/>
          <w:spacing w:val="-2"/>
        </w:rPr>
        <w:sym w:font="Symbol" w:char="F0B0"/>
      </w:r>
      <w:r>
        <w:rPr>
          <w:rFonts w:cs="Times New Roman"/>
          <w:color w:val="auto"/>
          <w:spacing w:val="-2"/>
        </w:rPr>
        <w:t>57</w:t>
      </w:r>
      <w:r>
        <w:rPr>
          <w:rFonts w:cs="Times New Roman"/>
          <w:color w:val="auto"/>
          <w:spacing w:val="-2"/>
        </w:rPr>
        <w:sym w:font="Symbol" w:char="F0A2"/>
      </w:r>
      <w:r>
        <w:rPr>
          <w:rFonts w:cs="Times New Roman"/>
          <w:color w:val="auto"/>
          <w:spacing w:val="-2"/>
        </w:rPr>
        <w:t>-45</w:t>
      </w:r>
      <w:r>
        <w:rPr>
          <w:rFonts w:cs="Times New Roman"/>
          <w:color w:val="auto"/>
          <w:spacing w:val="-2"/>
        </w:rPr>
        <w:sym w:font="Symbol" w:char="F0B0"/>
      </w:r>
      <w:r>
        <w:rPr>
          <w:rFonts w:cs="Times New Roman"/>
          <w:color w:val="auto"/>
          <w:spacing w:val="-2"/>
        </w:rPr>
        <w:t>28</w:t>
      </w:r>
      <w:r>
        <w:rPr>
          <w:rFonts w:cs="Times New Roman"/>
          <w:color w:val="auto"/>
          <w:spacing w:val="-2"/>
        </w:rPr>
        <w:sym w:font="Symbol" w:char="F0A2"/>
      </w:r>
      <w:r>
        <w:rPr>
          <w:rFonts w:cs="Times New Roman"/>
          <w:color w:val="auto"/>
          <w:spacing w:val="-2"/>
        </w:rPr>
        <w:t>。鸡西地处三江平原南端，长白山脉的老爷岭和张广才岭交汇地带，穆陵河上游末段。北、西、南三面环山，构成由西南向东北倾降、开阔的马蹄形盆地，穆陵河由西南流向东北纵贯全境。海拔一般在180-600米之间。</w:t>
      </w:r>
    </w:p>
    <w:p w14:paraId="2782D369">
      <w:pPr>
        <w:pStyle w:val="59"/>
        <w:adjustRightInd/>
        <w:snapToGrid/>
        <w:ind w:firstLine="472"/>
        <w:rPr>
          <w:rFonts w:cs="Times New Roman"/>
          <w:color w:val="auto"/>
          <w:spacing w:val="-2"/>
        </w:rPr>
      </w:pPr>
      <w:r>
        <w:rPr>
          <w:rFonts w:cs="Times New Roman"/>
          <w:color w:val="auto"/>
          <w:spacing w:val="-2"/>
        </w:rPr>
        <w:t>鸡东县位于黑龙江省东南部。鸡东县位于东经130°40′35″-131°45′53″，北纬44°50′10″-45°45′01″，鸡东县北与</w:t>
      </w:r>
      <w:r>
        <w:rPr>
          <w:color w:val="auto"/>
        </w:rPr>
        <w:fldChar w:fldCharType="begin"/>
      </w:r>
      <w:r>
        <w:rPr>
          <w:color w:val="auto"/>
        </w:rPr>
        <w:instrText xml:space="preserve">HYPERLINK "http://baike.baidu.com/view/161790.htm" \t "_blank"</w:instrText>
      </w:r>
      <w:r>
        <w:rPr>
          <w:color w:val="auto"/>
        </w:rPr>
        <w:fldChar w:fldCharType="separate"/>
      </w:r>
      <w:r>
        <w:rPr>
          <w:rFonts w:cs="Times New Roman"/>
          <w:color w:val="auto"/>
          <w:spacing w:val="-2"/>
        </w:rPr>
        <w:t>七台河市</w:t>
      </w:r>
      <w:r>
        <w:rPr>
          <w:rFonts w:cs="Times New Roman"/>
          <w:color w:val="auto"/>
          <w:spacing w:val="-2"/>
        </w:rPr>
        <w:fldChar w:fldCharType="end"/>
      </w:r>
      <w:r>
        <w:rPr>
          <w:rFonts w:cs="Times New Roman"/>
          <w:color w:val="auto"/>
          <w:spacing w:val="-2"/>
        </w:rPr>
        <w:t>、</w:t>
      </w:r>
      <w:r>
        <w:rPr>
          <w:color w:val="auto"/>
        </w:rPr>
        <w:fldChar w:fldCharType="begin"/>
      </w:r>
      <w:r>
        <w:rPr>
          <w:color w:val="auto"/>
        </w:rPr>
        <w:instrText xml:space="preserve"> HYPERLINK "http://baike.baidu.com/view/172621.htm" \t "_blank" </w:instrText>
      </w:r>
      <w:r>
        <w:rPr>
          <w:color w:val="auto"/>
        </w:rPr>
        <w:fldChar w:fldCharType="separate"/>
      </w:r>
      <w:r>
        <w:rPr>
          <w:rFonts w:cs="Times New Roman"/>
          <w:color w:val="auto"/>
          <w:spacing w:val="-2"/>
        </w:rPr>
        <w:t>勃利县</w:t>
      </w:r>
      <w:r>
        <w:rPr>
          <w:rFonts w:cs="Times New Roman"/>
          <w:color w:val="auto"/>
          <w:spacing w:val="-2"/>
        </w:rPr>
        <w:fldChar w:fldCharType="end"/>
      </w:r>
      <w:r>
        <w:rPr>
          <w:rFonts w:cs="Times New Roman"/>
          <w:color w:val="auto"/>
          <w:spacing w:val="-2"/>
        </w:rPr>
        <w:t>接壤，东与</w:t>
      </w:r>
      <w:r>
        <w:rPr>
          <w:color w:val="auto"/>
        </w:rPr>
        <w:fldChar w:fldCharType="begin"/>
      </w:r>
      <w:r>
        <w:rPr>
          <w:color w:val="auto"/>
        </w:rPr>
        <w:instrText xml:space="preserve"> HYPERLINK "http://baike.baidu.com/view/262227.htm" \t "_blank" </w:instrText>
      </w:r>
      <w:r>
        <w:rPr>
          <w:color w:val="auto"/>
        </w:rPr>
        <w:fldChar w:fldCharType="separate"/>
      </w:r>
      <w:r>
        <w:rPr>
          <w:rFonts w:cs="Times New Roman"/>
          <w:color w:val="auto"/>
          <w:spacing w:val="-2"/>
        </w:rPr>
        <w:t>密山市</w:t>
      </w:r>
      <w:r>
        <w:rPr>
          <w:rFonts w:cs="Times New Roman"/>
          <w:color w:val="auto"/>
          <w:spacing w:val="-2"/>
        </w:rPr>
        <w:fldChar w:fldCharType="end"/>
      </w:r>
      <w:r>
        <w:rPr>
          <w:rFonts w:cs="Times New Roman"/>
          <w:color w:val="auto"/>
          <w:spacing w:val="-2"/>
        </w:rPr>
        <w:t>为邻，西北与</w:t>
      </w:r>
      <w:r>
        <w:rPr>
          <w:color w:val="auto"/>
        </w:rPr>
        <w:fldChar w:fldCharType="begin"/>
      </w:r>
      <w:r>
        <w:rPr>
          <w:color w:val="auto"/>
        </w:rPr>
        <w:instrText xml:space="preserve"> HYPERLINK "http://baike.baidu.com/view/289846.htm" \t "_blank" </w:instrText>
      </w:r>
      <w:r>
        <w:rPr>
          <w:color w:val="auto"/>
        </w:rPr>
        <w:fldChar w:fldCharType="separate"/>
      </w:r>
      <w:r>
        <w:rPr>
          <w:rFonts w:cs="Times New Roman"/>
          <w:color w:val="auto"/>
          <w:spacing w:val="-2"/>
        </w:rPr>
        <w:t>林口县</w:t>
      </w:r>
      <w:r>
        <w:rPr>
          <w:rFonts w:cs="Times New Roman"/>
          <w:color w:val="auto"/>
          <w:spacing w:val="-2"/>
        </w:rPr>
        <w:fldChar w:fldCharType="end"/>
      </w:r>
      <w:r>
        <w:rPr>
          <w:rFonts w:cs="Times New Roman"/>
          <w:color w:val="auto"/>
          <w:spacing w:val="-2"/>
        </w:rPr>
        <w:t>分界，西与鸡西市毗连，西南与</w:t>
      </w:r>
      <w:r>
        <w:rPr>
          <w:color w:val="auto"/>
        </w:rPr>
        <w:fldChar w:fldCharType="begin"/>
      </w:r>
      <w:r>
        <w:rPr>
          <w:color w:val="auto"/>
        </w:rPr>
        <w:instrText xml:space="preserve"> HYPERLINK "http://baike.baidu.com/view/3171244.htm" \t "_blank" </w:instrText>
      </w:r>
      <w:r>
        <w:rPr>
          <w:color w:val="auto"/>
        </w:rPr>
        <w:fldChar w:fldCharType="separate"/>
      </w:r>
      <w:r>
        <w:rPr>
          <w:rFonts w:cs="Times New Roman"/>
          <w:color w:val="auto"/>
          <w:spacing w:val="-2"/>
        </w:rPr>
        <w:t>穆棱县</w:t>
      </w:r>
      <w:r>
        <w:rPr>
          <w:rFonts w:cs="Times New Roman"/>
          <w:color w:val="auto"/>
          <w:spacing w:val="-2"/>
        </w:rPr>
        <w:fldChar w:fldCharType="end"/>
      </w:r>
      <w:r>
        <w:rPr>
          <w:rFonts w:cs="Times New Roman"/>
          <w:color w:val="auto"/>
          <w:spacing w:val="-2"/>
        </w:rPr>
        <w:t>相连，南与</w:t>
      </w:r>
      <w:r>
        <w:rPr>
          <w:color w:val="auto"/>
        </w:rPr>
        <w:fldChar w:fldCharType="begin"/>
      </w:r>
      <w:r>
        <w:rPr>
          <w:color w:val="auto"/>
        </w:rPr>
        <w:instrText xml:space="preserve"> HYPERLINK "http://baike.baidu.com/view/2403.htm" \t "_blank" </w:instrText>
      </w:r>
      <w:r>
        <w:rPr>
          <w:color w:val="auto"/>
        </w:rPr>
        <w:fldChar w:fldCharType="separate"/>
      </w:r>
      <w:r>
        <w:rPr>
          <w:rFonts w:cs="Times New Roman"/>
          <w:color w:val="auto"/>
          <w:spacing w:val="-2"/>
        </w:rPr>
        <w:t>俄罗斯</w:t>
      </w:r>
      <w:r>
        <w:rPr>
          <w:rFonts w:cs="Times New Roman"/>
          <w:color w:val="auto"/>
          <w:spacing w:val="-2"/>
        </w:rPr>
        <w:fldChar w:fldCharType="end"/>
      </w:r>
      <w:r>
        <w:rPr>
          <w:rFonts w:cs="Times New Roman"/>
          <w:color w:val="auto"/>
          <w:spacing w:val="-2"/>
        </w:rPr>
        <w:t>接界。鸡东县地理位置优越， 距哈尔滨500公里，距鸡西市区15公里， 距档壁口岸100公里，距虎头吉祥口岸230公里，距绥芬河口岸180公里。</w:t>
      </w:r>
    </w:p>
    <w:p w14:paraId="4FFF9FEE">
      <w:pPr>
        <w:pStyle w:val="59"/>
        <w:adjustRightInd/>
        <w:snapToGrid/>
        <w:ind w:firstLine="480"/>
        <w:rPr>
          <w:rFonts w:cs="Times New Roman"/>
          <w:b/>
          <w:color w:val="auto"/>
          <w:highlight w:val="none"/>
        </w:rPr>
      </w:pPr>
      <w:bookmarkStart w:id="112" w:name="_Hlk148356744"/>
      <w:r>
        <w:rPr>
          <w:rFonts w:hint="eastAsia" w:cs="Times New Roman"/>
          <w:color w:val="auto"/>
          <w:highlight w:val="none"/>
        </w:rPr>
        <w:t>本项目位于鸡西市鸡东县</w:t>
      </w:r>
      <w:r>
        <w:rPr>
          <w:rFonts w:hint="eastAsia" w:cs="Times New Roman"/>
          <w:color w:val="auto"/>
          <w:highlight w:val="none"/>
          <w:lang w:eastAsia="zh-CN"/>
        </w:rPr>
        <w:t>东海镇新泉村五队</w:t>
      </w:r>
      <w:r>
        <w:rPr>
          <w:rFonts w:hint="eastAsia" w:cs="Times New Roman"/>
          <w:color w:val="auto"/>
          <w:highlight w:val="none"/>
        </w:rPr>
        <w:t>，项目东侧为农田和林地</w:t>
      </w:r>
      <w:bookmarkStart w:id="113" w:name="_Hlk148338309"/>
      <w:r>
        <w:rPr>
          <w:rFonts w:hint="eastAsia" w:cs="Times New Roman"/>
          <w:color w:val="auto"/>
          <w:highlight w:val="none"/>
        </w:rPr>
        <w:t>；西侧为荒山、道路和农田</w:t>
      </w:r>
      <w:bookmarkEnd w:id="113"/>
      <w:r>
        <w:rPr>
          <w:rFonts w:hint="eastAsia" w:cs="Times New Roman"/>
          <w:color w:val="auto"/>
          <w:highlight w:val="none"/>
        </w:rPr>
        <w:t>；南侧为农田；北侧为林地。</w:t>
      </w:r>
    </w:p>
    <w:bookmarkEnd w:id="112"/>
    <w:p w14:paraId="26D85EC5">
      <w:pPr>
        <w:pStyle w:val="137"/>
        <w:rPr>
          <w:color w:val="auto"/>
        </w:rPr>
      </w:pPr>
      <w:r>
        <w:rPr>
          <w:color w:val="auto"/>
        </w:rPr>
        <w:t>4.1.2气候气象</w:t>
      </w:r>
    </w:p>
    <w:p w14:paraId="1EC11132">
      <w:pPr>
        <w:pStyle w:val="59"/>
        <w:ind w:firstLine="480"/>
        <w:rPr>
          <w:color w:val="auto"/>
        </w:rPr>
      </w:pPr>
      <w:r>
        <w:rPr>
          <w:rFonts w:hint="eastAsia"/>
          <w:color w:val="auto"/>
        </w:rPr>
        <w:t>鸡东县域境内具有明显的季风气候特征，春季干旱多风，夏季温和多雨，秋季降温快初霜早，冬季寒冷少雪干燥。年平均气温4.9℃，积温2710.0℃，日照2291.2h，无霜期136天，降水量</w:t>
      </w:r>
      <w:r>
        <w:rPr>
          <w:color w:val="auto"/>
        </w:rPr>
        <w:t>542</w:t>
      </w:r>
      <w:r>
        <w:rPr>
          <w:rFonts w:hint="eastAsia"/>
          <w:color w:val="auto"/>
        </w:rPr>
        <w:t>mm。历年极端最高气温34.7℃，出现于2010年6月25日；历年极端最低气温-36.4℃，出现于2001年1月11日。南北山地属气候冷凉早霜区，降水量428~467mm，无霜期120天左右。中部穆棱河平原属气候温暖区，年平均气温3.3~3.9℃，活动积温2566~2641℃，降水量多于山区，无霜期135~138天左右。中部平原风速大于南北山区，西部大于东部。春季4月份风力最大，夏季8月份风力最小。冬季盛行风向为西北风，夏季盛行风向为东南风，全年盛行风向为西风。县域年平均风速为</w:t>
      </w:r>
      <w:r>
        <w:rPr>
          <w:color w:val="auto"/>
        </w:rPr>
        <w:t>3.1</w:t>
      </w:r>
      <w:r>
        <w:rPr>
          <w:rFonts w:hint="eastAsia"/>
          <w:color w:val="auto"/>
        </w:rPr>
        <w:t>m/s，最大风速为9.3m/s。</w:t>
      </w:r>
    </w:p>
    <w:p w14:paraId="718D665B">
      <w:pPr>
        <w:pStyle w:val="137"/>
        <w:rPr>
          <w:color w:val="auto"/>
        </w:rPr>
      </w:pPr>
      <w:r>
        <w:rPr>
          <w:color w:val="auto"/>
        </w:rPr>
        <w:t>4.1.3地形地貌</w:t>
      </w:r>
    </w:p>
    <w:p w14:paraId="2DCE2D66">
      <w:pPr>
        <w:pStyle w:val="59"/>
        <w:ind w:firstLine="480"/>
        <w:rPr>
          <w:color w:val="auto"/>
        </w:rPr>
      </w:pPr>
      <w:bookmarkStart w:id="114" w:name="_Toc241292978"/>
      <w:r>
        <w:rPr>
          <w:rFonts w:hint="eastAsia"/>
          <w:color w:val="auto"/>
        </w:rPr>
        <w:t>鸡东县地处完达山西南端和太平岭东北端之间，地形起伏较大，局部山高坡陡。属于低山丘陵区，地形南北高，中间低，西高东低。海拔150~400m，最高点西大翁山880.6m。全县境内分为3种基本地貌单元。</w:t>
      </w:r>
    </w:p>
    <w:p w14:paraId="0620719B">
      <w:pPr>
        <w:pStyle w:val="59"/>
        <w:ind w:firstLine="480"/>
        <w:rPr>
          <w:color w:val="auto"/>
        </w:rPr>
      </w:pPr>
      <w:r>
        <w:rPr>
          <w:rFonts w:hint="eastAsia"/>
          <w:color w:val="auto"/>
        </w:rPr>
        <w:t>南北山地属低山丘陵区，占66%，主要发育暗棕壤土类，是良好的森林土壤；山前漫岗，处于山地和平原过渡地带，占24%，主要发育白浆土类，是该县的旱田区；河谷平原占10%，广泛分布水稻土、河淤土、草甸土，是鸡东县水稻主产区。鸡东县南部境内有黄土山、马鞍山和王八脖子山，山坡底部有四条较大的冲沟，最宽处有140m以上，最深处在10m以上。铁道北为穆棱河冲击平原，地势平坦，海拔标高为172~175m左右，在平原和山坡中间夹着一条东西长5km，南北宽1km的狭长地带，海拔标高一般在175~180m之间，为目前城市建成区范围。</w:t>
      </w:r>
    </w:p>
    <w:p w14:paraId="7EF42698">
      <w:pPr>
        <w:pStyle w:val="137"/>
        <w:rPr>
          <w:color w:val="auto"/>
        </w:rPr>
      </w:pPr>
      <w:r>
        <w:rPr>
          <w:color w:val="auto"/>
        </w:rPr>
        <w:t>4.1.</w:t>
      </w:r>
      <w:bookmarkEnd w:id="114"/>
      <w:r>
        <w:rPr>
          <w:color w:val="auto"/>
        </w:rPr>
        <w:t>4水文</w:t>
      </w:r>
    </w:p>
    <w:p w14:paraId="14234D6B">
      <w:pPr>
        <w:pStyle w:val="59"/>
        <w:ind w:firstLine="480"/>
        <w:rPr>
          <w:color w:val="auto"/>
        </w:rPr>
      </w:pPr>
      <w:r>
        <w:rPr>
          <w:rFonts w:hint="eastAsia"/>
          <w:color w:val="auto"/>
        </w:rPr>
        <w:t>鸡东县境内大小河流百余条，均属穆棱河水系。穆棱河为区内最大河流，横贯县区中部，其主要支流有黄泥河、石头河、哈达河、滴道河、半截河等。这些河流受季节、气候影响，夏季流量大，冬季流量小，有的甚至干涸。在穆棱河、黄泥河两岸还分布有许多牛轭湖，有的已经为沼泽。在鸡东县境内地表水总集水面积不少于3243平方公里。平均年降水量为500毫米左右，全县平均径流量在4亿立方米以上。</w:t>
      </w:r>
    </w:p>
    <w:p w14:paraId="6F8ACAD8">
      <w:pPr>
        <w:pStyle w:val="59"/>
        <w:ind w:firstLine="480"/>
        <w:rPr>
          <w:color w:val="auto"/>
        </w:rPr>
      </w:pPr>
      <w:r>
        <w:rPr>
          <w:rFonts w:hint="eastAsia"/>
          <w:color w:val="auto"/>
        </w:rPr>
        <w:t>穆棱河及其8条支流（黄泥河、哈达河、滴道河、大、小石头河、半截河、锅盔河、水曲柳河）为县域内主要河流；共有中型水库3座，小型水库7座。设计总容量2.316亿立方米。穆棱河和260条支流以及100多大小泡泽均可调节水量。</w:t>
      </w:r>
    </w:p>
    <w:p w14:paraId="3C36C848">
      <w:pPr>
        <w:pStyle w:val="137"/>
        <w:rPr>
          <w:color w:val="auto"/>
        </w:rPr>
      </w:pPr>
      <w:bookmarkStart w:id="115" w:name="_Toc241292979"/>
      <w:r>
        <w:rPr>
          <w:color w:val="auto"/>
        </w:rPr>
        <w:t>4.1.</w:t>
      </w:r>
      <w:r>
        <w:rPr>
          <w:rFonts w:hint="eastAsia"/>
          <w:color w:val="auto"/>
        </w:rPr>
        <w:t>5</w:t>
      </w:r>
      <w:r>
        <w:rPr>
          <w:color w:val="auto"/>
        </w:rPr>
        <w:t>地质</w:t>
      </w:r>
      <w:r>
        <w:rPr>
          <w:rFonts w:hint="eastAsia"/>
          <w:color w:val="auto"/>
        </w:rPr>
        <w:t>条件</w:t>
      </w:r>
    </w:p>
    <w:p w14:paraId="16F840DE">
      <w:pPr>
        <w:pStyle w:val="59"/>
        <w:ind w:firstLine="480"/>
        <w:rPr>
          <w:color w:val="auto"/>
        </w:rPr>
      </w:pPr>
      <w:r>
        <w:rPr>
          <w:color w:val="auto"/>
        </w:rPr>
        <w:t>（1）地层</w:t>
      </w:r>
    </w:p>
    <w:p w14:paraId="6F411111">
      <w:pPr>
        <w:pStyle w:val="59"/>
        <w:ind w:firstLine="480"/>
        <w:rPr>
          <w:color w:val="auto"/>
        </w:rPr>
      </w:pPr>
      <w:r>
        <w:rPr>
          <w:rFonts w:hint="eastAsia" w:ascii="宋体" w:hAnsi="宋体" w:cs="宋体"/>
          <w:color w:val="auto"/>
        </w:rPr>
        <w:t>①</w:t>
      </w:r>
      <w:r>
        <w:rPr>
          <w:color w:val="auto"/>
        </w:rPr>
        <w:t>前第四纪地层</w:t>
      </w:r>
    </w:p>
    <w:p w14:paraId="65D5FCC6">
      <w:pPr>
        <w:pStyle w:val="59"/>
        <w:ind w:firstLine="480"/>
        <w:rPr>
          <w:color w:val="auto"/>
        </w:rPr>
      </w:pPr>
      <w:r>
        <w:rPr>
          <w:color w:val="auto"/>
        </w:rPr>
        <w:t>本区属兴凯湖-布列亚山地层区。前第四系地层自上太古界至第三系较为发育，其分布、岩性以及相互接触关系见表</w:t>
      </w:r>
      <w:r>
        <w:rPr>
          <w:rFonts w:hint="eastAsia"/>
          <w:color w:val="auto"/>
        </w:rPr>
        <w:t>4-1-</w:t>
      </w:r>
      <w:r>
        <w:rPr>
          <w:color w:val="auto"/>
        </w:rPr>
        <w:t>1。</w:t>
      </w:r>
    </w:p>
    <w:p w14:paraId="16EA28F6">
      <w:pPr>
        <w:pStyle w:val="59"/>
        <w:ind w:firstLine="480"/>
        <w:rPr>
          <w:color w:val="auto"/>
        </w:rPr>
      </w:pPr>
      <w:r>
        <w:rPr>
          <w:rFonts w:hint="eastAsia" w:ascii="宋体" w:hAnsi="宋体" w:cs="宋体"/>
          <w:color w:val="auto"/>
        </w:rPr>
        <w:t>②</w:t>
      </w:r>
      <w:r>
        <w:rPr>
          <w:color w:val="auto"/>
        </w:rPr>
        <w:t>第四纪地层</w:t>
      </w:r>
    </w:p>
    <w:p w14:paraId="5B77CFC6">
      <w:pPr>
        <w:pStyle w:val="59"/>
        <w:ind w:firstLine="480"/>
        <w:rPr>
          <w:color w:val="auto"/>
        </w:rPr>
      </w:pPr>
      <w:r>
        <w:rPr>
          <w:color w:val="auto"/>
        </w:rPr>
        <w:t>区内第四系主要成因类型以冲积为主，其岩性及厚度详见表</w:t>
      </w:r>
      <w:r>
        <w:rPr>
          <w:rFonts w:hint="eastAsia"/>
          <w:color w:val="auto"/>
        </w:rPr>
        <w:t>4-1-</w:t>
      </w:r>
      <w:r>
        <w:rPr>
          <w:color w:val="auto"/>
        </w:rPr>
        <w:t xml:space="preserve">2。 </w:t>
      </w:r>
    </w:p>
    <w:p w14:paraId="6FC59429">
      <w:pPr>
        <w:pStyle w:val="59"/>
        <w:ind w:firstLine="480"/>
        <w:rPr>
          <w:color w:val="auto"/>
        </w:rPr>
      </w:pPr>
      <w:r>
        <w:rPr>
          <w:color w:val="auto"/>
        </w:rPr>
        <w:t>（2）岩浆岩</w:t>
      </w:r>
    </w:p>
    <w:p w14:paraId="784355C6">
      <w:pPr>
        <w:pStyle w:val="59"/>
        <w:ind w:firstLine="480"/>
        <w:rPr>
          <w:color w:val="auto"/>
        </w:rPr>
      </w:pPr>
      <w:r>
        <w:rPr>
          <w:rFonts w:hint="eastAsia" w:ascii="宋体" w:hAnsi="宋体" w:cs="宋体"/>
          <w:color w:val="auto"/>
        </w:rPr>
        <w:t>①</w:t>
      </w:r>
      <w:r>
        <w:rPr>
          <w:color w:val="auto"/>
        </w:rPr>
        <w:t>火山岩</w:t>
      </w:r>
    </w:p>
    <w:p w14:paraId="20E9AFD3">
      <w:pPr>
        <w:pStyle w:val="59"/>
        <w:ind w:firstLine="480"/>
        <w:rPr>
          <w:color w:val="auto"/>
        </w:rPr>
      </w:pPr>
      <w:r>
        <w:rPr>
          <w:color w:val="auto"/>
        </w:rPr>
        <w:t>晚第三系宁安玄武岩（βN1）</w:t>
      </w:r>
    </w:p>
    <w:p w14:paraId="3F44611A">
      <w:pPr>
        <w:pStyle w:val="59"/>
        <w:ind w:firstLine="480"/>
        <w:rPr>
          <w:color w:val="auto"/>
        </w:rPr>
      </w:pPr>
      <w:r>
        <w:rPr>
          <w:color w:val="auto"/>
        </w:rPr>
        <w:t>在鸡西市东部零星出露，岩性为钠质大陆碱性玄武岩，主要为橄榄玄武岩、伊丁石玄武岩、橄榄粗玄武岩。</w:t>
      </w:r>
    </w:p>
    <w:p w14:paraId="057C6905">
      <w:pPr>
        <w:pStyle w:val="59"/>
        <w:ind w:firstLine="480"/>
        <w:rPr>
          <w:color w:val="auto"/>
        </w:rPr>
      </w:pPr>
      <w:r>
        <w:rPr>
          <w:rFonts w:hint="eastAsia" w:ascii="宋体" w:hAnsi="宋体" w:cs="宋体"/>
          <w:color w:val="auto"/>
        </w:rPr>
        <w:t>②</w:t>
      </w:r>
      <w:r>
        <w:rPr>
          <w:color w:val="auto"/>
        </w:rPr>
        <w:t>侵入岩</w:t>
      </w:r>
    </w:p>
    <w:p w14:paraId="71A739F5">
      <w:pPr>
        <w:pStyle w:val="59"/>
        <w:ind w:firstLine="480"/>
        <w:rPr>
          <w:color w:val="auto"/>
        </w:rPr>
      </w:pPr>
      <w:r>
        <w:rPr>
          <w:color w:val="auto"/>
        </w:rPr>
        <w:t>A.兴东期（γδ21）</w:t>
      </w:r>
    </w:p>
    <w:p w14:paraId="41E5D625">
      <w:pPr>
        <w:pStyle w:val="59"/>
        <w:ind w:firstLine="480"/>
        <w:rPr>
          <w:color w:val="auto"/>
        </w:rPr>
      </w:pPr>
      <w:r>
        <w:rPr>
          <w:color w:val="auto"/>
        </w:rPr>
        <w:t>本区西北部，大通沟北部有较大面积分布。主要岩性为花岗闪长岩，以岩基产出。</w:t>
      </w:r>
    </w:p>
    <w:p w14:paraId="0410E7A0">
      <w:pPr>
        <w:pStyle w:val="59"/>
        <w:ind w:firstLine="480"/>
        <w:rPr>
          <w:color w:val="auto"/>
        </w:rPr>
      </w:pPr>
      <w:r>
        <w:rPr>
          <w:color w:val="auto"/>
        </w:rPr>
        <w:t>B.麻山期（γ12）</w:t>
      </w:r>
    </w:p>
    <w:p w14:paraId="0B14BDD2">
      <w:pPr>
        <w:pStyle w:val="59"/>
        <w:ind w:firstLine="480"/>
        <w:rPr>
          <w:b/>
          <w:color w:val="auto"/>
        </w:rPr>
      </w:pPr>
      <w:r>
        <w:rPr>
          <w:color w:val="auto"/>
        </w:rPr>
        <w:t>本区西部出露，以矽线石、石榴石、花岗石、辉石花岗岩为主，呈岩株状产出。</w:t>
      </w:r>
    </w:p>
    <w:p w14:paraId="0F3ADBC0">
      <w:pPr>
        <w:pStyle w:val="76"/>
        <w:rPr>
          <w:color w:val="auto"/>
        </w:rPr>
      </w:pPr>
      <w:r>
        <w:rPr>
          <w:color w:val="auto"/>
        </w:rPr>
        <w:t>表</w:t>
      </w:r>
      <w:r>
        <w:rPr>
          <w:rFonts w:hint="eastAsia"/>
          <w:color w:val="auto"/>
        </w:rPr>
        <w:t>4-1</w:t>
      </w:r>
      <w:r>
        <w:rPr>
          <w:color w:val="auto"/>
        </w:rPr>
        <w:t>-1前第四纪地层表</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623"/>
        <w:gridCol w:w="667"/>
        <w:gridCol w:w="772"/>
        <w:gridCol w:w="611"/>
        <w:gridCol w:w="800"/>
        <w:gridCol w:w="2820"/>
        <w:gridCol w:w="1586"/>
      </w:tblGrid>
      <w:tr w14:paraId="666B06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269" w:type="pct"/>
            <w:vAlign w:val="center"/>
          </w:tcPr>
          <w:p w14:paraId="7CC8CBD7">
            <w:pPr>
              <w:spacing w:line="240" w:lineRule="exact"/>
              <w:ind w:left="-72" w:leftChars="-39" w:hanging="10"/>
              <w:jc w:val="center"/>
              <w:rPr>
                <w:color w:val="auto"/>
                <w:szCs w:val="21"/>
              </w:rPr>
            </w:pPr>
            <w:r>
              <w:rPr>
                <w:color w:val="auto"/>
                <w:szCs w:val="21"/>
              </w:rPr>
              <w:t>界</w:t>
            </w:r>
          </w:p>
        </w:tc>
        <w:tc>
          <w:tcPr>
            <w:tcW w:w="387" w:type="pct"/>
            <w:vAlign w:val="center"/>
          </w:tcPr>
          <w:p w14:paraId="698ED138">
            <w:pPr>
              <w:spacing w:line="240" w:lineRule="exact"/>
              <w:ind w:hanging="5"/>
              <w:jc w:val="center"/>
              <w:rPr>
                <w:color w:val="auto"/>
                <w:szCs w:val="21"/>
              </w:rPr>
            </w:pPr>
            <w:r>
              <w:rPr>
                <w:color w:val="auto"/>
                <w:szCs w:val="21"/>
              </w:rPr>
              <w:t>系</w:t>
            </w:r>
          </w:p>
        </w:tc>
        <w:tc>
          <w:tcPr>
            <w:tcW w:w="413" w:type="pct"/>
            <w:vAlign w:val="center"/>
          </w:tcPr>
          <w:p w14:paraId="31731D1A">
            <w:pPr>
              <w:spacing w:line="240" w:lineRule="exact"/>
              <w:jc w:val="center"/>
              <w:rPr>
                <w:color w:val="auto"/>
                <w:szCs w:val="21"/>
              </w:rPr>
            </w:pPr>
            <w:r>
              <w:rPr>
                <w:color w:val="auto"/>
                <w:szCs w:val="21"/>
              </w:rPr>
              <w:t>统(群)</w:t>
            </w:r>
          </w:p>
        </w:tc>
        <w:tc>
          <w:tcPr>
            <w:tcW w:w="476" w:type="pct"/>
            <w:vAlign w:val="center"/>
          </w:tcPr>
          <w:p w14:paraId="011EFED0">
            <w:pPr>
              <w:spacing w:line="240" w:lineRule="exact"/>
              <w:jc w:val="center"/>
              <w:rPr>
                <w:color w:val="auto"/>
                <w:szCs w:val="21"/>
              </w:rPr>
            </w:pPr>
            <w:r>
              <w:rPr>
                <w:color w:val="auto"/>
                <w:szCs w:val="21"/>
              </w:rPr>
              <w:t>组</w:t>
            </w:r>
          </w:p>
        </w:tc>
        <w:tc>
          <w:tcPr>
            <w:tcW w:w="338" w:type="pct"/>
            <w:vAlign w:val="center"/>
          </w:tcPr>
          <w:p w14:paraId="1AA58B81">
            <w:pPr>
              <w:spacing w:line="240" w:lineRule="exact"/>
              <w:jc w:val="center"/>
              <w:rPr>
                <w:color w:val="auto"/>
                <w:szCs w:val="21"/>
              </w:rPr>
            </w:pPr>
            <w:r>
              <w:rPr>
                <w:color w:val="auto"/>
                <w:szCs w:val="21"/>
              </w:rPr>
              <w:t>代号</w:t>
            </w:r>
          </w:p>
        </w:tc>
        <w:tc>
          <w:tcPr>
            <w:tcW w:w="442" w:type="pct"/>
            <w:vAlign w:val="center"/>
          </w:tcPr>
          <w:p w14:paraId="2518D599">
            <w:pPr>
              <w:spacing w:line="240" w:lineRule="exact"/>
              <w:jc w:val="center"/>
              <w:rPr>
                <w:color w:val="auto"/>
                <w:szCs w:val="21"/>
              </w:rPr>
            </w:pPr>
            <w:r>
              <w:rPr>
                <w:color w:val="auto"/>
                <w:szCs w:val="21"/>
              </w:rPr>
              <w:t>厚 度</w:t>
            </w:r>
          </w:p>
          <w:p w14:paraId="07742248">
            <w:pPr>
              <w:spacing w:line="240" w:lineRule="exact"/>
              <w:jc w:val="center"/>
              <w:rPr>
                <w:color w:val="auto"/>
                <w:szCs w:val="21"/>
              </w:rPr>
            </w:pPr>
            <w:r>
              <w:rPr>
                <w:color w:val="auto"/>
                <w:szCs w:val="21"/>
              </w:rPr>
              <w:t>（m）</w:t>
            </w:r>
          </w:p>
        </w:tc>
        <w:tc>
          <w:tcPr>
            <w:tcW w:w="1709" w:type="pct"/>
            <w:vAlign w:val="center"/>
          </w:tcPr>
          <w:p w14:paraId="5C631308">
            <w:pPr>
              <w:spacing w:line="240" w:lineRule="exact"/>
              <w:jc w:val="center"/>
              <w:rPr>
                <w:color w:val="auto"/>
                <w:szCs w:val="21"/>
              </w:rPr>
            </w:pPr>
            <w:r>
              <w:rPr>
                <w:color w:val="auto"/>
                <w:szCs w:val="21"/>
              </w:rPr>
              <w:t>岩 性 特 征</w:t>
            </w:r>
          </w:p>
        </w:tc>
        <w:tc>
          <w:tcPr>
            <w:tcW w:w="966" w:type="pct"/>
            <w:vAlign w:val="center"/>
          </w:tcPr>
          <w:p w14:paraId="71307952">
            <w:pPr>
              <w:spacing w:line="240" w:lineRule="exact"/>
              <w:jc w:val="center"/>
              <w:rPr>
                <w:color w:val="auto"/>
                <w:szCs w:val="21"/>
              </w:rPr>
            </w:pPr>
            <w:r>
              <w:rPr>
                <w:color w:val="auto"/>
                <w:szCs w:val="21"/>
              </w:rPr>
              <w:t>分布</w:t>
            </w:r>
          </w:p>
        </w:tc>
      </w:tr>
      <w:tr w14:paraId="486E1D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7" w:hRule="atLeast"/>
          <w:jc w:val="center"/>
        </w:trPr>
        <w:tc>
          <w:tcPr>
            <w:tcW w:w="269" w:type="pct"/>
            <w:vAlign w:val="center"/>
          </w:tcPr>
          <w:p w14:paraId="4337972F">
            <w:pPr>
              <w:spacing w:line="240" w:lineRule="exact"/>
              <w:ind w:left="-72" w:leftChars="-39" w:hanging="10"/>
              <w:jc w:val="center"/>
              <w:rPr>
                <w:color w:val="auto"/>
                <w:szCs w:val="21"/>
              </w:rPr>
            </w:pPr>
            <w:r>
              <w:rPr>
                <w:color w:val="auto"/>
                <w:szCs w:val="21"/>
              </w:rPr>
              <w:t>新生界</w:t>
            </w:r>
          </w:p>
        </w:tc>
        <w:tc>
          <w:tcPr>
            <w:tcW w:w="387" w:type="pct"/>
            <w:vAlign w:val="center"/>
          </w:tcPr>
          <w:p w14:paraId="57F19353">
            <w:pPr>
              <w:spacing w:line="240" w:lineRule="exact"/>
              <w:ind w:hanging="5"/>
              <w:jc w:val="center"/>
              <w:rPr>
                <w:color w:val="auto"/>
                <w:szCs w:val="21"/>
              </w:rPr>
            </w:pPr>
            <w:r>
              <w:rPr>
                <w:color w:val="auto"/>
                <w:szCs w:val="21"/>
              </w:rPr>
              <w:t>第三系</w:t>
            </w:r>
          </w:p>
        </w:tc>
        <w:tc>
          <w:tcPr>
            <w:tcW w:w="413" w:type="pct"/>
            <w:vAlign w:val="center"/>
          </w:tcPr>
          <w:p w14:paraId="3DC4A734">
            <w:pPr>
              <w:spacing w:line="240" w:lineRule="exact"/>
              <w:jc w:val="center"/>
              <w:rPr>
                <w:color w:val="auto"/>
                <w:szCs w:val="21"/>
              </w:rPr>
            </w:pPr>
            <w:r>
              <w:rPr>
                <w:color w:val="auto"/>
                <w:szCs w:val="21"/>
              </w:rPr>
              <w:t>上新统</w:t>
            </w:r>
          </w:p>
        </w:tc>
        <w:tc>
          <w:tcPr>
            <w:tcW w:w="476" w:type="pct"/>
            <w:vAlign w:val="center"/>
          </w:tcPr>
          <w:p w14:paraId="2173625A">
            <w:pPr>
              <w:spacing w:line="240" w:lineRule="exact"/>
              <w:jc w:val="center"/>
              <w:rPr>
                <w:color w:val="auto"/>
                <w:szCs w:val="21"/>
              </w:rPr>
            </w:pPr>
            <w:r>
              <w:rPr>
                <w:color w:val="auto"/>
                <w:szCs w:val="21"/>
              </w:rPr>
              <w:t>鸡东组</w:t>
            </w:r>
          </w:p>
        </w:tc>
        <w:tc>
          <w:tcPr>
            <w:tcW w:w="338" w:type="pct"/>
            <w:vAlign w:val="center"/>
          </w:tcPr>
          <w:p w14:paraId="03C89FBD">
            <w:pPr>
              <w:spacing w:line="240" w:lineRule="exact"/>
              <w:jc w:val="center"/>
              <w:rPr>
                <w:color w:val="auto"/>
                <w:szCs w:val="21"/>
              </w:rPr>
            </w:pPr>
          </w:p>
        </w:tc>
        <w:tc>
          <w:tcPr>
            <w:tcW w:w="442" w:type="pct"/>
            <w:vAlign w:val="center"/>
          </w:tcPr>
          <w:p w14:paraId="5CEE6CCC">
            <w:pPr>
              <w:spacing w:line="240" w:lineRule="exact"/>
              <w:jc w:val="center"/>
              <w:rPr>
                <w:color w:val="auto"/>
                <w:szCs w:val="21"/>
              </w:rPr>
            </w:pPr>
            <w:r>
              <w:rPr>
                <w:color w:val="auto"/>
                <w:szCs w:val="21"/>
              </w:rPr>
              <w:t>＞160</w:t>
            </w:r>
          </w:p>
        </w:tc>
        <w:tc>
          <w:tcPr>
            <w:tcW w:w="1709" w:type="pct"/>
            <w:vAlign w:val="center"/>
          </w:tcPr>
          <w:p w14:paraId="6857236C">
            <w:pPr>
              <w:spacing w:line="240" w:lineRule="exact"/>
              <w:jc w:val="center"/>
              <w:rPr>
                <w:color w:val="auto"/>
                <w:szCs w:val="21"/>
              </w:rPr>
            </w:pPr>
            <w:r>
              <w:rPr>
                <w:color w:val="auto"/>
                <w:szCs w:val="21"/>
              </w:rPr>
              <w:t>岩性为暗紫色-黑色致密块状玄武岩，柱状节理发育。</w:t>
            </w:r>
          </w:p>
        </w:tc>
        <w:tc>
          <w:tcPr>
            <w:tcW w:w="966" w:type="pct"/>
            <w:vAlign w:val="center"/>
          </w:tcPr>
          <w:p w14:paraId="57F17679">
            <w:pPr>
              <w:spacing w:line="240" w:lineRule="exact"/>
              <w:jc w:val="center"/>
              <w:rPr>
                <w:color w:val="auto"/>
                <w:szCs w:val="21"/>
              </w:rPr>
            </w:pPr>
            <w:r>
              <w:rPr>
                <w:color w:val="auto"/>
                <w:szCs w:val="21"/>
              </w:rPr>
              <w:t>区内零星分布</w:t>
            </w:r>
          </w:p>
        </w:tc>
      </w:tr>
      <w:tr w14:paraId="5BA6096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09" w:hRule="atLeast"/>
          <w:jc w:val="center"/>
        </w:trPr>
        <w:tc>
          <w:tcPr>
            <w:tcW w:w="269" w:type="pct"/>
            <w:vMerge w:val="restart"/>
            <w:shd w:val="clear" w:color="auto" w:fill="auto"/>
            <w:vAlign w:val="center"/>
          </w:tcPr>
          <w:p w14:paraId="779078C0">
            <w:pPr>
              <w:spacing w:line="240" w:lineRule="exact"/>
              <w:jc w:val="center"/>
              <w:rPr>
                <w:color w:val="auto"/>
                <w:szCs w:val="21"/>
              </w:rPr>
            </w:pPr>
            <w:r>
              <w:rPr>
                <w:color w:val="auto"/>
                <w:szCs w:val="21"/>
              </w:rPr>
              <w:t>中</w:t>
            </w:r>
          </w:p>
          <w:p w14:paraId="0B937EDE">
            <w:pPr>
              <w:spacing w:line="240" w:lineRule="exact"/>
              <w:jc w:val="center"/>
              <w:rPr>
                <w:color w:val="auto"/>
                <w:szCs w:val="21"/>
              </w:rPr>
            </w:pPr>
            <w:r>
              <w:rPr>
                <w:color w:val="auto"/>
                <w:szCs w:val="21"/>
              </w:rPr>
              <w:t>生</w:t>
            </w:r>
          </w:p>
          <w:p w14:paraId="5CD0BA2F">
            <w:pPr>
              <w:spacing w:line="240" w:lineRule="exact"/>
              <w:jc w:val="center"/>
              <w:rPr>
                <w:color w:val="auto"/>
                <w:szCs w:val="21"/>
              </w:rPr>
            </w:pPr>
            <w:r>
              <w:rPr>
                <w:color w:val="auto"/>
                <w:szCs w:val="21"/>
              </w:rPr>
              <w:t>界</w:t>
            </w:r>
          </w:p>
        </w:tc>
        <w:tc>
          <w:tcPr>
            <w:tcW w:w="387" w:type="pct"/>
            <w:vMerge w:val="restart"/>
            <w:shd w:val="clear" w:color="auto" w:fill="auto"/>
            <w:vAlign w:val="center"/>
          </w:tcPr>
          <w:p w14:paraId="25CA1919">
            <w:pPr>
              <w:spacing w:line="240" w:lineRule="exact"/>
              <w:jc w:val="center"/>
              <w:rPr>
                <w:color w:val="auto"/>
                <w:szCs w:val="21"/>
              </w:rPr>
            </w:pPr>
            <w:r>
              <w:rPr>
                <w:color w:val="auto"/>
                <w:szCs w:val="21"/>
              </w:rPr>
              <w:t>白</w:t>
            </w:r>
          </w:p>
          <w:p w14:paraId="109FF185">
            <w:pPr>
              <w:spacing w:line="240" w:lineRule="exact"/>
              <w:jc w:val="center"/>
              <w:rPr>
                <w:color w:val="auto"/>
                <w:szCs w:val="21"/>
              </w:rPr>
            </w:pPr>
            <w:r>
              <w:rPr>
                <w:color w:val="auto"/>
                <w:szCs w:val="21"/>
              </w:rPr>
              <w:t>垩</w:t>
            </w:r>
          </w:p>
          <w:p w14:paraId="4937C253">
            <w:pPr>
              <w:spacing w:line="240" w:lineRule="exact"/>
              <w:jc w:val="center"/>
              <w:rPr>
                <w:color w:val="auto"/>
                <w:szCs w:val="21"/>
              </w:rPr>
            </w:pPr>
            <w:r>
              <w:rPr>
                <w:color w:val="auto"/>
                <w:szCs w:val="21"/>
              </w:rPr>
              <w:t>系</w:t>
            </w:r>
          </w:p>
        </w:tc>
        <w:tc>
          <w:tcPr>
            <w:tcW w:w="413" w:type="pct"/>
            <w:shd w:val="clear" w:color="auto" w:fill="auto"/>
            <w:vAlign w:val="center"/>
          </w:tcPr>
          <w:p w14:paraId="60EB47CD">
            <w:pPr>
              <w:spacing w:line="240" w:lineRule="exact"/>
              <w:ind w:hanging="10"/>
              <w:jc w:val="center"/>
              <w:rPr>
                <w:color w:val="auto"/>
                <w:szCs w:val="21"/>
              </w:rPr>
            </w:pPr>
            <w:r>
              <w:rPr>
                <w:color w:val="auto"/>
                <w:szCs w:val="21"/>
              </w:rPr>
              <w:t>上 统</w:t>
            </w:r>
          </w:p>
        </w:tc>
        <w:tc>
          <w:tcPr>
            <w:tcW w:w="476" w:type="pct"/>
            <w:vAlign w:val="center"/>
          </w:tcPr>
          <w:p w14:paraId="3433471E">
            <w:pPr>
              <w:spacing w:line="240" w:lineRule="exact"/>
              <w:ind w:hanging="10"/>
              <w:jc w:val="center"/>
              <w:rPr>
                <w:color w:val="auto"/>
                <w:szCs w:val="21"/>
              </w:rPr>
            </w:pPr>
            <w:r>
              <w:rPr>
                <w:color w:val="auto"/>
                <w:szCs w:val="21"/>
              </w:rPr>
              <w:t>猴石沟组</w:t>
            </w:r>
          </w:p>
        </w:tc>
        <w:tc>
          <w:tcPr>
            <w:tcW w:w="338" w:type="pct"/>
            <w:vAlign w:val="center"/>
          </w:tcPr>
          <w:p w14:paraId="40331056">
            <w:pPr>
              <w:spacing w:line="240" w:lineRule="exact"/>
              <w:ind w:hanging="10"/>
              <w:jc w:val="center"/>
              <w:rPr>
                <w:color w:val="auto"/>
                <w:szCs w:val="21"/>
              </w:rPr>
            </w:pPr>
            <w:r>
              <w:rPr>
                <w:color w:val="auto"/>
                <w:szCs w:val="21"/>
              </w:rPr>
              <w:t>K</w:t>
            </w:r>
            <w:r>
              <w:rPr>
                <w:color w:val="auto"/>
                <w:szCs w:val="21"/>
                <w:vertAlign w:val="subscript"/>
              </w:rPr>
              <w:t>2</w:t>
            </w:r>
          </w:p>
        </w:tc>
        <w:tc>
          <w:tcPr>
            <w:tcW w:w="442" w:type="pct"/>
            <w:vAlign w:val="center"/>
          </w:tcPr>
          <w:p w14:paraId="05E8004F">
            <w:pPr>
              <w:spacing w:line="240" w:lineRule="exact"/>
              <w:ind w:hanging="10"/>
              <w:jc w:val="center"/>
              <w:rPr>
                <w:color w:val="auto"/>
                <w:szCs w:val="21"/>
              </w:rPr>
            </w:pPr>
            <w:r>
              <w:rPr>
                <w:color w:val="auto"/>
                <w:szCs w:val="21"/>
              </w:rPr>
              <w:t>＞200</w:t>
            </w:r>
          </w:p>
        </w:tc>
        <w:tc>
          <w:tcPr>
            <w:tcW w:w="1709" w:type="pct"/>
            <w:vAlign w:val="center"/>
          </w:tcPr>
          <w:p w14:paraId="75FB6976">
            <w:pPr>
              <w:spacing w:line="240" w:lineRule="exact"/>
              <w:jc w:val="center"/>
              <w:rPr>
                <w:color w:val="auto"/>
                <w:szCs w:val="21"/>
              </w:rPr>
            </w:pPr>
            <w:r>
              <w:rPr>
                <w:color w:val="auto"/>
                <w:szCs w:val="21"/>
              </w:rPr>
              <w:t>河湖相沉积，横向变化大，在鸡西一带，一般以砂砾石为主。</w:t>
            </w:r>
          </w:p>
        </w:tc>
        <w:tc>
          <w:tcPr>
            <w:tcW w:w="966" w:type="pct"/>
            <w:vAlign w:val="center"/>
          </w:tcPr>
          <w:p w14:paraId="2DE69798">
            <w:pPr>
              <w:spacing w:line="240" w:lineRule="exact"/>
              <w:jc w:val="center"/>
              <w:rPr>
                <w:color w:val="auto"/>
                <w:szCs w:val="21"/>
              </w:rPr>
            </w:pPr>
            <w:r>
              <w:rPr>
                <w:color w:val="auto"/>
                <w:szCs w:val="21"/>
              </w:rPr>
              <w:t>主要分布在北部地区。</w:t>
            </w:r>
          </w:p>
        </w:tc>
      </w:tr>
      <w:tr w14:paraId="740CE5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605" w:hRule="atLeast"/>
          <w:jc w:val="center"/>
        </w:trPr>
        <w:tc>
          <w:tcPr>
            <w:tcW w:w="269" w:type="pct"/>
            <w:vMerge w:val="continue"/>
            <w:shd w:val="clear" w:color="auto" w:fill="auto"/>
            <w:vAlign w:val="center"/>
          </w:tcPr>
          <w:p w14:paraId="6E65D3B7">
            <w:pPr>
              <w:spacing w:line="240" w:lineRule="exact"/>
              <w:jc w:val="center"/>
              <w:rPr>
                <w:color w:val="auto"/>
                <w:szCs w:val="21"/>
              </w:rPr>
            </w:pPr>
          </w:p>
        </w:tc>
        <w:tc>
          <w:tcPr>
            <w:tcW w:w="387" w:type="pct"/>
            <w:vMerge w:val="continue"/>
            <w:shd w:val="clear" w:color="auto" w:fill="auto"/>
            <w:vAlign w:val="center"/>
          </w:tcPr>
          <w:p w14:paraId="4BD35D6C">
            <w:pPr>
              <w:spacing w:line="240" w:lineRule="exact"/>
              <w:jc w:val="center"/>
              <w:rPr>
                <w:color w:val="auto"/>
                <w:szCs w:val="21"/>
              </w:rPr>
            </w:pPr>
          </w:p>
        </w:tc>
        <w:tc>
          <w:tcPr>
            <w:tcW w:w="413" w:type="pct"/>
            <w:vMerge w:val="restart"/>
            <w:shd w:val="clear" w:color="auto" w:fill="auto"/>
            <w:textDirection w:val="tbRlV"/>
            <w:vAlign w:val="center"/>
          </w:tcPr>
          <w:p w14:paraId="4DB9C9E8">
            <w:pPr>
              <w:spacing w:line="240" w:lineRule="exact"/>
              <w:ind w:left="113" w:right="113"/>
              <w:jc w:val="center"/>
              <w:rPr>
                <w:color w:val="auto"/>
                <w:szCs w:val="21"/>
              </w:rPr>
            </w:pPr>
            <w:r>
              <w:rPr>
                <w:color w:val="auto"/>
                <w:szCs w:val="21"/>
              </w:rPr>
              <w:t>下统</w:t>
            </w:r>
          </w:p>
        </w:tc>
        <w:tc>
          <w:tcPr>
            <w:tcW w:w="476" w:type="pct"/>
            <w:vAlign w:val="center"/>
          </w:tcPr>
          <w:p w14:paraId="63B69BCD">
            <w:pPr>
              <w:spacing w:line="240" w:lineRule="exact"/>
              <w:jc w:val="center"/>
              <w:rPr>
                <w:color w:val="auto"/>
                <w:szCs w:val="21"/>
              </w:rPr>
            </w:pPr>
            <w:r>
              <w:rPr>
                <w:color w:val="auto"/>
                <w:szCs w:val="21"/>
              </w:rPr>
              <w:t>穆棱组</w:t>
            </w:r>
          </w:p>
        </w:tc>
        <w:tc>
          <w:tcPr>
            <w:tcW w:w="338" w:type="pct"/>
            <w:vAlign w:val="center"/>
          </w:tcPr>
          <w:p w14:paraId="68CD45C1">
            <w:pPr>
              <w:spacing w:line="240" w:lineRule="exact"/>
              <w:jc w:val="center"/>
              <w:rPr>
                <w:color w:val="auto"/>
                <w:szCs w:val="21"/>
              </w:rPr>
            </w:pPr>
            <w:r>
              <w:rPr>
                <w:color w:val="auto"/>
                <w:szCs w:val="21"/>
              </w:rPr>
              <w:t>K</w:t>
            </w:r>
            <w:r>
              <w:rPr>
                <w:color w:val="auto"/>
                <w:szCs w:val="21"/>
                <w:vertAlign w:val="subscript"/>
              </w:rPr>
              <w:t>1</w:t>
            </w:r>
            <w:r>
              <w:rPr>
                <w:i/>
                <w:color w:val="auto"/>
                <w:szCs w:val="21"/>
              </w:rPr>
              <w:t>m</w:t>
            </w:r>
          </w:p>
        </w:tc>
        <w:tc>
          <w:tcPr>
            <w:tcW w:w="442" w:type="pct"/>
            <w:vAlign w:val="center"/>
          </w:tcPr>
          <w:p w14:paraId="4DB07E73">
            <w:pPr>
              <w:spacing w:line="240" w:lineRule="exact"/>
              <w:ind w:firstLine="4"/>
              <w:jc w:val="center"/>
              <w:rPr>
                <w:color w:val="auto"/>
                <w:szCs w:val="21"/>
              </w:rPr>
            </w:pPr>
          </w:p>
        </w:tc>
        <w:tc>
          <w:tcPr>
            <w:tcW w:w="1709" w:type="pct"/>
            <w:vAlign w:val="center"/>
          </w:tcPr>
          <w:p w14:paraId="7533E3FB">
            <w:pPr>
              <w:spacing w:line="240" w:lineRule="exact"/>
              <w:jc w:val="center"/>
              <w:rPr>
                <w:color w:val="auto"/>
                <w:szCs w:val="21"/>
              </w:rPr>
            </w:pPr>
            <w:r>
              <w:rPr>
                <w:color w:val="auto"/>
                <w:szCs w:val="21"/>
              </w:rPr>
              <w:t>粉细砂岩、砂岩及泥岩并夹煤层</w:t>
            </w:r>
          </w:p>
        </w:tc>
        <w:tc>
          <w:tcPr>
            <w:tcW w:w="966" w:type="pct"/>
            <w:vAlign w:val="center"/>
          </w:tcPr>
          <w:p w14:paraId="31ACF41F">
            <w:pPr>
              <w:spacing w:line="240" w:lineRule="exact"/>
              <w:jc w:val="center"/>
              <w:rPr>
                <w:color w:val="auto"/>
                <w:szCs w:val="21"/>
              </w:rPr>
            </w:pPr>
            <w:r>
              <w:rPr>
                <w:color w:val="auto"/>
                <w:szCs w:val="21"/>
              </w:rPr>
              <w:t>鸡西盆地的光义、梨树沟麻山等地</w:t>
            </w:r>
          </w:p>
        </w:tc>
      </w:tr>
      <w:tr w14:paraId="576D59B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98" w:hRule="atLeast"/>
          <w:jc w:val="center"/>
        </w:trPr>
        <w:tc>
          <w:tcPr>
            <w:tcW w:w="269" w:type="pct"/>
            <w:vMerge w:val="continue"/>
            <w:shd w:val="clear" w:color="auto" w:fill="auto"/>
            <w:vAlign w:val="center"/>
          </w:tcPr>
          <w:p w14:paraId="09485C4F">
            <w:pPr>
              <w:spacing w:line="240" w:lineRule="exact"/>
              <w:jc w:val="center"/>
              <w:rPr>
                <w:color w:val="auto"/>
                <w:szCs w:val="21"/>
              </w:rPr>
            </w:pPr>
          </w:p>
        </w:tc>
        <w:tc>
          <w:tcPr>
            <w:tcW w:w="387" w:type="pct"/>
            <w:vMerge w:val="continue"/>
            <w:shd w:val="clear" w:color="auto" w:fill="auto"/>
            <w:vAlign w:val="center"/>
          </w:tcPr>
          <w:p w14:paraId="4E3EBF38">
            <w:pPr>
              <w:spacing w:line="240" w:lineRule="exact"/>
              <w:jc w:val="center"/>
              <w:rPr>
                <w:color w:val="auto"/>
                <w:szCs w:val="21"/>
              </w:rPr>
            </w:pPr>
          </w:p>
        </w:tc>
        <w:tc>
          <w:tcPr>
            <w:tcW w:w="413" w:type="pct"/>
            <w:vMerge w:val="continue"/>
            <w:shd w:val="clear" w:color="auto" w:fill="auto"/>
            <w:vAlign w:val="center"/>
          </w:tcPr>
          <w:p w14:paraId="3532276F">
            <w:pPr>
              <w:spacing w:line="240" w:lineRule="exact"/>
              <w:jc w:val="center"/>
              <w:rPr>
                <w:color w:val="auto"/>
                <w:szCs w:val="21"/>
              </w:rPr>
            </w:pPr>
          </w:p>
        </w:tc>
        <w:tc>
          <w:tcPr>
            <w:tcW w:w="476" w:type="pct"/>
            <w:vAlign w:val="center"/>
          </w:tcPr>
          <w:p w14:paraId="7E35ACA4">
            <w:pPr>
              <w:spacing w:line="240" w:lineRule="exact"/>
              <w:jc w:val="center"/>
              <w:rPr>
                <w:color w:val="auto"/>
                <w:szCs w:val="21"/>
              </w:rPr>
            </w:pPr>
            <w:r>
              <w:rPr>
                <w:color w:val="auto"/>
                <w:szCs w:val="21"/>
              </w:rPr>
              <w:t>城子河组</w:t>
            </w:r>
          </w:p>
        </w:tc>
        <w:tc>
          <w:tcPr>
            <w:tcW w:w="338" w:type="pct"/>
            <w:vAlign w:val="center"/>
          </w:tcPr>
          <w:p w14:paraId="59A95253">
            <w:pPr>
              <w:spacing w:line="240" w:lineRule="exact"/>
              <w:jc w:val="center"/>
              <w:rPr>
                <w:color w:val="auto"/>
                <w:szCs w:val="21"/>
              </w:rPr>
            </w:pPr>
            <w:r>
              <w:rPr>
                <w:color w:val="auto"/>
                <w:szCs w:val="21"/>
              </w:rPr>
              <w:t>K</w:t>
            </w:r>
            <w:r>
              <w:rPr>
                <w:color w:val="auto"/>
                <w:szCs w:val="21"/>
                <w:vertAlign w:val="subscript"/>
              </w:rPr>
              <w:t>1</w:t>
            </w:r>
            <w:r>
              <w:rPr>
                <w:i/>
                <w:color w:val="auto"/>
                <w:szCs w:val="21"/>
              </w:rPr>
              <w:t>c</w:t>
            </w:r>
          </w:p>
        </w:tc>
        <w:tc>
          <w:tcPr>
            <w:tcW w:w="442" w:type="pct"/>
            <w:vAlign w:val="center"/>
          </w:tcPr>
          <w:p w14:paraId="5A260AB3">
            <w:pPr>
              <w:spacing w:line="240" w:lineRule="exact"/>
              <w:ind w:hanging="10"/>
              <w:jc w:val="center"/>
              <w:rPr>
                <w:color w:val="auto"/>
                <w:szCs w:val="21"/>
              </w:rPr>
            </w:pPr>
          </w:p>
        </w:tc>
        <w:tc>
          <w:tcPr>
            <w:tcW w:w="1709" w:type="pct"/>
            <w:vAlign w:val="center"/>
          </w:tcPr>
          <w:p w14:paraId="31E4B5AD">
            <w:pPr>
              <w:spacing w:line="240" w:lineRule="exact"/>
              <w:jc w:val="center"/>
              <w:rPr>
                <w:color w:val="auto"/>
                <w:szCs w:val="21"/>
              </w:rPr>
            </w:pPr>
            <w:r>
              <w:rPr>
                <w:color w:val="auto"/>
                <w:szCs w:val="21"/>
              </w:rPr>
              <w:t>底部有不稳定砂岩，以灰、灰白色中细、粗粒陆相沉积为主，少见凝灰岩，含煤。</w:t>
            </w:r>
          </w:p>
        </w:tc>
        <w:tc>
          <w:tcPr>
            <w:tcW w:w="966" w:type="pct"/>
            <w:vAlign w:val="center"/>
          </w:tcPr>
          <w:p w14:paraId="288DFE6B">
            <w:pPr>
              <w:spacing w:line="240" w:lineRule="exact"/>
              <w:jc w:val="center"/>
              <w:rPr>
                <w:color w:val="auto"/>
                <w:szCs w:val="21"/>
              </w:rPr>
            </w:pPr>
            <w:r>
              <w:rPr>
                <w:color w:val="auto"/>
                <w:szCs w:val="21"/>
              </w:rPr>
              <w:t>鸡西城子河等地分布</w:t>
            </w:r>
          </w:p>
        </w:tc>
      </w:tr>
      <w:tr w14:paraId="112EB5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718" w:hRule="atLeast"/>
          <w:jc w:val="center"/>
        </w:trPr>
        <w:tc>
          <w:tcPr>
            <w:tcW w:w="269" w:type="pct"/>
            <w:vMerge w:val="continue"/>
            <w:shd w:val="clear" w:color="auto" w:fill="auto"/>
            <w:vAlign w:val="center"/>
          </w:tcPr>
          <w:p w14:paraId="53296021">
            <w:pPr>
              <w:spacing w:line="240" w:lineRule="exact"/>
              <w:jc w:val="center"/>
              <w:rPr>
                <w:color w:val="auto"/>
                <w:szCs w:val="21"/>
              </w:rPr>
            </w:pPr>
          </w:p>
        </w:tc>
        <w:tc>
          <w:tcPr>
            <w:tcW w:w="387" w:type="pct"/>
            <w:shd w:val="clear" w:color="auto" w:fill="auto"/>
            <w:vAlign w:val="center"/>
          </w:tcPr>
          <w:p w14:paraId="270CD078">
            <w:pPr>
              <w:spacing w:line="240" w:lineRule="exact"/>
              <w:jc w:val="center"/>
              <w:rPr>
                <w:color w:val="auto"/>
                <w:szCs w:val="21"/>
              </w:rPr>
            </w:pPr>
            <w:r>
              <w:rPr>
                <w:color w:val="auto"/>
                <w:szCs w:val="21"/>
              </w:rPr>
              <w:t>侏 罗 组</w:t>
            </w:r>
          </w:p>
        </w:tc>
        <w:tc>
          <w:tcPr>
            <w:tcW w:w="413" w:type="pct"/>
            <w:shd w:val="clear" w:color="auto" w:fill="auto"/>
            <w:vAlign w:val="center"/>
          </w:tcPr>
          <w:p w14:paraId="189B4387">
            <w:pPr>
              <w:spacing w:line="240" w:lineRule="exact"/>
              <w:ind w:hanging="10"/>
              <w:jc w:val="center"/>
              <w:rPr>
                <w:color w:val="auto"/>
                <w:szCs w:val="21"/>
              </w:rPr>
            </w:pPr>
            <w:r>
              <w:rPr>
                <w:color w:val="auto"/>
                <w:szCs w:val="21"/>
              </w:rPr>
              <w:t>上统</w:t>
            </w:r>
          </w:p>
        </w:tc>
        <w:tc>
          <w:tcPr>
            <w:tcW w:w="476" w:type="pct"/>
            <w:vAlign w:val="center"/>
          </w:tcPr>
          <w:p w14:paraId="22C99039">
            <w:pPr>
              <w:spacing w:line="240" w:lineRule="exact"/>
              <w:jc w:val="center"/>
              <w:rPr>
                <w:color w:val="auto"/>
                <w:szCs w:val="21"/>
              </w:rPr>
            </w:pPr>
            <w:r>
              <w:rPr>
                <w:color w:val="auto"/>
                <w:szCs w:val="21"/>
              </w:rPr>
              <w:t>滴道组</w:t>
            </w:r>
          </w:p>
        </w:tc>
        <w:tc>
          <w:tcPr>
            <w:tcW w:w="338" w:type="pct"/>
            <w:vAlign w:val="center"/>
          </w:tcPr>
          <w:p w14:paraId="04CA10FB">
            <w:pPr>
              <w:spacing w:line="240" w:lineRule="exact"/>
              <w:jc w:val="center"/>
              <w:rPr>
                <w:color w:val="auto"/>
                <w:szCs w:val="21"/>
              </w:rPr>
            </w:pPr>
            <w:r>
              <w:rPr>
                <w:color w:val="auto"/>
                <w:szCs w:val="21"/>
              </w:rPr>
              <w:t>J</w:t>
            </w:r>
            <w:r>
              <w:rPr>
                <w:color w:val="auto"/>
                <w:szCs w:val="21"/>
                <w:vertAlign w:val="subscript"/>
              </w:rPr>
              <w:t>3</w:t>
            </w:r>
            <w:r>
              <w:rPr>
                <w:color w:val="auto"/>
                <w:szCs w:val="21"/>
              </w:rPr>
              <w:t>d</w:t>
            </w:r>
          </w:p>
        </w:tc>
        <w:tc>
          <w:tcPr>
            <w:tcW w:w="442" w:type="pct"/>
            <w:vAlign w:val="center"/>
          </w:tcPr>
          <w:p w14:paraId="10D6EB70">
            <w:pPr>
              <w:spacing w:line="240" w:lineRule="exact"/>
              <w:ind w:hanging="5"/>
              <w:jc w:val="center"/>
              <w:rPr>
                <w:color w:val="auto"/>
                <w:szCs w:val="21"/>
              </w:rPr>
            </w:pPr>
            <w:r>
              <w:rPr>
                <w:color w:val="auto"/>
                <w:szCs w:val="21"/>
              </w:rPr>
              <w:t>＞550</w:t>
            </w:r>
          </w:p>
        </w:tc>
        <w:tc>
          <w:tcPr>
            <w:tcW w:w="1709" w:type="pct"/>
            <w:vAlign w:val="center"/>
          </w:tcPr>
          <w:p w14:paraId="2452BE56">
            <w:pPr>
              <w:spacing w:line="240" w:lineRule="exact"/>
              <w:ind w:left="-11"/>
              <w:jc w:val="center"/>
              <w:rPr>
                <w:color w:val="auto"/>
                <w:szCs w:val="21"/>
              </w:rPr>
            </w:pPr>
            <w:r>
              <w:rPr>
                <w:color w:val="auto"/>
                <w:szCs w:val="21"/>
              </w:rPr>
              <w:t>以砂岩、中细砂岩为主，夹多层凝灰砂岩。</w:t>
            </w:r>
          </w:p>
        </w:tc>
        <w:tc>
          <w:tcPr>
            <w:tcW w:w="966" w:type="pct"/>
            <w:vAlign w:val="center"/>
          </w:tcPr>
          <w:p w14:paraId="56794B99">
            <w:pPr>
              <w:spacing w:line="240" w:lineRule="exact"/>
              <w:ind w:left="-11"/>
              <w:jc w:val="center"/>
              <w:rPr>
                <w:color w:val="auto"/>
                <w:szCs w:val="21"/>
              </w:rPr>
            </w:pPr>
            <w:r>
              <w:rPr>
                <w:color w:val="auto"/>
                <w:szCs w:val="21"/>
              </w:rPr>
              <w:t>滴道至二吕，向东至穆棱河畔二龙山</w:t>
            </w:r>
          </w:p>
        </w:tc>
      </w:tr>
      <w:tr w14:paraId="691934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223" w:hRule="atLeast"/>
          <w:jc w:val="center"/>
        </w:trPr>
        <w:tc>
          <w:tcPr>
            <w:tcW w:w="269" w:type="pct"/>
            <w:vMerge w:val="restart"/>
            <w:shd w:val="clear" w:color="auto" w:fill="auto"/>
            <w:vAlign w:val="center"/>
          </w:tcPr>
          <w:p w14:paraId="234AE59F">
            <w:pPr>
              <w:spacing w:line="240" w:lineRule="exact"/>
              <w:jc w:val="center"/>
              <w:rPr>
                <w:color w:val="auto"/>
                <w:szCs w:val="21"/>
              </w:rPr>
            </w:pPr>
            <w:r>
              <w:rPr>
                <w:color w:val="auto"/>
                <w:szCs w:val="21"/>
              </w:rPr>
              <w:t>太古界</w:t>
            </w:r>
          </w:p>
        </w:tc>
        <w:tc>
          <w:tcPr>
            <w:tcW w:w="387" w:type="pct"/>
            <w:vMerge w:val="restart"/>
            <w:shd w:val="clear" w:color="auto" w:fill="auto"/>
            <w:vAlign w:val="center"/>
          </w:tcPr>
          <w:p w14:paraId="765893F8">
            <w:pPr>
              <w:spacing w:line="240" w:lineRule="exact"/>
              <w:jc w:val="center"/>
              <w:rPr>
                <w:color w:val="auto"/>
                <w:szCs w:val="21"/>
              </w:rPr>
            </w:pPr>
            <w:r>
              <w:rPr>
                <w:color w:val="auto"/>
                <w:szCs w:val="21"/>
              </w:rPr>
              <w:t>上</w:t>
            </w:r>
          </w:p>
          <w:p w14:paraId="24AB29C1">
            <w:pPr>
              <w:spacing w:line="240" w:lineRule="exact"/>
              <w:jc w:val="center"/>
              <w:rPr>
                <w:color w:val="auto"/>
                <w:szCs w:val="21"/>
              </w:rPr>
            </w:pPr>
            <w:r>
              <w:rPr>
                <w:color w:val="auto"/>
                <w:szCs w:val="21"/>
              </w:rPr>
              <w:t>太</w:t>
            </w:r>
          </w:p>
          <w:p w14:paraId="74CA998D">
            <w:pPr>
              <w:spacing w:line="240" w:lineRule="exact"/>
              <w:jc w:val="center"/>
              <w:rPr>
                <w:color w:val="auto"/>
                <w:szCs w:val="21"/>
              </w:rPr>
            </w:pPr>
            <w:r>
              <w:rPr>
                <w:color w:val="auto"/>
                <w:szCs w:val="21"/>
              </w:rPr>
              <w:t>古</w:t>
            </w:r>
          </w:p>
          <w:p w14:paraId="1DC9D0BD">
            <w:pPr>
              <w:spacing w:line="240" w:lineRule="exact"/>
              <w:jc w:val="center"/>
              <w:rPr>
                <w:color w:val="auto"/>
                <w:szCs w:val="21"/>
              </w:rPr>
            </w:pPr>
            <w:r>
              <w:rPr>
                <w:color w:val="auto"/>
                <w:szCs w:val="21"/>
              </w:rPr>
              <w:t>界</w:t>
            </w:r>
          </w:p>
        </w:tc>
        <w:tc>
          <w:tcPr>
            <w:tcW w:w="413" w:type="pct"/>
            <w:vMerge w:val="restart"/>
            <w:shd w:val="clear" w:color="auto" w:fill="auto"/>
            <w:vAlign w:val="center"/>
          </w:tcPr>
          <w:p w14:paraId="33A13EEA">
            <w:pPr>
              <w:spacing w:line="240" w:lineRule="exact"/>
              <w:ind w:hanging="10"/>
              <w:jc w:val="center"/>
              <w:rPr>
                <w:color w:val="auto"/>
                <w:szCs w:val="21"/>
              </w:rPr>
            </w:pPr>
            <w:r>
              <w:rPr>
                <w:color w:val="auto"/>
                <w:szCs w:val="21"/>
              </w:rPr>
              <w:t>麻</w:t>
            </w:r>
          </w:p>
          <w:p w14:paraId="44357BEB">
            <w:pPr>
              <w:spacing w:line="240" w:lineRule="exact"/>
              <w:ind w:hanging="10"/>
              <w:jc w:val="center"/>
              <w:rPr>
                <w:color w:val="auto"/>
                <w:szCs w:val="21"/>
              </w:rPr>
            </w:pPr>
            <w:r>
              <w:rPr>
                <w:color w:val="auto"/>
                <w:szCs w:val="21"/>
              </w:rPr>
              <w:t>山</w:t>
            </w:r>
          </w:p>
          <w:p w14:paraId="62EDD42F">
            <w:pPr>
              <w:spacing w:line="240" w:lineRule="exact"/>
              <w:ind w:hanging="10"/>
              <w:jc w:val="center"/>
              <w:rPr>
                <w:color w:val="auto"/>
                <w:szCs w:val="21"/>
              </w:rPr>
            </w:pPr>
            <w:r>
              <w:rPr>
                <w:color w:val="auto"/>
                <w:szCs w:val="21"/>
              </w:rPr>
              <w:t>群</w:t>
            </w:r>
          </w:p>
        </w:tc>
        <w:tc>
          <w:tcPr>
            <w:tcW w:w="476" w:type="pct"/>
            <w:shd w:val="clear" w:color="auto" w:fill="auto"/>
            <w:vAlign w:val="center"/>
          </w:tcPr>
          <w:p w14:paraId="01018B2A">
            <w:pPr>
              <w:spacing w:line="240" w:lineRule="exact"/>
              <w:jc w:val="center"/>
              <w:rPr>
                <w:color w:val="auto"/>
                <w:szCs w:val="21"/>
              </w:rPr>
            </w:pPr>
            <w:r>
              <w:rPr>
                <w:color w:val="auto"/>
                <w:szCs w:val="21"/>
              </w:rPr>
              <w:t>余庆组</w:t>
            </w:r>
          </w:p>
        </w:tc>
        <w:tc>
          <w:tcPr>
            <w:tcW w:w="338" w:type="pct"/>
            <w:vAlign w:val="center"/>
          </w:tcPr>
          <w:p w14:paraId="42F142C3">
            <w:pPr>
              <w:spacing w:line="240" w:lineRule="exact"/>
              <w:jc w:val="center"/>
              <w:rPr>
                <w:color w:val="auto"/>
                <w:szCs w:val="21"/>
              </w:rPr>
            </w:pPr>
            <w:r>
              <w:rPr>
                <w:color w:val="auto"/>
                <w:szCs w:val="21"/>
              </w:rPr>
              <w:t>Ar</w:t>
            </w:r>
            <w:r>
              <w:rPr>
                <w:color w:val="auto"/>
                <w:szCs w:val="21"/>
                <w:vertAlign w:val="subscript"/>
              </w:rPr>
              <w:t>2</w:t>
            </w:r>
            <w:r>
              <w:rPr>
                <w:color w:val="auto"/>
                <w:szCs w:val="21"/>
              </w:rPr>
              <w:t>y</w:t>
            </w:r>
          </w:p>
        </w:tc>
        <w:tc>
          <w:tcPr>
            <w:tcW w:w="442" w:type="pct"/>
            <w:vAlign w:val="center"/>
          </w:tcPr>
          <w:p w14:paraId="01AEFCA0">
            <w:pPr>
              <w:spacing w:line="240" w:lineRule="exact"/>
              <w:ind w:hanging="5"/>
              <w:jc w:val="center"/>
              <w:rPr>
                <w:color w:val="auto"/>
                <w:szCs w:val="21"/>
              </w:rPr>
            </w:pPr>
            <w:r>
              <w:rPr>
                <w:color w:val="auto"/>
                <w:szCs w:val="21"/>
              </w:rPr>
              <w:t>＞2652</w:t>
            </w:r>
          </w:p>
        </w:tc>
        <w:tc>
          <w:tcPr>
            <w:tcW w:w="1709" w:type="pct"/>
            <w:vAlign w:val="center"/>
          </w:tcPr>
          <w:p w14:paraId="5FCB29B5">
            <w:pPr>
              <w:spacing w:line="240" w:lineRule="exact"/>
              <w:ind w:left="-11"/>
              <w:jc w:val="center"/>
              <w:rPr>
                <w:color w:val="auto"/>
                <w:szCs w:val="21"/>
              </w:rPr>
            </w:pPr>
            <w:r>
              <w:rPr>
                <w:color w:val="auto"/>
                <w:szCs w:val="21"/>
              </w:rPr>
              <w:t>下部为包括混合花岗岩在内的各种混合岩、中部为石墨片岩、石墨片麻岩和黑云斜长片麻岩、上部大理岩、片麻岩、变粒岩、麻粒岩夹混合花岗岩。</w:t>
            </w:r>
          </w:p>
        </w:tc>
        <w:tc>
          <w:tcPr>
            <w:tcW w:w="966" w:type="pct"/>
            <w:vAlign w:val="center"/>
          </w:tcPr>
          <w:p w14:paraId="6358F4C7">
            <w:pPr>
              <w:spacing w:line="240" w:lineRule="exact"/>
              <w:ind w:left="-11"/>
              <w:jc w:val="center"/>
              <w:rPr>
                <w:color w:val="auto"/>
                <w:szCs w:val="21"/>
              </w:rPr>
            </w:pPr>
            <w:r>
              <w:rPr>
                <w:color w:val="auto"/>
                <w:szCs w:val="21"/>
              </w:rPr>
              <w:t>大同林场、恒山煤矿西南长安、平安一带。</w:t>
            </w:r>
          </w:p>
        </w:tc>
      </w:tr>
      <w:tr w14:paraId="7E3D23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cantSplit/>
          <w:trHeight w:val="1082" w:hRule="atLeast"/>
          <w:jc w:val="center"/>
        </w:trPr>
        <w:tc>
          <w:tcPr>
            <w:tcW w:w="269" w:type="pct"/>
            <w:vMerge w:val="continue"/>
            <w:shd w:val="clear" w:color="auto" w:fill="auto"/>
            <w:vAlign w:val="center"/>
          </w:tcPr>
          <w:p w14:paraId="461B428C">
            <w:pPr>
              <w:spacing w:line="240" w:lineRule="exact"/>
              <w:jc w:val="center"/>
              <w:rPr>
                <w:color w:val="auto"/>
                <w:szCs w:val="21"/>
              </w:rPr>
            </w:pPr>
          </w:p>
        </w:tc>
        <w:tc>
          <w:tcPr>
            <w:tcW w:w="387" w:type="pct"/>
            <w:vMerge w:val="continue"/>
            <w:shd w:val="clear" w:color="auto" w:fill="auto"/>
            <w:vAlign w:val="center"/>
          </w:tcPr>
          <w:p w14:paraId="51F5BEF7">
            <w:pPr>
              <w:spacing w:line="240" w:lineRule="exact"/>
              <w:jc w:val="center"/>
              <w:rPr>
                <w:color w:val="auto"/>
                <w:szCs w:val="21"/>
              </w:rPr>
            </w:pPr>
          </w:p>
        </w:tc>
        <w:tc>
          <w:tcPr>
            <w:tcW w:w="413" w:type="pct"/>
            <w:vMerge w:val="continue"/>
            <w:shd w:val="clear" w:color="auto" w:fill="auto"/>
            <w:vAlign w:val="center"/>
          </w:tcPr>
          <w:p w14:paraId="49869C86">
            <w:pPr>
              <w:spacing w:line="240" w:lineRule="exact"/>
              <w:jc w:val="center"/>
              <w:rPr>
                <w:color w:val="auto"/>
                <w:szCs w:val="21"/>
              </w:rPr>
            </w:pPr>
          </w:p>
        </w:tc>
        <w:tc>
          <w:tcPr>
            <w:tcW w:w="476" w:type="pct"/>
            <w:shd w:val="clear" w:color="auto" w:fill="auto"/>
            <w:vAlign w:val="center"/>
          </w:tcPr>
          <w:p w14:paraId="0C7AA110">
            <w:pPr>
              <w:spacing w:line="240" w:lineRule="exact"/>
              <w:jc w:val="center"/>
              <w:rPr>
                <w:color w:val="auto"/>
                <w:szCs w:val="21"/>
              </w:rPr>
            </w:pPr>
            <w:r>
              <w:rPr>
                <w:color w:val="auto"/>
                <w:szCs w:val="21"/>
              </w:rPr>
              <w:t>西麻山组</w:t>
            </w:r>
          </w:p>
        </w:tc>
        <w:tc>
          <w:tcPr>
            <w:tcW w:w="338" w:type="pct"/>
            <w:vAlign w:val="center"/>
          </w:tcPr>
          <w:p w14:paraId="31F712DD">
            <w:pPr>
              <w:spacing w:line="240" w:lineRule="exact"/>
              <w:jc w:val="center"/>
              <w:rPr>
                <w:color w:val="auto"/>
                <w:szCs w:val="21"/>
              </w:rPr>
            </w:pPr>
            <w:r>
              <w:rPr>
                <w:color w:val="auto"/>
                <w:szCs w:val="21"/>
              </w:rPr>
              <w:t>Ar</w:t>
            </w:r>
            <w:r>
              <w:rPr>
                <w:color w:val="auto"/>
                <w:szCs w:val="21"/>
                <w:vertAlign w:val="subscript"/>
              </w:rPr>
              <w:t>2</w:t>
            </w:r>
            <w:r>
              <w:rPr>
                <w:color w:val="auto"/>
                <w:szCs w:val="21"/>
              </w:rPr>
              <w:t>x</w:t>
            </w:r>
          </w:p>
        </w:tc>
        <w:tc>
          <w:tcPr>
            <w:tcW w:w="442" w:type="pct"/>
            <w:vAlign w:val="center"/>
          </w:tcPr>
          <w:p w14:paraId="1C1597B9">
            <w:pPr>
              <w:spacing w:line="240" w:lineRule="exact"/>
              <w:ind w:hanging="5"/>
              <w:jc w:val="center"/>
              <w:rPr>
                <w:color w:val="auto"/>
                <w:szCs w:val="21"/>
              </w:rPr>
            </w:pPr>
            <w:r>
              <w:rPr>
                <w:color w:val="auto"/>
                <w:szCs w:val="21"/>
              </w:rPr>
              <w:t>＞6346</w:t>
            </w:r>
          </w:p>
        </w:tc>
        <w:tc>
          <w:tcPr>
            <w:tcW w:w="1709" w:type="pct"/>
            <w:vAlign w:val="center"/>
          </w:tcPr>
          <w:p w14:paraId="4415B3FA">
            <w:pPr>
              <w:spacing w:line="240" w:lineRule="exact"/>
              <w:ind w:left="-11"/>
              <w:jc w:val="center"/>
              <w:rPr>
                <w:color w:val="auto"/>
                <w:szCs w:val="21"/>
              </w:rPr>
            </w:pPr>
            <w:r>
              <w:rPr>
                <w:color w:val="auto"/>
                <w:szCs w:val="21"/>
              </w:rPr>
              <w:t>主要为马紫苏麻粒岩共生的黑云变粒岩、黑云斜长变麻岩，混合岩、角闪透辉斜长变粒岩，透辉石榴岩。</w:t>
            </w:r>
          </w:p>
        </w:tc>
        <w:tc>
          <w:tcPr>
            <w:tcW w:w="966" w:type="pct"/>
            <w:vAlign w:val="center"/>
          </w:tcPr>
          <w:p w14:paraId="0378D720">
            <w:pPr>
              <w:spacing w:line="240" w:lineRule="exact"/>
              <w:ind w:left="-11"/>
              <w:jc w:val="center"/>
              <w:rPr>
                <w:color w:val="auto"/>
                <w:szCs w:val="21"/>
              </w:rPr>
            </w:pPr>
            <w:r>
              <w:rPr>
                <w:color w:val="auto"/>
                <w:szCs w:val="21"/>
              </w:rPr>
              <w:t>龙山—麻山—东新大面积出露</w:t>
            </w:r>
          </w:p>
        </w:tc>
      </w:tr>
    </w:tbl>
    <w:p w14:paraId="307EDA0C">
      <w:pPr>
        <w:pStyle w:val="76"/>
        <w:rPr>
          <w:color w:val="auto"/>
        </w:rPr>
      </w:pPr>
      <w:r>
        <w:rPr>
          <w:color w:val="auto"/>
        </w:rPr>
        <w:t>表</w:t>
      </w:r>
      <w:r>
        <w:rPr>
          <w:rFonts w:hint="eastAsia"/>
          <w:color w:val="auto"/>
        </w:rPr>
        <w:t>4-1-</w:t>
      </w:r>
      <w:r>
        <w:rPr>
          <w:color w:val="auto"/>
        </w:rPr>
        <w:t>2第四纪地层表</w:t>
      </w:r>
    </w:p>
    <w:tbl>
      <w:tblPr>
        <w:tblStyle w:val="45"/>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52"/>
        <w:gridCol w:w="1295"/>
        <w:gridCol w:w="602"/>
        <w:gridCol w:w="800"/>
        <w:gridCol w:w="2818"/>
        <w:gridCol w:w="1739"/>
      </w:tblGrid>
      <w:tr w14:paraId="2E2EFD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638" w:type="pct"/>
            <w:vAlign w:val="center"/>
          </w:tcPr>
          <w:p w14:paraId="0845F1A0">
            <w:pPr>
              <w:ind w:hanging="5"/>
              <w:jc w:val="center"/>
              <w:rPr>
                <w:color w:val="auto"/>
                <w:szCs w:val="21"/>
              </w:rPr>
            </w:pPr>
            <w:r>
              <w:rPr>
                <w:color w:val="auto"/>
                <w:szCs w:val="21"/>
              </w:rPr>
              <w:t>时代</w:t>
            </w:r>
          </w:p>
        </w:tc>
        <w:tc>
          <w:tcPr>
            <w:tcW w:w="784" w:type="pct"/>
            <w:vAlign w:val="center"/>
          </w:tcPr>
          <w:p w14:paraId="2E47A9EB">
            <w:pPr>
              <w:jc w:val="center"/>
              <w:rPr>
                <w:color w:val="auto"/>
                <w:szCs w:val="21"/>
              </w:rPr>
            </w:pPr>
            <w:r>
              <w:rPr>
                <w:color w:val="auto"/>
                <w:szCs w:val="21"/>
              </w:rPr>
              <w:t>组</w:t>
            </w:r>
          </w:p>
        </w:tc>
        <w:tc>
          <w:tcPr>
            <w:tcW w:w="357" w:type="pct"/>
            <w:vAlign w:val="center"/>
          </w:tcPr>
          <w:p w14:paraId="01EAEA8F">
            <w:pPr>
              <w:jc w:val="center"/>
              <w:rPr>
                <w:color w:val="auto"/>
                <w:szCs w:val="21"/>
              </w:rPr>
            </w:pPr>
            <w:r>
              <w:rPr>
                <w:color w:val="auto"/>
                <w:szCs w:val="21"/>
              </w:rPr>
              <w:t>代号</w:t>
            </w:r>
          </w:p>
        </w:tc>
        <w:tc>
          <w:tcPr>
            <w:tcW w:w="469" w:type="pct"/>
            <w:vAlign w:val="center"/>
          </w:tcPr>
          <w:p w14:paraId="3E88324A">
            <w:pPr>
              <w:jc w:val="center"/>
              <w:rPr>
                <w:color w:val="auto"/>
                <w:szCs w:val="21"/>
              </w:rPr>
            </w:pPr>
            <w:r>
              <w:rPr>
                <w:color w:val="auto"/>
                <w:szCs w:val="21"/>
              </w:rPr>
              <w:t>厚 度</w:t>
            </w:r>
          </w:p>
          <w:p w14:paraId="1E1A50E0">
            <w:pPr>
              <w:jc w:val="center"/>
              <w:rPr>
                <w:color w:val="auto"/>
                <w:szCs w:val="21"/>
              </w:rPr>
            </w:pPr>
            <w:r>
              <w:rPr>
                <w:color w:val="auto"/>
                <w:szCs w:val="21"/>
              </w:rPr>
              <w:t>（m）</w:t>
            </w:r>
          </w:p>
        </w:tc>
        <w:tc>
          <w:tcPr>
            <w:tcW w:w="1700" w:type="pct"/>
            <w:vAlign w:val="center"/>
          </w:tcPr>
          <w:p w14:paraId="7F6C2D8E">
            <w:pPr>
              <w:jc w:val="center"/>
              <w:rPr>
                <w:color w:val="auto"/>
                <w:szCs w:val="21"/>
              </w:rPr>
            </w:pPr>
            <w:r>
              <w:rPr>
                <w:color w:val="auto"/>
                <w:szCs w:val="21"/>
              </w:rPr>
              <w:t>岩 性 特 征</w:t>
            </w:r>
          </w:p>
        </w:tc>
        <w:tc>
          <w:tcPr>
            <w:tcW w:w="1051" w:type="pct"/>
            <w:vAlign w:val="center"/>
          </w:tcPr>
          <w:p w14:paraId="1FC911C6">
            <w:pPr>
              <w:jc w:val="center"/>
              <w:rPr>
                <w:color w:val="auto"/>
                <w:szCs w:val="21"/>
              </w:rPr>
            </w:pPr>
            <w:r>
              <w:rPr>
                <w:color w:val="auto"/>
                <w:szCs w:val="21"/>
              </w:rPr>
              <w:t>主要分布</w:t>
            </w:r>
          </w:p>
        </w:tc>
      </w:tr>
      <w:tr w14:paraId="44B9A9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638" w:type="pct"/>
            <w:vMerge w:val="restart"/>
            <w:vAlign w:val="center"/>
          </w:tcPr>
          <w:p w14:paraId="7252786C">
            <w:pPr>
              <w:ind w:hanging="5"/>
              <w:jc w:val="center"/>
              <w:rPr>
                <w:color w:val="auto"/>
                <w:szCs w:val="21"/>
              </w:rPr>
            </w:pPr>
            <w:r>
              <w:rPr>
                <w:color w:val="auto"/>
                <w:szCs w:val="21"/>
              </w:rPr>
              <w:t>全</w:t>
            </w:r>
          </w:p>
          <w:p w14:paraId="5D8F8F05">
            <w:pPr>
              <w:ind w:hanging="5"/>
              <w:jc w:val="center"/>
              <w:rPr>
                <w:color w:val="auto"/>
                <w:szCs w:val="21"/>
              </w:rPr>
            </w:pPr>
            <w:r>
              <w:rPr>
                <w:color w:val="auto"/>
                <w:szCs w:val="21"/>
              </w:rPr>
              <w:t>新</w:t>
            </w:r>
          </w:p>
          <w:p w14:paraId="46765C68">
            <w:pPr>
              <w:ind w:hanging="5"/>
              <w:jc w:val="center"/>
              <w:rPr>
                <w:color w:val="auto"/>
                <w:szCs w:val="21"/>
              </w:rPr>
            </w:pPr>
            <w:r>
              <w:rPr>
                <w:color w:val="auto"/>
                <w:szCs w:val="21"/>
              </w:rPr>
              <w:t>统</w:t>
            </w:r>
          </w:p>
        </w:tc>
        <w:tc>
          <w:tcPr>
            <w:tcW w:w="784" w:type="pct"/>
            <w:vAlign w:val="center"/>
          </w:tcPr>
          <w:p w14:paraId="0509944B">
            <w:pPr>
              <w:jc w:val="center"/>
              <w:rPr>
                <w:color w:val="auto"/>
                <w:szCs w:val="21"/>
              </w:rPr>
            </w:pPr>
            <w:r>
              <w:rPr>
                <w:color w:val="auto"/>
                <w:szCs w:val="21"/>
              </w:rPr>
              <w:t>低漫滩冲积层</w:t>
            </w:r>
          </w:p>
        </w:tc>
        <w:tc>
          <w:tcPr>
            <w:tcW w:w="357" w:type="pct"/>
            <w:vAlign w:val="center"/>
          </w:tcPr>
          <w:p w14:paraId="52DD6FF9">
            <w:pPr>
              <w:jc w:val="center"/>
              <w:rPr>
                <w:color w:val="auto"/>
                <w:szCs w:val="21"/>
              </w:rPr>
            </w:pPr>
            <w:r>
              <w:rPr>
                <w:color w:val="auto"/>
                <w:szCs w:val="21"/>
              </w:rPr>
              <w:t>Q</w:t>
            </w:r>
            <w:r>
              <w:rPr>
                <w:color w:val="auto"/>
                <w:szCs w:val="21"/>
                <w:vertAlign w:val="subscript"/>
              </w:rPr>
              <w:t>4</w:t>
            </w:r>
            <w:r>
              <w:rPr>
                <w:color w:val="auto"/>
                <w:szCs w:val="21"/>
                <w:vertAlign w:val="superscript"/>
              </w:rPr>
              <w:t>2al</w:t>
            </w:r>
          </w:p>
        </w:tc>
        <w:tc>
          <w:tcPr>
            <w:tcW w:w="469" w:type="pct"/>
            <w:vAlign w:val="center"/>
          </w:tcPr>
          <w:p w14:paraId="3AE085A7">
            <w:pPr>
              <w:jc w:val="center"/>
              <w:rPr>
                <w:color w:val="auto"/>
                <w:szCs w:val="21"/>
              </w:rPr>
            </w:pPr>
            <w:r>
              <w:rPr>
                <w:color w:val="auto"/>
                <w:szCs w:val="21"/>
              </w:rPr>
              <w:t>2~6</w:t>
            </w:r>
          </w:p>
        </w:tc>
        <w:tc>
          <w:tcPr>
            <w:tcW w:w="1700" w:type="pct"/>
            <w:vAlign w:val="center"/>
          </w:tcPr>
          <w:p w14:paraId="12E9CEE8">
            <w:pPr>
              <w:jc w:val="left"/>
              <w:rPr>
                <w:color w:val="auto"/>
                <w:szCs w:val="21"/>
              </w:rPr>
            </w:pPr>
            <w:r>
              <w:rPr>
                <w:color w:val="auto"/>
                <w:szCs w:val="21"/>
              </w:rPr>
              <w:t>黄色、灰黄色含砾中粗砂、砂砾石、卵砾石等。</w:t>
            </w:r>
          </w:p>
        </w:tc>
        <w:tc>
          <w:tcPr>
            <w:tcW w:w="1051" w:type="pct"/>
            <w:vAlign w:val="center"/>
          </w:tcPr>
          <w:p w14:paraId="5894E801">
            <w:pPr>
              <w:jc w:val="center"/>
              <w:rPr>
                <w:color w:val="auto"/>
                <w:szCs w:val="21"/>
              </w:rPr>
            </w:pPr>
            <w:r>
              <w:rPr>
                <w:color w:val="auto"/>
                <w:szCs w:val="21"/>
              </w:rPr>
              <w:t>穆棱河谷及支流</w:t>
            </w:r>
          </w:p>
        </w:tc>
      </w:tr>
      <w:tr w14:paraId="339333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51" w:hRule="atLeast"/>
          <w:jc w:val="center"/>
        </w:trPr>
        <w:tc>
          <w:tcPr>
            <w:tcW w:w="638" w:type="pct"/>
            <w:vMerge w:val="continue"/>
            <w:vAlign w:val="center"/>
          </w:tcPr>
          <w:p w14:paraId="58573C07">
            <w:pPr>
              <w:ind w:hanging="5"/>
              <w:jc w:val="center"/>
              <w:rPr>
                <w:color w:val="auto"/>
                <w:szCs w:val="21"/>
              </w:rPr>
            </w:pPr>
          </w:p>
        </w:tc>
        <w:tc>
          <w:tcPr>
            <w:tcW w:w="784" w:type="pct"/>
            <w:vAlign w:val="center"/>
          </w:tcPr>
          <w:p w14:paraId="453B494A">
            <w:pPr>
              <w:jc w:val="center"/>
              <w:rPr>
                <w:color w:val="auto"/>
                <w:szCs w:val="21"/>
              </w:rPr>
            </w:pPr>
            <w:r>
              <w:rPr>
                <w:color w:val="auto"/>
                <w:szCs w:val="21"/>
              </w:rPr>
              <w:t>高漫滩冲积层</w:t>
            </w:r>
          </w:p>
        </w:tc>
        <w:tc>
          <w:tcPr>
            <w:tcW w:w="357" w:type="pct"/>
            <w:vAlign w:val="center"/>
          </w:tcPr>
          <w:p w14:paraId="681EF675">
            <w:pPr>
              <w:jc w:val="center"/>
              <w:rPr>
                <w:color w:val="auto"/>
                <w:szCs w:val="21"/>
              </w:rPr>
            </w:pPr>
            <w:r>
              <w:rPr>
                <w:color w:val="auto"/>
                <w:szCs w:val="21"/>
              </w:rPr>
              <w:t>Q</w:t>
            </w:r>
            <w:r>
              <w:rPr>
                <w:color w:val="auto"/>
                <w:szCs w:val="21"/>
                <w:vertAlign w:val="subscript"/>
              </w:rPr>
              <w:t>4</w:t>
            </w:r>
            <w:r>
              <w:rPr>
                <w:color w:val="auto"/>
                <w:szCs w:val="21"/>
                <w:vertAlign w:val="superscript"/>
              </w:rPr>
              <w:t>1al</w:t>
            </w:r>
          </w:p>
        </w:tc>
        <w:tc>
          <w:tcPr>
            <w:tcW w:w="469" w:type="pct"/>
            <w:vAlign w:val="center"/>
          </w:tcPr>
          <w:p w14:paraId="55D171C9">
            <w:pPr>
              <w:jc w:val="center"/>
              <w:rPr>
                <w:color w:val="auto"/>
                <w:szCs w:val="21"/>
              </w:rPr>
            </w:pPr>
            <w:r>
              <w:rPr>
                <w:color w:val="auto"/>
                <w:szCs w:val="21"/>
              </w:rPr>
              <w:t>3~10</w:t>
            </w:r>
          </w:p>
        </w:tc>
        <w:tc>
          <w:tcPr>
            <w:tcW w:w="1700" w:type="pct"/>
            <w:vAlign w:val="center"/>
          </w:tcPr>
          <w:p w14:paraId="43135DFA">
            <w:pPr>
              <w:jc w:val="left"/>
              <w:rPr>
                <w:color w:val="auto"/>
                <w:szCs w:val="21"/>
              </w:rPr>
            </w:pPr>
            <w:r>
              <w:rPr>
                <w:color w:val="auto"/>
                <w:szCs w:val="21"/>
              </w:rPr>
              <w:t>黄色、灰黄色含砾中粗砂、砂砾石、卵砾石等，局部夹粉质粘土透镜体。</w:t>
            </w:r>
          </w:p>
        </w:tc>
        <w:tc>
          <w:tcPr>
            <w:tcW w:w="1051" w:type="pct"/>
            <w:vAlign w:val="center"/>
          </w:tcPr>
          <w:p w14:paraId="07696CDE">
            <w:pPr>
              <w:jc w:val="center"/>
              <w:rPr>
                <w:color w:val="auto"/>
                <w:szCs w:val="21"/>
              </w:rPr>
            </w:pPr>
            <w:r>
              <w:rPr>
                <w:color w:val="auto"/>
                <w:szCs w:val="21"/>
              </w:rPr>
              <w:t>穆棱河谷及支流</w:t>
            </w:r>
          </w:p>
        </w:tc>
      </w:tr>
      <w:tr w14:paraId="19F00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837" w:hRule="atLeast"/>
          <w:jc w:val="center"/>
        </w:trPr>
        <w:tc>
          <w:tcPr>
            <w:tcW w:w="638" w:type="pct"/>
            <w:vMerge w:val="restart"/>
            <w:vAlign w:val="center"/>
          </w:tcPr>
          <w:p w14:paraId="4BD8F461">
            <w:pPr>
              <w:ind w:hanging="5"/>
              <w:jc w:val="center"/>
              <w:rPr>
                <w:color w:val="auto"/>
                <w:szCs w:val="21"/>
              </w:rPr>
            </w:pPr>
            <w:r>
              <w:rPr>
                <w:color w:val="auto"/>
                <w:szCs w:val="21"/>
              </w:rPr>
              <w:t>上更</w:t>
            </w:r>
          </w:p>
          <w:p w14:paraId="670CF857">
            <w:pPr>
              <w:ind w:hanging="5"/>
              <w:jc w:val="center"/>
              <w:rPr>
                <w:color w:val="auto"/>
                <w:szCs w:val="21"/>
              </w:rPr>
            </w:pPr>
            <w:r>
              <w:rPr>
                <w:color w:val="auto"/>
                <w:szCs w:val="21"/>
              </w:rPr>
              <w:t>新统</w:t>
            </w:r>
          </w:p>
        </w:tc>
        <w:tc>
          <w:tcPr>
            <w:tcW w:w="784" w:type="pct"/>
            <w:vAlign w:val="center"/>
          </w:tcPr>
          <w:p w14:paraId="27F75D5E">
            <w:pPr>
              <w:jc w:val="center"/>
              <w:rPr>
                <w:color w:val="auto"/>
                <w:szCs w:val="21"/>
              </w:rPr>
            </w:pPr>
            <w:r>
              <w:rPr>
                <w:color w:val="auto"/>
                <w:szCs w:val="21"/>
              </w:rPr>
              <w:t>顾乡屯组</w:t>
            </w:r>
          </w:p>
        </w:tc>
        <w:tc>
          <w:tcPr>
            <w:tcW w:w="357" w:type="pct"/>
            <w:vAlign w:val="center"/>
          </w:tcPr>
          <w:p w14:paraId="6FD84964">
            <w:pPr>
              <w:jc w:val="center"/>
              <w:rPr>
                <w:color w:val="auto"/>
                <w:szCs w:val="21"/>
              </w:rPr>
            </w:pPr>
            <w:r>
              <w:rPr>
                <w:color w:val="auto"/>
                <w:szCs w:val="21"/>
              </w:rPr>
              <w:t>Q</w:t>
            </w:r>
            <w:r>
              <w:rPr>
                <w:color w:val="auto"/>
                <w:szCs w:val="21"/>
                <w:vertAlign w:val="subscript"/>
              </w:rPr>
              <w:t>3</w:t>
            </w:r>
            <w:r>
              <w:rPr>
                <w:color w:val="auto"/>
                <w:szCs w:val="21"/>
                <w:vertAlign w:val="superscript"/>
              </w:rPr>
              <w:t>3al</w:t>
            </w:r>
          </w:p>
        </w:tc>
        <w:tc>
          <w:tcPr>
            <w:tcW w:w="469" w:type="pct"/>
            <w:vAlign w:val="center"/>
          </w:tcPr>
          <w:p w14:paraId="18E2B8A3">
            <w:pPr>
              <w:jc w:val="center"/>
              <w:rPr>
                <w:color w:val="auto"/>
                <w:szCs w:val="21"/>
              </w:rPr>
            </w:pPr>
            <w:r>
              <w:rPr>
                <w:color w:val="auto"/>
                <w:szCs w:val="21"/>
              </w:rPr>
              <w:t>5～15</w:t>
            </w:r>
          </w:p>
        </w:tc>
        <w:tc>
          <w:tcPr>
            <w:tcW w:w="1700" w:type="pct"/>
            <w:vAlign w:val="center"/>
          </w:tcPr>
          <w:p w14:paraId="0CC6E3B8">
            <w:pPr>
              <w:jc w:val="left"/>
              <w:rPr>
                <w:color w:val="auto"/>
                <w:szCs w:val="21"/>
              </w:rPr>
            </w:pPr>
            <w:r>
              <w:rPr>
                <w:color w:val="auto"/>
                <w:szCs w:val="21"/>
              </w:rPr>
              <w:t>黄褐色粉质粘土与黄、灰色砂、砾卵石组成二元结构。</w:t>
            </w:r>
          </w:p>
        </w:tc>
        <w:tc>
          <w:tcPr>
            <w:tcW w:w="1051" w:type="pct"/>
            <w:vAlign w:val="center"/>
          </w:tcPr>
          <w:p w14:paraId="030B8D51">
            <w:pPr>
              <w:jc w:val="center"/>
              <w:rPr>
                <w:color w:val="auto"/>
                <w:szCs w:val="21"/>
              </w:rPr>
            </w:pPr>
            <w:r>
              <w:rPr>
                <w:color w:val="auto"/>
                <w:szCs w:val="21"/>
              </w:rPr>
              <w:t>河谷两岸以及山前台地断续分布</w:t>
            </w:r>
          </w:p>
        </w:tc>
      </w:tr>
      <w:tr w14:paraId="3EA42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6" w:hRule="atLeast"/>
          <w:jc w:val="center"/>
        </w:trPr>
        <w:tc>
          <w:tcPr>
            <w:tcW w:w="638" w:type="pct"/>
            <w:vMerge w:val="continue"/>
            <w:vAlign w:val="center"/>
          </w:tcPr>
          <w:p w14:paraId="738BC5F6">
            <w:pPr>
              <w:ind w:hanging="5"/>
              <w:jc w:val="center"/>
              <w:rPr>
                <w:color w:val="auto"/>
                <w:szCs w:val="21"/>
              </w:rPr>
            </w:pPr>
          </w:p>
        </w:tc>
        <w:tc>
          <w:tcPr>
            <w:tcW w:w="784" w:type="pct"/>
            <w:vAlign w:val="center"/>
          </w:tcPr>
          <w:p w14:paraId="004DFF3D">
            <w:pPr>
              <w:jc w:val="center"/>
              <w:rPr>
                <w:color w:val="auto"/>
                <w:szCs w:val="21"/>
              </w:rPr>
            </w:pPr>
            <w:r>
              <w:rPr>
                <w:color w:val="auto"/>
                <w:szCs w:val="21"/>
              </w:rPr>
              <w:t>哈尔滨组</w:t>
            </w:r>
          </w:p>
        </w:tc>
        <w:tc>
          <w:tcPr>
            <w:tcW w:w="357" w:type="pct"/>
            <w:vAlign w:val="center"/>
          </w:tcPr>
          <w:p w14:paraId="55AE74A7">
            <w:pPr>
              <w:jc w:val="center"/>
              <w:rPr>
                <w:color w:val="auto"/>
                <w:szCs w:val="21"/>
              </w:rPr>
            </w:pPr>
            <w:r>
              <w:rPr>
                <w:color w:val="auto"/>
                <w:szCs w:val="21"/>
              </w:rPr>
              <w:t>Q</w:t>
            </w:r>
            <w:r>
              <w:rPr>
                <w:color w:val="auto"/>
                <w:szCs w:val="21"/>
                <w:vertAlign w:val="subscript"/>
              </w:rPr>
              <w:t>3</w:t>
            </w:r>
            <w:r>
              <w:rPr>
                <w:color w:val="auto"/>
                <w:szCs w:val="21"/>
                <w:vertAlign w:val="superscript"/>
              </w:rPr>
              <w:t>2al</w:t>
            </w:r>
          </w:p>
        </w:tc>
        <w:tc>
          <w:tcPr>
            <w:tcW w:w="469" w:type="pct"/>
            <w:vAlign w:val="center"/>
          </w:tcPr>
          <w:p w14:paraId="0339B731">
            <w:pPr>
              <w:jc w:val="center"/>
              <w:rPr>
                <w:color w:val="auto"/>
                <w:szCs w:val="21"/>
              </w:rPr>
            </w:pPr>
            <w:r>
              <w:rPr>
                <w:color w:val="auto"/>
                <w:szCs w:val="21"/>
              </w:rPr>
              <w:t>5～25</w:t>
            </w:r>
          </w:p>
        </w:tc>
        <w:tc>
          <w:tcPr>
            <w:tcW w:w="1700" w:type="pct"/>
            <w:vAlign w:val="center"/>
          </w:tcPr>
          <w:p w14:paraId="57E50F6B">
            <w:pPr>
              <w:jc w:val="left"/>
              <w:rPr>
                <w:color w:val="auto"/>
                <w:szCs w:val="21"/>
              </w:rPr>
            </w:pPr>
            <w:r>
              <w:rPr>
                <w:color w:val="auto"/>
                <w:szCs w:val="21"/>
              </w:rPr>
              <w:t>黄、黄褐色粉质粘土及底部少量砂、砂砾石。</w:t>
            </w:r>
          </w:p>
        </w:tc>
        <w:tc>
          <w:tcPr>
            <w:tcW w:w="1051" w:type="pct"/>
            <w:vAlign w:val="center"/>
          </w:tcPr>
          <w:p w14:paraId="706B36D3">
            <w:pPr>
              <w:jc w:val="center"/>
              <w:rPr>
                <w:color w:val="auto"/>
                <w:szCs w:val="21"/>
              </w:rPr>
            </w:pPr>
            <w:r>
              <w:rPr>
                <w:color w:val="auto"/>
                <w:szCs w:val="21"/>
              </w:rPr>
              <w:t>河谷两岸以及山前台地断续分布</w:t>
            </w:r>
          </w:p>
        </w:tc>
      </w:tr>
    </w:tbl>
    <w:p w14:paraId="2D479F71">
      <w:pPr>
        <w:pStyle w:val="59"/>
        <w:ind w:firstLine="480"/>
        <w:rPr>
          <w:color w:val="auto"/>
        </w:rPr>
      </w:pPr>
      <w:r>
        <w:rPr>
          <w:color w:val="auto"/>
        </w:rPr>
        <w:t>（3）地质构造</w:t>
      </w:r>
    </w:p>
    <w:p w14:paraId="1806FCA2">
      <w:pPr>
        <w:pStyle w:val="59"/>
        <w:ind w:firstLine="480"/>
        <w:rPr>
          <w:color w:val="auto"/>
        </w:rPr>
      </w:pPr>
      <w:r>
        <w:rPr>
          <w:rFonts w:hint="eastAsia" w:ascii="宋体" w:hAnsi="宋体" w:cs="宋体"/>
          <w:color w:val="auto"/>
        </w:rPr>
        <w:t>①</w:t>
      </w:r>
      <w:r>
        <w:rPr>
          <w:color w:val="auto"/>
        </w:rPr>
        <w:t>大地构造</w:t>
      </w:r>
    </w:p>
    <w:p w14:paraId="7665E8ED">
      <w:pPr>
        <w:pStyle w:val="59"/>
        <w:ind w:firstLine="480"/>
        <w:rPr>
          <w:color w:val="auto"/>
        </w:rPr>
      </w:pPr>
      <w:r>
        <w:rPr>
          <w:color w:val="auto"/>
        </w:rPr>
        <w:t>鸡西位于兴凯湖-布列亚山地块的老爷岭地块亚区。依据《黑龙江省区域地质志》划分原则进行本次大地构造分区，构造单元符号与其相统一。工作区地质构造主要属麻山隆起。</w:t>
      </w:r>
    </w:p>
    <w:p w14:paraId="60961FB0">
      <w:pPr>
        <w:pStyle w:val="76"/>
        <w:rPr>
          <w:color w:val="auto"/>
        </w:rPr>
      </w:pPr>
      <w:r>
        <w:rPr>
          <w:color w:val="auto"/>
        </w:rPr>
        <w:t>表</w:t>
      </w:r>
      <w:r>
        <w:rPr>
          <w:rFonts w:hint="eastAsia"/>
          <w:color w:val="auto"/>
        </w:rPr>
        <w:t>4-1-</w:t>
      </w:r>
      <w:r>
        <w:rPr>
          <w:color w:val="auto"/>
        </w:rPr>
        <w:t>3工作区大地构造分区表</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1"/>
        <w:gridCol w:w="1244"/>
        <w:gridCol w:w="1382"/>
        <w:gridCol w:w="2347"/>
        <w:gridCol w:w="2122"/>
      </w:tblGrid>
      <w:tr w14:paraId="6EE8CC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3" w:hRule="exact"/>
        </w:trPr>
        <w:tc>
          <w:tcPr>
            <w:tcW w:w="729" w:type="pct"/>
            <w:vAlign w:val="center"/>
          </w:tcPr>
          <w:p w14:paraId="021BEC6C">
            <w:pPr>
              <w:wordWrap w:val="0"/>
              <w:adjustRightInd w:val="0"/>
              <w:snapToGrid w:val="0"/>
              <w:jc w:val="center"/>
              <w:rPr>
                <w:color w:val="auto"/>
                <w:spacing w:val="8"/>
                <w:szCs w:val="21"/>
              </w:rPr>
            </w:pPr>
            <w:r>
              <w:rPr>
                <w:color w:val="auto"/>
                <w:spacing w:val="8"/>
                <w:szCs w:val="21"/>
              </w:rPr>
              <w:t>Ⅰ级构造</w:t>
            </w:r>
          </w:p>
        </w:tc>
        <w:tc>
          <w:tcPr>
            <w:tcW w:w="749" w:type="pct"/>
            <w:vAlign w:val="center"/>
          </w:tcPr>
          <w:p w14:paraId="12B1B222">
            <w:pPr>
              <w:wordWrap w:val="0"/>
              <w:adjustRightInd w:val="0"/>
              <w:snapToGrid w:val="0"/>
              <w:jc w:val="center"/>
              <w:rPr>
                <w:color w:val="auto"/>
                <w:spacing w:val="8"/>
                <w:szCs w:val="21"/>
              </w:rPr>
            </w:pPr>
            <w:r>
              <w:rPr>
                <w:color w:val="auto"/>
                <w:spacing w:val="8"/>
                <w:szCs w:val="21"/>
              </w:rPr>
              <w:t>亚Ⅰ级构造</w:t>
            </w:r>
          </w:p>
        </w:tc>
        <w:tc>
          <w:tcPr>
            <w:tcW w:w="832" w:type="pct"/>
            <w:vAlign w:val="center"/>
          </w:tcPr>
          <w:p w14:paraId="0E18C782">
            <w:pPr>
              <w:wordWrap w:val="0"/>
              <w:adjustRightInd w:val="0"/>
              <w:snapToGrid w:val="0"/>
              <w:jc w:val="center"/>
              <w:rPr>
                <w:color w:val="auto"/>
                <w:spacing w:val="8"/>
                <w:szCs w:val="21"/>
              </w:rPr>
            </w:pPr>
            <w:r>
              <w:rPr>
                <w:color w:val="auto"/>
                <w:spacing w:val="8"/>
                <w:szCs w:val="21"/>
              </w:rPr>
              <w:t>Ⅱ级构造</w:t>
            </w:r>
          </w:p>
        </w:tc>
        <w:tc>
          <w:tcPr>
            <w:tcW w:w="1413" w:type="pct"/>
            <w:vAlign w:val="center"/>
          </w:tcPr>
          <w:p w14:paraId="67EADBD8">
            <w:pPr>
              <w:wordWrap w:val="0"/>
              <w:adjustRightInd w:val="0"/>
              <w:snapToGrid w:val="0"/>
              <w:jc w:val="center"/>
              <w:rPr>
                <w:color w:val="auto"/>
                <w:spacing w:val="8"/>
                <w:szCs w:val="21"/>
              </w:rPr>
            </w:pPr>
            <w:r>
              <w:rPr>
                <w:color w:val="auto"/>
                <w:spacing w:val="8"/>
                <w:szCs w:val="21"/>
              </w:rPr>
              <w:t>Ⅲ级构造</w:t>
            </w:r>
          </w:p>
        </w:tc>
        <w:tc>
          <w:tcPr>
            <w:tcW w:w="1277" w:type="pct"/>
            <w:vAlign w:val="center"/>
          </w:tcPr>
          <w:p w14:paraId="3407A478">
            <w:pPr>
              <w:wordWrap w:val="0"/>
              <w:adjustRightInd w:val="0"/>
              <w:snapToGrid w:val="0"/>
              <w:jc w:val="center"/>
              <w:rPr>
                <w:color w:val="auto"/>
                <w:spacing w:val="8"/>
                <w:szCs w:val="21"/>
              </w:rPr>
            </w:pPr>
            <w:r>
              <w:rPr>
                <w:color w:val="auto"/>
                <w:spacing w:val="8"/>
                <w:szCs w:val="21"/>
              </w:rPr>
              <w:t>Ⅳ级构造</w:t>
            </w:r>
          </w:p>
        </w:tc>
      </w:tr>
      <w:tr w14:paraId="0C2104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exact"/>
        </w:trPr>
        <w:tc>
          <w:tcPr>
            <w:tcW w:w="729" w:type="pct"/>
            <w:vMerge w:val="restart"/>
            <w:vAlign w:val="center"/>
          </w:tcPr>
          <w:p w14:paraId="6DEB72E0">
            <w:pPr>
              <w:wordWrap w:val="0"/>
              <w:adjustRightInd w:val="0"/>
              <w:snapToGrid w:val="0"/>
              <w:jc w:val="center"/>
              <w:rPr>
                <w:color w:val="auto"/>
                <w:spacing w:val="8"/>
                <w:szCs w:val="21"/>
              </w:rPr>
            </w:pPr>
            <w:r>
              <w:rPr>
                <w:color w:val="auto"/>
                <w:spacing w:val="8"/>
                <w:szCs w:val="21"/>
              </w:rPr>
              <w:t>兴凯湖—布列亚山地区</w:t>
            </w:r>
          </w:p>
        </w:tc>
        <w:tc>
          <w:tcPr>
            <w:tcW w:w="749" w:type="pct"/>
            <w:vMerge w:val="restart"/>
            <w:vAlign w:val="center"/>
          </w:tcPr>
          <w:p w14:paraId="7E20F04B">
            <w:pPr>
              <w:wordWrap w:val="0"/>
              <w:adjustRightInd w:val="0"/>
              <w:snapToGrid w:val="0"/>
              <w:jc w:val="center"/>
              <w:rPr>
                <w:color w:val="auto"/>
                <w:spacing w:val="8"/>
                <w:szCs w:val="21"/>
              </w:rPr>
            </w:pPr>
            <w:r>
              <w:rPr>
                <w:color w:val="auto"/>
                <w:spacing w:val="8"/>
                <w:szCs w:val="21"/>
              </w:rPr>
              <w:t>老爷岭地块</w:t>
            </w:r>
          </w:p>
        </w:tc>
        <w:tc>
          <w:tcPr>
            <w:tcW w:w="832" w:type="pct"/>
            <w:vMerge w:val="restart"/>
            <w:vAlign w:val="center"/>
          </w:tcPr>
          <w:p w14:paraId="7D1D3644">
            <w:pPr>
              <w:wordWrap w:val="0"/>
              <w:adjustRightInd w:val="0"/>
              <w:snapToGrid w:val="0"/>
              <w:jc w:val="center"/>
              <w:rPr>
                <w:color w:val="auto"/>
                <w:spacing w:val="8"/>
                <w:szCs w:val="21"/>
              </w:rPr>
            </w:pPr>
            <w:r>
              <w:rPr>
                <w:color w:val="auto"/>
                <w:spacing w:val="8"/>
                <w:szCs w:val="21"/>
              </w:rPr>
              <w:t>佳木斯隆起带（V</w:t>
            </w:r>
            <w:r>
              <w:rPr>
                <w:color w:val="auto"/>
                <w:spacing w:val="8"/>
                <w:szCs w:val="21"/>
                <w:vertAlign w:val="subscript"/>
              </w:rPr>
              <w:t>2</w:t>
            </w:r>
            <w:r>
              <w:rPr>
                <w:color w:val="auto"/>
                <w:spacing w:val="8"/>
                <w:szCs w:val="21"/>
              </w:rPr>
              <w:t>）</w:t>
            </w:r>
          </w:p>
        </w:tc>
        <w:tc>
          <w:tcPr>
            <w:tcW w:w="1413" w:type="pct"/>
            <w:vAlign w:val="center"/>
          </w:tcPr>
          <w:p w14:paraId="4A972ECF">
            <w:pPr>
              <w:wordWrap w:val="0"/>
              <w:adjustRightInd w:val="0"/>
              <w:snapToGrid w:val="0"/>
              <w:jc w:val="center"/>
              <w:rPr>
                <w:color w:val="auto"/>
                <w:spacing w:val="8"/>
                <w:szCs w:val="21"/>
              </w:rPr>
            </w:pPr>
            <w:r>
              <w:rPr>
                <w:color w:val="auto"/>
                <w:spacing w:val="8"/>
                <w:szCs w:val="21"/>
              </w:rPr>
              <w:t>桦南隆起（V</w:t>
            </w:r>
            <w:r>
              <w:rPr>
                <w:color w:val="auto"/>
                <w:spacing w:val="8"/>
                <w:szCs w:val="21"/>
                <w:vertAlign w:val="subscript"/>
              </w:rPr>
              <w:t>2</w:t>
            </w:r>
            <w:r>
              <w:rPr>
                <w:color w:val="auto"/>
                <w:spacing w:val="8"/>
                <w:szCs w:val="21"/>
                <w:vertAlign w:val="superscript"/>
              </w:rPr>
              <w:t>2</w:t>
            </w:r>
            <w:r>
              <w:rPr>
                <w:color w:val="auto"/>
                <w:spacing w:val="8"/>
                <w:szCs w:val="21"/>
              </w:rPr>
              <w:t>）</w:t>
            </w:r>
          </w:p>
        </w:tc>
        <w:tc>
          <w:tcPr>
            <w:tcW w:w="1277" w:type="pct"/>
            <w:vAlign w:val="center"/>
          </w:tcPr>
          <w:p w14:paraId="3A957870">
            <w:pPr>
              <w:wordWrap w:val="0"/>
              <w:adjustRightInd w:val="0"/>
              <w:snapToGrid w:val="0"/>
              <w:jc w:val="center"/>
              <w:rPr>
                <w:color w:val="auto"/>
                <w:spacing w:val="8"/>
                <w:szCs w:val="21"/>
              </w:rPr>
            </w:pPr>
            <w:r>
              <w:rPr>
                <w:rFonts w:hint="eastAsia"/>
                <w:color w:val="auto"/>
                <w:spacing w:val="8"/>
                <w:szCs w:val="21"/>
              </w:rPr>
              <w:t>/</w:t>
            </w:r>
          </w:p>
        </w:tc>
      </w:tr>
      <w:tr w14:paraId="0747E4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exact"/>
        </w:trPr>
        <w:tc>
          <w:tcPr>
            <w:tcW w:w="729" w:type="pct"/>
            <w:vMerge w:val="continue"/>
            <w:vAlign w:val="center"/>
          </w:tcPr>
          <w:p w14:paraId="4B388368">
            <w:pPr>
              <w:wordWrap w:val="0"/>
              <w:adjustRightInd w:val="0"/>
              <w:snapToGrid w:val="0"/>
              <w:jc w:val="center"/>
              <w:rPr>
                <w:color w:val="auto"/>
                <w:spacing w:val="8"/>
                <w:szCs w:val="21"/>
              </w:rPr>
            </w:pPr>
          </w:p>
        </w:tc>
        <w:tc>
          <w:tcPr>
            <w:tcW w:w="749" w:type="pct"/>
            <w:vMerge w:val="continue"/>
            <w:vAlign w:val="center"/>
          </w:tcPr>
          <w:p w14:paraId="67326A48">
            <w:pPr>
              <w:wordWrap w:val="0"/>
              <w:adjustRightInd w:val="0"/>
              <w:snapToGrid w:val="0"/>
              <w:jc w:val="center"/>
              <w:rPr>
                <w:color w:val="auto"/>
                <w:spacing w:val="8"/>
                <w:szCs w:val="21"/>
              </w:rPr>
            </w:pPr>
          </w:p>
        </w:tc>
        <w:tc>
          <w:tcPr>
            <w:tcW w:w="832" w:type="pct"/>
            <w:vMerge w:val="continue"/>
            <w:vAlign w:val="center"/>
          </w:tcPr>
          <w:p w14:paraId="1F6C3CE2">
            <w:pPr>
              <w:wordWrap w:val="0"/>
              <w:adjustRightInd w:val="0"/>
              <w:snapToGrid w:val="0"/>
              <w:jc w:val="center"/>
              <w:rPr>
                <w:color w:val="auto"/>
                <w:spacing w:val="8"/>
                <w:szCs w:val="21"/>
              </w:rPr>
            </w:pPr>
          </w:p>
        </w:tc>
        <w:tc>
          <w:tcPr>
            <w:tcW w:w="1413" w:type="pct"/>
            <w:vAlign w:val="center"/>
          </w:tcPr>
          <w:p w14:paraId="5E8EBF13">
            <w:pPr>
              <w:wordWrap w:val="0"/>
              <w:adjustRightInd w:val="0"/>
              <w:snapToGrid w:val="0"/>
              <w:jc w:val="center"/>
              <w:rPr>
                <w:color w:val="auto"/>
                <w:spacing w:val="8"/>
                <w:szCs w:val="21"/>
              </w:rPr>
            </w:pPr>
            <w:r>
              <w:rPr>
                <w:color w:val="auto"/>
                <w:spacing w:val="8"/>
                <w:szCs w:val="21"/>
              </w:rPr>
              <w:t>麻山隆起（V</w:t>
            </w:r>
            <w:r>
              <w:rPr>
                <w:color w:val="auto"/>
                <w:spacing w:val="8"/>
                <w:szCs w:val="21"/>
                <w:vertAlign w:val="subscript"/>
              </w:rPr>
              <w:t>2</w:t>
            </w:r>
            <w:r>
              <w:rPr>
                <w:color w:val="auto"/>
                <w:spacing w:val="8"/>
                <w:szCs w:val="21"/>
                <w:vertAlign w:val="superscript"/>
              </w:rPr>
              <w:t>3</w:t>
            </w:r>
            <w:r>
              <w:rPr>
                <w:color w:val="auto"/>
                <w:spacing w:val="8"/>
                <w:szCs w:val="21"/>
              </w:rPr>
              <w:t>）</w:t>
            </w:r>
          </w:p>
        </w:tc>
        <w:tc>
          <w:tcPr>
            <w:tcW w:w="1277" w:type="pct"/>
            <w:vAlign w:val="center"/>
          </w:tcPr>
          <w:p w14:paraId="17A257B7">
            <w:pPr>
              <w:wordWrap w:val="0"/>
              <w:adjustRightInd w:val="0"/>
              <w:snapToGrid w:val="0"/>
              <w:jc w:val="center"/>
              <w:rPr>
                <w:color w:val="auto"/>
                <w:spacing w:val="8"/>
                <w:szCs w:val="21"/>
              </w:rPr>
            </w:pPr>
            <w:r>
              <w:rPr>
                <w:color w:val="auto"/>
                <w:spacing w:val="8"/>
                <w:szCs w:val="21"/>
              </w:rPr>
              <w:t>鸡西凹陷（V</w:t>
            </w:r>
            <w:r>
              <w:rPr>
                <w:color w:val="auto"/>
                <w:spacing w:val="8"/>
                <w:szCs w:val="21"/>
                <w:vertAlign w:val="subscript"/>
              </w:rPr>
              <w:t>2</w:t>
            </w:r>
            <w:r>
              <w:rPr>
                <w:color w:val="auto"/>
                <w:spacing w:val="8"/>
                <w:szCs w:val="21"/>
                <w:vertAlign w:val="superscript"/>
              </w:rPr>
              <w:t>3-1</w:t>
            </w:r>
            <w:r>
              <w:rPr>
                <w:color w:val="auto"/>
                <w:spacing w:val="8"/>
                <w:szCs w:val="21"/>
              </w:rPr>
              <w:t>）</w:t>
            </w:r>
          </w:p>
        </w:tc>
      </w:tr>
      <w:tr w14:paraId="646555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48" w:hRule="exact"/>
        </w:trPr>
        <w:tc>
          <w:tcPr>
            <w:tcW w:w="729" w:type="pct"/>
            <w:vMerge w:val="continue"/>
            <w:vAlign w:val="center"/>
          </w:tcPr>
          <w:p w14:paraId="29AE17A0">
            <w:pPr>
              <w:wordWrap w:val="0"/>
              <w:adjustRightInd w:val="0"/>
              <w:snapToGrid w:val="0"/>
              <w:jc w:val="center"/>
              <w:rPr>
                <w:color w:val="auto"/>
                <w:spacing w:val="8"/>
                <w:szCs w:val="21"/>
              </w:rPr>
            </w:pPr>
          </w:p>
        </w:tc>
        <w:tc>
          <w:tcPr>
            <w:tcW w:w="749" w:type="pct"/>
            <w:vMerge w:val="continue"/>
            <w:vAlign w:val="center"/>
          </w:tcPr>
          <w:p w14:paraId="4E3F6ADB">
            <w:pPr>
              <w:wordWrap w:val="0"/>
              <w:adjustRightInd w:val="0"/>
              <w:snapToGrid w:val="0"/>
              <w:jc w:val="center"/>
              <w:rPr>
                <w:color w:val="auto"/>
                <w:spacing w:val="8"/>
                <w:szCs w:val="21"/>
              </w:rPr>
            </w:pPr>
          </w:p>
        </w:tc>
        <w:tc>
          <w:tcPr>
            <w:tcW w:w="832" w:type="pct"/>
            <w:vMerge w:val="continue"/>
            <w:vAlign w:val="center"/>
          </w:tcPr>
          <w:p w14:paraId="624D87E9">
            <w:pPr>
              <w:wordWrap w:val="0"/>
              <w:adjustRightInd w:val="0"/>
              <w:snapToGrid w:val="0"/>
              <w:jc w:val="center"/>
              <w:rPr>
                <w:color w:val="auto"/>
                <w:spacing w:val="8"/>
                <w:szCs w:val="21"/>
              </w:rPr>
            </w:pPr>
          </w:p>
        </w:tc>
        <w:tc>
          <w:tcPr>
            <w:tcW w:w="1413" w:type="pct"/>
            <w:vAlign w:val="center"/>
          </w:tcPr>
          <w:p w14:paraId="6591CC0A">
            <w:pPr>
              <w:wordWrap w:val="0"/>
              <w:adjustRightInd w:val="0"/>
              <w:snapToGrid w:val="0"/>
              <w:jc w:val="center"/>
              <w:rPr>
                <w:color w:val="auto"/>
                <w:spacing w:val="8"/>
                <w:szCs w:val="21"/>
              </w:rPr>
            </w:pPr>
            <w:r>
              <w:rPr>
                <w:color w:val="auto"/>
                <w:spacing w:val="8"/>
                <w:szCs w:val="21"/>
              </w:rPr>
              <w:t>八面通隆起（V</w:t>
            </w:r>
            <w:r>
              <w:rPr>
                <w:color w:val="auto"/>
                <w:spacing w:val="8"/>
                <w:szCs w:val="21"/>
                <w:vertAlign w:val="subscript"/>
              </w:rPr>
              <w:t>2</w:t>
            </w:r>
            <w:r>
              <w:rPr>
                <w:color w:val="auto"/>
                <w:spacing w:val="8"/>
                <w:szCs w:val="21"/>
                <w:vertAlign w:val="superscript"/>
              </w:rPr>
              <w:t>4</w:t>
            </w:r>
            <w:r>
              <w:rPr>
                <w:color w:val="auto"/>
                <w:spacing w:val="8"/>
                <w:szCs w:val="21"/>
              </w:rPr>
              <w:t>）</w:t>
            </w:r>
          </w:p>
        </w:tc>
        <w:tc>
          <w:tcPr>
            <w:tcW w:w="1277" w:type="pct"/>
            <w:vAlign w:val="center"/>
          </w:tcPr>
          <w:p w14:paraId="5E5ECF7C">
            <w:pPr>
              <w:wordWrap w:val="0"/>
              <w:adjustRightInd w:val="0"/>
              <w:snapToGrid w:val="0"/>
              <w:jc w:val="center"/>
              <w:rPr>
                <w:color w:val="auto"/>
                <w:spacing w:val="8"/>
                <w:szCs w:val="21"/>
              </w:rPr>
            </w:pPr>
            <w:r>
              <w:rPr>
                <w:color w:val="auto"/>
                <w:spacing w:val="8"/>
                <w:szCs w:val="21"/>
              </w:rPr>
              <w:t>穆棱凹陷（V</w:t>
            </w:r>
            <w:r>
              <w:rPr>
                <w:color w:val="auto"/>
                <w:spacing w:val="8"/>
                <w:szCs w:val="21"/>
                <w:vertAlign w:val="subscript"/>
              </w:rPr>
              <w:t>2</w:t>
            </w:r>
            <w:r>
              <w:rPr>
                <w:color w:val="auto"/>
                <w:spacing w:val="8"/>
                <w:szCs w:val="21"/>
                <w:vertAlign w:val="superscript"/>
              </w:rPr>
              <w:t>4-1</w:t>
            </w:r>
            <w:r>
              <w:rPr>
                <w:color w:val="auto"/>
                <w:spacing w:val="8"/>
                <w:szCs w:val="21"/>
              </w:rPr>
              <w:t>）</w:t>
            </w:r>
          </w:p>
        </w:tc>
      </w:tr>
    </w:tbl>
    <w:p w14:paraId="73FD1C41">
      <w:pPr>
        <w:pStyle w:val="59"/>
        <w:ind w:firstLine="480"/>
        <w:rPr>
          <w:color w:val="auto"/>
        </w:rPr>
      </w:pPr>
      <w:r>
        <w:rPr>
          <w:rFonts w:hint="eastAsia" w:ascii="宋体" w:hAnsi="宋体" w:cs="宋体"/>
          <w:color w:val="auto"/>
        </w:rPr>
        <w:t>②</w:t>
      </w:r>
      <w:r>
        <w:rPr>
          <w:color w:val="auto"/>
        </w:rPr>
        <w:t>断裂构造</w:t>
      </w:r>
    </w:p>
    <w:p w14:paraId="5CD66B80">
      <w:pPr>
        <w:pStyle w:val="59"/>
        <w:ind w:firstLine="480"/>
        <w:rPr>
          <w:color w:val="auto"/>
        </w:rPr>
      </w:pPr>
      <w:r>
        <w:rPr>
          <w:color w:val="auto"/>
        </w:rPr>
        <w:t>鸡西盆地中规模较大的断裂为麻山-鸡西断裂和鸡西向斜，均为纬向构造体系；青山断裂、虎山-滴道断裂为经向构造体系。现分别叙述如下：</w:t>
      </w:r>
    </w:p>
    <w:p w14:paraId="3BCCC80E">
      <w:pPr>
        <w:pStyle w:val="59"/>
        <w:ind w:firstLine="480"/>
        <w:rPr>
          <w:color w:val="auto"/>
        </w:rPr>
      </w:pPr>
      <w:r>
        <w:rPr>
          <w:color w:val="auto"/>
        </w:rPr>
        <w:t>A.麻山-鸡西断裂</w:t>
      </w:r>
    </w:p>
    <w:p w14:paraId="3BC7C284">
      <w:pPr>
        <w:pStyle w:val="59"/>
        <w:ind w:firstLine="480"/>
        <w:rPr>
          <w:color w:val="auto"/>
        </w:rPr>
      </w:pPr>
      <w:r>
        <w:rPr>
          <w:color w:val="auto"/>
        </w:rPr>
        <w:t>分布于盆地南部，控制盆地边界，是区中规模较大的压性断裂，致使麻山群逆掩到侏罗系之上，从而低山与丘陵表现明显。据永台水库泄洪道揭示，断层面向南倾斜，倾角30～60°，下盘侏罗系岩层具倒转及直立现象。鸡东煤矿水平运输平峒中可见，该断层上盘为城子河组，下盘为穆棱组。下盘受挤压多出现紧密褶皱或倒转现象，上盘裂隙较为发育，断面附近岩层较破碎，其影响宽度达100～200m，左右。</w:t>
      </w:r>
    </w:p>
    <w:p w14:paraId="72E2BFB1">
      <w:pPr>
        <w:pStyle w:val="59"/>
        <w:ind w:firstLine="480"/>
        <w:rPr>
          <w:color w:val="auto"/>
        </w:rPr>
      </w:pPr>
      <w:r>
        <w:rPr>
          <w:color w:val="auto"/>
        </w:rPr>
        <w:t>B.青山断裂及虎山-滴道断裂</w:t>
      </w:r>
    </w:p>
    <w:p w14:paraId="5C03B6F1">
      <w:pPr>
        <w:pStyle w:val="59"/>
        <w:ind w:firstLine="480"/>
        <w:rPr>
          <w:color w:val="auto"/>
        </w:rPr>
      </w:pPr>
      <w:r>
        <w:rPr>
          <w:color w:val="auto"/>
        </w:rPr>
        <w:t>两断裂均分布于盆地西部，走向一致，为SW向。该两条断裂控制并切割中生代煤系地层及其以前的地质体，向北延入邻区。</w:t>
      </w:r>
    </w:p>
    <w:p w14:paraId="47CF3EB9">
      <w:pPr>
        <w:pStyle w:val="137"/>
        <w:rPr>
          <w:color w:val="auto"/>
        </w:rPr>
      </w:pPr>
      <w:r>
        <w:rPr>
          <w:rFonts w:hint="eastAsia"/>
          <w:color w:val="auto"/>
        </w:rPr>
        <w:t>4</w:t>
      </w:r>
      <w:r>
        <w:rPr>
          <w:color w:val="auto"/>
        </w:rPr>
        <w:t>.1.6工程地质</w:t>
      </w:r>
    </w:p>
    <w:p w14:paraId="64E97265">
      <w:pPr>
        <w:pStyle w:val="59"/>
        <w:ind w:firstLine="480"/>
        <w:rPr>
          <w:color w:val="auto"/>
        </w:rPr>
      </w:pPr>
      <w:r>
        <w:rPr>
          <w:rFonts w:hint="eastAsia"/>
          <w:color w:val="auto"/>
        </w:rPr>
        <w:t>鸡东县根据地貌单元，可划分为三个工程地质区：一是低山丘陵区，位于南部地区，地势起伏较大，岩性均系侏罗纪砂岩，层巨厚，地下水埋藏深，岩层风化重，斜坡上冲沟发育，地基承载力高，R&gt;30t/m</w:t>
      </w:r>
      <w:r>
        <w:rPr>
          <w:rFonts w:hint="eastAsia"/>
          <w:color w:val="auto"/>
          <w:vertAlign w:val="superscript"/>
        </w:rPr>
        <w:t>2</w:t>
      </w:r>
      <w:r>
        <w:rPr>
          <w:rFonts w:hint="eastAsia"/>
          <w:color w:val="auto"/>
        </w:rPr>
        <w:t>，工程地质条件较好，但需要进行处理，特别是冲沟的治理；二是洪坡积裙区，东西向沿山丘脚呈一裙带状，地势较平缓，向河谷略有倾斜，地下水位埋藏较深，无不良地质现象，地基承载力较高，R=15~20t/m</w:t>
      </w:r>
      <w:r>
        <w:rPr>
          <w:rFonts w:hint="eastAsia"/>
          <w:color w:val="auto"/>
          <w:vertAlign w:val="superscript"/>
        </w:rPr>
        <w:t>2</w:t>
      </w:r>
      <w:r>
        <w:rPr>
          <w:rFonts w:hint="eastAsia"/>
          <w:color w:val="auto"/>
        </w:rPr>
        <w:t>，工程地质良好的地区；三是一级阶地地区，根据地层、岩性及岩土的物理力学性质，又可以划分为两个亚区，其中，一区位于一级阶地后缘，地层结构复杂，持力层中有软弱下卧层淤泥质亚黏土，承载力较差，一般R=10~14t/m</w:t>
      </w:r>
      <w:r>
        <w:rPr>
          <w:rFonts w:hint="eastAsia"/>
          <w:color w:val="auto"/>
          <w:vertAlign w:val="superscript"/>
        </w:rPr>
        <w:t>2</w:t>
      </w:r>
      <w:r>
        <w:rPr>
          <w:rFonts w:hint="eastAsia"/>
          <w:color w:val="auto"/>
        </w:rPr>
        <w:t>左右，属于工程地质条件较差，重大工程需要进行地质处理；二区位于一级阶地上，地貌单一，地势平坦开阔，岩性变化甚微，地层结构简单，地基承载力较高，R=25t/m</w:t>
      </w:r>
      <w:r>
        <w:rPr>
          <w:rFonts w:hint="eastAsia"/>
          <w:color w:val="auto"/>
          <w:vertAlign w:val="superscript"/>
        </w:rPr>
        <w:t>2</w:t>
      </w:r>
      <w:r>
        <w:rPr>
          <w:rFonts w:hint="eastAsia"/>
          <w:color w:val="auto"/>
        </w:rPr>
        <w:t>，但地下水位埋深小于2m，是最高洪水水位淹没区，需要采取措施处理。</w:t>
      </w:r>
    </w:p>
    <w:p w14:paraId="6A2D6AA6">
      <w:pPr>
        <w:pStyle w:val="137"/>
        <w:rPr>
          <w:color w:val="auto"/>
        </w:rPr>
      </w:pPr>
      <w:r>
        <w:rPr>
          <w:rFonts w:hint="eastAsia"/>
          <w:color w:val="auto"/>
        </w:rPr>
        <w:t>4</w:t>
      </w:r>
      <w:r>
        <w:rPr>
          <w:color w:val="auto"/>
        </w:rPr>
        <w:t>.1.7</w:t>
      </w:r>
      <w:r>
        <w:rPr>
          <w:rFonts w:hint="eastAsia"/>
          <w:color w:val="auto"/>
        </w:rPr>
        <w:t>地震烈度</w:t>
      </w:r>
    </w:p>
    <w:p w14:paraId="53714E84">
      <w:pPr>
        <w:pStyle w:val="59"/>
        <w:ind w:firstLine="480"/>
        <w:rPr>
          <w:color w:val="auto"/>
        </w:rPr>
      </w:pPr>
      <w:r>
        <w:rPr>
          <w:rFonts w:hint="eastAsia"/>
          <w:color w:val="auto"/>
        </w:rPr>
        <w:t>鸡东县在古生带处于隆起状态，在漫长的地质变动历史中，经历了吕梁、五台、国里东等多次大规模的构造运动，使沉积的基底强烈褶皱，山岳不断夷平，侏罗纪晚期基底开始下沉，形成了规模不一的内陆湖盆地和大大小小的成煤盆地，境内地层从老到新有下元古界麻山群、中生界上侏罗统鸡西群、下白垩桦山群、上白垩统、新生界上第三系和第四系地层。鸡东县地处敦密断裂带中段和平麻断层的北西方向，这两条断裂带交汇于永和附近，鸡东县主要受这两条断裂带所控制，地震烈度属于六度烈度区。此断裂带属于浅震带。</w:t>
      </w:r>
    </w:p>
    <w:p w14:paraId="0200ED16">
      <w:pPr>
        <w:pStyle w:val="137"/>
        <w:rPr>
          <w:color w:val="auto"/>
        </w:rPr>
      </w:pPr>
      <w:r>
        <w:rPr>
          <w:color w:val="auto"/>
        </w:rPr>
        <w:t>4.1.8水文地质条件</w:t>
      </w:r>
      <w:bookmarkStart w:id="116" w:name="_Toc26401"/>
      <w:bookmarkStart w:id="117" w:name="_Toc20702"/>
    </w:p>
    <w:bookmarkEnd w:id="116"/>
    <w:bookmarkEnd w:id="117"/>
    <w:p w14:paraId="0F1932C5">
      <w:pPr>
        <w:pStyle w:val="135"/>
        <w:rPr>
          <w:color w:val="auto"/>
        </w:rPr>
      </w:pPr>
      <w:bookmarkStart w:id="118" w:name="_Toc25837"/>
      <w:bookmarkStart w:id="119" w:name="_Toc22138"/>
      <w:r>
        <w:rPr>
          <w:rFonts w:hint="eastAsia"/>
          <w:color w:val="auto"/>
        </w:rPr>
        <w:t>4.1.</w:t>
      </w:r>
      <w:r>
        <w:rPr>
          <w:color w:val="auto"/>
        </w:rPr>
        <w:t>8</w:t>
      </w:r>
      <w:r>
        <w:rPr>
          <w:rFonts w:hint="eastAsia"/>
          <w:color w:val="auto"/>
        </w:rPr>
        <w:t>.1地下水赋存条件及分布规律</w:t>
      </w:r>
    </w:p>
    <w:p w14:paraId="3AAB29F0">
      <w:pPr>
        <w:pStyle w:val="59"/>
        <w:ind w:firstLine="480"/>
        <w:rPr>
          <w:color w:val="auto"/>
        </w:rPr>
      </w:pPr>
      <w:r>
        <w:rPr>
          <w:rFonts w:hint="eastAsia"/>
          <w:color w:val="auto"/>
        </w:rPr>
        <w:t>评价区地下水动态变化规律，主要受气象、地形地貌、地层岩性及人工等因素的影响，其动态类型主要为：降水入渗－径流—蒸发型、径流型及径流－开采型，其主要影响因素及变化规律如下：</w:t>
      </w:r>
    </w:p>
    <w:p w14:paraId="6AE4DA91">
      <w:pPr>
        <w:pStyle w:val="59"/>
        <w:ind w:firstLine="480"/>
        <w:rPr>
          <w:color w:val="auto"/>
        </w:rPr>
      </w:pPr>
      <w:r>
        <w:rPr>
          <w:rFonts w:hint="eastAsia"/>
          <w:color w:val="auto"/>
        </w:rPr>
        <w:t>（1）影响因素分析</w:t>
      </w:r>
    </w:p>
    <w:p w14:paraId="253E814B">
      <w:pPr>
        <w:pStyle w:val="59"/>
        <w:ind w:firstLine="480"/>
        <w:rPr>
          <w:color w:val="auto"/>
        </w:rPr>
      </w:pPr>
      <w:r>
        <w:rPr>
          <w:rFonts w:hint="eastAsia"/>
          <w:color w:val="auto"/>
        </w:rPr>
        <w:t>气象要素对河漫滩区地下水动态的影响，主要表现在降水入渗补给和蒸发排泄，影响孔隙潜水动态，使其具有明显的季节性和周期性。丰水期为每年的7月～10月份，枯水期为每年的1月～4月份；地下水位随雨季补给量增加而升高，潜水位年变幅一般0.30m～1.50m,最大2.0m左右。</w:t>
      </w:r>
    </w:p>
    <w:p w14:paraId="61E2D15E">
      <w:pPr>
        <w:pStyle w:val="59"/>
        <w:ind w:firstLine="480"/>
        <w:rPr>
          <w:color w:val="auto"/>
        </w:rPr>
      </w:pPr>
      <w:r>
        <w:rPr>
          <w:rFonts w:hint="eastAsia"/>
          <w:color w:val="auto"/>
        </w:rPr>
        <w:t>地形因素对地下水动态的影响，区内地形高差较大，含水层较稳定，利于地表及地下径流。漫滩区地下水位埋藏较浅，且部分地区含水层出露于地表或上部含水层顶板较薄，地形比降相对较缓，有利于大气降水入渗补给，又有利于潜水蒸发。台地区地形比降较大，地下水位埋藏较深，水力坡降大，不利于大气降水入渗补给。</w:t>
      </w:r>
    </w:p>
    <w:p w14:paraId="525722B8">
      <w:pPr>
        <w:pStyle w:val="59"/>
        <w:ind w:firstLine="480"/>
        <w:rPr>
          <w:color w:val="auto"/>
        </w:rPr>
      </w:pPr>
      <w:r>
        <w:rPr>
          <w:rFonts w:hint="eastAsia"/>
          <w:color w:val="auto"/>
        </w:rPr>
        <w:t>人为因素对地下水动态的影响，主要表现为较大规模的开采地下水。</w:t>
      </w:r>
    </w:p>
    <w:p w14:paraId="76029E24">
      <w:pPr>
        <w:pStyle w:val="59"/>
        <w:ind w:firstLine="480"/>
        <w:rPr>
          <w:color w:val="auto"/>
        </w:rPr>
      </w:pPr>
      <w:r>
        <w:rPr>
          <w:rFonts w:hint="eastAsia"/>
          <w:color w:val="auto"/>
        </w:rPr>
        <w:t>（2）地下水动态类型及特征</w:t>
      </w:r>
    </w:p>
    <w:p w14:paraId="2FF89377">
      <w:pPr>
        <w:pStyle w:val="59"/>
        <w:ind w:firstLine="480"/>
        <w:rPr>
          <w:color w:val="auto"/>
        </w:rPr>
      </w:pPr>
      <w:r>
        <w:rPr>
          <w:rFonts w:hint="eastAsia"/>
          <w:color w:val="auto"/>
        </w:rPr>
        <w:fldChar w:fldCharType="begin"/>
      </w:r>
      <w:r>
        <w:rPr>
          <w:rFonts w:hint="eastAsia"/>
          <w:color w:val="auto"/>
        </w:rPr>
        <w:instrText xml:space="preserve">=1\*GB3\*MERGEFORMAT</w:instrText>
      </w:r>
      <w:r>
        <w:rPr>
          <w:rFonts w:hint="eastAsia"/>
          <w:color w:val="auto"/>
        </w:rPr>
        <w:fldChar w:fldCharType="separate"/>
      </w:r>
      <w:r>
        <w:rPr>
          <w:rFonts w:hint="eastAsia"/>
          <w:color w:val="auto"/>
        </w:rPr>
        <w:t>①</w:t>
      </w:r>
      <w:r>
        <w:rPr>
          <w:rFonts w:hint="eastAsia"/>
          <w:color w:val="auto"/>
        </w:rPr>
        <w:fldChar w:fldCharType="end"/>
      </w:r>
      <w:r>
        <w:rPr>
          <w:rFonts w:hint="eastAsia"/>
          <w:color w:val="auto"/>
        </w:rPr>
        <w:t>降水入渗－径流—蒸发、开采型：其地下水类型为河漫滩第四系孔隙潜水，其主要补给来源为大气降水的入渗补给，其次为侧向径流流入。地下水径流速度相对较缓，水力坡度一般在0.001～0.003。地下水排泄以侧向径流流出为主，其次为潜水蒸发和人为开采。丰水期和枯水期地下水位埋深年变幅一般0.3m～1.5m，最大达2.0m；地下水动态曲线呈单峰型。</w:t>
      </w:r>
    </w:p>
    <w:p w14:paraId="28D7A9B9">
      <w:pPr>
        <w:pStyle w:val="59"/>
        <w:ind w:firstLine="480"/>
        <w:rPr>
          <w:rFonts w:hAnsi="仿宋" w:cs="仿宋"/>
          <w:color w:val="auto"/>
        </w:rPr>
      </w:pPr>
      <w:r>
        <w:rPr>
          <w:rFonts w:hint="eastAsia"/>
          <w:color w:val="auto"/>
        </w:rPr>
        <w:fldChar w:fldCharType="begin"/>
      </w:r>
      <w:r>
        <w:rPr>
          <w:rFonts w:hint="eastAsia"/>
          <w:color w:val="auto"/>
        </w:rPr>
        <w:instrText xml:space="preserve">=2\*GB3\*MERGEFORMAT</w:instrText>
      </w:r>
      <w:r>
        <w:rPr>
          <w:rFonts w:hint="eastAsia"/>
          <w:color w:val="auto"/>
        </w:rPr>
        <w:fldChar w:fldCharType="separate"/>
      </w:r>
      <w:r>
        <w:rPr>
          <w:rFonts w:hint="eastAsia"/>
          <w:color w:val="auto"/>
        </w:rPr>
        <w:t>②</w:t>
      </w:r>
      <w:r>
        <w:rPr>
          <w:rFonts w:hint="eastAsia"/>
          <w:color w:val="auto"/>
        </w:rPr>
        <w:fldChar w:fldCharType="end"/>
      </w:r>
      <w:r>
        <w:rPr>
          <w:rFonts w:hint="eastAsia"/>
          <w:color w:val="auto"/>
        </w:rPr>
        <w:t>径流型：其地下水类型主要为白垩系和侏罗系基岩裂隙孔隙水。其中，白垩系裂隙孔隙水主要补给源为区域地下水侧向径流流入和低山区的大气降水的入渗补给，次为孔隙潜水的越流下渗；主要排泄途径为侧向径流流出。地下水位年变幅较小，丰、枯期水位变化不明显。山前台地孔隙裂隙潜水，地下水位埋深变化较大，为0.57m～9.72m，其主要补给源为低山区基岩裂隙水，其次为大气降水的入渗补给，水力坡度一般大于0.005，排泄主要通过侧向径流补给河漫滩孔隙潜水。</w:t>
      </w:r>
    </w:p>
    <w:p w14:paraId="6577214E">
      <w:pPr>
        <w:pStyle w:val="135"/>
        <w:rPr>
          <w:color w:val="auto"/>
        </w:rPr>
      </w:pPr>
      <w:r>
        <w:rPr>
          <w:rFonts w:hint="eastAsia"/>
          <w:color w:val="auto"/>
        </w:rPr>
        <w:t>4.1.</w:t>
      </w:r>
      <w:r>
        <w:rPr>
          <w:color w:val="auto"/>
        </w:rPr>
        <w:t>8</w:t>
      </w:r>
      <w:r>
        <w:rPr>
          <w:rFonts w:hint="eastAsia"/>
          <w:color w:val="auto"/>
        </w:rPr>
        <w:t>.2地下水类型及含水层特征</w:t>
      </w:r>
    </w:p>
    <w:p w14:paraId="4322B285">
      <w:pPr>
        <w:pStyle w:val="59"/>
        <w:ind w:firstLine="480"/>
        <w:rPr>
          <w:color w:val="auto"/>
        </w:rPr>
      </w:pPr>
      <w:r>
        <w:rPr>
          <w:rFonts w:hint="eastAsia"/>
          <w:color w:val="auto"/>
        </w:rPr>
        <w:t>区内堆积了分布稳定的第四系松散层，赋存了松散岩类孔隙水。其中全新统中砂、粗砂、砂砾石含水层，赋存有砂砾石孔隙潜水。在山前台地区及河谷区下部分布的侏罗系、白垩系的碎屑岩孔隙、裂隙发育，赋存有碎屑岩类孔隙裂隙承压水、风化裂隙潜水。</w:t>
      </w:r>
    </w:p>
    <w:p w14:paraId="2B9CE0EE">
      <w:pPr>
        <w:pStyle w:val="59"/>
        <w:ind w:firstLine="480"/>
        <w:rPr>
          <w:color w:val="auto"/>
        </w:rPr>
      </w:pPr>
      <w:r>
        <w:rPr>
          <w:rFonts w:hint="eastAsia" w:ascii="宋体" w:hAnsi="宋体" w:cs="宋体"/>
          <w:color w:val="auto"/>
        </w:rPr>
        <w:t>①</w:t>
      </w:r>
      <w:r>
        <w:rPr>
          <w:color w:val="auto"/>
        </w:rPr>
        <w:t>第四系松散岩类孔隙水</w:t>
      </w:r>
    </w:p>
    <w:p w14:paraId="7D478C09">
      <w:pPr>
        <w:pStyle w:val="59"/>
        <w:ind w:firstLine="480"/>
        <w:rPr>
          <w:color w:val="auto"/>
        </w:rPr>
      </w:pPr>
      <w:r>
        <w:rPr>
          <w:color w:val="auto"/>
        </w:rPr>
        <w:t>主要分布于穆棱河与各支流的河漫滩中。含水层由砂、砂砾石组成。上部一般无粘性土覆盖，因而多为潜水，仅在一级阶地和山前台地之上，由于粉质粘土覆盖较厚，局部显示微承压性。水位埋深受地貌条件控制，水位埋深1</w:t>
      </w:r>
      <w:r>
        <w:rPr>
          <w:rFonts w:hint="eastAsia"/>
          <w:color w:val="auto"/>
        </w:rPr>
        <w:t>5</w:t>
      </w:r>
      <w:r>
        <w:rPr>
          <w:color w:val="auto"/>
        </w:rPr>
        <w:t>～</w:t>
      </w:r>
      <w:r>
        <w:rPr>
          <w:rFonts w:hint="eastAsia"/>
          <w:color w:val="auto"/>
        </w:rPr>
        <w:t>25</w:t>
      </w:r>
      <w:r>
        <w:rPr>
          <w:color w:val="auto"/>
        </w:rPr>
        <w:t>m，因直接接受大气降水补给，受气象因素影响较大，季节性变化明显。据民井调查，水位变幅0.3～3m，一般1～2m，总矿化度小于0.5g/L，pH值6.5～7.0，总硬度35.7～82.1mg/L。铁锰离子含量较高，水化学类型为重碳酸钙镁及重碳酸钠镁型水。</w:t>
      </w:r>
    </w:p>
    <w:p w14:paraId="332C43D4">
      <w:pPr>
        <w:pStyle w:val="59"/>
        <w:ind w:firstLine="480"/>
        <w:rPr>
          <w:color w:val="auto"/>
        </w:rPr>
      </w:pPr>
      <w:r>
        <w:rPr>
          <w:rFonts w:hint="eastAsia" w:ascii="宋体" w:hAnsi="宋体" w:cs="宋体"/>
          <w:color w:val="auto"/>
        </w:rPr>
        <w:t>②</w:t>
      </w:r>
      <w:r>
        <w:rPr>
          <w:color w:val="auto"/>
        </w:rPr>
        <w:t>基岩裂隙水</w:t>
      </w:r>
    </w:p>
    <w:p w14:paraId="4681159E">
      <w:pPr>
        <w:pStyle w:val="59"/>
        <w:ind w:firstLine="480"/>
        <w:rPr>
          <w:color w:val="auto"/>
        </w:rPr>
      </w:pPr>
      <w:r>
        <w:rPr>
          <w:color w:val="auto"/>
        </w:rPr>
        <w:t>包括风化裂隙水、玄武岩孔洞裂隙水和构造裂隙水三类。风化裂隙水分布于低山丘陵区，基岩上部普遍发育风化带。风化裂隙水的形成与贮存主要取决于风化带厚度，即岩石的风化强度。风化带厚度主要与地貌部位和岩性有关。在相同岩性下，由于处在不同的地貌部位，第四系覆盖厚度与外营力作用强度不同，所以风化带厚度亦不相同，一般从山顶—山坡—</w:t>
      </w:r>
      <w:r>
        <w:rPr>
          <w:rFonts w:hint="eastAsia"/>
          <w:color w:val="auto"/>
        </w:rPr>
        <w:t>冲沟</w:t>
      </w:r>
      <w:r>
        <w:rPr>
          <w:color w:val="auto"/>
        </w:rPr>
        <w:t>有从大到小的变化规律。另外，风化带厚度随岩性不同而变化，中生代碎屑岩风化带较厚，为13.00～17.00m，花岗岩、玄武岩5～42m，变质岩最薄3～15m。大部分基岩山区的风化裂隙水为潜水，在山间河谷地区常与其上部的第四系含水层中的地下水组成统一的潜水。该含水岩组地下水矿化度0.1～0.5g</w:t>
      </w:r>
      <w:r>
        <w:rPr>
          <w:rFonts w:hint="eastAsia"/>
          <w:color w:val="auto"/>
        </w:rPr>
        <w:t>/</w:t>
      </w:r>
      <w:r>
        <w:rPr>
          <w:color w:val="auto"/>
        </w:rPr>
        <w:t>L，总硬度32.1～151.7mg</w:t>
      </w:r>
      <w:r>
        <w:rPr>
          <w:rFonts w:hint="eastAsia"/>
          <w:color w:val="auto"/>
        </w:rPr>
        <w:t>/</w:t>
      </w:r>
      <w:r>
        <w:rPr>
          <w:color w:val="auto"/>
        </w:rPr>
        <w:t>L，pH值6.1～7.8，属重碳酸钙钠、钙镁及重碳酸钙型水。</w:t>
      </w:r>
    </w:p>
    <w:p w14:paraId="1631BDB4">
      <w:pPr>
        <w:pStyle w:val="59"/>
        <w:ind w:firstLine="480"/>
        <w:rPr>
          <w:color w:val="auto"/>
        </w:rPr>
      </w:pPr>
      <w:r>
        <w:rPr>
          <w:color w:val="auto"/>
        </w:rPr>
        <w:t>玄武岩孔洞裂隙水分布于玄武岩台地区。含水层为第三纪玄武岩，主要为橄榄玄武岩和伊丁玄武岩，具气孔构造，并发育有柱状节理。均为潜水，水位埋深1.0～16.0m，含水层厚2.4～24.0m。在坡脚或陡坎等地形切割处。地下水自玄武岩中溢出成泉，流量0.01～1L/s不等，多在0.5～0.6L/s之间，地下水pH值6.0左右，矿化度&lt;0.5g/L，主要为重碳酸钙镁型水。</w:t>
      </w:r>
    </w:p>
    <w:p w14:paraId="09F36842">
      <w:pPr>
        <w:pStyle w:val="59"/>
        <w:ind w:firstLine="480"/>
        <w:rPr>
          <w:color w:val="auto"/>
        </w:rPr>
      </w:pPr>
      <w:r>
        <w:rPr>
          <w:color w:val="auto"/>
        </w:rPr>
        <w:t>构造裂隙水主要分布于基岩山区，受区域构造控制，地下水赋存于构造断裂和侵入岩接触带中，一般呈脉状分布。由于构造裂隙发育的不均一性，构造裂隙水的富水性也不均一。构造裂隙水大多具承压性，局部自流，其泉水流量0.05～l L/s不等，单井涌水量为170～1680m</w:t>
      </w:r>
      <w:r>
        <w:rPr>
          <w:color w:val="auto"/>
          <w:vertAlign w:val="superscript"/>
        </w:rPr>
        <w:t>3</w:t>
      </w:r>
      <w:r>
        <w:rPr>
          <w:color w:val="auto"/>
        </w:rPr>
        <w:t>/d。地下水水化学类型为重碳酸钙、重碳酸钙镁、重碳酸钙钠型水。</w:t>
      </w:r>
    </w:p>
    <w:bookmarkEnd w:id="118"/>
    <w:bookmarkEnd w:id="119"/>
    <w:p w14:paraId="5337CB4B">
      <w:pPr>
        <w:pStyle w:val="135"/>
        <w:rPr>
          <w:color w:val="auto"/>
        </w:rPr>
      </w:pPr>
      <w:r>
        <w:rPr>
          <w:rFonts w:hint="eastAsia"/>
          <w:color w:val="auto"/>
        </w:rPr>
        <w:t>4.1.</w:t>
      </w:r>
      <w:r>
        <w:rPr>
          <w:color w:val="auto"/>
        </w:rPr>
        <w:t>8</w:t>
      </w:r>
      <w:r>
        <w:rPr>
          <w:rFonts w:hint="eastAsia"/>
          <w:color w:val="auto"/>
        </w:rPr>
        <w:t>.3地下水补径排特征</w:t>
      </w:r>
    </w:p>
    <w:p w14:paraId="54C45B15">
      <w:pPr>
        <w:spacing w:line="500" w:lineRule="exact"/>
        <w:ind w:firstLine="480" w:firstLineChars="200"/>
        <w:rPr>
          <w:color w:val="auto"/>
          <w:sz w:val="24"/>
          <w:szCs w:val="22"/>
        </w:rPr>
      </w:pPr>
      <w:r>
        <w:rPr>
          <w:rFonts w:hint="eastAsia"/>
          <w:color w:val="auto"/>
          <w:sz w:val="24"/>
          <w:szCs w:val="22"/>
        </w:rPr>
        <w:t>地下水的形成受水文、气象及地貌因素制约，不同地貌单元具有各自不同的地下水形成特征。本区地下水主要为孔隙潜水，赋存于全区砂、砂砾石的孔隙中，其次为白垩系下统猴石沟组和侏罗系上统穆棱组裂隙孔隙水。</w:t>
      </w:r>
    </w:p>
    <w:p w14:paraId="0E301CE5">
      <w:pPr>
        <w:spacing w:line="500" w:lineRule="exact"/>
        <w:ind w:firstLine="480" w:firstLineChars="200"/>
        <w:rPr>
          <w:color w:val="auto"/>
          <w:sz w:val="24"/>
          <w:szCs w:val="22"/>
        </w:rPr>
      </w:pPr>
      <w:r>
        <w:rPr>
          <w:rFonts w:hint="eastAsia"/>
          <w:color w:val="auto"/>
          <w:sz w:val="24"/>
          <w:szCs w:val="22"/>
        </w:rPr>
        <w:t>（1）第四系全新统砂砾石层孔隙潜水</w:t>
      </w:r>
    </w:p>
    <w:p w14:paraId="07A1C68F">
      <w:pPr>
        <w:spacing w:line="500" w:lineRule="exact"/>
        <w:ind w:firstLine="480" w:firstLineChars="200"/>
        <w:rPr>
          <w:color w:val="auto"/>
          <w:sz w:val="24"/>
          <w:szCs w:val="22"/>
        </w:rPr>
      </w:pPr>
      <w:r>
        <w:rPr>
          <w:rFonts w:hint="eastAsia"/>
          <w:color w:val="auto"/>
          <w:sz w:val="24"/>
          <w:szCs w:val="22"/>
        </w:rPr>
        <w:t>区内第四系全新统孔隙潜水主要分布于河漫滩区，含水层上部黏性土层较薄，一般厚度1.0m～2.5m，局部含水层直接出露于地表；极易接受大气降水入渗。区内多年平均降水量为544.78mm，且多集中于6月～8月份，占年平均降水量的61.16%，正值冻结层已全部融化，大气降水后可直接入渗补给地下潜水。此时，地下水位埋深均随降水量的增加而上升，随降水量的减少而下降，故大气降水为第四系孔隙潜水的主要补给来源；其次为侧向径流补给。另外，随着水田的发展，渠道入渗、田间灌溉入渗补给也成为了本区地下水的补给来源；丰水期，地下水还短期接受河水的侧向入渗补给。</w:t>
      </w:r>
    </w:p>
    <w:p w14:paraId="1DE77FCD">
      <w:pPr>
        <w:spacing w:line="500" w:lineRule="exact"/>
        <w:ind w:firstLine="480" w:firstLineChars="200"/>
        <w:rPr>
          <w:color w:val="auto"/>
          <w:sz w:val="24"/>
          <w:szCs w:val="22"/>
        </w:rPr>
      </w:pPr>
      <w:r>
        <w:rPr>
          <w:rFonts w:hint="eastAsia"/>
          <w:color w:val="auto"/>
          <w:sz w:val="24"/>
          <w:szCs w:val="22"/>
        </w:rPr>
        <w:t>区内第四系孔隙潜水径流方向基本汇向河流及其下游。首先由于受地形、径流条件及含水层岩性影响，孔隙潜水的排泄主要以地下径流方式向河流排泄；其次由于部分地区地下水埋藏较浅，故蒸发也是孔隙潜水排泄的方式之一；人为开采也是地下水排泄方式之一。</w:t>
      </w:r>
    </w:p>
    <w:p w14:paraId="603DA1DD">
      <w:pPr>
        <w:spacing w:line="500" w:lineRule="exact"/>
        <w:ind w:firstLine="480" w:firstLineChars="200"/>
        <w:rPr>
          <w:color w:val="auto"/>
          <w:sz w:val="24"/>
          <w:szCs w:val="22"/>
        </w:rPr>
      </w:pPr>
      <w:r>
        <w:rPr>
          <w:rFonts w:hint="eastAsia"/>
          <w:color w:val="auto"/>
          <w:sz w:val="24"/>
          <w:szCs w:val="22"/>
        </w:rPr>
        <w:t>（2）碎屑岩类孔隙裂隙承压水</w:t>
      </w:r>
    </w:p>
    <w:p w14:paraId="5CB734B9">
      <w:pPr>
        <w:spacing w:line="500" w:lineRule="exact"/>
        <w:ind w:firstLine="480" w:firstLineChars="200"/>
        <w:rPr>
          <w:color w:val="auto"/>
          <w:sz w:val="24"/>
          <w:szCs w:val="22"/>
        </w:rPr>
      </w:pPr>
      <w:r>
        <w:rPr>
          <w:rFonts w:hint="eastAsia"/>
          <w:color w:val="auto"/>
          <w:sz w:val="24"/>
          <w:szCs w:val="22"/>
        </w:rPr>
        <w:t>主要分布于漫滩下部。碎屑岩类孔隙裂隙承压水一方面受上部第四系孔隙潜水的入渗补给，一方面受山区构造裂隙水补给。</w:t>
      </w:r>
    </w:p>
    <w:p w14:paraId="488D2122">
      <w:pPr>
        <w:spacing w:line="500" w:lineRule="exact"/>
        <w:ind w:firstLine="480" w:firstLineChars="200"/>
        <w:rPr>
          <w:color w:val="auto"/>
          <w:sz w:val="24"/>
          <w:szCs w:val="22"/>
        </w:rPr>
      </w:pPr>
      <w:r>
        <w:rPr>
          <w:rFonts w:hint="eastAsia"/>
          <w:color w:val="auto"/>
          <w:sz w:val="24"/>
          <w:szCs w:val="22"/>
        </w:rPr>
        <w:t>孔隙裂隙承压水的排泄主要以侧向径流方式向下游排泄，排出区外；另外，区内地下水人为开采也是裂隙孔隙水排泄方式之一</w:t>
      </w:r>
    </w:p>
    <w:p w14:paraId="03A1BE7C">
      <w:pPr>
        <w:spacing w:line="500" w:lineRule="exact"/>
        <w:ind w:firstLine="480" w:firstLineChars="200"/>
        <w:rPr>
          <w:color w:val="auto"/>
          <w:sz w:val="24"/>
          <w:szCs w:val="22"/>
        </w:rPr>
      </w:pPr>
      <w:r>
        <w:rPr>
          <w:rFonts w:hint="eastAsia"/>
          <w:color w:val="auto"/>
          <w:sz w:val="24"/>
          <w:szCs w:val="22"/>
        </w:rPr>
        <w:t>（3）碎屑岩类风化裂隙潜水</w:t>
      </w:r>
    </w:p>
    <w:p w14:paraId="7D36B0AF">
      <w:pPr>
        <w:spacing w:line="500" w:lineRule="exact"/>
        <w:ind w:firstLine="480" w:firstLineChars="200"/>
        <w:rPr>
          <w:rFonts w:ascii="仿宋" w:hAnsi="仿宋" w:eastAsia="仿宋" w:cs="仿宋"/>
          <w:color w:val="auto"/>
          <w:sz w:val="24"/>
          <w:szCs w:val="22"/>
        </w:rPr>
      </w:pPr>
      <w:r>
        <w:rPr>
          <w:rFonts w:hint="eastAsia"/>
          <w:color w:val="auto"/>
          <w:sz w:val="24"/>
          <w:szCs w:val="22"/>
        </w:rPr>
        <w:t>山前台地区表层覆盖的粘性土层不厚，其孔隙及垂直节理发育，且下部碎屑岩的风化裂隙极利于大气降水的入渗补给。该区分布的风化裂隙水，接受大气降水入渗补给，在裂隙带内经过短暂的径流，一部分以下降泉的形式排泄于地表，另一部分径流到深部裂隙区富集起来，并经过深部裂隙径流排泄到断裂构造破碎带中。风化裂隙水在其贮存的裂隙带内径流过程中，裂隙发育区的径流条件好于非发育区，浅部的径流条件好于深部。</w:t>
      </w:r>
    </w:p>
    <w:p w14:paraId="2AF10C28">
      <w:pPr>
        <w:pStyle w:val="59"/>
        <w:ind w:firstLine="482"/>
        <w:rPr>
          <w:b/>
          <w:color w:val="auto"/>
        </w:rPr>
      </w:pPr>
    </w:p>
    <w:p w14:paraId="37D51DF6">
      <w:pPr>
        <w:spacing w:line="360" w:lineRule="auto"/>
        <w:ind w:firstLine="480" w:firstLineChars="200"/>
        <w:rPr>
          <w:color w:val="auto"/>
          <w:sz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7E4D2A7C">
      <w:pPr>
        <w:spacing w:line="360" w:lineRule="auto"/>
        <w:rPr>
          <w:color w:val="auto"/>
          <w:sz w:val="24"/>
        </w:rPr>
      </w:pPr>
      <w:r>
        <w:rPr>
          <w:color w:val="auto"/>
          <w:sz w:val="24"/>
        </w:rPr>
        <mc:AlternateContent>
          <mc:Choice Requires="wps">
            <w:drawing>
              <wp:anchor distT="0" distB="0" distL="114300" distR="114300" simplePos="0" relativeHeight="251673600" behindDoc="0" locked="0" layoutInCell="1" allowOverlap="1">
                <wp:simplePos x="0" y="0"/>
                <wp:positionH relativeFrom="column">
                  <wp:posOffset>7710805</wp:posOffset>
                </wp:positionH>
                <wp:positionV relativeFrom="paragraph">
                  <wp:posOffset>4478020</wp:posOffset>
                </wp:positionV>
                <wp:extent cx="189865" cy="189230"/>
                <wp:effectExtent l="23495" t="22860" r="24765" b="26035"/>
                <wp:wrapNone/>
                <wp:docPr id="246565046" name="AutoShape 339210"/>
                <wp:cNvGraphicFramePr/>
                <a:graphic xmlns:a="http://schemas.openxmlformats.org/drawingml/2006/main">
                  <a:graphicData uri="http://schemas.microsoft.com/office/word/2010/wordprocessingShape">
                    <wps:wsp>
                      <wps:cNvSpPr>
                        <a:spLocks noChangeArrowheads="1"/>
                      </wps:cNvSpPr>
                      <wps:spPr bwMode="auto">
                        <a:xfrm>
                          <a:off x="0" y="0"/>
                          <a:ext cx="189865" cy="189230"/>
                        </a:xfrm>
                        <a:prstGeom prst="star5">
                          <a:avLst/>
                        </a:prstGeom>
                        <a:solidFill>
                          <a:srgbClr val="FF0000"/>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shape id="AutoShape 339210" o:spid="_x0000_s1026" style="position:absolute;left:0pt;margin-left:607.15pt;margin-top:352.6pt;height:14.9pt;width:14.95pt;z-index:251673600;mso-width-relative:page;mso-height-relative:page;" fillcolor="#FF0000" filled="t" stroked="t" coordsize="189865,189230" o:gfxdata="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" path="m0,72279l72522,72279,94932,0,117342,72279,189864,72279,131192,116950,153603,189229,94932,144557,36261,189229,58672,116950xe">
                <v:path o:connectlocs="94932,0;0,72279;36261,189229;153603,189229;189864,72279" o:connectangles="247,164,82,82,0"/>
                <v:fill on="t" focussize="0,0"/>
                <v:stroke color="#000000" miterlimit="8" joinstyle="miter"/>
                <v:imagedata o:title=""/>
                <o:lock v:ext="edit" aspectratio="f"/>
              </v:shape>
            </w:pict>
          </mc:Fallback>
        </mc:AlternateContent>
      </w:r>
      <w:r>
        <w:rPr>
          <w:color w:val="auto"/>
          <w:sz w:val="24"/>
        </w:rPr>
        <mc:AlternateContent>
          <mc:Choice Requires="wps">
            <w:drawing>
              <wp:anchor distT="0" distB="0" distL="114300" distR="114300" simplePos="0" relativeHeight="251671552" behindDoc="0" locked="0" layoutInCell="1" allowOverlap="1">
                <wp:simplePos x="0" y="0"/>
                <wp:positionH relativeFrom="column">
                  <wp:posOffset>7293610</wp:posOffset>
                </wp:positionH>
                <wp:positionV relativeFrom="paragraph">
                  <wp:posOffset>3784600</wp:posOffset>
                </wp:positionV>
                <wp:extent cx="1551940" cy="1129030"/>
                <wp:effectExtent l="4445" t="4445" r="5715" b="9525"/>
                <wp:wrapNone/>
                <wp:docPr id="1114323753" name="Rectangle 339231"/>
                <wp:cNvGraphicFramePr/>
                <a:graphic xmlns:a="http://schemas.openxmlformats.org/drawingml/2006/main">
                  <a:graphicData uri="http://schemas.microsoft.com/office/word/2010/wordprocessingShape">
                    <wps:wsp>
                      <wps:cNvSpPr>
                        <a:spLocks noChangeArrowheads="1"/>
                      </wps:cNvSpPr>
                      <wps:spPr bwMode="auto">
                        <a:xfrm>
                          <a:off x="0" y="0"/>
                          <a:ext cx="1551940" cy="1129030"/>
                        </a:xfrm>
                        <a:prstGeom prst="rect">
                          <a:avLst/>
                        </a:prstGeom>
                        <a:solidFill>
                          <a:srgbClr val="FFFFFF"/>
                        </a:solidFill>
                        <a:ln w="9525">
                          <a:solidFill>
                            <a:srgbClr val="000000"/>
                          </a:solidFill>
                          <a:miter lim="800000"/>
                        </a:ln>
                      </wps:spPr>
                      <wps:txbx>
                        <w:txbxContent>
                          <w:p w14:paraId="7DDAA64C">
                            <w:pPr>
                              <w:contextualSpacing/>
                              <w:jc w:val="center"/>
                            </w:pPr>
                            <w:r>
                              <w:rPr>
                                <w:rFonts w:hint="eastAsia"/>
                              </w:rPr>
                              <w:t>图例</w:t>
                            </w:r>
                          </w:p>
                          <w:p w14:paraId="4DCB6AD3">
                            <w:pPr>
                              <w:ind w:firstLine="518"/>
                              <w:contextualSpacing/>
                              <w:jc w:val="left"/>
                              <w:rPr>
                                <w:rFonts w:hAnsi="仿宋"/>
                                <w:spacing w:val="-6"/>
                              </w:rPr>
                            </w:pPr>
                            <w:r>
                              <w:rPr>
                                <w:rFonts w:hint="eastAsia"/>
                              </w:rPr>
                              <w:drawing>
                                <wp:inline distT="0" distB="0" distL="0" distR="0">
                                  <wp:extent cx="208915" cy="208915"/>
                                  <wp:effectExtent l="0" t="0" r="635" b="635"/>
                                  <wp:docPr id="8667120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2009" name="图片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flipV="1">
                                            <a:off x="0" y="0"/>
                                            <a:ext cx="208915" cy="208915"/>
                                          </a:xfrm>
                                          <a:prstGeom prst="rect">
                                            <a:avLst/>
                                          </a:prstGeom>
                                          <a:noFill/>
                                          <a:ln>
                                            <a:noFill/>
                                          </a:ln>
                                        </pic:spPr>
                                      </pic:pic>
                                    </a:graphicData>
                                  </a:graphic>
                                </wp:inline>
                              </w:drawing>
                            </w:r>
                            <w:r>
                              <w:rPr>
                                <w:rFonts w:hint="eastAsia"/>
                                <w:szCs w:val="21"/>
                              </w:rPr>
                              <w:t>地下水流向</w:t>
                            </w:r>
                          </w:p>
                          <w:p w14:paraId="609B4B24">
                            <w:pPr>
                              <w:spacing w:line="360" w:lineRule="auto"/>
                              <w:ind w:right="516" w:firstLine="516"/>
                              <w:contextualSpacing/>
                              <w:jc w:val="center"/>
                            </w:pPr>
                            <w:r>
                              <w:rPr>
                                <w:rFonts w:hint="eastAsia"/>
                                <w:szCs w:val="21"/>
                              </w:rPr>
                              <w:t xml:space="preserve"> </w:t>
                            </w:r>
                            <w:r>
                              <w:rPr>
                                <w:szCs w:val="21"/>
                              </w:rPr>
                              <w:t xml:space="preserve">   </w:t>
                            </w:r>
                            <w:r>
                              <w:rPr>
                                <w:rFonts w:hint="eastAsia"/>
                                <w:szCs w:val="21"/>
                              </w:rPr>
                              <w:t>本项目</w:t>
                            </w:r>
                          </w:p>
                        </w:txbxContent>
                      </wps:txbx>
                      <wps:bodyPr rot="0" vert="horz" wrap="square" lIns="91440" tIns="45720" rIns="91440" bIns="45720" anchor="t" anchorCtr="0" upright="1">
                        <a:noAutofit/>
                      </wps:bodyPr>
                    </wps:wsp>
                  </a:graphicData>
                </a:graphic>
              </wp:anchor>
            </w:drawing>
          </mc:Choice>
          <mc:Fallback>
            <w:pict>
              <v:rect id="Rectangle 339231" o:spid="_x0000_s1026" o:spt="1" style="position:absolute;left:0pt;margin-left:574.3pt;margin-top:298pt;height:88.9pt;width:122.2pt;z-index:251671552;mso-width-relative:page;mso-height-relative:page;" fillcolor="#FFFFFF" filled="t" stroked="t" coordsize="21600,21600" o:gfxdata="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">
                <v:fill on="t" focussize="0,0"/>
                <v:stroke color="#000000" miterlimit="8" joinstyle="miter"/>
                <v:imagedata o:title=""/>
                <o:lock v:ext="edit" aspectratio="f"/>
                <v:textbox>
                  <w:txbxContent>
                    <w:p w14:paraId="7DDAA64C">
                      <w:pPr>
                        <w:contextualSpacing/>
                        <w:jc w:val="center"/>
                      </w:pPr>
                      <w:r>
                        <w:rPr>
                          <w:rFonts w:hint="eastAsia"/>
                        </w:rPr>
                        <w:t>图例</w:t>
                      </w:r>
                    </w:p>
                    <w:p w14:paraId="4DCB6AD3">
                      <w:pPr>
                        <w:ind w:firstLine="518"/>
                        <w:contextualSpacing/>
                        <w:jc w:val="left"/>
                        <w:rPr>
                          <w:rFonts w:hAnsi="仿宋"/>
                          <w:spacing w:val="-6"/>
                        </w:rPr>
                      </w:pPr>
                      <w:r>
                        <w:rPr>
                          <w:rFonts w:hint="eastAsia"/>
                        </w:rPr>
                        <w:drawing>
                          <wp:inline distT="0" distB="0" distL="0" distR="0">
                            <wp:extent cx="208915" cy="208915"/>
                            <wp:effectExtent l="0" t="0" r="635" b="635"/>
                            <wp:docPr id="8667120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6712009" name="图片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flipV="1">
                                      <a:off x="0" y="0"/>
                                      <a:ext cx="208915" cy="208915"/>
                                    </a:xfrm>
                                    <a:prstGeom prst="rect">
                                      <a:avLst/>
                                    </a:prstGeom>
                                    <a:noFill/>
                                    <a:ln>
                                      <a:noFill/>
                                    </a:ln>
                                  </pic:spPr>
                                </pic:pic>
                              </a:graphicData>
                            </a:graphic>
                          </wp:inline>
                        </w:drawing>
                      </w:r>
                      <w:r>
                        <w:rPr>
                          <w:rFonts w:hint="eastAsia"/>
                          <w:szCs w:val="21"/>
                        </w:rPr>
                        <w:t>地下水流向</w:t>
                      </w:r>
                    </w:p>
                    <w:p w14:paraId="609B4B24">
                      <w:pPr>
                        <w:spacing w:line="360" w:lineRule="auto"/>
                        <w:ind w:right="516" w:firstLine="516"/>
                        <w:contextualSpacing/>
                        <w:jc w:val="center"/>
                      </w:pPr>
                      <w:r>
                        <w:rPr>
                          <w:rFonts w:hint="eastAsia"/>
                          <w:szCs w:val="21"/>
                        </w:rPr>
                        <w:t xml:space="preserve"> </w:t>
                      </w:r>
                      <w:r>
                        <w:rPr>
                          <w:szCs w:val="21"/>
                        </w:rPr>
                        <w:t xml:space="preserve">   </w:t>
                      </w:r>
                      <w:r>
                        <w:rPr>
                          <w:rFonts w:hint="eastAsia"/>
                          <w:szCs w:val="21"/>
                        </w:rPr>
                        <w:t>本项目</w:t>
                      </w:r>
                    </w:p>
                  </w:txbxContent>
                </v:textbox>
              </v:rect>
            </w:pict>
          </mc:Fallback>
        </mc:AlternateContent>
      </w:r>
      <w:r>
        <w:rPr>
          <w:color w:val="auto"/>
          <w:sz w:val="24"/>
        </w:rPr>
        <mc:AlternateContent>
          <mc:Choice Requires="wps">
            <w:drawing>
              <wp:anchor distT="0" distB="0" distL="114300" distR="114300" simplePos="0" relativeHeight="251672576" behindDoc="0" locked="0" layoutInCell="1" allowOverlap="1">
                <wp:simplePos x="0" y="0"/>
                <wp:positionH relativeFrom="column">
                  <wp:posOffset>6695440</wp:posOffset>
                </wp:positionH>
                <wp:positionV relativeFrom="paragraph">
                  <wp:posOffset>2614295</wp:posOffset>
                </wp:positionV>
                <wp:extent cx="189865" cy="189230"/>
                <wp:effectExtent l="27940" t="23495" r="20320" b="25400"/>
                <wp:wrapNone/>
                <wp:docPr id="1399053651" name="AutoShape 339230"/>
                <wp:cNvGraphicFramePr/>
                <a:graphic xmlns:a="http://schemas.openxmlformats.org/drawingml/2006/main">
                  <a:graphicData uri="http://schemas.microsoft.com/office/word/2010/wordprocessingShape">
                    <wps:wsp>
                      <wps:cNvSpPr>
                        <a:spLocks noChangeArrowheads="1"/>
                      </wps:cNvSpPr>
                      <wps:spPr bwMode="auto">
                        <a:xfrm>
                          <a:off x="0" y="0"/>
                          <a:ext cx="189865" cy="189230"/>
                        </a:xfrm>
                        <a:prstGeom prst="star5">
                          <a:avLst/>
                        </a:prstGeom>
                        <a:solidFill>
                          <a:srgbClr val="FF0000"/>
                        </a:solidFill>
                        <a:ln w="9525">
                          <a:solidFill>
                            <a:srgbClr val="000000"/>
                          </a:solidFill>
                          <a:miter lim="800000"/>
                        </a:ln>
                      </wps:spPr>
                      <wps:bodyPr rot="0" vert="horz" wrap="square" lIns="91440" tIns="45720" rIns="91440" bIns="45720" anchor="t" anchorCtr="0" upright="1">
                        <a:noAutofit/>
                      </wps:bodyPr>
                    </wps:wsp>
                  </a:graphicData>
                </a:graphic>
              </wp:anchor>
            </w:drawing>
          </mc:Choice>
          <mc:Fallback>
            <w:pict>
              <v:shape id="AutoShape 339230" o:spid="_x0000_s1026" style="position:absolute;left:0pt;margin-left:527.2pt;margin-top:205.85pt;height:14.9pt;width:14.95pt;z-index:251672576;mso-width-relative:page;mso-height-relative:page;" fillcolor="#FF0000" filled="t" stroked="t" coordsize="189865,189230" o:gfxdata="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CxeAIj2gAAAA0BAAAPAAAAAAAAAAEAIAAAACIAAABkcnMvZG93bnJldi54&#10;bWxQSwECFAAUAAAACACHTuJAVjgZRTECAACABAAADgAAAAAAAAABACAAAAApAQAAZHJzL2Uyb0Rv&#10;Yy54bWxQSwUGAAAAAAYABgBZAQAAzAUAAAAA&#10;" path="m0,72279l72522,72279,94932,0,117342,72279,189864,72279,131192,116950,153603,189229,94932,144557,36261,189229,58672,116950xe">
                <v:path o:connectlocs="94932,0;0,72279;36261,189229;153603,189229;189864,72279" o:connectangles="247,164,82,82,0"/>
                <v:fill on="t" focussize="0,0"/>
                <v:stroke color="#000000" miterlimit="8" joinstyle="miter"/>
                <v:imagedata o:title=""/>
                <o:lock v:ext="edit" aspectratio="f"/>
              </v:shape>
            </w:pict>
          </mc:Fallback>
        </mc:AlternateContent>
      </w:r>
      <w:r>
        <w:rPr>
          <w:color w:val="auto"/>
          <w:sz w:val="24"/>
        </w:rPr>
        <w:drawing>
          <wp:anchor distT="0" distB="0" distL="114300" distR="114300" simplePos="0" relativeHeight="251668480" behindDoc="0" locked="0" layoutInCell="1" allowOverlap="1">
            <wp:simplePos x="0" y="0"/>
            <wp:positionH relativeFrom="column">
              <wp:posOffset>7426960</wp:posOffset>
            </wp:positionH>
            <wp:positionV relativeFrom="paragraph">
              <wp:posOffset>4272915</wp:posOffset>
            </wp:positionV>
            <wp:extent cx="257175" cy="255905"/>
            <wp:effectExtent l="0" t="0" r="9525" b="10795"/>
            <wp:wrapNone/>
            <wp:docPr id="1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9"/>
                    <pic:cNvPicPr>
                      <a:picLocks noChangeAspect="1" noChangeArrowheads="1"/>
                    </pic:cNvPicPr>
                  </pic:nvPicPr>
                  <pic:blipFill>
                    <a:blip r:embed="rId31" cstate="print"/>
                    <a:srcRect/>
                    <a:stretch>
                      <a:fillRect/>
                    </a:stretch>
                  </pic:blipFill>
                  <pic:spPr>
                    <a:xfrm rot="10800000">
                      <a:off x="0" y="0"/>
                      <a:ext cx="257175" cy="255905"/>
                    </a:xfrm>
                    <a:prstGeom prst="rect">
                      <a:avLst/>
                    </a:prstGeom>
                    <a:noFill/>
                    <a:ln w="9525">
                      <a:noFill/>
                      <a:miter lim="800000"/>
                      <a:headEnd/>
                      <a:tailEnd/>
                    </a:ln>
                  </pic:spPr>
                </pic:pic>
              </a:graphicData>
            </a:graphic>
          </wp:anchor>
        </w:drawing>
      </w:r>
      <w:r>
        <w:rPr>
          <w:color w:val="auto"/>
          <w:sz w:val="24"/>
        </w:rPr>
        <w:drawing>
          <wp:anchor distT="0" distB="0" distL="114300" distR="114300" simplePos="0" relativeHeight="251670528" behindDoc="0" locked="0" layoutInCell="1" allowOverlap="1">
            <wp:simplePos x="0" y="0"/>
            <wp:positionH relativeFrom="column">
              <wp:posOffset>2277745</wp:posOffset>
            </wp:positionH>
            <wp:positionV relativeFrom="paragraph">
              <wp:posOffset>2138680</wp:posOffset>
            </wp:positionV>
            <wp:extent cx="234950" cy="239395"/>
            <wp:effectExtent l="6985" t="6350" r="24765" b="40005"/>
            <wp:wrapNone/>
            <wp:docPr id="26"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9"/>
                    <pic:cNvPicPr>
                      <a:picLocks noChangeAspect="1" noChangeArrowheads="1"/>
                    </pic:cNvPicPr>
                  </pic:nvPicPr>
                  <pic:blipFill>
                    <a:blip r:embed="rId32" cstate="print"/>
                    <a:srcRect/>
                    <a:stretch>
                      <a:fillRect/>
                    </a:stretch>
                  </pic:blipFill>
                  <pic:spPr>
                    <a:xfrm rot="11650217">
                      <a:off x="0" y="0"/>
                      <a:ext cx="234950" cy="239395"/>
                    </a:xfrm>
                    <a:prstGeom prst="rect">
                      <a:avLst/>
                    </a:prstGeom>
                    <a:noFill/>
                    <a:ln w="9525">
                      <a:noFill/>
                      <a:miter lim="800000"/>
                      <a:headEnd/>
                      <a:tailEnd/>
                    </a:ln>
                  </pic:spPr>
                </pic:pic>
              </a:graphicData>
            </a:graphic>
          </wp:anchor>
        </w:drawing>
      </w:r>
      <w:r>
        <w:rPr>
          <w:color w:val="auto"/>
          <w:sz w:val="24"/>
        </w:rPr>
        <w:drawing>
          <wp:anchor distT="0" distB="0" distL="114300" distR="114300" simplePos="0" relativeHeight="251669504" behindDoc="0" locked="0" layoutInCell="1" allowOverlap="1">
            <wp:simplePos x="0" y="0"/>
            <wp:positionH relativeFrom="column">
              <wp:posOffset>7417435</wp:posOffset>
            </wp:positionH>
            <wp:positionV relativeFrom="paragraph">
              <wp:posOffset>3859530</wp:posOffset>
            </wp:positionV>
            <wp:extent cx="264160" cy="180975"/>
            <wp:effectExtent l="19050" t="0" r="2481" b="0"/>
            <wp:wrapNone/>
            <wp:docPr id="21"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8"/>
                    <pic:cNvPicPr>
                      <a:picLocks noChangeAspect="1" noChangeArrowheads="1"/>
                    </pic:cNvPicPr>
                  </pic:nvPicPr>
                  <pic:blipFill>
                    <a:blip r:embed="rId33" cstate="print"/>
                    <a:srcRect/>
                    <a:stretch>
                      <a:fillRect/>
                    </a:stretch>
                  </pic:blipFill>
                  <pic:spPr>
                    <a:xfrm>
                      <a:off x="0" y="0"/>
                      <a:ext cx="264219" cy="180753"/>
                    </a:xfrm>
                    <a:prstGeom prst="rect">
                      <a:avLst/>
                    </a:prstGeom>
                    <a:noFill/>
                    <a:ln w="9525">
                      <a:noFill/>
                      <a:miter lim="800000"/>
                      <a:headEnd/>
                      <a:tailEnd/>
                    </a:ln>
                  </pic:spPr>
                </pic:pic>
              </a:graphicData>
            </a:graphic>
          </wp:anchor>
        </w:drawing>
      </w:r>
      <w:r>
        <w:rPr>
          <w:color w:val="auto"/>
        </w:rPr>
        <w:drawing>
          <wp:inline distT="0" distB="0" distL="114300" distR="114300">
            <wp:extent cx="8857615" cy="4893310"/>
            <wp:effectExtent l="0" t="0" r="635" b="2540"/>
            <wp:docPr id="3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2"/>
                    <pic:cNvPicPr>
                      <a:picLocks noChangeAspect="1"/>
                    </pic:cNvPicPr>
                  </pic:nvPicPr>
                  <pic:blipFill>
                    <a:blip r:embed="rId34"/>
                    <a:stretch>
                      <a:fillRect/>
                    </a:stretch>
                  </pic:blipFill>
                  <pic:spPr>
                    <a:xfrm>
                      <a:off x="0" y="0"/>
                      <a:ext cx="8857615" cy="4893310"/>
                    </a:xfrm>
                    <a:prstGeom prst="rect">
                      <a:avLst/>
                    </a:prstGeom>
                    <a:noFill/>
                    <a:ln>
                      <a:noFill/>
                    </a:ln>
                  </pic:spPr>
                </pic:pic>
              </a:graphicData>
            </a:graphic>
          </wp:inline>
        </w:drawing>
      </w:r>
    </w:p>
    <w:p w14:paraId="4D81EE97">
      <w:pPr>
        <w:pStyle w:val="76"/>
        <w:rPr>
          <w:color w:val="auto"/>
          <w:highlight w:val="none"/>
        </w:rPr>
      </w:pPr>
      <w:r>
        <w:rPr>
          <w:color w:val="auto"/>
          <w:highlight w:val="none"/>
        </w:rPr>
        <w:t>图</w:t>
      </w:r>
      <w:r>
        <w:rPr>
          <w:rFonts w:hint="eastAsia"/>
          <w:color w:val="auto"/>
          <w:highlight w:val="none"/>
        </w:rPr>
        <w:t>4-1-</w:t>
      </w:r>
      <w:r>
        <w:rPr>
          <w:rFonts w:hint="eastAsia"/>
          <w:color w:val="auto"/>
          <w:highlight w:val="none"/>
          <w:lang w:val="en-US" w:eastAsia="zh-CN"/>
        </w:rPr>
        <w:t>1</w:t>
      </w:r>
      <w:r>
        <w:rPr>
          <w:color w:val="auto"/>
          <w:highlight w:val="none"/>
        </w:rPr>
        <w:t>项目区水文地质图</w:t>
      </w:r>
    </w:p>
    <w:p w14:paraId="2170F421">
      <w:pPr>
        <w:spacing w:line="360" w:lineRule="auto"/>
        <w:ind w:firstLine="480" w:firstLineChars="200"/>
        <w:rPr>
          <w:color w:val="auto"/>
          <w:sz w:val="24"/>
        </w:rPr>
        <w:sectPr>
          <w:pgSz w:w="16838" w:h="11906" w:orient="landscape"/>
          <w:pgMar w:top="1800" w:right="1440" w:bottom="1800" w:left="1440" w:header="851" w:footer="992" w:gutter="0"/>
          <w:pgBorders>
            <w:top w:val="none" w:sz="0" w:space="0"/>
            <w:left w:val="none" w:sz="0" w:space="0"/>
            <w:bottom w:val="none" w:sz="0" w:space="0"/>
            <w:right w:val="none" w:sz="0" w:space="0"/>
          </w:pgBorders>
          <w:cols w:space="425" w:num="1"/>
          <w:docGrid w:type="lines" w:linePitch="312" w:charSpace="0"/>
        </w:sectPr>
      </w:pPr>
    </w:p>
    <w:p w14:paraId="4DFD2E67">
      <w:pPr>
        <w:spacing w:line="360" w:lineRule="auto"/>
        <w:rPr>
          <w:color w:val="auto"/>
          <w:sz w:val="24"/>
        </w:rPr>
      </w:pPr>
      <w:r>
        <w:rPr>
          <w:rFonts w:ascii="宋体" w:hAnsi="宋体" w:cs="宋体"/>
          <w:color w:val="auto"/>
          <w:sz w:val="24"/>
        </w:rPr>
        <w:drawing>
          <wp:inline distT="0" distB="0" distL="114300" distR="114300">
            <wp:extent cx="5248275" cy="2226945"/>
            <wp:effectExtent l="0" t="0" r="9525" b="1905"/>
            <wp:docPr id="36" name="图片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1" descr="IMG_256"/>
                    <pic:cNvPicPr>
                      <a:picLocks noChangeAspect="1"/>
                    </pic:cNvPicPr>
                  </pic:nvPicPr>
                  <pic:blipFill>
                    <a:blip r:embed="rId35"/>
                    <a:stretch>
                      <a:fillRect/>
                    </a:stretch>
                  </pic:blipFill>
                  <pic:spPr>
                    <a:xfrm>
                      <a:off x="0" y="0"/>
                      <a:ext cx="5248275" cy="2226945"/>
                    </a:xfrm>
                    <a:prstGeom prst="rect">
                      <a:avLst/>
                    </a:prstGeom>
                    <a:noFill/>
                    <a:ln w="9525">
                      <a:noFill/>
                    </a:ln>
                  </pic:spPr>
                </pic:pic>
              </a:graphicData>
            </a:graphic>
          </wp:inline>
        </w:drawing>
      </w:r>
    </w:p>
    <w:p w14:paraId="7A898E30">
      <w:pPr>
        <w:adjustRightInd w:val="0"/>
        <w:snapToGrid w:val="0"/>
        <w:spacing w:line="360" w:lineRule="auto"/>
        <w:jc w:val="center"/>
        <w:rPr>
          <w:b/>
          <w:bCs/>
          <w:color w:val="auto"/>
          <w:sz w:val="24"/>
        </w:rPr>
      </w:pPr>
      <w:r>
        <w:rPr>
          <w:rFonts w:ascii="宋体" w:hAnsi="宋体" w:cs="宋体"/>
          <w:color w:val="auto"/>
          <w:sz w:val="24"/>
        </w:rPr>
        <w:drawing>
          <wp:inline distT="0" distB="0" distL="114300" distR="114300">
            <wp:extent cx="3653155" cy="5804535"/>
            <wp:effectExtent l="0" t="0" r="4445" b="5715"/>
            <wp:docPr id="39" name="图片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3" descr="IMG_256"/>
                    <pic:cNvPicPr>
                      <a:picLocks noChangeAspect="1"/>
                    </pic:cNvPicPr>
                  </pic:nvPicPr>
                  <pic:blipFill>
                    <a:blip r:embed="rId36"/>
                    <a:stretch>
                      <a:fillRect/>
                    </a:stretch>
                  </pic:blipFill>
                  <pic:spPr>
                    <a:xfrm>
                      <a:off x="0" y="0"/>
                      <a:ext cx="3661294" cy="5816636"/>
                    </a:xfrm>
                    <a:prstGeom prst="rect">
                      <a:avLst/>
                    </a:prstGeom>
                    <a:noFill/>
                    <a:ln w="9525">
                      <a:noFill/>
                    </a:ln>
                  </pic:spPr>
                </pic:pic>
              </a:graphicData>
            </a:graphic>
          </wp:inline>
        </w:drawing>
      </w:r>
    </w:p>
    <w:p w14:paraId="219BCF23">
      <w:pPr>
        <w:pStyle w:val="76"/>
        <w:rPr>
          <w:color w:val="auto"/>
        </w:rPr>
      </w:pPr>
      <w:r>
        <w:rPr>
          <w:color w:val="auto"/>
        </w:rPr>
        <w:t>图</w:t>
      </w:r>
      <w:r>
        <w:rPr>
          <w:rFonts w:hint="eastAsia"/>
          <w:color w:val="auto"/>
        </w:rPr>
        <w:t>4-1-</w:t>
      </w:r>
      <w:r>
        <w:rPr>
          <w:rFonts w:hint="eastAsia"/>
          <w:color w:val="auto"/>
          <w:lang w:val="en-US" w:eastAsia="zh-CN"/>
        </w:rPr>
        <w:t>2</w:t>
      </w:r>
      <w:r>
        <w:rPr>
          <w:rFonts w:hint="eastAsia"/>
          <w:color w:val="auto"/>
        </w:rPr>
        <w:t>综合柱状图</w:t>
      </w:r>
    </w:p>
    <w:p w14:paraId="69EE7E3F">
      <w:pPr>
        <w:spacing w:line="360" w:lineRule="auto"/>
        <w:ind w:firstLine="480" w:firstLineChars="200"/>
        <w:rPr>
          <w:color w:val="auto"/>
          <w:sz w:val="24"/>
        </w:rPr>
      </w:pPr>
      <w:r>
        <w:rPr>
          <w:color w:val="auto"/>
          <w:sz w:val="24"/>
        </w:rPr>
        <w:t>（3）地下水动态</w:t>
      </w:r>
    </w:p>
    <w:p w14:paraId="76F3475B">
      <w:pPr>
        <w:pStyle w:val="59"/>
        <w:ind w:firstLine="480"/>
        <w:rPr>
          <w:color w:val="auto"/>
        </w:rPr>
      </w:pPr>
      <w:r>
        <w:rPr>
          <w:color w:val="auto"/>
        </w:rPr>
        <w:t>地下水位变化反映了补给、迳流、排泄在空间上和时间上的差异。河谷平原区地下水动态类型属于渗入-迳流-蒸发型。河谷平原孔隙潜水水位埋深一般小于5m，主要补给来源为河水及降水渗入。丰水期河流补给地下水，枯水期河流排泄地下水。地下水以侧向迳流与蒸发的形式排泄。水位动态变化曲线与降水曲线变化一致，呈偏单峰型。地下水补给、排泄迅速。年最大水位变幅2.30m。</w:t>
      </w:r>
    </w:p>
    <w:p w14:paraId="3070068B">
      <w:pPr>
        <w:pStyle w:val="59"/>
        <w:ind w:firstLine="480"/>
        <w:rPr>
          <w:color w:val="auto"/>
        </w:rPr>
      </w:pPr>
      <w:r>
        <w:rPr>
          <w:color w:val="auto"/>
        </w:rPr>
        <w:t>基岩山区地下水动态同样受气候条件影响显著。在雨季降水量大，山区裂隙水得到大量渗入补给而水位升高，水力坡度增大，地下水循环加速。11月至翌年5月，冬季冻结，地下水上下运移受到阻隔。根据以往资料，基岩裂隙水水位变幅2.7～3.5米，动态曲线呈偏单峰型，其峰值与大气降水曲线峰值相比，滞后半个月左右。</w:t>
      </w:r>
    </w:p>
    <w:p w14:paraId="663B0BF8">
      <w:pPr>
        <w:pStyle w:val="4"/>
        <w:spacing w:before="0" w:after="0" w:line="360" w:lineRule="auto"/>
        <w:ind w:firstLine="0" w:firstLineChars="0"/>
        <w:rPr>
          <w:rFonts w:ascii="Times New Roman" w:hAnsi="Times New Roman" w:cs="Times New Roman"/>
          <w:color w:val="auto"/>
          <w:sz w:val="24"/>
          <w:szCs w:val="24"/>
        </w:rPr>
      </w:pPr>
      <w:r>
        <w:rPr>
          <w:rFonts w:ascii="Times New Roman" w:hAnsi="Times New Roman" w:cs="Times New Roman"/>
          <w:color w:val="auto"/>
          <w:sz w:val="24"/>
          <w:szCs w:val="24"/>
        </w:rPr>
        <w:t>4.1.9土壤</w:t>
      </w:r>
    </w:p>
    <w:p w14:paraId="3721F904">
      <w:pPr>
        <w:pStyle w:val="59"/>
        <w:ind w:firstLine="480"/>
        <w:rPr>
          <w:color w:val="auto"/>
        </w:rPr>
      </w:pPr>
      <w:r>
        <w:rPr>
          <w:rFonts w:hint="eastAsia"/>
          <w:color w:val="auto"/>
        </w:rPr>
        <w:t>鸡西市</w:t>
      </w:r>
      <w:r>
        <w:rPr>
          <w:color w:val="auto"/>
        </w:rPr>
        <w:t>全市土壤面积21.19×10</w:t>
      </w:r>
      <w:r>
        <w:rPr>
          <w:color w:val="auto"/>
          <w:vertAlign w:val="superscript"/>
        </w:rPr>
        <w:t>4</w:t>
      </w:r>
      <w:r>
        <w:rPr>
          <w:color w:val="auto"/>
        </w:rPr>
        <w:t>hm</w:t>
      </w:r>
      <w:r>
        <w:rPr>
          <w:color w:val="auto"/>
          <w:vertAlign w:val="superscript"/>
        </w:rPr>
        <w:t>2</w:t>
      </w:r>
      <w:r>
        <w:rPr>
          <w:color w:val="auto"/>
        </w:rPr>
        <w:t>，占总面积94.87%，分七个土壤类型，18个土种。暗棕壤是境内面积最大、分布最广的土壤，占土壤总面积的70.5%，主要分布在梨树、麻山、滴道、城子河区和恒山区民主乡等地形坡度最大的地区；石质土占总面积2.42%，主要分布在梨树、恒山、柳毛等区、乡的山地；白浆土占总面积7.18%，主要分布在穆棱河两岸的漫岗阶地和山前缓丘台地地区；草甸土占总面积9.27%，主要分布在穆棱河两岸的漫岗阶地和支流两岸的漫岗阶地；沼泽土占总面积0.51%，主要分布在暖泉河、长青、麻山乡的季节性或长期积水的山间沟洼谷地及河流两岸的低洼地带；河淤土占总面积的3.13%，全市境内大小河流沿岸均有分布；水稻土占总面积1.85%，主要分布在穆棱河、黄泥河子、暖泉河和凤山河两岸地势平坦、水源充足的地方。</w:t>
      </w:r>
    </w:p>
    <w:bookmarkEnd w:id="115"/>
    <w:p w14:paraId="3229000F">
      <w:pPr>
        <w:pStyle w:val="548"/>
        <w:rPr>
          <w:color w:val="auto"/>
        </w:rPr>
      </w:pPr>
      <w:bookmarkStart w:id="120" w:name="_Toc149054205"/>
      <w:bookmarkStart w:id="121" w:name="_Toc119316802"/>
      <w:r>
        <w:rPr>
          <w:color w:val="auto"/>
        </w:rPr>
        <w:t>4.</w:t>
      </w:r>
      <w:r>
        <w:rPr>
          <w:rFonts w:hint="eastAsia"/>
          <w:color w:val="auto"/>
        </w:rPr>
        <w:t>2</w:t>
      </w:r>
      <w:r>
        <w:rPr>
          <w:color w:val="auto"/>
        </w:rPr>
        <w:t>环境质量现状调查</w:t>
      </w:r>
      <w:bookmarkEnd w:id="120"/>
      <w:bookmarkEnd w:id="121"/>
    </w:p>
    <w:p w14:paraId="552DAEFE">
      <w:pPr>
        <w:pStyle w:val="137"/>
        <w:rPr>
          <w:color w:val="auto"/>
        </w:rPr>
      </w:pPr>
      <w:r>
        <w:rPr>
          <w:color w:val="auto"/>
        </w:rPr>
        <w:t>4.</w:t>
      </w:r>
      <w:r>
        <w:rPr>
          <w:rFonts w:hint="eastAsia"/>
          <w:color w:val="auto"/>
        </w:rPr>
        <w:t>2</w:t>
      </w:r>
      <w:r>
        <w:rPr>
          <w:color w:val="auto"/>
        </w:rPr>
        <w:t>.1环境空气质量现状评价</w:t>
      </w:r>
    </w:p>
    <w:p w14:paraId="228812DA">
      <w:pPr>
        <w:pStyle w:val="135"/>
        <w:rPr>
          <w:color w:val="auto"/>
        </w:rPr>
      </w:pPr>
      <w:r>
        <w:rPr>
          <w:color w:val="auto"/>
        </w:rPr>
        <w:t>4.</w:t>
      </w:r>
      <w:r>
        <w:rPr>
          <w:rFonts w:hint="eastAsia"/>
          <w:color w:val="auto"/>
        </w:rPr>
        <w:t>2</w:t>
      </w:r>
      <w:r>
        <w:rPr>
          <w:color w:val="auto"/>
        </w:rPr>
        <w:t>.1.1区域基本污染物环境质量达标情况</w:t>
      </w:r>
    </w:p>
    <w:p w14:paraId="1C2D6C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sz w:val="24"/>
          <w:szCs w:val="24"/>
          <w:highlight w:val="none"/>
        </w:rPr>
        <w:t>根据</w:t>
      </w:r>
      <w:r>
        <w:rPr>
          <w:rFonts w:hint="eastAsia" w:cs="Times New Roman"/>
          <w:color w:val="auto"/>
          <w:sz w:val="24"/>
          <w:szCs w:val="24"/>
          <w:highlight w:val="none"/>
          <w:lang w:eastAsia="zh-CN"/>
        </w:rPr>
        <w:t>《2025年黑龙江省生态环境质量状况》（2026年1月）</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鸡西市空气质量级别达二级标准，</w:t>
      </w:r>
      <w:r>
        <w:rPr>
          <w:rFonts w:hint="eastAsia" w:cs="Times New Roman"/>
          <w:color w:val="auto"/>
          <w:sz w:val="24"/>
          <w:szCs w:val="24"/>
          <w:highlight w:val="none"/>
          <w:lang w:val="en-US" w:eastAsia="zh-CN"/>
        </w:rPr>
        <w:t>达标天数为350天</w:t>
      </w:r>
      <w:r>
        <w:rPr>
          <w:rFonts w:hint="default" w:ascii="Times New Roman" w:hAnsi="Times New Roman" w:cs="Times New Roman"/>
          <w:color w:val="auto"/>
          <w:sz w:val="24"/>
          <w:szCs w:val="24"/>
          <w:highlight w:val="none"/>
          <w:lang w:val="en-US" w:eastAsia="zh-CN"/>
        </w:rPr>
        <w:t>（95.9%）</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lang w:val="en-US" w:eastAsia="zh-CN"/>
        </w:rPr>
        <w:t>、PM</w:t>
      </w:r>
      <w:r>
        <w:rPr>
          <w:rFonts w:hint="default" w:ascii="Times New Roman" w:hAnsi="Times New Roman" w:cs="Times New Roman"/>
          <w:color w:val="auto"/>
          <w:sz w:val="24"/>
          <w:szCs w:val="24"/>
          <w:highlight w:val="none"/>
          <w:vertAlign w:val="subscript"/>
          <w:lang w:val="en-US" w:eastAsia="zh-CN"/>
        </w:rPr>
        <w:t>10</w:t>
      </w:r>
      <w:r>
        <w:rPr>
          <w:rFonts w:hint="default" w:ascii="Times New Roman" w:hAnsi="Times New Roman" w:cs="Times New Roman"/>
          <w:color w:val="auto"/>
          <w:sz w:val="24"/>
          <w:szCs w:val="24"/>
          <w:highlight w:val="none"/>
          <w:lang w:val="en-US" w:eastAsia="zh-CN"/>
        </w:rPr>
        <w:t>、SO</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、NO</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、CO-95per、O</w:t>
      </w:r>
      <w:r>
        <w:rPr>
          <w:rFonts w:hint="default" w:ascii="Times New Roman" w:hAnsi="Times New Roman" w:cs="Times New Roman"/>
          <w:color w:val="auto"/>
          <w:sz w:val="24"/>
          <w:szCs w:val="24"/>
          <w:highlight w:val="none"/>
          <w:vertAlign w:val="subscript"/>
          <w:lang w:val="en-US" w:eastAsia="zh-CN"/>
        </w:rPr>
        <w:t>3</w:t>
      </w:r>
      <w:r>
        <w:rPr>
          <w:rFonts w:hint="default" w:ascii="Times New Roman" w:hAnsi="Times New Roman" w:cs="Times New Roman"/>
          <w:color w:val="auto"/>
          <w:sz w:val="24"/>
          <w:szCs w:val="24"/>
          <w:highlight w:val="none"/>
          <w:lang w:val="en-US" w:eastAsia="zh-CN"/>
        </w:rPr>
        <w:t>-8h-90per年均浓度分别为2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default" w:ascii="Times New Roman" w:hAnsi="Times New Roman" w:cs="Times New Roman"/>
          <w:color w:val="auto"/>
          <w:sz w:val="24"/>
          <w:szCs w:val="24"/>
          <w:highlight w:val="none"/>
          <w:lang w:val="en-US" w:eastAsia="zh-CN"/>
        </w:rPr>
        <w:t>4</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、8</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、1</w:t>
      </w:r>
      <w:r>
        <w:rPr>
          <w:rFonts w:hint="default" w:ascii="Times New Roman" w:hAnsi="Times New Roman"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0.9</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、和</w:t>
      </w:r>
      <w:r>
        <w:rPr>
          <w:rFonts w:hint="eastAsia" w:cs="Times New Roman"/>
          <w:color w:val="auto"/>
          <w:sz w:val="24"/>
          <w:szCs w:val="24"/>
          <w:highlight w:val="none"/>
          <w:vertAlign w:val="baseline"/>
          <w:lang w:val="en-US" w:eastAsia="zh-CN"/>
        </w:rPr>
        <w:t>115</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default" w:ascii="Times New Roman" w:hAnsi="Times New Roman" w:eastAsia="宋体" w:cs="Times New Roman"/>
          <w:color w:val="auto"/>
          <w:kern w:val="21"/>
          <w:sz w:val="24"/>
          <w:szCs w:val="24"/>
          <w:highlight w:val="none"/>
          <w:lang w:val="en-US" w:eastAsia="zh-CN"/>
        </w:rPr>
        <w:t>均满足</w:t>
      </w:r>
      <w:r>
        <w:rPr>
          <w:rFonts w:hint="default" w:ascii="Times New Roman" w:hAnsi="Times New Roman" w:eastAsia="宋体" w:cs="Times New Roman"/>
          <w:color w:val="auto"/>
          <w:kern w:val="21"/>
          <w:sz w:val="24"/>
          <w:szCs w:val="24"/>
          <w:highlight w:val="none"/>
        </w:rPr>
        <w:t>《环境空气质量标准》（GB3095-20</w:t>
      </w:r>
      <w:r>
        <w:rPr>
          <w:rFonts w:hint="eastAsia" w:cs="Times New Roman"/>
          <w:color w:val="auto"/>
          <w:kern w:val="21"/>
          <w:sz w:val="24"/>
          <w:szCs w:val="24"/>
          <w:highlight w:val="none"/>
          <w:lang w:val="en-US" w:eastAsia="zh-CN"/>
        </w:rPr>
        <w:t>26</w:t>
      </w:r>
      <w:r>
        <w:rPr>
          <w:rFonts w:hint="default" w:ascii="Times New Roman" w:hAnsi="Times New Roman" w:eastAsia="宋体" w:cs="Times New Roman"/>
          <w:color w:val="auto"/>
          <w:kern w:val="21"/>
          <w:sz w:val="24"/>
          <w:szCs w:val="24"/>
          <w:highlight w:val="none"/>
        </w:rPr>
        <w:t>）中</w:t>
      </w:r>
      <w:r>
        <w:rPr>
          <w:rFonts w:hint="eastAsia" w:cs="Times New Roman"/>
          <w:color w:val="auto"/>
          <w:kern w:val="21"/>
          <w:sz w:val="24"/>
          <w:szCs w:val="24"/>
          <w:highlight w:val="none"/>
          <w:lang w:eastAsia="zh-CN"/>
        </w:rPr>
        <w:t>过渡阶段</w:t>
      </w:r>
      <w:r>
        <w:rPr>
          <w:rFonts w:hint="default" w:ascii="Times New Roman" w:hAnsi="Times New Roman" w:eastAsia="宋体" w:cs="Times New Roman"/>
          <w:color w:val="auto"/>
          <w:kern w:val="21"/>
          <w:sz w:val="24"/>
          <w:szCs w:val="24"/>
          <w:highlight w:val="none"/>
        </w:rPr>
        <w:t>二级标准</w:t>
      </w:r>
      <w:r>
        <w:rPr>
          <w:rFonts w:hint="default" w:ascii="Times New Roman" w:hAnsi="Times New Roman" w:eastAsia="宋体" w:cs="Times New Roman"/>
          <w:color w:val="auto"/>
          <w:kern w:val="21"/>
          <w:sz w:val="24"/>
          <w:szCs w:val="24"/>
          <w:highlight w:val="none"/>
          <w:lang w:eastAsia="zh-CN"/>
        </w:rPr>
        <w:t>，</w:t>
      </w:r>
      <w:r>
        <w:rPr>
          <w:rFonts w:hint="default" w:ascii="Times New Roman" w:hAnsi="Times New Roman" w:eastAsia="宋体" w:cs="Times New Roman"/>
          <w:color w:val="auto"/>
          <w:kern w:val="21"/>
          <w:sz w:val="24"/>
          <w:szCs w:val="24"/>
          <w:highlight w:val="none"/>
        </w:rPr>
        <w:t>项目所在区域为达标区。</w:t>
      </w:r>
    </w:p>
    <w:p w14:paraId="42D9E68D">
      <w:pPr>
        <w:pStyle w:val="135"/>
        <w:rPr>
          <w:color w:val="auto"/>
        </w:rPr>
      </w:pPr>
      <w:r>
        <w:rPr>
          <w:color w:val="auto"/>
        </w:rPr>
        <w:t>4.</w:t>
      </w:r>
      <w:r>
        <w:rPr>
          <w:rFonts w:hint="eastAsia"/>
          <w:color w:val="auto"/>
        </w:rPr>
        <w:t>2</w:t>
      </w:r>
      <w:r>
        <w:rPr>
          <w:color w:val="auto"/>
        </w:rPr>
        <w:t>.1.2其他污染物环境质量达标情况</w:t>
      </w:r>
    </w:p>
    <w:p w14:paraId="42B023CD">
      <w:pPr>
        <w:pStyle w:val="59"/>
        <w:ind w:firstLine="480"/>
        <w:rPr>
          <w:color w:val="auto"/>
        </w:rPr>
      </w:pPr>
      <w:r>
        <w:rPr>
          <w:rFonts w:hint="eastAsia"/>
          <w:color w:val="auto"/>
        </w:rPr>
        <w:t>（1）监测时间及监测项目</w:t>
      </w:r>
    </w:p>
    <w:p w14:paraId="7873854E">
      <w:pPr>
        <w:pStyle w:val="59"/>
        <w:ind w:firstLine="480"/>
        <w:rPr>
          <w:color w:val="auto"/>
        </w:rPr>
      </w:pPr>
      <w:r>
        <w:rPr>
          <w:rFonts w:hint="default" w:ascii="Times New Roman" w:hAnsi="Times New Roman" w:eastAsia="宋体"/>
          <w:color w:val="auto"/>
        </w:rPr>
        <w:t>本项目</w:t>
      </w:r>
      <w:r>
        <w:rPr>
          <w:rFonts w:ascii="Times New Roman" w:hAnsi="Times New Roman" w:eastAsia="宋体"/>
          <w:color w:val="auto"/>
        </w:rPr>
        <w:t>委托</w:t>
      </w:r>
      <w:r>
        <w:rPr>
          <w:rFonts w:hint="eastAsia" w:ascii="Times New Roman" w:hAnsi="Times New Roman" w:eastAsia="宋体"/>
          <w:color w:val="auto"/>
          <w:lang w:eastAsia="zh-CN"/>
        </w:rPr>
        <w:t>鸡西晟</w:t>
      </w:r>
      <w:r>
        <w:rPr>
          <w:rFonts w:hint="eastAsia"/>
          <w:color w:val="auto"/>
          <w:lang w:eastAsia="zh-CN"/>
        </w:rPr>
        <w:t>源环境检测有限公司</w:t>
      </w:r>
      <w:r>
        <w:rPr>
          <w:color w:val="auto"/>
        </w:rPr>
        <w:t>于202</w:t>
      </w:r>
      <w:r>
        <w:rPr>
          <w:rFonts w:hint="eastAsia"/>
          <w:color w:val="auto"/>
          <w:lang w:val="en-US" w:eastAsia="zh-CN"/>
        </w:rPr>
        <w:t>6</w:t>
      </w:r>
      <w:r>
        <w:rPr>
          <w:color w:val="auto"/>
        </w:rPr>
        <w:t>年</w:t>
      </w:r>
      <w:r>
        <w:rPr>
          <w:rFonts w:hint="eastAsia"/>
          <w:color w:val="auto"/>
          <w:lang w:val="en-US" w:eastAsia="zh-CN"/>
        </w:rPr>
        <w:t>7</w:t>
      </w:r>
      <w:r>
        <w:rPr>
          <w:color w:val="auto"/>
        </w:rPr>
        <w:t>月</w:t>
      </w:r>
      <w:r>
        <w:rPr>
          <w:rFonts w:hint="eastAsia"/>
          <w:color w:val="auto"/>
          <w:lang w:val="en-US" w:eastAsia="zh-CN"/>
        </w:rPr>
        <w:t>4</w:t>
      </w:r>
      <w:r>
        <w:rPr>
          <w:color w:val="auto"/>
        </w:rPr>
        <w:t>日~</w:t>
      </w:r>
      <w:r>
        <w:rPr>
          <w:rFonts w:hint="eastAsia"/>
          <w:color w:val="auto"/>
          <w:lang w:val="en-US" w:eastAsia="zh-CN"/>
        </w:rPr>
        <w:t>10</w:t>
      </w:r>
      <w:r>
        <w:rPr>
          <w:color w:val="auto"/>
        </w:rPr>
        <w:t>日对本项目</w:t>
      </w:r>
      <w:r>
        <w:rPr>
          <w:rFonts w:hint="eastAsia"/>
          <w:color w:val="auto"/>
        </w:rPr>
        <w:t>场</w:t>
      </w:r>
      <w:r>
        <w:rPr>
          <w:color w:val="auto"/>
        </w:rPr>
        <w:t>址及下风向处的TSP其他污染物进行现状监测。</w:t>
      </w:r>
    </w:p>
    <w:p w14:paraId="3E084BB2">
      <w:pPr>
        <w:pStyle w:val="59"/>
        <w:ind w:firstLine="480"/>
        <w:rPr>
          <w:color w:val="auto"/>
        </w:rPr>
      </w:pPr>
      <w:r>
        <w:rPr>
          <w:color w:val="auto"/>
        </w:rPr>
        <w:t>（2）监测点布设</w:t>
      </w:r>
    </w:p>
    <w:p w14:paraId="02270A08">
      <w:pPr>
        <w:pStyle w:val="59"/>
        <w:ind w:firstLine="480"/>
        <w:rPr>
          <w:color w:val="auto"/>
        </w:rPr>
      </w:pPr>
      <w:r>
        <w:rPr>
          <w:color w:val="auto"/>
        </w:rPr>
        <w:t>根据《环境影响评价技术导则 大气环境》（HJ2.2-2018），补充监测布点以近20年的当地主导风向为轴向，在厂址及主导风向下风向5km范围内设置1~2个监测点。</w:t>
      </w:r>
    </w:p>
    <w:p w14:paraId="013C1F3E">
      <w:pPr>
        <w:pStyle w:val="59"/>
        <w:ind w:firstLine="480"/>
        <w:rPr>
          <w:color w:val="auto"/>
        </w:rPr>
      </w:pPr>
      <w:r>
        <w:rPr>
          <w:rFonts w:hint="eastAsia"/>
          <w:color w:val="auto"/>
        </w:rPr>
        <w:t>项目区主导风向为</w:t>
      </w:r>
      <w:r>
        <w:rPr>
          <w:color w:val="auto"/>
        </w:rPr>
        <w:t>W</w:t>
      </w:r>
      <w:r>
        <w:rPr>
          <w:rFonts w:hint="eastAsia"/>
          <w:color w:val="auto"/>
        </w:rPr>
        <w:t>，在</w:t>
      </w:r>
      <w:r>
        <w:rPr>
          <w:color w:val="auto"/>
        </w:rPr>
        <w:t>项目所处区域共布设2处监测点</w:t>
      </w:r>
      <w:r>
        <w:rPr>
          <w:rFonts w:hint="eastAsia"/>
          <w:color w:val="auto"/>
        </w:rPr>
        <w:t>，分别为项目区和项目区</w:t>
      </w:r>
      <w:r>
        <w:rPr>
          <w:color w:val="auto"/>
        </w:rPr>
        <w:t>主导风向</w:t>
      </w:r>
      <w:r>
        <w:rPr>
          <w:rFonts w:hint="eastAsia"/>
          <w:color w:val="auto"/>
        </w:rPr>
        <w:t>下风向</w:t>
      </w:r>
      <w:r>
        <w:rPr>
          <w:color w:val="auto"/>
        </w:rPr>
        <w:t>。各监测点的情况见</w:t>
      </w:r>
      <w:r>
        <w:rPr>
          <w:rFonts w:hint="eastAsia"/>
          <w:color w:val="auto"/>
        </w:rPr>
        <w:t>下表</w:t>
      </w:r>
      <w:r>
        <w:rPr>
          <w:color w:val="auto"/>
        </w:rPr>
        <w:t>，监测布点图见</w:t>
      </w:r>
      <w:r>
        <w:rPr>
          <w:rFonts w:hint="eastAsia"/>
          <w:color w:val="auto"/>
        </w:rPr>
        <w:t>下图</w:t>
      </w:r>
      <w:r>
        <w:rPr>
          <w:color w:val="auto"/>
        </w:rPr>
        <w:t>。</w:t>
      </w:r>
    </w:p>
    <w:p w14:paraId="6DA3187F">
      <w:pPr>
        <w:pStyle w:val="76"/>
        <w:rPr>
          <w:color w:val="auto"/>
        </w:rPr>
      </w:pPr>
      <w:r>
        <w:rPr>
          <w:color w:val="auto"/>
        </w:rPr>
        <w:t>表4-</w:t>
      </w:r>
      <w:r>
        <w:rPr>
          <w:rFonts w:hint="eastAsia"/>
          <w:color w:val="auto"/>
        </w:rPr>
        <w:t>2</w:t>
      </w:r>
      <w:r>
        <w:rPr>
          <w:color w:val="auto"/>
        </w:rPr>
        <w:t>-1其他污染物补充监测点基本信息</w:t>
      </w:r>
    </w:p>
    <w:tbl>
      <w:tblPr>
        <w:tblStyle w:val="45"/>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13"/>
        <w:gridCol w:w="1545"/>
        <w:gridCol w:w="1636"/>
        <w:gridCol w:w="828"/>
        <w:gridCol w:w="1656"/>
        <w:gridCol w:w="1212"/>
        <w:gridCol w:w="1225"/>
      </w:tblGrid>
      <w:tr w14:paraId="632C0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5" w:hRule="atLeast"/>
        </w:trPr>
        <w:tc>
          <w:tcPr>
            <w:tcW w:w="507" w:type="pct"/>
            <w:vMerge w:val="restart"/>
            <w:tcBorders>
              <w:top w:val="single" w:color="000000" w:sz="12" w:space="0"/>
              <w:left w:val="nil"/>
              <w:bottom w:val="single" w:color="000000" w:sz="4" w:space="0"/>
              <w:right w:val="single" w:color="000000" w:sz="4" w:space="0"/>
            </w:tcBorders>
            <w:vAlign w:val="center"/>
          </w:tcPr>
          <w:p w14:paraId="74638C7E">
            <w:pPr>
              <w:adjustRightInd w:val="0"/>
              <w:snapToGrid w:val="0"/>
              <w:spacing w:line="0" w:lineRule="atLeast"/>
              <w:jc w:val="center"/>
              <w:rPr>
                <w:color w:val="auto"/>
                <w:szCs w:val="21"/>
              </w:rPr>
            </w:pPr>
            <w:r>
              <w:rPr>
                <w:color w:val="auto"/>
                <w:szCs w:val="21"/>
              </w:rPr>
              <w:t>监测点名称</w:t>
            </w:r>
          </w:p>
        </w:tc>
        <w:tc>
          <w:tcPr>
            <w:tcW w:w="1764" w:type="pct"/>
            <w:gridSpan w:val="2"/>
            <w:tcBorders>
              <w:top w:val="single" w:color="000000" w:sz="12" w:space="0"/>
              <w:left w:val="single" w:color="000000" w:sz="4" w:space="0"/>
              <w:bottom w:val="single" w:color="auto" w:sz="4" w:space="0"/>
              <w:right w:val="single" w:color="000000" w:sz="4" w:space="0"/>
            </w:tcBorders>
            <w:vAlign w:val="center"/>
          </w:tcPr>
          <w:p w14:paraId="47693BD7">
            <w:pPr>
              <w:adjustRightInd w:val="0"/>
              <w:snapToGrid w:val="0"/>
              <w:spacing w:line="0" w:lineRule="atLeast"/>
              <w:jc w:val="center"/>
              <w:rPr>
                <w:color w:val="auto"/>
                <w:kern w:val="0"/>
                <w:szCs w:val="21"/>
              </w:rPr>
            </w:pPr>
            <w:r>
              <w:rPr>
                <w:color w:val="auto"/>
                <w:kern w:val="0"/>
                <w:szCs w:val="21"/>
              </w:rPr>
              <w:t>监测点坐标/°</w:t>
            </w:r>
          </w:p>
        </w:tc>
        <w:tc>
          <w:tcPr>
            <w:tcW w:w="459" w:type="pct"/>
            <w:vMerge w:val="restart"/>
            <w:tcBorders>
              <w:top w:val="single" w:color="000000" w:sz="12" w:space="0"/>
              <w:left w:val="single" w:color="000000" w:sz="4" w:space="0"/>
              <w:bottom w:val="single" w:color="000000" w:sz="4" w:space="0"/>
              <w:right w:val="single" w:color="000000" w:sz="4" w:space="0"/>
            </w:tcBorders>
            <w:vAlign w:val="center"/>
          </w:tcPr>
          <w:p w14:paraId="7C6FE918">
            <w:pPr>
              <w:adjustRightInd w:val="0"/>
              <w:snapToGrid w:val="0"/>
              <w:spacing w:line="0" w:lineRule="atLeast"/>
              <w:jc w:val="center"/>
              <w:rPr>
                <w:color w:val="auto"/>
                <w:kern w:val="0"/>
                <w:szCs w:val="21"/>
              </w:rPr>
            </w:pPr>
            <w:r>
              <w:rPr>
                <w:color w:val="auto"/>
                <w:kern w:val="0"/>
                <w:szCs w:val="21"/>
              </w:rPr>
              <w:t>监测因子</w:t>
            </w:r>
          </w:p>
        </w:tc>
        <w:tc>
          <w:tcPr>
            <w:tcW w:w="918" w:type="pct"/>
            <w:vMerge w:val="restart"/>
            <w:tcBorders>
              <w:top w:val="single" w:color="000000" w:sz="12" w:space="0"/>
              <w:left w:val="single" w:color="000000" w:sz="4" w:space="0"/>
              <w:bottom w:val="single" w:color="000000" w:sz="4" w:space="0"/>
              <w:right w:val="single" w:color="000000" w:sz="4" w:space="0"/>
            </w:tcBorders>
            <w:vAlign w:val="center"/>
          </w:tcPr>
          <w:p w14:paraId="20490DA6">
            <w:pPr>
              <w:adjustRightInd w:val="0"/>
              <w:snapToGrid w:val="0"/>
              <w:spacing w:line="0" w:lineRule="atLeast"/>
              <w:jc w:val="center"/>
              <w:rPr>
                <w:color w:val="auto"/>
                <w:szCs w:val="21"/>
              </w:rPr>
            </w:pPr>
            <w:r>
              <w:rPr>
                <w:color w:val="auto"/>
                <w:szCs w:val="21"/>
              </w:rPr>
              <w:t>监测时段</w:t>
            </w:r>
          </w:p>
        </w:tc>
        <w:tc>
          <w:tcPr>
            <w:tcW w:w="672" w:type="pct"/>
            <w:vMerge w:val="restart"/>
            <w:tcBorders>
              <w:top w:val="single" w:color="000000" w:sz="12" w:space="0"/>
              <w:left w:val="single" w:color="000000" w:sz="4" w:space="0"/>
              <w:bottom w:val="single" w:color="000000" w:sz="4" w:space="0"/>
              <w:right w:val="single" w:color="000000" w:sz="4" w:space="0"/>
            </w:tcBorders>
            <w:vAlign w:val="center"/>
          </w:tcPr>
          <w:p w14:paraId="5424C46A">
            <w:pPr>
              <w:adjustRightInd w:val="0"/>
              <w:snapToGrid w:val="0"/>
              <w:spacing w:line="0" w:lineRule="atLeast"/>
              <w:jc w:val="center"/>
              <w:rPr>
                <w:color w:val="auto"/>
                <w:szCs w:val="21"/>
              </w:rPr>
            </w:pPr>
            <w:r>
              <w:rPr>
                <w:color w:val="auto"/>
                <w:szCs w:val="21"/>
              </w:rPr>
              <w:t>相对厂址方位</w:t>
            </w:r>
          </w:p>
        </w:tc>
        <w:tc>
          <w:tcPr>
            <w:tcW w:w="679" w:type="pct"/>
            <w:vMerge w:val="restart"/>
            <w:tcBorders>
              <w:top w:val="single" w:color="000000" w:sz="12" w:space="0"/>
              <w:left w:val="single" w:color="000000" w:sz="4" w:space="0"/>
              <w:bottom w:val="single" w:color="000000" w:sz="4" w:space="0"/>
              <w:right w:val="nil"/>
            </w:tcBorders>
            <w:vAlign w:val="center"/>
          </w:tcPr>
          <w:p w14:paraId="76096BB2">
            <w:pPr>
              <w:adjustRightInd w:val="0"/>
              <w:snapToGrid w:val="0"/>
              <w:spacing w:line="0" w:lineRule="atLeast"/>
              <w:jc w:val="center"/>
              <w:rPr>
                <w:color w:val="auto"/>
                <w:szCs w:val="21"/>
              </w:rPr>
            </w:pPr>
            <w:r>
              <w:rPr>
                <w:color w:val="auto"/>
                <w:szCs w:val="21"/>
              </w:rPr>
              <w:t>相对厂界距离/m</w:t>
            </w:r>
          </w:p>
        </w:tc>
      </w:tr>
      <w:tr w14:paraId="30EC0D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90" w:hRule="atLeast"/>
        </w:trPr>
        <w:tc>
          <w:tcPr>
            <w:tcW w:w="0" w:type="auto"/>
            <w:vMerge w:val="continue"/>
            <w:tcBorders>
              <w:top w:val="single" w:color="000000" w:sz="12" w:space="0"/>
              <w:left w:val="nil"/>
              <w:bottom w:val="single" w:color="000000" w:sz="4" w:space="0"/>
              <w:right w:val="single" w:color="000000" w:sz="4" w:space="0"/>
            </w:tcBorders>
            <w:vAlign w:val="center"/>
          </w:tcPr>
          <w:p w14:paraId="5A3DACA1">
            <w:pPr>
              <w:widowControl/>
              <w:jc w:val="left"/>
              <w:rPr>
                <w:color w:val="auto"/>
                <w:szCs w:val="21"/>
              </w:rPr>
            </w:pPr>
          </w:p>
        </w:tc>
        <w:tc>
          <w:tcPr>
            <w:tcW w:w="857" w:type="pct"/>
            <w:tcBorders>
              <w:top w:val="single" w:color="auto" w:sz="4" w:space="0"/>
              <w:left w:val="single" w:color="000000" w:sz="4" w:space="0"/>
              <w:bottom w:val="single" w:color="000000" w:sz="4" w:space="0"/>
              <w:right w:val="single" w:color="auto" w:sz="4" w:space="0"/>
            </w:tcBorders>
            <w:vAlign w:val="center"/>
          </w:tcPr>
          <w:p w14:paraId="62EA9485">
            <w:pPr>
              <w:adjustRightInd w:val="0"/>
              <w:snapToGrid w:val="0"/>
              <w:spacing w:line="0" w:lineRule="atLeast"/>
              <w:jc w:val="center"/>
              <w:rPr>
                <w:color w:val="auto"/>
                <w:kern w:val="0"/>
                <w:szCs w:val="21"/>
              </w:rPr>
            </w:pPr>
            <w:r>
              <w:rPr>
                <w:color w:val="auto"/>
                <w:kern w:val="0"/>
                <w:szCs w:val="21"/>
              </w:rPr>
              <w:t>X</w:t>
            </w:r>
          </w:p>
        </w:tc>
        <w:tc>
          <w:tcPr>
            <w:tcW w:w="907" w:type="pct"/>
            <w:tcBorders>
              <w:top w:val="single" w:color="auto" w:sz="4" w:space="0"/>
              <w:left w:val="single" w:color="auto" w:sz="4" w:space="0"/>
              <w:bottom w:val="single" w:color="000000" w:sz="4" w:space="0"/>
              <w:right w:val="single" w:color="000000" w:sz="4" w:space="0"/>
            </w:tcBorders>
            <w:vAlign w:val="center"/>
          </w:tcPr>
          <w:p w14:paraId="374560B2">
            <w:pPr>
              <w:adjustRightInd w:val="0"/>
              <w:snapToGrid w:val="0"/>
              <w:spacing w:line="0" w:lineRule="atLeast"/>
              <w:jc w:val="center"/>
              <w:rPr>
                <w:color w:val="auto"/>
                <w:kern w:val="0"/>
                <w:szCs w:val="21"/>
              </w:rPr>
            </w:pPr>
            <w:r>
              <w:rPr>
                <w:color w:val="auto"/>
                <w:kern w:val="0"/>
                <w:szCs w:val="21"/>
              </w:rPr>
              <w:t>Y</w:t>
            </w:r>
          </w:p>
        </w:tc>
        <w:tc>
          <w:tcPr>
            <w:tcW w:w="459" w:type="pct"/>
            <w:vMerge w:val="continue"/>
            <w:tcBorders>
              <w:top w:val="single" w:color="000000" w:sz="12" w:space="0"/>
              <w:left w:val="single" w:color="000000" w:sz="4" w:space="0"/>
              <w:bottom w:val="single" w:color="000000" w:sz="4" w:space="0"/>
              <w:right w:val="single" w:color="000000" w:sz="4" w:space="0"/>
            </w:tcBorders>
            <w:vAlign w:val="center"/>
          </w:tcPr>
          <w:p w14:paraId="23571010">
            <w:pPr>
              <w:widowControl/>
              <w:jc w:val="left"/>
              <w:rPr>
                <w:color w:val="auto"/>
                <w:kern w:val="0"/>
                <w:szCs w:val="21"/>
              </w:rPr>
            </w:pPr>
          </w:p>
        </w:tc>
        <w:tc>
          <w:tcPr>
            <w:tcW w:w="918" w:type="pct"/>
            <w:vMerge w:val="continue"/>
            <w:tcBorders>
              <w:top w:val="single" w:color="000000" w:sz="12" w:space="0"/>
              <w:left w:val="single" w:color="000000" w:sz="4" w:space="0"/>
              <w:bottom w:val="single" w:color="000000" w:sz="4" w:space="0"/>
              <w:right w:val="single" w:color="000000" w:sz="4" w:space="0"/>
            </w:tcBorders>
            <w:vAlign w:val="center"/>
          </w:tcPr>
          <w:p w14:paraId="0F1A5E62">
            <w:pPr>
              <w:widowControl/>
              <w:jc w:val="left"/>
              <w:rPr>
                <w:color w:val="auto"/>
                <w:szCs w:val="21"/>
              </w:rPr>
            </w:pPr>
          </w:p>
        </w:tc>
        <w:tc>
          <w:tcPr>
            <w:tcW w:w="0" w:type="auto"/>
            <w:vMerge w:val="continue"/>
            <w:tcBorders>
              <w:top w:val="single" w:color="000000" w:sz="12" w:space="0"/>
              <w:left w:val="single" w:color="000000" w:sz="4" w:space="0"/>
              <w:bottom w:val="single" w:color="000000" w:sz="4" w:space="0"/>
              <w:right w:val="single" w:color="000000" w:sz="4" w:space="0"/>
            </w:tcBorders>
            <w:vAlign w:val="center"/>
          </w:tcPr>
          <w:p w14:paraId="37849AEC">
            <w:pPr>
              <w:widowControl/>
              <w:jc w:val="left"/>
              <w:rPr>
                <w:color w:val="auto"/>
                <w:szCs w:val="21"/>
              </w:rPr>
            </w:pPr>
          </w:p>
        </w:tc>
        <w:tc>
          <w:tcPr>
            <w:tcW w:w="0" w:type="auto"/>
            <w:vMerge w:val="continue"/>
            <w:tcBorders>
              <w:top w:val="single" w:color="000000" w:sz="12" w:space="0"/>
              <w:left w:val="single" w:color="000000" w:sz="4" w:space="0"/>
              <w:bottom w:val="single" w:color="000000" w:sz="4" w:space="0"/>
              <w:right w:val="nil"/>
            </w:tcBorders>
            <w:vAlign w:val="center"/>
          </w:tcPr>
          <w:p w14:paraId="085DFB2A">
            <w:pPr>
              <w:widowControl/>
              <w:jc w:val="left"/>
              <w:rPr>
                <w:color w:val="auto"/>
                <w:szCs w:val="21"/>
              </w:rPr>
            </w:pPr>
          </w:p>
        </w:tc>
      </w:tr>
      <w:tr w14:paraId="368E45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c>
          <w:tcPr>
            <w:tcW w:w="507" w:type="pct"/>
            <w:tcBorders>
              <w:top w:val="single" w:color="000000" w:sz="4" w:space="0"/>
              <w:left w:val="nil"/>
              <w:bottom w:val="single" w:color="000000" w:sz="4" w:space="0"/>
              <w:right w:val="single" w:color="000000" w:sz="4" w:space="0"/>
            </w:tcBorders>
            <w:vAlign w:val="center"/>
          </w:tcPr>
          <w:p w14:paraId="49E08936">
            <w:pPr>
              <w:adjustRightInd w:val="0"/>
              <w:snapToGrid w:val="0"/>
              <w:spacing w:line="0" w:lineRule="atLeast"/>
              <w:jc w:val="center"/>
              <w:rPr>
                <w:color w:val="auto"/>
                <w:szCs w:val="21"/>
              </w:rPr>
            </w:pPr>
            <w:r>
              <w:rPr>
                <w:color w:val="auto"/>
                <w:szCs w:val="21"/>
              </w:rPr>
              <w:t>○1</w:t>
            </w:r>
            <w:r>
              <w:rPr>
                <w:rFonts w:hint="eastAsia"/>
                <w:color w:val="auto"/>
                <w:szCs w:val="21"/>
              </w:rPr>
              <w:t>场</w:t>
            </w:r>
            <w:r>
              <w:rPr>
                <w:color w:val="auto"/>
                <w:szCs w:val="21"/>
              </w:rPr>
              <w:t>址</w:t>
            </w:r>
          </w:p>
        </w:tc>
        <w:tc>
          <w:tcPr>
            <w:tcW w:w="857" w:type="pct"/>
            <w:tcBorders>
              <w:top w:val="single" w:color="000000" w:sz="4" w:space="0"/>
              <w:left w:val="single" w:color="000000" w:sz="4" w:space="0"/>
              <w:bottom w:val="single" w:color="000000" w:sz="4" w:space="0"/>
              <w:right w:val="single" w:color="auto" w:sz="4" w:space="0"/>
            </w:tcBorders>
            <w:vAlign w:val="center"/>
          </w:tcPr>
          <w:p w14:paraId="0E81A7BC">
            <w:pPr>
              <w:adjustRightInd w:val="0"/>
              <w:snapToGrid w:val="0"/>
              <w:spacing w:line="0" w:lineRule="atLeast"/>
              <w:jc w:val="center"/>
              <w:rPr>
                <w:color w:val="auto"/>
                <w:kern w:val="0"/>
                <w:szCs w:val="21"/>
              </w:rPr>
            </w:pPr>
            <w:r>
              <w:rPr>
                <w:rFonts w:hint="eastAsia"/>
                <w:color w:val="auto"/>
              </w:rPr>
              <w:t>131.27082825</w:t>
            </w:r>
          </w:p>
        </w:tc>
        <w:tc>
          <w:tcPr>
            <w:tcW w:w="907" w:type="pct"/>
            <w:tcBorders>
              <w:top w:val="single" w:color="000000" w:sz="4" w:space="0"/>
              <w:left w:val="single" w:color="auto" w:sz="4" w:space="0"/>
              <w:bottom w:val="single" w:color="000000" w:sz="4" w:space="0"/>
              <w:right w:val="single" w:color="000000" w:sz="4" w:space="0"/>
            </w:tcBorders>
            <w:vAlign w:val="center"/>
          </w:tcPr>
          <w:p w14:paraId="507D7BFA">
            <w:pPr>
              <w:adjustRightInd w:val="0"/>
              <w:snapToGrid w:val="0"/>
              <w:spacing w:line="0" w:lineRule="atLeast"/>
              <w:jc w:val="center"/>
              <w:rPr>
                <w:color w:val="auto"/>
                <w:kern w:val="0"/>
                <w:szCs w:val="21"/>
              </w:rPr>
            </w:pPr>
            <w:r>
              <w:rPr>
                <w:rFonts w:hint="eastAsia"/>
                <w:color w:val="auto"/>
              </w:rPr>
              <w:t>45.34673452</w:t>
            </w:r>
          </w:p>
        </w:tc>
        <w:tc>
          <w:tcPr>
            <w:tcW w:w="459" w:type="pct"/>
            <w:vMerge w:val="restart"/>
            <w:tcBorders>
              <w:top w:val="single" w:color="000000" w:sz="4" w:space="0"/>
              <w:left w:val="single" w:color="000000" w:sz="4" w:space="0"/>
              <w:bottom w:val="single" w:color="000000" w:sz="12" w:space="0"/>
              <w:right w:val="single" w:color="000000" w:sz="4" w:space="0"/>
            </w:tcBorders>
            <w:vAlign w:val="center"/>
          </w:tcPr>
          <w:p w14:paraId="58CE71C7">
            <w:pPr>
              <w:adjustRightInd w:val="0"/>
              <w:snapToGrid w:val="0"/>
              <w:spacing w:line="0" w:lineRule="atLeast"/>
              <w:jc w:val="center"/>
              <w:rPr>
                <w:color w:val="auto"/>
                <w:szCs w:val="21"/>
              </w:rPr>
            </w:pPr>
            <w:r>
              <w:rPr>
                <w:color w:val="auto"/>
                <w:kern w:val="0"/>
                <w:szCs w:val="21"/>
              </w:rPr>
              <w:t>TSP</w:t>
            </w:r>
          </w:p>
        </w:tc>
        <w:tc>
          <w:tcPr>
            <w:tcW w:w="918" w:type="pct"/>
            <w:vMerge w:val="restart"/>
            <w:tcBorders>
              <w:top w:val="single" w:color="000000" w:sz="4" w:space="0"/>
              <w:left w:val="single" w:color="000000" w:sz="4" w:space="0"/>
              <w:bottom w:val="single" w:color="000000" w:sz="12" w:space="0"/>
              <w:right w:val="single" w:color="000000" w:sz="4" w:space="0"/>
            </w:tcBorders>
            <w:vAlign w:val="center"/>
          </w:tcPr>
          <w:p w14:paraId="62DE6A18">
            <w:pPr>
              <w:adjustRightInd w:val="0"/>
              <w:snapToGrid w:val="0"/>
              <w:spacing w:line="0" w:lineRule="atLeast"/>
              <w:jc w:val="center"/>
              <w:rPr>
                <w:color w:val="auto"/>
                <w:szCs w:val="21"/>
              </w:rPr>
            </w:pPr>
            <w:r>
              <w:rPr>
                <w:color w:val="auto"/>
                <w:szCs w:val="21"/>
              </w:rPr>
              <w:t>202</w:t>
            </w:r>
            <w:r>
              <w:rPr>
                <w:rFonts w:hint="eastAsia"/>
                <w:color w:val="auto"/>
                <w:szCs w:val="21"/>
              </w:rPr>
              <w:t>3</w:t>
            </w:r>
            <w:r>
              <w:rPr>
                <w:color w:val="auto"/>
                <w:szCs w:val="21"/>
              </w:rPr>
              <w:t>年</w:t>
            </w:r>
            <w:r>
              <w:rPr>
                <w:rFonts w:hint="eastAsia"/>
                <w:color w:val="auto"/>
                <w:szCs w:val="21"/>
              </w:rPr>
              <w:t>04</w:t>
            </w:r>
            <w:r>
              <w:rPr>
                <w:color w:val="auto"/>
                <w:szCs w:val="21"/>
              </w:rPr>
              <w:t>月</w:t>
            </w:r>
            <w:r>
              <w:rPr>
                <w:rFonts w:hint="eastAsia"/>
                <w:color w:val="auto"/>
                <w:szCs w:val="21"/>
              </w:rPr>
              <w:t>22</w:t>
            </w:r>
            <w:r>
              <w:rPr>
                <w:color w:val="auto"/>
                <w:szCs w:val="21"/>
              </w:rPr>
              <w:t>日~</w:t>
            </w:r>
            <w:r>
              <w:rPr>
                <w:rFonts w:hint="eastAsia"/>
                <w:color w:val="auto"/>
                <w:szCs w:val="21"/>
              </w:rPr>
              <w:t>28</w:t>
            </w:r>
            <w:r>
              <w:rPr>
                <w:color w:val="auto"/>
                <w:szCs w:val="21"/>
              </w:rPr>
              <w:t>日</w:t>
            </w:r>
          </w:p>
        </w:tc>
        <w:tc>
          <w:tcPr>
            <w:tcW w:w="672" w:type="pct"/>
            <w:tcBorders>
              <w:top w:val="single" w:color="000000" w:sz="4" w:space="0"/>
              <w:left w:val="single" w:color="000000" w:sz="4" w:space="0"/>
              <w:bottom w:val="single" w:color="000000" w:sz="4" w:space="0"/>
              <w:right w:val="single" w:color="000000" w:sz="4" w:space="0"/>
            </w:tcBorders>
            <w:vAlign w:val="center"/>
          </w:tcPr>
          <w:p w14:paraId="036F2A82">
            <w:pPr>
              <w:adjustRightInd w:val="0"/>
              <w:snapToGrid w:val="0"/>
              <w:spacing w:line="0" w:lineRule="atLeast"/>
              <w:jc w:val="center"/>
              <w:rPr>
                <w:color w:val="auto"/>
                <w:szCs w:val="21"/>
              </w:rPr>
            </w:pPr>
            <w:r>
              <w:rPr>
                <w:color w:val="auto"/>
                <w:szCs w:val="21"/>
              </w:rPr>
              <w:t>/</w:t>
            </w:r>
          </w:p>
        </w:tc>
        <w:tc>
          <w:tcPr>
            <w:tcW w:w="679" w:type="pct"/>
            <w:tcBorders>
              <w:top w:val="single" w:color="000000" w:sz="4" w:space="0"/>
              <w:left w:val="single" w:color="000000" w:sz="4" w:space="0"/>
              <w:bottom w:val="single" w:color="000000" w:sz="4" w:space="0"/>
              <w:right w:val="nil"/>
            </w:tcBorders>
            <w:vAlign w:val="center"/>
          </w:tcPr>
          <w:p w14:paraId="2F665465">
            <w:pPr>
              <w:adjustRightInd w:val="0"/>
              <w:snapToGrid w:val="0"/>
              <w:spacing w:line="0" w:lineRule="atLeast"/>
              <w:jc w:val="center"/>
              <w:rPr>
                <w:color w:val="auto"/>
                <w:szCs w:val="21"/>
              </w:rPr>
            </w:pPr>
            <w:r>
              <w:rPr>
                <w:color w:val="auto"/>
                <w:szCs w:val="21"/>
              </w:rPr>
              <w:t>/</w:t>
            </w:r>
          </w:p>
        </w:tc>
      </w:tr>
      <w:tr w14:paraId="34EC79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507" w:type="pct"/>
            <w:tcBorders>
              <w:top w:val="single" w:color="000000" w:sz="4" w:space="0"/>
              <w:left w:val="nil"/>
              <w:bottom w:val="single" w:color="000000" w:sz="12" w:space="0"/>
              <w:right w:val="single" w:color="000000" w:sz="4" w:space="0"/>
            </w:tcBorders>
            <w:vAlign w:val="center"/>
          </w:tcPr>
          <w:p w14:paraId="62620199">
            <w:pPr>
              <w:adjustRightInd w:val="0"/>
              <w:snapToGrid w:val="0"/>
              <w:spacing w:line="0" w:lineRule="atLeast"/>
              <w:jc w:val="center"/>
              <w:rPr>
                <w:color w:val="auto"/>
                <w:szCs w:val="21"/>
              </w:rPr>
            </w:pPr>
            <w:r>
              <w:rPr>
                <w:color w:val="auto"/>
                <w:szCs w:val="21"/>
              </w:rPr>
              <w:t>○2下风向</w:t>
            </w:r>
          </w:p>
        </w:tc>
        <w:tc>
          <w:tcPr>
            <w:tcW w:w="857" w:type="pct"/>
            <w:tcBorders>
              <w:top w:val="single" w:color="000000" w:sz="4" w:space="0"/>
              <w:left w:val="single" w:color="000000" w:sz="4" w:space="0"/>
              <w:bottom w:val="single" w:color="000000" w:sz="12" w:space="0"/>
              <w:right w:val="single" w:color="auto" w:sz="4" w:space="0"/>
            </w:tcBorders>
            <w:vAlign w:val="center"/>
          </w:tcPr>
          <w:p w14:paraId="74CFC31F">
            <w:pPr>
              <w:adjustRightInd w:val="0"/>
              <w:snapToGrid w:val="0"/>
              <w:spacing w:line="0" w:lineRule="atLeast"/>
              <w:jc w:val="center"/>
              <w:rPr>
                <w:color w:val="auto"/>
                <w:kern w:val="0"/>
                <w:szCs w:val="21"/>
              </w:rPr>
            </w:pPr>
            <w:r>
              <w:rPr>
                <w:rFonts w:hint="eastAsia"/>
                <w:color w:val="auto"/>
              </w:rPr>
              <w:t>131.27860665</w:t>
            </w:r>
          </w:p>
        </w:tc>
        <w:tc>
          <w:tcPr>
            <w:tcW w:w="907" w:type="pct"/>
            <w:tcBorders>
              <w:top w:val="single" w:color="000000" w:sz="4" w:space="0"/>
              <w:left w:val="single" w:color="auto" w:sz="4" w:space="0"/>
              <w:bottom w:val="single" w:color="000000" w:sz="12" w:space="0"/>
              <w:right w:val="single" w:color="000000" w:sz="4" w:space="0"/>
            </w:tcBorders>
            <w:vAlign w:val="center"/>
          </w:tcPr>
          <w:p w14:paraId="7C1EE243">
            <w:pPr>
              <w:adjustRightInd w:val="0"/>
              <w:snapToGrid w:val="0"/>
              <w:spacing w:line="0" w:lineRule="atLeast"/>
              <w:jc w:val="center"/>
              <w:rPr>
                <w:color w:val="auto"/>
                <w:kern w:val="0"/>
                <w:szCs w:val="21"/>
              </w:rPr>
            </w:pPr>
            <w:r>
              <w:rPr>
                <w:rFonts w:hint="eastAsia"/>
                <w:color w:val="auto"/>
              </w:rPr>
              <w:t>45.34514666</w:t>
            </w:r>
          </w:p>
        </w:tc>
        <w:tc>
          <w:tcPr>
            <w:tcW w:w="459" w:type="pct"/>
            <w:vMerge w:val="continue"/>
            <w:tcBorders>
              <w:top w:val="single" w:color="000000" w:sz="4" w:space="0"/>
              <w:left w:val="single" w:color="000000" w:sz="4" w:space="0"/>
              <w:bottom w:val="single" w:color="000000" w:sz="12" w:space="0"/>
              <w:right w:val="single" w:color="000000" w:sz="4" w:space="0"/>
            </w:tcBorders>
            <w:vAlign w:val="center"/>
          </w:tcPr>
          <w:p w14:paraId="27F64D91">
            <w:pPr>
              <w:widowControl/>
              <w:jc w:val="left"/>
              <w:rPr>
                <w:color w:val="auto"/>
                <w:szCs w:val="21"/>
              </w:rPr>
            </w:pPr>
          </w:p>
        </w:tc>
        <w:tc>
          <w:tcPr>
            <w:tcW w:w="918" w:type="pct"/>
            <w:vMerge w:val="continue"/>
            <w:tcBorders>
              <w:top w:val="single" w:color="000000" w:sz="4" w:space="0"/>
              <w:left w:val="single" w:color="000000" w:sz="4" w:space="0"/>
              <w:bottom w:val="single" w:color="000000" w:sz="12" w:space="0"/>
              <w:right w:val="single" w:color="000000" w:sz="4" w:space="0"/>
            </w:tcBorders>
            <w:vAlign w:val="center"/>
          </w:tcPr>
          <w:p w14:paraId="71AAC027">
            <w:pPr>
              <w:widowControl/>
              <w:jc w:val="left"/>
              <w:rPr>
                <w:color w:val="auto"/>
                <w:szCs w:val="21"/>
              </w:rPr>
            </w:pPr>
          </w:p>
        </w:tc>
        <w:tc>
          <w:tcPr>
            <w:tcW w:w="672" w:type="pct"/>
            <w:tcBorders>
              <w:top w:val="single" w:color="000000" w:sz="4" w:space="0"/>
              <w:left w:val="single" w:color="000000" w:sz="4" w:space="0"/>
              <w:bottom w:val="single" w:color="000000" w:sz="12" w:space="0"/>
              <w:right w:val="single" w:color="000000" w:sz="4" w:space="0"/>
            </w:tcBorders>
            <w:vAlign w:val="center"/>
          </w:tcPr>
          <w:p w14:paraId="28F2320D">
            <w:pPr>
              <w:adjustRightInd w:val="0"/>
              <w:snapToGrid w:val="0"/>
              <w:spacing w:line="0" w:lineRule="atLeast"/>
              <w:jc w:val="center"/>
              <w:rPr>
                <w:color w:val="auto"/>
                <w:szCs w:val="21"/>
              </w:rPr>
            </w:pPr>
            <w:r>
              <w:rPr>
                <w:rFonts w:hint="eastAsia"/>
                <w:color w:val="auto"/>
                <w:szCs w:val="21"/>
              </w:rPr>
              <w:t>E</w:t>
            </w:r>
          </w:p>
        </w:tc>
        <w:tc>
          <w:tcPr>
            <w:tcW w:w="679" w:type="pct"/>
            <w:tcBorders>
              <w:top w:val="single" w:color="000000" w:sz="4" w:space="0"/>
              <w:left w:val="single" w:color="000000" w:sz="4" w:space="0"/>
              <w:bottom w:val="single" w:color="000000" w:sz="12" w:space="0"/>
              <w:right w:val="nil"/>
            </w:tcBorders>
            <w:vAlign w:val="center"/>
          </w:tcPr>
          <w:p w14:paraId="7862D499">
            <w:pPr>
              <w:adjustRightInd w:val="0"/>
              <w:snapToGrid w:val="0"/>
              <w:spacing w:line="0" w:lineRule="atLeast"/>
              <w:jc w:val="center"/>
              <w:rPr>
                <w:rFonts w:hint="default" w:eastAsia="宋体"/>
                <w:color w:val="auto"/>
                <w:szCs w:val="21"/>
                <w:lang w:val="en-US" w:eastAsia="zh-CN"/>
              </w:rPr>
            </w:pPr>
            <w:r>
              <w:rPr>
                <w:rFonts w:hint="eastAsia"/>
                <w:color w:val="auto"/>
                <w:szCs w:val="21"/>
                <w:lang w:val="en-US" w:eastAsia="zh-CN"/>
              </w:rPr>
              <w:t>800</w:t>
            </w:r>
          </w:p>
        </w:tc>
      </w:tr>
    </w:tbl>
    <w:p w14:paraId="2B62BCA1">
      <w:pPr>
        <w:adjustRightInd w:val="0"/>
        <w:snapToGrid w:val="0"/>
        <w:jc w:val="center"/>
        <w:rPr>
          <w:color w:val="auto"/>
          <w:sz w:val="24"/>
        </w:rPr>
      </w:pPr>
      <w:r>
        <w:rPr>
          <w:color w:val="auto"/>
        </w:rPr>
        <w:drawing>
          <wp:anchor distT="0" distB="0" distL="114300" distR="114300" simplePos="0" relativeHeight="251675648" behindDoc="0" locked="0" layoutInCell="1" allowOverlap="1">
            <wp:simplePos x="0" y="0"/>
            <wp:positionH relativeFrom="column">
              <wp:posOffset>5051425</wp:posOffset>
            </wp:positionH>
            <wp:positionV relativeFrom="paragraph">
              <wp:posOffset>43815</wp:posOffset>
            </wp:positionV>
            <wp:extent cx="644525" cy="664210"/>
            <wp:effectExtent l="0" t="0" r="3175" b="2540"/>
            <wp:wrapNone/>
            <wp:docPr id="1863821302" name="图片 1863821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821302" name="图片 1863821302"/>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644525" cy="664210"/>
                    </a:xfrm>
                    <a:prstGeom prst="rect">
                      <a:avLst/>
                    </a:prstGeom>
                    <a:noFill/>
                    <a:ln>
                      <a:noFill/>
                    </a:ln>
                  </pic:spPr>
                </pic:pic>
              </a:graphicData>
            </a:graphic>
          </wp:anchor>
        </w:drawing>
      </w:r>
      <w:r>
        <w:rPr>
          <w:color w:val="auto"/>
        </w:rPr>
        <mc:AlternateContent>
          <mc:Choice Requires="wps">
            <w:drawing>
              <wp:anchor distT="0" distB="0" distL="114300" distR="114300" simplePos="0" relativeHeight="251674624" behindDoc="0" locked="0" layoutInCell="1" allowOverlap="1">
                <wp:simplePos x="0" y="0"/>
                <wp:positionH relativeFrom="column">
                  <wp:posOffset>3970655</wp:posOffset>
                </wp:positionH>
                <wp:positionV relativeFrom="paragraph">
                  <wp:posOffset>59690</wp:posOffset>
                </wp:positionV>
                <wp:extent cx="809625" cy="809625"/>
                <wp:effectExtent l="0" t="0" r="635" b="3810"/>
                <wp:wrapNone/>
                <wp:docPr id="799543834" name="Rectangle 339281"/>
                <wp:cNvGraphicFramePr/>
                <a:graphic xmlns:a="http://schemas.openxmlformats.org/drawingml/2006/main">
                  <a:graphicData uri="http://schemas.microsoft.com/office/word/2010/wordprocessingShape">
                    <wps:wsp>
                      <wps:cNvSpPr>
                        <a:spLocks noChangeArrowheads="1"/>
                      </wps:cNvSpPr>
                      <wps:spPr bwMode="auto">
                        <a:xfrm>
                          <a:off x="0" y="0"/>
                          <a:ext cx="809625" cy="809625"/>
                        </a:xfrm>
                        <a:prstGeom prst="rect">
                          <a:avLst/>
                        </a:prstGeom>
                        <a:noFill/>
                        <a:ln>
                          <a:noFill/>
                        </a:ln>
                      </wps:spPr>
                      <wps:txbx>
                        <w:txbxContent>
                          <w:p w14:paraId="0BAE4BCF"/>
                        </w:txbxContent>
                      </wps:txbx>
                      <wps:bodyPr rot="0" vert="horz" wrap="square" lIns="91440" tIns="45720" rIns="91440" bIns="45720" anchor="t" anchorCtr="0" upright="1">
                        <a:noAutofit/>
                      </wps:bodyPr>
                    </wps:wsp>
                  </a:graphicData>
                </a:graphic>
              </wp:anchor>
            </w:drawing>
          </mc:Choice>
          <mc:Fallback>
            <w:pict>
              <v:rect id="Rectangle 339281" o:spid="_x0000_s1026" o:spt="1" style="position:absolute;left:0pt;margin-left:312.65pt;margin-top:4.7pt;height:63.75pt;width:63.75pt;z-index:251674624;mso-width-relative:page;mso-height-relative:page;" filled="f" stroked="f" coordsize="21600,21600" o:gfxdata="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ITOTsHaAAAACQEAAA8AAAAAAAAAAQAgAAAA&#10;IgAAAGRycy9kb3ducmV2LnhtbFBLAQIUABQAAAAIAIdO4kBcmLHSCQIAABcEAAAOAAAAAAAAAAEA&#10;IAAAACkBAABkcnMvZTJvRG9jLnhtbFBLBQYAAAAABgAGAFkBAACkBQAAAAA=&#10;">
                <v:fill on="f" focussize="0,0"/>
                <v:stroke on="f"/>
                <v:imagedata o:title=""/>
                <o:lock v:ext="edit" aspectratio="f"/>
                <v:textbox>
                  <w:txbxContent>
                    <w:p w14:paraId="0BAE4BCF"/>
                  </w:txbxContent>
                </v:textbox>
              </v:rect>
            </w:pict>
          </mc:Fallback>
        </mc:AlternateContent>
      </w:r>
      <w:r>
        <w:rPr>
          <w:color w:val="auto"/>
        </w:rPr>
        <w:drawing>
          <wp:inline distT="0" distB="0" distL="114300" distR="114300">
            <wp:extent cx="5725160" cy="2534285"/>
            <wp:effectExtent l="0" t="0" r="8890" b="18415"/>
            <wp:docPr id="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pic:cNvPicPr>
                      <a:picLocks noChangeAspect="1"/>
                    </pic:cNvPicPr>
                  </pic:nvPicPr>
                  <pic:blipFill>
                    <a:blip r:embed="rId38"/>
                    <a:stretch>
                      <a:fillRect/>
                    </a:stretch>
                  </pic:blipFill>
                  <pic:spPr>
                    <a:xfrm>
                      <a:off x="0" y="0"/>
                      <a:ext cx="5725160" cy="2534285"/>
                    </a:xfrm>
                    <a:prstGeom prst="rect">
                      <a:avLst/>
                    </a:prstGeom>
                    <a:noFill/>
                    <a:ln>
                      <a:noFill/>
                    </a:ln>
                  </pic:spPr>
                </pic:pic>
              </a:graphicData>
            </a:graphic>
          </wp:inline>
        </w:drawing>
      </w:r>
    </w:p>
    <w:p w14:paraId="7FB35FDA">
      <w:pPr>
        <w:pStyle w:val="76"/>
        <w:rPr>
          <w:color w:val="auto"/>
          <w:highlight w:val="none"/>
        </w:rPr>
      </w:pPr>
      <w:r>
        <w:rPr>
          <w:color w:val="auto"/>
          <w:highlight w:val="none"/>
        </w:rPr>
        <w:t>图4-</w:t>
      </w:r>
      <w:r>
        <w:rPr>
          <w:rFonts w:hint="eastAsia"/>
          <w:color w:val="auto"/>
          <w:highlight w:val="none"/>
        </w:rPr>
        <w:t>2</w:t>
      </w:r>
      <w:r>
        <w:rPr>
          <w:color w:val="auto"/>
          <w:highlight w:val="none"/>
        </w:rPr>
        <w:t>-</w:t>
      </w:r>
      <w:r>
        <w:rPr>
          <w:rFonts w:hint="eastAsia"/>
          <w:color w:val="auto"/>
          <w:highlight w:val="none"/>
          <w:lang w:val="en-US" w:eastAsia="zh-CN"/>
        </w:rPr>
        <w:t>1</w:t>
      </w:r>
      <w:r>
        <w:rPr>
          <w:color w:val="auto"/>
          <w:highlight w:val="none"/>
        </w:rPr>
        <w:t>环境空气补充监测点位</w:t>
      </w:r>
    </w:p>
    <w:p w14:paraId="53779F4C">
      <w:pPr>
        <w:spacing w:line="500" w:lineRule="exact"/>
        <w:ind w:firstLine="480" w:firstLineChars="200"/>
        <w:rPr>
          <w:color w:val="auto"/>
          <w:sz w:val="24"/>
          <w:szCs w:val="22"/>
        </w:rPr>
      </w:pPr>
      <w:r>
        <w:rPr>
          <w:color w:val="auto"/>
          <w:sz w:val="24"/>
          <w:szCs w:val="22"/>
        </w:rPr>
        <w:t>（3）监测结果</w:t>
      </w:r>
    </w:p>
    <w:p w14:paraId="51F0A9D9">
      <w:pPr>
        <w:pStyle w:val="59"/>
        <w:ind w:firstLine="480"/>
        <w:rPr>
          <w:color w:val="auto"/>
        </w:rPr>
      </w:pPr>
      <w:r>
        <w:rPr>
          <w:color w:val="auto"/>
        </w:rPr>
        <w:t>○1监测点TSP的监测值为0.10</w:t>
      </w:r>
      <w:r>
        <w:rPr>
          <w:rFonts w:hint="eastAsia"/>
          <w:color w:val="auto"/>
          <w:lang w:val="en-US" w:eastAsia="zh-CN"/>
        </w:rPr>
        <w:t>1</w:t>
      </w:r>
      <w:r>
        <w:rPr>
          <w:color w:val="auto"/>
        </w:rPr>
        <w:t>-0.1</w:t>
      </w:r>
      <w:r>
        <w:rPr>
          <w:rFonts w:hint="eastAsia"/>
          <w:color w:val="auto"/>
          <w:lang w:val="en-US" w:eastAsia="zh-CN"/>
        </w:rPr>
        <w:t>04</w:t>
      </w:r>
      <w:r>
        <w:rPr>
          <w:color w:val="auto"/>
        </w:rPr>
        <w:t>mg/m</w:t>
      </w:r>
      <w:r>
        <w:rPr>
          <w:color w:val="auto"/>
          <w:vertAlign w:val="superscript"/>
        </w:rPr>
        <w:t>3</w:t>
      </w:r>
      <w:r>
        <w:rPr>
          <w:color w:val="auto"/>
        </w:rPr>
        <w:t>；○2监测点TSP的监测值为0.1</w:t>
      </w:r>
      <w:r>
        <w:rPr>
          <w:rFonts w:hint="eastAsia"/>
          <w:color w:val="auto"/>
          <w:lang w:val="en-US" w:eastAsia="zh-CN"/>
        </w:rPr>
        <w:t>13</w:t>
      </w:r>
      <w:r>
        <w:rPr>
          <w:color w:val="auto"/>
        </w:rPr>
        <w:t>-0.</w:t>
      </w:r>
      <w:r>
        <w:rPr>
          <w:rFonts w:hint="eastAsia"/>
          <w:color w:val="auto"/>
        </w:rPr>
        <w:t>11</w:t>
      </w:r>
      <w:r>
        <w:rPr>
          <w:rFonts w:hint="eastAsia"/>
          <w:color w:val="auto"/>
          <w:lang w:val="en-US" w:eastAsia="zh-CN"/>
        </w:rPr>
        <w:t>5</w:t>
      </w:r>
      <w:r>
        <w:rPr>
          <w:color w:val="auto"/>
        </w:rPr>
        <w:t>mg/m</w:t>
      </w:r>
      <w:r>
        <w:rPr>
          <w:color w:val="auto"/>
          <w:vertAlign w:val="superscript"/>
        </w:rPr>
        <w:t>3</w:t>
      </w:r>
      <w:r>
        <w:rPr>
          <w:color w:val="auto"/>
        </w:rPr>
        <w:t>。</w:t>
      </w:r>
      <w:r>
        <w:rPr>
          <w:rFonts w:hint="eastAsia"/>
          <w:color w:val="auto"/>
        </w:rPr>
        <w:t>具体见附件。</w:t>
      </w:r>
    </w:p>
    <w:p w14:paraId="2881D07C">
      <w:pPr>
        <w:pStyle w:val="59"/>
        <w:ind w:firstLine="480"/>
        <w:rPr>
          <w:rFonts w:ascii="Times New Roman" w:hAnsi="Times New Roman" w:eastAsia="宋体"/>
          <w:color w:val="auto"/>
        </w:rPr>
      </w:pPr>
      <w:r>
        <w:rPr>
          <w:rFonts w:ascii="Times New Roman" w:hAnsi="Times New Roman" w:eastAsia="宋体"/>
          <w:color w:val="auto"/>
        </w:rPr>
        <w:t>（4）评价方法</w:t>
      </w:r>
    </w:p>
    <w:p w14:paraId="10FBAEEA">
      <w:pPr>
        <w:pStyle w:val="59"/>
        <w:ind w:firstLine="480"/>
        <w:rPr>
          <w:rFonts w:ascii="Times New Roman" w:hAnsi="Times New Roman" w:eastAsia="宋体"/>
          <w:color w:val="auto"/>
        </w:rPr>
      </w:pPr>
      <w:r>
        <w:rPr>
          <w:rFonts w:hint="eastAsia" w:ascii="Times New Roman" w:hAnsi="Times New Roman" w:eastAsia="宋体"/>
          <w:color w:val="auto"/>
          <w:lang w:val="en-US" w:eastAsia="zh-CN"/>
        </w:rPr>
        <w:t>环境空气质量评价采用最大浓度占标率评价法，数学表达式：</w:t>
      </w:r>
    </w:p>
    <w:p w14:paraId="5B809248">
      <w:pPr>
        <w:pStyle w:val="59"/>
        <w:ind w:firstLine="2160" w:firstLineChars="900"/>
        <w:rPr>
          <w:rFonts w:ascii="Times New Roman" w:hAnsi="Times New Roman" w:eastAsia="宋体"/>
          <w:color w:val="auto"/>
        </w:rPr>
      </w:pPr>
      <w:r>
        <w:rPr>
          <w:rFonts w:hint="default" w:ascii="Times New Roman" w:hAnsi="Times New Roman" w:eastAsia="宋体"/>
          <w:color w:val="auto"/>
          <w:lang w:val="en-US" w:eastAsia="zh-CN"/>
        </w:rPr>
        <w:t>Pi=Ci/Coi×100%</w:t>
      </w:r>
    </w:p>
    <w:p w14:paraId="080BCE17">
      <w:pPr>
        <w:pStyle w:val="59"/>
        <w:ind w:firstLine="480"/>
        <w:rPr>
          <w:rFonts w:ascii="Times New Roman" w:hAnsi="Times New Roman" w:eastAsia="宋体"/>
          <w:color w:val="auto"/>
        </w:rPr>
      </w:pPr>
      <w:r>
        <w:rPr>
          <w:rFonts w:hint="eastAsia" w:ascii="Times New Roman" w:hAnsi="Times New Roman" w:eastAsia="宋体"/>
          <w:color w:val="auto"/>
          <w:lang w:val="en-US" w:eastAsia="zh-CN"/>
        </w:rPr>
        <w:t>式中：</w:t>
      </w:r>
      <w:r>
        <w:rPr>
          <w:rFonts w:hint="default" w:ascii="Times New Roman" w:hAnsi="Times New Roman" w:eastAsia="宋体"/>
          <w:color w:val="auto"/>
          <w:lang w:val="en-US" w:eastAsia="zh-CN"/>
        </w:rPr>
        <w:t>Pi——</w:t>
      </w:r>
      <w:r>
        <w:rPr>
          <w:rFonts w:hint="eastAsia" w:ascii="Times New Roman" w:hAnsi="Times New Roman" w:eastAsia="宋体"/>
          <w:color w:val="auto"/>
          <w:lang w:val="en-US" w:eastAsia="zh-CN"/>
        </w:rPr>
        <w:t>第</w:t>
      </w:r>
      <w:r>
        <w:rPr>
          <w:rFonts w:hint="default" w:ascii="Times New Roman" w:hAnsi="Times New Roman" w:eastAsia="宋体"/>
          <w:color w:val="auto"/>
          <w:lang w:val="en-US" w:eastAsia="zh-CN"/>
        </w:rPr>
        <w:t>i</w:t>
      </w:r>
      <w:r>
        <w:rPr>
          <w:rFonts w:hint="eastAsia" w:ascii="Times New Roman" w:hAnsi="Times New Roman" w:eastAsia="宋体"/>
          <w:color w:val="auto"/>
          <w:lang w:val="en-US" w:eastAsia="zh-CN"/>
        </w:rPr>
        <w:t>种污染污染物的最大浓度空气质量占标率；</w:t>
      </w:r>
    </w:p>
    <w:p w14:paraId="616BAF50">
      <w:pPr>
        <w:pStyle w:val="59"/>
        <w:ind w:firstLine="1200" w:firstLineChars="500"/>
        <w:rPr>
          <w:rFonts w:ascii="Times New Roman" w:hAnsi="Times New Roman" w:eastAsia="宋体"/>
          <w:color w:val="auto"/>
        </w:rPr>
      </w:pPr>
      <w:r>
        <w:rPr>
          <w:rFonts w:hint="default" w:ascii="Times New Roman" w:hAnsi="Times New Roman" w:eastAsia="宋体"/>
          <w:color w:val="auto"/>
          <w:lang w:val="en-US" w:eastAsia="zh-CN"/>
        </w:rPr>
        <w:t>Ci——</w:t>
      </w:r>
      <w:r>
        <w:rPr>
          <w:rFonts w:hint="eastAsia" w:ascii="Times New Roman" w:hAnsi="Times New Roman" w:eastAsia="宋体"/>
          <w:color w:val="auto"/>
          <w:lang w:val="en-US" w:eastAsia="zh-CN"/>
        </w:rPr>
        <w:t>第</w:t>
      </w:r>
      <w:r>
        <w:rPr>
          <w:rFonts w:hint="default" w:ascii="Times New Roman" w:hAnsi="Times New Roman" w:eastAsia="宋体"/>
          <w:color w:val="auto"/>
          <w:lang w:val="en-US" w:eastAsia="zh-CN"/>
        </w:rPr>
        <w:t>i</w:t>
      </w:r>
      <w:r>
        <w:rPr>
          <w:rFonts w:hint="eastAsia" w:ascii="Times New Roman" w:hAnsi="Times New Roman" w:eastAsia="宋体"/>
          <w:color w:val="auto"/>
          <w:lang w:val="en-US" w:eastAsia="zh-CN"/>
        </w:rPr>
        <w:t>种污染因子的监测值，</w:t>
      </w:r>
      <w:r>
        <w:rPr>
          <w:rFonts w:hint="default" w:ascii="Times New Roman" w:hAnsi="Times New Roman" w:eastAsia="宋体"/>
          <w:color w:val="auto"/>
          <w:lang w:val="en-US" w:eastAsia="zh-CN"/>
        </w:rPr>
        <w:t>mg/m</w:t>
      </w:r>
      <w:r>
        <w:rPr>
          <w:rFonts w:hint="default" w:ascii="Times New Roman" w:hAnsi="Times New Roman" w:eastAsia="宋体"/>
          <w:color w:val="auto"/>
          <w:vertAlign w:val="superscript"/>
          <w:lang w:val="en-US" w:eastAsia="zh-CN"/>
        </w:rPr>
        <w:t>3</w:t>
      </w:r>
      <w:r>
        <w:rPr>
          <w:rFonts w:hint="eastAsia" w:ascii="Times New Roman" w:hAnsi="Times New Roman" w:eastAsia="宋体"/>
          <w:color w:val="auto"/>
          <w:lang w:val="en-US" w:eastAsia="zh-CN"/>
        </w:rPr>
        <w:t>；</w:t>
      </w:r>
    </w:p>
    <w:p w14:paraId="799C7C57">
      <w:pPr>
        <w:pStyle w:val="59"/>
        <w:ind w:firstLine="1200" w:firstLineChars="500"/>
        <w:rPr>
          <w:rFonts w:ascii="Times New Roman" w:hAnsi="Times New Roman" w:eastAsia="宋体"/>
          <w:color w:val="auto"/>
        </w:rPr>
      </w:pPr>
      <w:r>
        <w:rPr>
          <w:rFonts w:hint="default" w:ascii="Times New Roman" w:hAnsi="Times New Roman" w:eastAsia="宋体"/>
          <w:color w:val="auto"/>
          <w:lang w:val="en-US" w:eastAsia="zh-CN"/>
        </w:rPr>
        <w:t>Coi——</w:t>
      </w:r>
      <w:r>
        <w:rPr>
          <w:rFonts w:hint="eastAsia" w:ascii="Times New Roman" w:hAnsi="Times New Roman" w:eastAsia="宋体"/>
          <w:color w:val="auto"/>
          <w:lang w:val="en-US" w:eastAsia="zh-CN"/>
        </w:rPr>
        <w:t>第</w:t>
      </w:r>
      <w:r>
        <w:rPr>
          <w:rFonts w:hint="default" w:ascii="Times New Roman" w:hAnsi="Times New Roman" w:eastAsia="宋体"/>
          <w:color w:val="auto"/>
          <w:lang w:val="en-US" w:eastAsia="zh-CN"/>
        </w:rPr>
        <w:t>i</w:t>
      </w:r>
      <w:r>
        <w:rPr>
          <w:rFonts w:hint="eastAsia" w:ascii="Times New Roman" w:hAnsi="Times New Roman" w:eastAsia="宋体"/>
          <w:color w:val="auto"/>
          <w:lang w:val="en-US" w:eastAsia="zh-CN"/>
        </w:rPr>
        <w:t>种污染因子的环境空气质量标准值</w:t>
      </w:r>
      <w:r>
        <w:rPr>
          <w:rFonts w:hint="default" w:ascii="Times New Roman" w:hAnsi="Times New Roman" w:eastAsia="宋体"/>
          <w:color w:val="auto"/>
          <w:lang w:val="en-US" w:eastAsia="zh-CN"/>
        </w:rPr>
        <w:t>mg/m</w:t>
      </w:r>
      <w:r>
        <w:rPr>
          <w:rFonts w:hint="default" w:ascii="Times New Roman" w:hAnsi="Times New Roman" w:eastAsia="宋体"/>
          <w:color w:val="auto"/>
          <w:vertAlign w:val="superscript"/>
          <w:lang w:val="en-US" w:eastAsia="zh-CN"/>
        </w:rPr>
        <w:t>3</w:t>
      </w:r>
      <w:r>
        <w:rPr>
          <w:rFonts w:hint="eastAsia" w:ascii="Times New Roman" w:hAnsi="Times New Roman" w:eastAsia="宋体"/>
          <w:color w:val="auto"/>
          <w:lang w:val="en-US" w:eastAsia="zh-CN"/>
        </w:rPr>
        <w:t>；</w:t>
      </w:r>
    </w:p>
    <w:p w14:paraId="17763E74">
      <w:pPr>
        <w:pStyle w:val="59"/>
        <w:ind w:firstLine="480"/>
        <w:rPr>
          <w:rFonts w:ascii="Times New Roman" w:hAnsi="Times New Roman" w:eastAsia="宋体"/>
          <w:color w:val="auto"/>
        </w:rPr>
      </w:pPr>
      <w:r>
        <w:rPr>
          <w:rFonts w:hint="eastAsia" w:ascii="Times New Roman" w:hAnsi="Times New Roman" w:eastAsia="宋体"/>
          <w:color w:val="auto"/>
          <w:lang w:val="en-US" w:eastAsia="zh-CN"/>
        </w:rPr>
        <w:t>凡是最大浓度空气质量占标率</w:t>
      </w:r>
      <w:r>
        <w:rPr>
          <w:rFonts w:hint="default" w:ascii="Times New Roman" w:hAnsi="Times New Roman" w:eastAsia="宋体"/>
          <w:color w:val="auto"/>
          <w:lang w:val="en-US" w:eastAsia="zh-CN"/>
        </w:rPr>
        <w:t>Pi</w:t>
      </w:r>
      <w:r>
        <w:rPr>
          <w:rFonts w:hint="eastAsia" w:ascii="Times New Roman" w:hAnsi="Times New Roman" w:eastAsia="宋体"/>
          <w:color w:val="auto"/>
          <w:lang w:val="en-US" w:eastAsia="zh-CN"/>
        </w:rPr>
        <w:t>大于</w:t>
      </w:r>
      <w:r>
        <w:rPr>
          <w:rFonts w:hint="default" w:ascii="Times New Roman" w:hAnsi="Times New Roman" w:eastAsia="宋体"/>
          <w:color w:val="auto"/>
          <w:lang w:val="en-US" w:eastAsia="zh-CN"/>
        </w:rPr>
        <w:t>100%</w:t>
      </w:r>
      <w:r>
        <w:rPr>
          <w:rFonts w:hint="eastAsia" w:ascii="Times New Roman" w:hAnsi="Times New Roman" w:eastAsia="宋体"/>
          <w:color w:val="auto"/>
          <w:lang w:val="en-US" w:eastAsia="zh-CN"/>
        </w:rPr>
        <w:t>，表明该点环境质量劣于评价标准等级，反之则满足标准等级。</w:t>
      </w:r>
    </w:p>
    <w:p w14:paraId="710458CB">
      <w:pPr>
        <w:spacing w:line="500" w:lineRule="exact"/>
        <w:ind w:firstLine="480" w:firstLineChars="200"/>
        <w:rPr>
          <w:color w:val="auto"/>
          <w:sz w:val="24"/>
        </w:rPr>
      </w:pPr>
      <w:r>
        <w:rPr>
          <w:color w:val="auto"/>
          <w:sz w:val="24"/>
        </w:rPr>
        <w:t>（5）监测结果分析</w:t>
      </w:r>
      <w:r>
        <w:rPr>
          <w:rFonts w:hint="eastAsia"/>
          <w:color w:val="auto"/>
          <w:sz w:val="24"/>
        </w:rPr>
        <w:t>评价</w:t>
      </w:r>
    </w:p>
    <w:p w14:paraId="01257D8A">
      <w:pPr>
        <w:pStyle w:val="76"/>
        <w:rPr>
          <w:color w:val="auto"/>
        </w:rPr>
      </w:pPr>
      <w:r>
        <w:rPr>
          <w:color w:val="auto"/>
        </w:rPr>
        <w:t>表4-</w:t>
      </w:r>
      <w:r>
        <w:rPr>
          <w:rFonts w:hint="eastAsia"/>
          <w:color w:val="auto"/>
        </w:rPr>
        <w:t>2</w:t>
      </w:r>
      <w:r>
        <w:rPr>
          <w:color w:val="auto"/>
        </w:rPr>
        <w:t>-2其他污染物环境质量现状（监测结果）表</w:t>
      </w:r>
    </w:p>
    <w:tbl>
      <w:tblPr>
        <w:tblStyle w:val="45"/>
        <w:tblW w:w="4864"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55"/>
        <w:gridCol w:w="1501"/>
        <w:gridCol w:w="1433"/>
        <w:gridCol w:w="622"/>
        <w:gridCol w:w="798"/>
        <w:gridCol w:w="974"/>
        <w:gridCol w:w="1081"/>
        <w:gridCol w:w="689"/>
        <w:gridCol w:w="472"/>
        <w:gridCol w:w="445"/>
      </w:tblGrid>
      <w:tr w14:paraId="437AEB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9" w:hRule="atLeast"/>
          <w:jc w:val="center"/>
        </w:trPr>
        <w:tc>
          <w:tcPr>
            <w:tcW w:w="433" w:type="pct"/>
            <w:vMerge w:val="restart"/>
            <w:tcBorders>
              <w:top w:val="single" w:color="000000" w:sz="12" w:space="0"/>
              <w:left w:val="nil"/>
              <w:bottom w:val="single" w:color="000000" w:sz="4" w:space="0"/>
              <w:right w:val="single" w:color="000000" w:sz="4" w:space="0"/>
            </w:tcBorders>
            <w:vAlign w:val="center"/>
          </w:tcPr>
          <w:p w14:paraId="6D42DFEE">
            <w:pPr>
              <w:spacing w:line="0" w:lineRule="atLeast"/>
              <w:jc w:val="center"/>
              <w:rPr>
                <w:color w:val="auto"/>
                <w:kern w:val="0"/>
                <w:szCs w:val="21"/>
              </w:rPr>
            </w:pPr>
            <w:r>
              <w:rPr>
                <w:color w:val="auto"/>
                <w:kern w:val="0"/>
                <w:szCs w:val="21"/>
              </w:rPr>
              <w:t>监测点位</w:t>
            </w:r>
          </w:p>
        </w:tc>
        <w:tc>
          <w:tcPr>
            <w:tcW w:w="1677" w:type="pct"/>
            <w:gridSpan w:val="2"/>
            <w:tcBorders>
              <w:top w:val="single" w:color="000000" w:sz="12" w:space="0"/>
              <w:left w:val="single" w:color="000000" w:sz="4" w:space="0"/>
              <w:bottom w:val="single" w:color="auto" w:sz="4" w:space="0"/>
              <w:right w:val="single" w:color="000000" w:sz="4" w:space="0"/>
            </w:tcBorders>
            <w:vAlign w:val="center"/>
          </w:tcPr>
          <w:p w14:paraId="4E8EF4EB">
            <w:pPr>
              <w:spacing w:line="0" w:lineRule="atLeast"/>
              <w:jc w:val="center"/>
              <w:rPr>
                <w:color w:val="auto"/>
                <w:kern w:val="0"/>
                <w:szCs w:val="21"/>
              </w:rPr>
            </w:pPr>
            <w:r>
              <w:rPr>
                <w:color w:val="auto"/>
                <w:kern w:val="0"/>
                <w:szCs w:val="21"/>
              </w:rPr>
              <w:t>监测点坐标/°</w:t>
            </w:r>
          </w:p>
        </w:tc>
        <w:tc>
          <w:tcPr>
            <w:tcW w:w="357" w:type="pct"/>
            <w:vMerge w:val="restart"/>
            <w:tcBorders>
              <w:top w:val="single" w:color="000000" w:sz="12" w:space="0"/>
              <w:left w:val="single" w:color="000000" w:sz="4" w:space="0"/>
              <w:bottom w:val="single" w:color="000000" w:sz="4" w:space="0"/>
              <w:right w:val="single" w:color="000000" w:sz="4" w:space="0"/>
            </w:tcBorders>
            <w:vAlign w:val="center"/>
          </w:tcPr>
          <w:p w14:paraId="63D8DD2E">
            <w:pPr>
              <w:spacing w:line="0" w:lineRule="atLeast"/>
              <w:jc w:val="center"/>
              <w:rPr>
                <w:color w:val="auto"/>
                <w:kern w:val="0"/>
                <w:szCs w:val="21"/>
              </w:rPr>
            </w:pPr>
            <w:r>
              <w:rPr>
                <w:color w:val="auto"/>
                <w:kern w:val="0"/>
                <w:szCs w:val="21"/>
              </w:rPr>
              <w:t>污染物</w:t>
            </w:r>
          </w:p>
        </w:tc>
        <w:tc>
          <w:tcPr>
            <w:tcW w:w="457" w:type="pct"/>
            <w:vMerge w:val="restart"/>
            <w:tcBorders>
              <w:top w:val="single" w:color="000000" w:sz="12" w:space="0"/>
              <w:left w:val="single" w:color="000000" w:sz="4" w:space="0"/>
              <w:bottom w:val="single" w:color="000000" w:sz="4" w:space="0"/>
              <w:right w:val="single" w:color="000000" w:sz="4" w:space="0"/>
            </w:tcBorders>
            <w:vAlign w:val="center"/>
          </w:tcPr>
          <w:p w14:paraId="08607829">
            <w:pPr>
              <w:spacing w:line="0" w:lineRule="atLeast"/>
              <w:jc w:val="center"/>
              <w:rPr>
                <w:color w:val="auto"/>
                <w:kern w:val="0"/>
                <w:szCs w:val="21"/>
              </w:rPr>
            </w:pPr>
            <w:r>
              <w:rPr>
                <w:color w:val="auto"/>
                <w:kern w:val="0"/>
                <w:szCs w:val="21"/>
              </w:rPr>
              <w:t>平均时间</w:t>
            </w:r>
          </w:p>
        </w:tc>
        <w:tc>
          <w:tcPr>
            <w:tcW w:w="557" w:type="pct"/>
            <w:vMerge w:val="restart"/>
            <w:tcBorders>
              <w:top w:val="single" w:color="000000" w:sz="12" w:space="0"/>
              <w:left w:val="single" w:color="000000" w:sz="4" w:space="0"/>
              <w:bottom w:val="single" w:color="000000" w:sz="4" w:space="0"/>
              <w:right w:val="single" w:color="000000" w:sz="4" w:space="0"/>
            </w:tcBorders>
            <w:vAlign w:val="center"/>
          </w:tcPr>
          <w:p w14:paraId="7EB36E3A">
            <w:pPr>
              <w:spacing w:line="0" w:lineRule="atLeast"/>
              <w:jc w:val="center"/>
              <w:rPr>
                <w:color w:val="auto"/>
                <w:kern w:val="0"/>
                <w:szCs w:val="21"/>
              </w:rPr>
            </w:pPr>
            <w:r>
              <w:rPr>
                <w:color w:val="auto"/>
                <w:kern w:val="0"/>
                <w:szCs w:val="21"/>
              </w:rPr>
              <w:t>评价标准/(μg/m</w:t>
            </w:r>
            <w:r>
              <w:rPr>
                <w:color w:val="auto"/>
                <w:kern w:val="0"/>
                <w:szCs w:val="21"/>
                <w:vertAlign w:val="superscript"/>
              </w:rPr>
              <w:t>3</w:t>
            </w:r>
            <w:r>
              <w:rPr>
                <w:color w:val="auto"/>
                <w:kern w:val="0"/>
                <w:szCs w:val="21"/>
              </w:rPr>
              <w:t>)</w:t>
            </w:r>
          </w:p>
        </w:tc>
        <w:tc>
          <w:tcPr>
            <w:tcW w:w="618" w:type="pct"/>
            <w:vMerge w:val="restart"/>
            <w:tcBorders>
              <w:top w:val="single" w:color="000000" w:sz="12" w:space="0"/>
              <w:left w:val="single" w:color="000000" w:sz="4" w:space="0"/>
              <w:bottom w:val="single" w:color="000000" w:sz="4" w:space="0"/>
              <w:right w:val="single" w:color="000000" w:sz="4" w:space="0"/>
            </w:tcBorders>
            <w:vAlign w:val="center"/>
          </w:tcPr>
          <w:p w14:paraId="42545C72">
            <w:pPr>
              <w:spacing w:line="0" w:lineRule="atLeast"/>
              <w:jc w:val="center"/>
              <w:rPr>
                <w:color w:val="auto"/>
                <w:kern w:val="0"/>
                <w:szCs w:val="21"/>
              </w:rPr>
            </w:pPr>
            <w:r>
              <w:rPr>
                <w:color w:val="auto"/>
                <w:kern w:val="0"/>
                <w:szCs w:val="21"/>
              </w:rPr>
              <w:t>监测浓度范围/(μg/m</w:t>
            </w:r>
            <w:r>
              <w:rPr>
                <w:color w:val="auto"/>
                <w:kern w:val="0"/>
                <w:szCs w:val="21"/>
                <w:vertAlign w:val="superscript"/>
              </w:rPr>
              <w:t>3</w:t>
            </w:r>
            <w:r>
              <w:rPr>
                <w:color w:val="auto"/>
                <w:kern w:val="0"/>
                <w:szCs w:val="21"/>
              </w:rPr>
              <w:t>)</w:t>
            </w:r>
          </w:p>
        </w:tc>
        <w:tc>
          <w:tcPr>
            <w:tcW w:w="370" w:type="pct"/>
            <w:vMerge w:val="restart"/>
            <w:tcBorders>
              <w:top w:val="single" w:color="000000" w:sz="12" w:space="0"/>
              <w:left w:val="single" w:color="000000" w:sz="4" w:space="0"/>
              <w:bottom w:val="single" w:color="000000" w:sz="4" w:space="0"/>
              <w:right w:val="single" w:color="000000" w:sz="4" w:space="0"/>
            </w:tcBorders>
            <w:vAlign w:val="center"/>
          </w:tcPr>
          <w:p w14:paraId="39587650">
            <w:pPr>
              <w:spacing w:line="0" w:lineRule="atLeast"/>
              <w:jc w:val="center"/>
              <w:rPr>
                <w:color w:val="auto"/>
                <w:kern w:val="0"/>
                <w:szCs w:val="21"/>
              </w:rPr>
            </w:pPr>
            <w:r>
              <w:rPr>
                <w:color w:val="auto"/>
                <w:kern w:val="0"/>
                <w:szCs w:val="21"/>
              </w:rPr>
              <w:t>最大浓度占标率/%</w:t>
            </w:r>
          </w:p>
        </w:tc>
        <w:tc>
          <w:tcPr>
            <w:tcW w:w="271" w:type="pct"/>
            <w:vMerge w:val="restart"/>
            <w:tcBorders>
              <w:top w:val="single" w:color="000000" w:sz="12" w:space="0"/>
              <w:left w:val="single" w:color="000000" w:sz="4" w:space="0"/>
              <w:bottom w:val="single" w:color="000000" w:sz="4" w:space="0"/>
              <w:right w:val="single" w:color="000000" w:sz="4" w:space="0"/>
            </w:tcBorders>
            <w:vAlign w:val="center"/>
          </w:tcPr>
          <w:p w14:paraId="3010F1DA">
            <w:pPr>
              <w:spacing w:line="0" w:lineRule="atLeast"/>
              <w:jc w:val="center"/>
              <w:rPr>
                <w:color w:val="auto"/>
                <w:kern w:val="0"/>
                <w:szCs w:val="21"/>
              </w:rPr>
            </w:pPr>
            <w:r>
              <w:rPr>
                <w:color w:val="auto"/>
                <w:kern w:val="0"/>
                <w:szCs w:val="21"/>
              </w:rPr>
              <w:t>超标率/%</w:t>
            </w:r>
          </w:p>
        </w:tc>
        <w:tc>
          <w:tcPr>
            <w:tcW w:w="256" w:type="pct"/>
            <w:vMerge w:val="restart"/>
            <w:tcBorders>
              <w:top w:val="single" w:color="000000" w:sz="12" w:space="0"/>
              <w:left w:val="single" w:color="000000" w:sz="4" w:space="0"/>
              <w:bottom w:val="single" w:color="000000" w:sz="4" w:space="0"/>
              <w:right w:val="nil"/>
            </w:tcBorders>
            <w:vAlign w:val="center"/>
          </w:tcPr>
          <w:p w14:paraId="07D9842D">
            <w:pPr>
              <w:spacing w:line="0" w:lineRule="atLeast"/>
              <w:jc w:val="center"/>
              <w:rPr>
                <w:color w:val="auto"/>
                <w:kern w:val="0"/>
                <w:szCs w:val="21"/>
              </w:rPr>
            </w:pPr>
            <w:r>
              <w:rPr>
                <w:color w:val="auto"/>
                <w:kern w:val="0"/>
                <w:szCs w:val="21"/>
              </w:rPr>
              <w:t>达标情况</w:t>
            </w:r>
          </w:p>
        </w:tc>
      </w:tr>
      <w:tr w14:paraId="0AE1D6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 w:hRule="atLeast"/>
          <w:jc w:val="center"/>
        </w:trPr>
        <w:tc>
          <w:tcPr>
            <w:tcW w:w="433" w:type="pct"/>
            <w:vMerge w:val="continue"/>
            <w:tcBorders>
              <w:top w:val="single" w:color="000000" w:sz="12" w:space="0"/>
              <w:left w:val="nil"/>
              <w:bottom w:val="single" w:color="000000" w:sz="4" w:space="0"/>
              <w:right w:val="single" w:color="000000" w:sz="4" w:space="0"/>
            </w:tcBorders>
            <w:vAlign w:val="center"/>
          </w:tcPr>
          <w:p w14:paraId="2AB2D7BA">
            <w:pPr>
              <w:widowControl/>
              <w:spacing w:line="0" w:lineRule="atLeast"/>
              <w:jc w:val="left"/>
              <w:rPr>
                <w:color w:val="auto"/>
                <w:kern w:val="0"/>
                <w:szCs w:val="21"/>
              </w:rPr>
            </w:pPr>
          </w:p>
        </w:tc>
        <w:tc>
          <w:tcPr>
            <w:tcW w:w="858" w:type="pct"/>
            <w:tcBorders>
              <w:top w:val="single" w:color="auto" w:sz="4" w:space="0"/>
              <w:left w:val="single" w:color="000000" w:sz="4" w:space="0"/>
              <w:bottom w:val="single" w:color="000000" w:sz="4" w:space="0"/>
              <w:right w:val="single" w:color="auto" w:sz="4" w:space="0"/>
            </w:tcBorders>
            <w:vAlign w:val="center"/>
          </w:tcPr>
          <w:p w14:paraId="7169CA2E">
            <w:pPr>
              <w:spacing w:line="0" w:lineRule="atLeast"/>
              <w:jc w:val="center"/>
              <w:rPr>
                <w:color w:val="auto"/>
                <w:kern w:val="0"/>
                <w:szCs w:val="21"/>
              </w:rPr>
            </w:pPr>
            <w:r>
              <w:rPr>
                <w:color w:val="auto"/>
                <w:kern w:val="0"/>
                <w:szCs w:val="21"/>
              </w:rPr>
              <w:t>X</w:t>
            </w:r>
          </w:p>
        </w:tc>
        <w:tc>
          <w:tcPr>
            <w:tcW w:w="818" w:type="pct"/>
            <w:tcBorders>
              <w:top w:val="single" w:color="auto" w:sz="4" w:space="0"/>
              <w:left w:val="single" w:color="auto" w:sz="4" w:space="0"/>
              <w:bottom w:val="single" w:color="000000" w:sz="4" w:space="0"/>
              <w:right w:val="single" w:color="000000" w:sz="4" w:space="0"/>
            </w:tcBorders>
            <w:vAlign w:val="center"/>
          </w:tcPr>
          <w:p w14:paraId="54DCBA8D">
            <w:pPr>
              <w:spacing w:line="0" w:lineRule="atLeast"/>
              <w:jc w:val="center"/>
              <w:rPr>
                <w:color w:val="auto"/>
                <w:kern w:val="0"/>
                <w:szCs w:val="21"/>
              </w:rPr>
            </w:pPr>
            <w:r>
              <w:rPr>
                <w:color w:val="auto"/>
                <w:kern w:val="0"/>
                <w:szCs w:val="21"/>
              </w:rPr>
              <w:t>Y</w:t>
            </w:r>
          </w:p>
        </w:tc>
        <w:tc>
          <w:tcPr>
            <w:tcW w:w="357" w:type="pct"/>
            <w:vMerge w:val="continue"/>
            <w:tcBorders>
              <w:top w:val="single" w:color="000000" w:sz="12" w:space="0"/>
              <w:left w:val="single" w:color="000000" w:sz="4" w:space="0"/>
              <w:bottom w:val="single" w:color="000000" w:sz="4" w:space="0"/>
              <w:right w:val="single" w:color="000000" w:sz="4" w:space="0"/>
            </w:tcBorders>
            <w:vAlign w:val="center"/>
          </w:tcPr>
          <w:p w14:paraId="541716EB">
            <w:pPr>
              <w:widowControl/>
              <w:spacing w:line="0" w:lineRule="atLeast"/>
              <w:jc w:val="left"/>
              <w:rPr>
                <w:color w:val="auto"/>
                <w:kern w:val="0"/>
                <w:szCs w:val="21"/>
              </w:rPr>
            </w:pPr>
          </w:p>
        </w:tc>
        <w:tc>
          <w:tcPr>
            <w:tcW w:w="457" w:type="pct"/>
            <w:vMerge w:val="continue"/>
            <w:tcBorders>
              <w:top w:val="single" w:color="000000" w:sz="12" w:space="0"/>
              <w:left w:val="single" w:color="000000" w:sz="4" w:space="0"/>
              <w:bottom w:val="single" w:color="000000" w:sz="4" w:space="0"/>
              <w:right w:val="single" w:color="000000" w:sz="4" w:space="0"/>
            </w:tcBorders>
            <w:vAlign w:val="center"/>
          </w:tcPr>
          <w:p w14:paraId="0DE3402A">
            <w:pPr>
              <w:widowControl/>
              <w:spacing w:line="0" w:lineRule="atLeast"/>
              <w:jc w:val="left"/>
              <w:rPr>
                <w:color w:val="auto"/>
                <w:kern w:val="0"/>
                <w:szCs w:val="21"/>
              </w:rPr>
            </w:pPr>
          </w:p>
        </w:tc>
        <w:tc>
          <w:tcPr>
            <w:tcW w:w="0" w:type="auto"/>
            <w:vMerge w:val="continue"/>
            <w:tcBorders>
              <w:top w:val="single" w:color="000000" w:sz="12" w:space="0"/>
              <w:left w:val="single" w:color="000000" w:sz="4" w:space="0"/>
              <w:bottom w:val="single" w:color="000000" w:sz="4" w:space="0"/>
              <w:right w:val="single" w:color="000000" w:sz="4" w:space="0"/>
            </w:tcBorders>
            <w:vAlign w:val="center"/>
          </w:tcPr>
          <w:p w14:paraId="0F22A281">
            <w:pPr>
              <w:widowControl/>
              <w:spacing w:line="0" w:lineRule="atLeast"/>
              <w:jc w:val="left"/>
              <w:rPr>
                <w:color w:val="auto"/>
                <w:kern w:val="0"/>
                <w:szCs w:val="21"/>
              </w:rPr>
            </w:pPr>
          </w:p>
        </w:tc>
        <w:tc>
          <w:tcPr>
            <w:tcW w:w="618" w:type="pct"/>
            <w:vMerge w:val="continue"/>
            <w:tcBorders>
              <w:top w:val="single" w:color="000000" w:sz="12" w:space="0"/>
              <w:left w:val="single" w:color="000000" w:sz="4" w:space="0"/>
              <w:bottom w:val="single" w:color="000000" w:sz="4" w:space="0"/>
              <w:right w:val="single" w:color="000000" w:sz="4" w:space="0"/>
            </w:tcBorders>
            <w:vAlign w:val="center"/>
          </w:tcPr>
          <w:p w14:paraId="34136D00">
            <w:pPr>
              <w:widowControl/>
              <w:spacing w:line="0" w:lineRule="atLeast"/>
              <w:jc w:val="left"/>
              <w:rPr>
                <w:color w:val="auto"/>
                <w:kern w:val="0"/>
                <w:szCs w:val="21"/>
              </w:rPr>
            </w:pPr>
          </w:p>
        </w:tc>
        <w:tc>
          <w:tcPr>
            <w:tcW w:w="370" w:type="pct"/>
            <w:vMerge w:val="continue"/>
            <w:tcBorders>
              <w:top w:val="single" w:color="000000" w:sz="12" w:space="0"/>
              <w:left w:val="single" w:color="000000" w:sz="4" w:space="0"/>
              <w:bottom w:val="single" w:color="000000" w:sz="4" w:space="0"/>
              <w:right w:val="single" w:color="000000" w:sz="4" w:space="0"/>
            </w:tcBorders>
            <w:vAlign w:val="center"/>
          </w:tcPr>
          <w:p w14:paraId="3A1F3387">
            <w:pPr>
              <w:widowControl/>
              <w:spacing w:line="0" w:lineRule="atLeast"/>
              <w:jc w:val="left"/>
              <w:rPr>
                <w:color w:val="auto"/>
                <w:kern w:val="0"/>
                <w:szCs w:val="21"/>
              </w:rPr>
            </w:pPr>
          </w:p>
        </w:tc>
        <w:tc>
          <w:tcPr>
            <w:tcW w:w="0" w:type="auto"/>
            <w:vMerge w:val="continue"/>
            <w:tcBorders>
              <w:top w:val="single" w:color="000000" w:sz="12" w:space="0"/>
              <w:left w:val="single" w:color="000000" w:sz="4" w:space="0"/>
              <w:bottom w:val="single" w:color="000000" w:sz="4" w:space="0"/>
              <w:right w:val="single" w:color="000000" w:sz="4" w:space="0"/>
            </w:tcBorders>
            <w:vAlign w:val="center"/>
          </w:tcPr>
          <w:p w14:paraId="1E4FB277">
            <w:pPr>
              <w:widowControl/>
              <w:spacing w:line="0" w:lineRule="atLeast"/>
              <w:jc w:val="left"/>
              <w:rPr>
                <w:color w:val="auto"/>
                <w:kern w:val="0"/>
                <w:szCs w:val="21"/>
              </w:rPr>
            </w:pPr>
          </w:p>
        </w:tc>
        <w:tc>
          <w:tcPr>
            <w:tcW w:w="0" w:type="auto"/>
            <w:vMerge w:val="continue"/>
            <w:tcBorders>
              <w:top w:val="single" w:color="000000" w:sz="12" w:space="0"/>
              <w:left w:val="single" w:color="000000" w:sz="4" w:space="0"/>
              <w:bottom w:val="single" w:color="000000" w:sz="4" w:space="0"/>
              <w:right w:val="nil"/>
            </w:tcBorders>
            <w:vAlign w:val="center"/>
          </w:tcPr>
          <w:p w14:paraId="40240E58">
            <w:pPr>
              <w:widowControl/>
              <w:spacing w:line="0" w:lineRule="atLeast"/>
              <w:jc w:val="left"/>
              <w:rPr>
                <w:color w:val="auto"/>
                <w:kern w:val="0"/>
                <w:szCs w:val="21"/>
              </w:rPr>
            </w:pPr>
          </w:p>
        </w:tc>
      </w:tr>
      <w:tr w14:paraId="137F4C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27" w:hRule="atLeast"/>
          <w:jc w:val="center"/>
        </w:trPr>
        <w:tc>
          <w:tcPr>
            <w:tcW w:w="433" w:type="pct"/>
            <w:tcBorders>
              <w:top w:val="single" w:color="000000" w:sz="4" w:space="0"/>
              <w:left w:val="nil"/>
              <w:right w:val="single" w:color="000000" w:sz="4" w:space="0"/>
            </w:tcBorders>
            <w:vAlign w:val="center"/>
          </w:tcPr>
          <w:p w14:paraId="4C38D90C">
            <w:pPr>
              <w:adjustRightInd w:val="0"/>
              <w:snapToGrid w:val="0"/>
              <w:spacing w:line="0" w:lineRule="atLeast"/>
              <w:jc w:val="center"/>
              <w:rPr>
                <w:color w:val="auto"/>
                <w:szCs w:val="21"/>
              </w:rPr>
            </w:pPr>
            <w:r>
              <w:rPr>
                <w:color w:val="auto"/>
                <w:szCs w:val="21"/>
              </w:rPr>
              <w:t>○1</w:t>
            </w:r>
            <w:r>
              <w:rPr>
                <w:rFonts w:hint="eastAsia"/>
                <w:color w:val="auto"/>
                <w:szCs w:val="21"/>
              </w:rPr>
              <w:t>场</w:t>
            </w:r>
            <w:r>
              <w:rPr>
                <w:color w:val="auto"/>
                <w:szCs w:val="21"/>
              </w:rPr>
              <w:t>址</w:t>
            </w:r>
          </w:p>
        </w:tc>
        <w:tc>
          <w:tcPr>
            <w:tcW w:w="858" w:type="pct"/>
            <w:tcBorders>
              <w:top w:val="single" w:color="000000" w:sz="4" w:space="0"/>
              <w:left w:val="single" w:color="000000" w:sz="4" w:space="0"/>
              <w:right w:val="single" w:color="auto" w:sz="4" w:space="0"/>
            </w:tcBorders>
            <w:vAlign w:val="center"/>
          </w:tcPr>
          <w:p w14:paraId="22F2ACBC">
            <w:pPr>
              <w:adjustRightInd w:val="0"/>
              <w:snapToGrid w:val="0"/>
              <w:spacing w:line="0" w:lineRule="atLeast"/>
              <w:jc w:val="center"/>
              <w:rPr>
                <w:color w:val="auto"/>
                <w:kern w:val="0"/>
                <w:szCs w:val="21"/>
              </w:rPr>
            </w:pPr>
            <w:r>
              <w:rPr>
                <w:rFonts w:hint="eastAsia"/>
                <w:color w:val="auto"/>
              </w:rPr>
              <w:t>131.27082825</w:t>
            </w:r>
          </w:p>
        </w:tc>
        <w:tc>
          <w:tcPr>
            <w:tcW w:w="818" w:type="pct"/>
            <w:tcBorders>
              <w:top w:val="single" w:color="000000" w:sz="4" w:space="0"/>
              <w:left w:val="single" w:color="auto" w:sz="4" w:space="0"/>
              <w:right w:val="single" w:color="000000" w:sz="4" w:space="0"/>
            </w:tcBorders>
            <w:vAlign w:val="center"/>
          </w:tcPr>
          <w:p w14:paraId="31E4B04C">
            <w:pPr>
              <w:adjustRightInd w:val="0"/>
              <w:snapToGrid w:val="0"/>
              <w:spacing w:line="0" w:lineRule="atLeast"/>
              <w:jc w:val="center"/>
              <w:rPr>
                <w:color w:val="auto"/>
                <w:kern w:val="0"/>
                <w:szCs w:val="21"/>
              </w:rPr>
            </w:pPr>
            <w:r>
              <w:rPr>
                <w:rFonts w:hint="eastAsia"/>
                <w:color w:val="auto"/>
              </w:rPr>
              <w:t>45.34673452</w:t>
            </w:r>
          </w:p>
        </w:tc>
        <w:tc>
          <w:tcPr>
            <w:tcW w:w="357" w:type="pct"/>
            <w:tcBorders>
              <w:top w:val="single" w:color="000000" w:sz="4" w:space="0"/>
              <w:left w:val="single" w:color="000000" w:sz="4" w:space="0"/>
              <w:bottom w:val="single" w:color="000000" w:sz="4" w:space="0"/>
              <w:right w:val="single" w:color="000000" w:sz="4" w:space="0"/>
            </w:tcBorders>
            <w:vAlign w:val="center"/>
          </w:tcPr>
          <w:p w14:paraId="08242A64">
            <w:pPr>
              <w:spacing w:line="0" w:lineRule="atLeast"/>
              <w:jc w:val="center"/>
              <w:rPr>
                <w:color w:val="auto"/>
                <w:kern w:val="0"/>
                <w:szCs w:val="21"/>
              </w:rPr>
            </w:pPr>
            <w:r>
              <w:rPr>
                <w:color w:val="auto"/>
                <w:kern w:val="0"/>
                <w:szCs w:val="21"/>
              </w:rPr>
              <w:t>TSP</w:t>
            </w:r>
          </w:p>
        </w:tc>
        <w:tc>
          <w:tcPr>
            <w:tcW w:w="457" w:type="pct"/>
            <w:tcBorders>
              <w:top w:val="single" w:color="000000" w:sz="4" w:space="0"/>
              <w:left w:val="single" w:color="000000" w:sz="4" w:space="0"/>
              <w:right w:val="single" w:color="000000" w:sz="4" w:space="0"/>
            </w:tcBorders>
            <w:vAlign w:val="center"/>
          </w:tcPr>
          <w:p w14:paraId="3FECA2D1">
            <w:pPr>
              <w:spacing w:line="0" w:lineRule="atLeast"/>
              <w:jc w:val="center"/>
              <w:rPr>
                <w:color w:val="auto"/>
                <w:kern w:val="0"/>
                <w:szCs w:val="21"/>
              </w:rPr>
            </w:pPr>
            <w:r>
              <w:rPr>
                <w:color w:val="auto"/>
                <w:kern w:val="0"/>
                <w:szCs w:val="21"/>
              </w:rPr>
              <w:t>24小时均值</w:t>
            </w:r>
          </w:p>
        </w:tc>
        <w:tc>
          <w:tcPr>
            <w:tcW w:w="557" w:type="pct"/>
            <w:tcBorders>
              <w:top w:val="single" w:color="000000" w:sz="4" w:space="0"/>
              <w:left w:val="single" w:color="000000" w:sz="4" w:space="0"/>
              <w:right w:val="single" w:color="000000" w:sz="4" w:space="0"/>
            </w:tcBorders>
            <w:vAlign w:val="center"/>
          </w:tcPr>
          <w:p w14:paraId="587AE18C">
            <w:pPr>
              <w:spacing w:line="0" w:lineRule="atLeast"/>
              <w:jc w:val="center"/>
              <w:rPr>
                <w:color w:val="auto"/>
                <w:kern w:val="0"/>
                <w:szCs w:val="21"/>
              </w:rPr>
            </w:pPr>
            <w:r>
              <w:rPr>
                <w:color w:val="auto"/>
                <w:kern w:val="0"/>
                <w:szCs w:val="21"/>
              </w:rPr>
              <w:t>300</w:t>
            </w:r>
          </w:p>
        </w:tc>
        <w:tc>
          <w:tcPr>
            <w:tcW w:w="618" w:type="pct"/>
            <w:tcBorders>
              <w:top w:val="single" w:color="000000" w:sz="4" w:space="0"/>
              <w:left w:val="single" w:color="000000" w:sz="4" w:space="0"/>
              <w:right w:val="single" w:color="000000" w:sz="4" w:space="0"/>
            </w:tcBorders>
            <w:vAlign w:val="center"/>
          </w:tcPr>
          <w:p w14:paraId="4769A5CB">
            <w:pPr>
              <w:spacing w:line="0" w:lineRule="atLeast"/>
              <w:jc w:val="center"/>
              <w:rPr>
                <w:rFonts w:hint="default" w:eastAsia="宋体"/>
                <w:color w:val="auto"/>
                <w:kern w:val="0"/>
                <w:szCs w:val="21"/>
                <w:lang w:val="en-US" w:eastAsia="zh-CN"/>
              </w:rPr>
            </w:pPr>
            <w:r>
              <w:rPr>
                <w:rFonts w:hint="eastAsia"/>
                <w:color w:val="auto"/>
                <w:kern w:val="0"/>
                <w:szCs w:val="21"/>
              </w:rPr>
              <w:t>10</w:t>
            </w:r>
            <w:r>
              <w:rPr>
                <w:rFonts w:hint="eastAsia"/>
                <w:color w:val="auto"/>
                <w:kern w:val="0"/>
                <w:szCs w:val="21"/>
                <w:lang w:val="en-US" w:eastAsia="zh-CN"/>
              </w:rPr>
              <w:t>1</w:t>
            </w:r>
            <w:r>
              <w:rPr>
                <w:rFonts w:hint="eastAsia"/>
                <w:color w:val="auto"/>
                <w:kern w:val="0"/>
                <w:szCs w:val="21"/>
              </w:rPr>
              <w:t>-1</w:t>
            </w:r>
            <w:r>
              <w:rPr>
                <w:rFonts w:hint="eastAsia"/>
                <w:color w:val="auto"/>
                <w:kern w:val="0"/>
                <w:szCs w:val="21"/>
                <w:lang w:val="en-US" w:eastAsia="zh-CN"/>
              </w:rPr>
              <w:t>04</w:t>
            </w:r>
          </w:p>
        </w:tc>
        <w:tc>
          <w:tcPr>
            <w:tcW w:w="370" w:type="pct"/>
            <w:tcBorders>
              <w:top w:val="single" w:color="000000" w:sz="4" w:space="0"/>
              <w:left w:val="single" w:color="000000" w:sz="4" w:space="0"/>
              <w:right w:val="single" w:color="000000" w:sz="4" w:space="0"/>
            </w:tcBorders>
            <w:vAlign w:val="center"/>
          </w:tcPr>
          <w:p w14:paraId="7FE6D46C">
            <w:pPr>
              <w:spacing w:line="0" w:lineRule="atLeast"/>
              <w:jc w:val="center"/>
              <w:rPr>
                <w:rFonts w:hint="default" w:eastAsia="宋体"/>
                <w:color w:val="auto"/>
                <w:kern w:val="0"/>
                <w:szCs w:val="21"/>
                <w:lang w:val="en-US" w:eastAsia="zh-CN"/>
              </w:rPr>
            </w:pPr>
            <w:r>
              <w:rPr>
                <w:rFonts w:hint="eastAsia"/>
                <w:color w:val="auto"/>
                <w:kern w:val="0"/>
                <w:szCs w:val="21"/>
              </w:rPr>
              <w:t>3</w:t>
            </w:r>
            <w:r>
              <w:rPr>
                <w:rFonts w:hint="eastAsia"/>
                <w:color w:val="auto"/>
                <w:kern w:val="0"/>
                <w:szCs w:val="21"/>
                <w:lang w:val="en-US" w:eastAsia="zh-CN"/>
              </w:rPr>
              <w:t>4</w:t>
            </w:r>
            <w:r>
              <w:rPr>
                <w:rFonts w:hint="eastAsia"/>
                <w:color w:val="auto"/>
                <w:kern w:val="0"/>
                <w:szCs w:val="21"/>
              </w:rPr>
              <w:t>.</w:t>
            </w:r>
            <w:r>
              <w:rPr>
                <w:rFonts w:hint="eastAsia"/>
                <w:color w:val="auto"/>
                <w:kern w:val="0"/>
                <w:szCs w:val="21"/>
                <w:lang w:val="en-US" w:eastAsia="zh-CN"/>
              </w:rPr>
              <w:t>66</w:t>
            </w:r>
          </w:p>
        </w:tc>
        <w:tc>
          <w:tcPr>
            <w:tcW w:w="271" w:type="pct"/>
            <w:tcBorders>
              <w:top w:val="single" w:color="000000" w:sz="4" w:space="0"/>
              <w:left w:val="single" w:color="000000" w:sz="4" w:space="0"/>
              <w:right w:val="single" w:color="000000" w:sz="4" w:space="0"/>
            </w:tcBorders>
            <w:vAlign w:val="center"/>
          </w:tcPr>
          <w:p w14:paraId="568E1CC6">
            <w:pPr>
              <w:spacing w:line="0" w:lineRule="atLeast"/>
              <w:jc w:val="center"/>
              <w:rPr>
                <w:color w:val="auto"/>
                <w:kern w:val="0"/>
                <w:szCs w:val="21"/>
              </w:rPr>
            </w:pPr>
            <w:r>
              <w:rPr>
                <w:rFonts w:hint="eastAsia"/>
                <w:color w:val="auto"/>
                <w:kern w:val="0"/>
                <w:szCs w:val="21"/>
              </w:rPr>
              <w:t>0</w:t>
            </w:r>
          </w:p>
        </w:tc>
        <w:tc>
          <w:tcPr>
            <w:tcW w:w="256" w:type="pct"/>
            <w:vMerge w:val="restart"/>
            <w:tcBorders>
              <w:top w:val="single" w:color="000000" w:sz="4" w:space="0"/>
              <w:left w:val="single" w:color="000000" w:sz="4" w:space="0"/>
              <w:right w:val="nil"/>
            </w:tcBorders>
            <w:vAlign w:val="center"/>
          </w:tcPr>
          <w:p w14:paraId="5B5E8C25">
            <w:pPr>
              <w:spacing w:line="0" w:lineRule="atLeast"/>
              <w:jc w:val="center"/>
              <w:rPr>
                <w:color w:val="auto"/>
                <w:kern w:val="0"/>
                <w:szCs w:val="21"/>
              </w:rPr>
            </w:pPr>
            <w:r>
              <w:rPr>
                <w:color w:val="auto"/>
                <w:kern w:val="0"/>
                <w:szCs w:val="21"/>
              </w:rPr>
              <w:t>达标</w:t>
            </w:r>
          </w:p>
        </w:tc>
      </w:tr>
      <w:tr w14:paraId="47D263E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96" w:hRule="atLeast"/>
          <w:jc w:val="center"/>
        </w:trPr>
        <w:tc>
          <w:tcPr>
            <w:tcW w:w="433" w:type="pct"/>
            <w:tcBorders>
              <w:top w:val="single" w:color="000000" w:sz="4" w:space="0"/>
              <w:left w:val="nil"/>
              <w:bottom w:val="single" w:color="000000" w:sz="4" w:space="0"/>
              <w:right w:val="single" w:color="000000" w:sz="4" w:space="0"/>
            </w:tcBorders>
            <w:vAlign w:val="center"/>
          </w:tcPr>
          <w:p w14:paraId="6557913F">
            <w:pPr>
              <w:adjustRightInd w:val="0"/>
              <w:snapToGrid w:val="0"/>
              <w:spacing w:line="0" w:lineRule="atLeast"/>
              <w:jc w:val="center"/>
              <w:rPr>
                <w:color w:val="auto"/>
                <w:szCs w:val="21"/>
              </w:rPr>
            </w:pPr>
            <w:r>
              <w:rPr>
                <w:color w:val="auto"/>
                <w:szCs w:val="21"/>
              </w:rPr>
              <w:t>○2下风向</w:t>
            </w:r>
          </w:p>
        </w:tc>
        <w:tc>
          <w:tcPr>
            <w:tcW w:w="858" w:type="pct"/>
            <w:tcBorders>
              <w:top w:val="single" w:color="000000" w:sz="4" w:space="0"/>
              <w:left w:val="single" w:color="000000" w:sz="4" w:space="0"/>
              <w:bottom w:val="single" w:color="000000" w:sz="4" w:space="0"/>
              <w:right w:val="single" w:color="auto" w:sz="4" w:space="0"/>
            </w:tcBorders>
            <w:vAlign w:val="center"/>
          </w:tcPr>
          <w:p w14:paraId="4422F2D1">
            <w:pPr>
              <w:adjustRightInd w:val="0"/>
              <w:snapToGrid w:val="0"/>
              <w:spacing w:line="0" w:lineRule="atLeast"/>
              <w:jc w:val="center"/>
              <w:rPr>
                <w:color w:val="auto"/>
                <w:kern w:val="0"/>
                <w:szCs w:val="21"/>
              </w:rPr>
            </w:pPr>
            <w:r>
              <w:rPr>
                <w:rFonts w:hint="eastAsia"/>
                <w:color w:val="auto"/>
              </w:rPr>
              <w:t>131.27860665</w:t>
            </w:r>
          </w:p>
        </w:tc>
        <w:tc>
          <w:tcPr>
            <w:tcW w:w="818" w:type="pct"/>
            <w:tcBorders>
              <w:top w:val="single" w:color="000000" w:sz="4" w:space="0"/>
              <w:left w:val="single" w:color="auto" w:sz="4" w:space="0"/>
              <w:bottom w:val="single" w:color="000000" w:sz="4" w:space="0"/>
              <w:right w:val="single" w:color="000000" w:sz="4" w:space="0"/>
            </w:tcBorders>
            <w:vAlign w:val="center"/>
          </w:tcPr>
          <w:p w14:paraId="41E3EC95">
            <w:pPr>
              <w:adjustRightInd w:val="0"/>
              <w:snapToGrid w:val="0"/>
              <w:spacing w:line="0" w:lineRule="atLeast"/>
              <w:jc w:val="center"/>
              <w:rPr>
                <w:color w:val="auto"/>
                <w:kern w:val="0"/>
                <w:szCs w:val="21"/>
              </w:rPr>
            </w:pPr>
            <w:r>
              <w:rPr>
                <w:rFonts w:hint="eastAsia"/>
                <w:color w:val="auto"/>
              </w:rPr>
              <w:t>45.34514666</w:t>
            </w:r>
          </w:p>
        </w:tc>
        <w:tc>
          <w:tcPr>
            <w:tcW w:w="357" w:type="pct"/>
            <w:tcBorders>
              <w:top w:val="single" w:color="000000" w:sz="4" w:space="0"/>
              <w:left w:val="single" w:color="000000" w:sz="4" w:space="0"/>
              <w:bottom w:val="single" w:color="000000" w:sz="4" w:space="0"/>
              <w:right w:val="single" w:color="000000" w:sz="4" w:space="0"/>
            </w:tcBorders>
            <w:vAlign w:val="center"/>
          </w:tcPr>
          <w:p w14:paraId="45883B48">
            <w:pPr>
              <w:spacing w:line="0" w:lineRule="atLeast"/>
              <w:jc w:val="center"/>
              <w:rPr>
                <w:color w:val="auto"/>
                <w:kern w:val="0"/>
                <w:szCs w:val="21"/>
              </w:rPr>
            </w:pPr>
            <w:r>
              <w:rPr>
                <w:color w:val="auto"/>
                <w:kern w:val="0"/>
                <w:szCs w:val="21"/>
              </w:rPr>
              <w:t>TSP</w:t>
            </w:r>
          </w:p>
        </w:tc>
        <w:tc>
          <w:tcPr>
            <w:tcW w:w="457" w:type="pct"/>
            <w:tcBorders>
              <w:left w:val="single" w:color="000000" w:sz="4" w:space="0"/>
              <w:right w:val="single" w:color="000000" w:sz="4" w:space="0"/>
            </w:tcBorders>
            <w:vAlign w:val="center"/>
          </w:tcPr>
          <w:p w14:paraId="3677151C">
            <w:pPr>
              <w:spacing w:line="0" w:lineRule="atLeast"/>
              <w:jc w:val="center"/>
              <w:rPr>
                <w:color w:val="auto"/>
                <w:kern w:val="0"/>
                <w:szCs w:val="21"/>
              </w:rPr>
            </w:pPr>
            <w:r>
              <w:rPr>
                <w:color w:val="auto"/>
                <w:kern w:val="0"/>
                <w:szCs w:val="21"/>
              </w:rPr>
              <w:t>24小时均值</w:t>
            </w:r>
          </w:p>
        </w:tc>
        <w:tc>
          <w:tcPr>
            <w:tcW w:w="0" w:type="auto"/>
            <w:tcBorders>
              <w:left w:val="single" w:color="000000" w:sz="4" w:space="0"/>
              <w:right w:val="single" w:color="000000" w:sz="4" w:space="0"/>
            </w:tcBorders>
            <w:vAlign w:val="center"/>
          </w:tcPr>
          <w:p w14:paraId="003A0D76">
            <w:pPr>
              <w:widowControl/>
              <w:spacing w:line="0" w:lineRule="atLeast"/>
              <w:jc w:val="center"/>
              <w:rPr>
                <w:color w:val="auto"/>
                <w:kern w:val="0"/>
                <w:szCs w:val="21"/>
              </w:rPr>
            </w:pPr>
            <w:r>
              <w:rPr>
                <w:color w:val="auto"/>
                <w:kern w:val="0"/>
                <w:szCs w:val="21"/>
              </w:rPr>
              <w:t>300</w:t>
            </w:r>
          </w:p>
        </w:tc>
        <w:tc>
          <w:tcPr>
            <w:tcW w:w="618" w:type="pct"/>
            <w:tcBorders>
              <w:left w:val="single" w:color="000000" w:sz="4" w:space="0"/>
              <w:right w:val="single" w:color="000000" w:sz="4" w:space="0"/>
            </w:tcBorders>
            <w:vAlign w:val="center"/>
          </w:tcPr>
          <w:p w14:paraId="57DAD033">
            <w:pPr>
              <w:spacing w:line="0" w:lineRule="atLeast"/>
              <w:jc w:val="center"/>
              <w:rPr>
                <w:rFonts w:hint="default" w:eastAsia="宋体"/>
                <w:color w:val="auto"/>
                <w:kern w:val="0"/>
                <w:szCs w:val="21"/>
                <w:lang w:val="en-US" w:eastAsia="zh-CN"/>
              </w:rPr>
            </w:pPr>
            <w:r>
              <w:rPr>
                <w:rFonts w:hint="eastAsia"/>
                <w:color w:val="auto"/>
                <w:kern w:val="0"/>
                <w:szCs w:val="21"/>
              </w:rPr>
              <w:t>1</w:t>
            </w:r>
            <w:r>
              <w:rPr>
                <w:rFonts w:hint="eastAsia"/>
                <w:color w:val="auto"/>
                <w:kern w:val="0"/>
                <w:szCs w:val="21"/>
                <w:lang w:val="en-US" w:eastAsia="zh-CN"/>
              </w:rPr>
              <w:t>13</w:t>
            </w:r>
            <w:r>
              <w:rPr>
                <w:rFonts w:hint="eastAsia"/>
                <w:color w:val="auto"/>
                <w:kern w:val="0"/>
                <w:szCs w:val="21"/>
              </w:rPr>
              <w:t>-1</w:t>
            </w:r>
            <w:r>
              <w:rPr>
                <w:rFonts w:hint="eastAsia"/>
                <w:color w:val="auto"/>
                <w:kern w:val="0"/>
                <w:szCs w:val="21"/>
                <w:lang w:val="en-US" w:eastAsia="zh-CN"/>
              </w:rPr>
              <w:t>15</w:t>
            </w:r>
          </w:p>
        </w:tc>
        <w:tc>
          <w:tcPr>
            <w:tcW w:w="370" w:type="pct"/>
            <w:tcBorders>
              <w:left w:val="single" w:color="000000" w:sz="4" w:space="0"/>
              <w:right w:val="single" w:color="000000" w:sz="4" w:space="0"/>
            </w:tcBorders>
            <w:vAlign w:val="center"/>
          </w:tcPr>
          <w:p w14:paraId="335CB338">
            <w:pPr>
              <w:spacing w:line="0" w:lineRule="atLeast"/>
              <w:jc w:val="center"/>
              <w:rPr>
                <w:rFonts w:hint="default" w:eastAsia="宋体"/>
                <w:color w:val="auto"/>
                <w:kern w:val="0"/>
                <w:szCs w:val="21"/>
                <w:lang w:val="en-US" w:eastAsia="zh-CN"/>
              </w:rPr>
            </w:pPr>
            <w:r>
              <w:rPr>
                <w:rFonts w:hint="eastAsia"/>
                <w:color w:val="auto"/>
                <w:kern w:val="0"/>
                <w:szCs w:val="21"/>
              </w:rPr>
              <w:t>3</w:t>
            </w:r>
            <w:r>
              <w:rPr>
                <w:rFonts w:hint="eastAsia"/>
                <w:color w:val="auto"/>
                <w:kern w:val="0"/>
                <w:szCs w:val="21"/>
                <w:lang w:val="en-US" w:eastAsia="zh-CN"/>
              </w:rPr>
              <w:t>8.33</w:t>
            </w:r>
          </w:p>
        </w:tc>
        <w:tc>
          <w:tcPr>
            <w:tcW w:w="271" w:type="pct"/>
            <w:tcBorders>
              <w:left w:val="single" w:color="000000" w:sz="4" w:space="0"/>
              <w:right w:val="single" w:color="000000" w:sz="4" w:space="0"/>
            </w:tcBorders>
            <w:vAlign w:val="center"/>
          </w:tcPr>
          <w:p w14:paraId="33F71482">
            <w:pPr>
              <w:spacing w:line="0" w:lineRule="atLeast"/>
              <w:jc w:val="center"/>
              <w:rPr>
                <w:color w:val="auto"/>
                <w:kern w:val="0"/>
                <w:szCs w:val="21"/>
              </w:rPr>
            </w:pPr>
            <w:r>
              <w:rPr>
                <w:rFonts w:hint="eastAsia"/>
                <w:color w:val="auto"/>
                <w:kern w:val="0"/>
                <w:szCs w:val="21"/>
              </w:rPr>
              <w:t>0</w:t>
            </w:r>
          </w:p>
        </w:tc>
        <w:tc>
          <w:tcPr>
            <w:tcW w:w="0" w:type="auto"/>
            <w:vMerge w:val="continue"/>
            <w:tcBorders>
              <w:left w:val="single" w:color="000000" w:sz="4" w:space="0"/>
              <w:right w:val="nil"/>
            </w:tcBorders>
            <w:vAlign w:val="center"/>
          </w:tcPr>
          <w:p w14:paraId="0FBFFA90">
            <w:pPr>
              <w:widowControl/>
              <w:spacing w:line="0" w:lineRule="atLeast"/>
              <w:jc w:val="left"/>
              <w:rPr>
                <w:color w:val="auto"/>
                <w:kern w:val="0"/>
                <w:szCs w:val="21"/>
              </w:rPr>
            </w:pPr>
          </w:p>
        </w:tc>
      </w:tr>
    </w:tbl>
    <w:p w14:paraId="17428886">
      <w:pPr>
        <w:spacing w:line="500" w:lineRule="exact"/>
        <w:ind w:firstLine="480" w:firstLineChars="200"/>
        <w:rPr>
          <w:color w:val="auto"/>
          <w:sz w:val="24"/>
        </w:rPr>
      </w:pPr>
      <w:r>
        <w:rPr>
          <w:color w:val="auto"/>
          <w:sz w:val="24"/>
        </w:rPr>
        <w:t>（6）现状</w:t>
      </w:r>
      <w:r>
        <w:rPr>
          <w:rFonts w:hint="eastAsia"/>
          <w:color w:val="auto"/>
          <w:sz w:val="24"/>
        </w:rPr>
        <w:t>补充监测</w:t>
      </w:r>
      <w:r>
        <w:rPr>
          <w:color w:val="auto"/>
          <w:sz w:val="24"/>
        </w:rPr>
        <w:t>评价结论</w:t>
      </w:r>
    </w:p>
    <w:p w14:paraId="614DD4F3">
      <w:pPr>
        <w:adjustRightInd w:val="0"/>
        <w:snapToGrid w:val="0"/>
        <w:spacing w:line="500" w:lineRule="exact"/>
        <w:ind w:firstLine="480" w:firstLineChars="200"/>
        <w:rPr>
          <w:rFonts w:eastAsia="黑体"/>
          <w:snapToGrid w:val="0"/>
          <w:color w:val="auto"/>
          <w:kern w:val="0"/>
          <w:sz w:val="24"/>
          <w:lang w:val="zh-CN"/>
        </w:rPr>
      </w:pPr>
      <w:bookmarkStart w:id="122" w:name="_Hlk26984030"/>
      <w:r>
        <w:rPr>
          <w:snapToGrid w:val="0"/>
          <w:color w:val="auto"/>
          <w:sz w:val="24"/>
        </w:rPr>
        <w:t>根据其他污染物现状评价结果可知，TSP</w:t>
      </w:r>
      <w:r>
        <w:rPr>
          <w:rFonts w:hint="eastAsia"/>
          <w:snapToGrid w:val="0"/>
          <w:color w:val="auto"/>
          <w:sz w:val="24"/>
        </w:rPr>
        <w:t>浓度满足《环境空气质量标准》（</w:t>
      </w:r>
      <w:r>
        <w:rPr>
          <w:snapToGrid w:val="0"/>
          <w:color w:val="auto"/>
          <w:sz w:val="24"/>
        </w:rPr>
        <w:t>GB3095-2012）及修改单中的二级标准。</w:t>
      </w:r>
    </w:p>
    <w:bookmarkEnd w:id="122"/>
    <w:p w14:paraId="47B732BE">
      <w:pPr>
        <w:pStyle w:val="137"/>
        <w:rPr>
          <w:color w:val="auto"/>
        </w:rPr>
      </w:pPr>
      <w:r>
        <w:rPr>
          <w:color w:val="auto"/>
        </w:rPr>
        <w:t>4.</w:t>
      </w:r>
      <w:r>
        <w:rPr>
          <w:rFonts w:hint="eastAsia"/>
          <w:color w:val="auto"/>
        </w:rPr>
        <w:t>2</w:t>
      </w:r>
      <w:r>
        <w:rPr>
          <w:color w:val="auto"/>
        </w:rPr>
        <w:t>.2地表水现状评价</w:t>
      </w:r>
    </w:p>
    <w:p w14:paraId="6F7A4807">
      <w:pPr>
        <w:pStyle w:val="59"/>
        <w:ind w:firstLine="480"/>
        <w:rPr>
          <w:color w:val="auto"/>
        </w:rPr>
      </w:pPr>
      <w:bookmarkStart w:id="123" w:name="_Hlk149051250"/>
      <w:r>
        <w:rPr>
          <w:color w:val="auto"/>
        </w:rPr>
        <w:t>本项目</w:t>
      </w:r>
      <w:r>
        <w:rPr>
          <w:rFonts w:hint="eastAsia"/>
          <w:color w:val="auto"/>
          <w:lang w:eastAsia="zh-CN"/>
        </w:rPr>
        <w:t>最近的</w:t>
      </w:r>
      <w:r>
        <w:rPr>
          <w:color w:val="auto"/>
        </w:rPr>
        <w:t>地表水体为</w:t>
      </w:r>
      <w:r>
        <w:rPr>
          <w:rFonts w:hint="eastAsia"/>
          <w:color w:val="auto"/>
          <w:lang w:eastAsia="zh-CN"/>
        </w:rPr>
        <w:t>三新沟</w:t>
      </w:r>
      <w:r>
        <w:rPr>
          <w:rFonts w:hint="eastAsia"/>
          <w:color w:val="auto"/>
        </w:rPr>
        <w:t>，无水体功能类别，</w:t>
      </w:r>
      <w:r>
        <w:rPr>
          <w:rFonts w:hint="eastAsia"/>
          <w:color w:val="auto"/>
          <w:lang w:eastAsia="zh-CN"/>
        </w:rPr>
        <w:t>三新沟最终</w:t>
      </w:r>
      <w:r>
        <w:rPr>
          <w:rFonts w:hint="eastAsia"/>
          <w:color w:val="auto"/>
        </w:rPr>
        <w:t>汇入穆棱河。</w:t>
      </w:r>
      <w:r>
        <w:rPr>
          <w:color w:val="auto"/>
        </w:rPr>
        <w:t>根据《全国重要江河湖泊水功能区划（2011-2030年）》，本项目</w:t>
      </w:r>
      <w:r>
        <w:rPr>
          <w:rFonts w:hint="eastAsia"/>
          <w:color w:val="auto"/>
        </w:rPr>
        <w:t>所在穆棱河一级水功能区名称为穆棱河鸡西市开发利用区，二级水功能区名称为穆棱河鸡东县、密山市农业用水区，起始断面为</w:t>
      </w:r>
      <w:r>
        <w:rPr>
          <w:color w:val="auto"/>
        </w:rPr>
        <w:t>鸡古路西100m</w:t>
      </w:r>
      <w:r>
        <w:rPr>
          <w:rFonts w:hint="eastAsia"/>
          <w:color w:val="auto"/>
        </w:rPr>
        <w:t>，终止断面为</w:t>
      </w:r>
      <w:r>
        <w:rPr>
          <w:color w:val="auto"/>
        </w:rPr>
        <w:t>凯北站，水质类别为Ⅲ类，根据《202</w:t>
      </w:r>
      <w:r>
        <w:rPr>
          <w:rFonts w:hint="eastAsia"/>
          <w:color w:val="auto"/>
          <w:lang w:val="en-US" w:eastAsia="zh-CN"/>
        </w:rPr>
        <w:t>5</w:t>
      </w:r>
      <w:r>
        <w:rPr>
          <w:color w:val="auto"/>
        </w:rPr>
        <w:t>年黑龙江省生态环境质量状况》</w:t>
      </w:r>
      <w:r>
        <w:rPr>
          <w:rFonts w:hint="eastAsia" w:cs="Times New Roman"/>
          <w:color w:val="auto"/>
          <w:sz w:val="24"/>
          <w:szCs w:val="24"/>
          <w:highlight w:val="none"/>
          <w:lang w:eastAsia="zh-CN"/>
        </w:rPr>
        <w:t>（2026年1月）</w:t>
      </w:r>
      <w:r>
        <w:rPr>
          <w:color w:val="auto"/>
        </w:rPr>
        <w:t>全省</w:t>
      </w:r>
      <w:r>
        <w:rPr>
          <w:rFonts w:hint="eastAsia"/>
          <w:color w:val="auto"/>
        </w:rPr>
        <w:t>地表水水质状况示意图</w:t>
      </w:r>
      <w:r>
        <w:rPr>
          <w:color w:val="auto"/>
        </w:rPr>
        <w:t>可知，</w:t>
      </w:r>
      <w:r>
        <w:rPr>
          <w:rFonts w:hint="eastAsia"/>
          <w:color w:val="auto"/>
        </w:rPr>
        <w:t>项目区所在穆棱河</w:t>
      </w:r>
      <w:r>
        <w:rPr>
          <w:color w:val="auto"/>
        </w:rPr>
        <w:t>水质满足《地表水环境质量标准》（GB3838-2002）中的Ⅲ类水质标准。</w:t>
      </w:r>
    </w:p>
    <w:bookmarkEnd w:id="123"/>
    <w:p w14:paraId="0D3EA33A">
      <w:pPr>
        <w:pStyle w:val="59"/>
        <w:spacing w:line="240" w:lineRule="auto"/>
        <w:ind w:firstLine="199" w:firstLineChars="83"/>
        <w:jc w:val="center"/>
        <w:rPr>
          <w:color w:val="auto"/>
        </w:rPr>
      </w:pPr>
      <w:r>
        <w:rPr>
          <w:color w:val="auto"/>
        </w:rPr>
        <mc:AlternateContent>
          <mc:Choice Requires="wps">
            <w:drawing>
              <wp:anchor distT="0" distB="0" distL="114300" distR="114300" simplePos="0" relativeHeight="251676672" behindDoc="0" locked="0" layoutInCell="1" allowOverlap="1">
                <wp:simplePos x="0" y="0"/>
                <wp:positionH relativeFrom="column">
                  <wp:posOffset>4193540</wp:posOffset>
                </wp:positionH>
                <wp:positionV relativeFrom="paragraph">
                  <wp:posOffset>2324735</wp:posOffset>
                </wp:positionV>
                <wp:extent cx="619125" cy="258445"/>
                <wp:effectExtent l="276860" t="4445" r="18415" b="156210"/>
                <wp:wrapNone/>
                <wp:docPr id="1318530949" name="对话气泡: 矩形 3"/>
                <wp:cNvGraphicFramePr/>
                <a:graphic xmlns:a="http://schemas.openxmlformats.org/drawingml/2006/main">
                  <a:graphicData uri="http://schemas.microsoft.com/office/word/2010/wordprocessingShape">
                    <wps:wsp>
                      <wps:cNvSpPr/>
                      <wps:spPr>
                        <a:xfrm>
                          <a:off x="0" y="0"/>
                          <a:ext cx="619125" cy="258445"/>
                        </a:xfrm>
                        <a:prstGeom prst="wedgeRectCallout">
                          <a:avLst>
                            <a:gd name="adj1" fmla="val -94000"/>
                            <a:gd name="adj2" fmla="val 102825"/>
                          </a:avLst>
                        </a:prstGeom>
                        <a:ln w="3175"/>
                      </wps:spPr>
                      <wps:style>
                        <a:lnRef idx="2">
                          <a:schemeClr val="dk1"/>
                        </a:lnRef>
                        <a:fillRef idx="1">
                          <a:schemeClr val="lt1"/>
                        </a:fillRef>
                        <a:effectRef idx="0">
                          <a:schemeClr val="dk1"/>
                        </a:effectRef>
                        <a:fontRef idx="minor">
                          <a:schemeClr val="dk1"/>
                        </a:fontRef>
                      </wps:style>
                      <wps:txbx>
                        <w:txbxContent>
                          <w:p w14:paraId="31942B9B">
                            <w:r>
                              <w:rPr>
                                <w:rFonts w:hint="eastAsia"/>
                              </w:rPr>
                              <w:t>本项目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对话气泡: 矩形 3" o:spid="_x0000_s1026" o:spt="61" type="#_x0000_t61" style="position:absolute;left:0pt;margin-left:330.2pt;margin-top:183.05pt;height:20.35pt;width:48.75pt;z-index:251676672;v-text-anchor:middle;mso-width-relative:page;mso-height-relative:page;" fillcolor="#FFFFFF [3201]" filled="t" stroked="t" coordsize="21600,21600" o:gfxdata="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AITw4M3AAAAAsBAAAPAAAAAAAAAAEA&#10;IAAAACIAAABkcnMvZG93bnJldi54bWxQSwECFAAUAAAACACHTuJAIauAyLYCAABcBQAADgAAAAAA&#10;AAABACAAAAArAQAAZHJzL2Uyb0RvYy54bWxQSwUGAAAAAAYABgBZAQAAUwYAAAAA&#10;" adj="-9504,33010">
                <v:fill on="t" focussize="0,0"/>
                <v:stroke weight="0.25pt" color="#000000 [3200]" joinstyle="round"/>
                <v:imagedata o:title=""/>
                <o:lock v:ext="edit" aspectratio="f"/>
                <v:textbox>
                  <w:txbxContent>
                    <w:p w14:paraId="31942B9B">
                      <w:r>
                        <w:rPr>
                          <w:rFonts w:hint="eastAsia"/>
                        </w:rPr>
                        <w:t>本项目</w:t>
                      </w:r>
                    </w:p>
                  </w:txbxContent>
                </v:textbox>
              </v:shape>
            </w:pict>
          </mc:Fallback>
        </mc:AlternateContent>
      </w:r>
      <w:r>
        <w:rPr>
          <w:rFonts w:hint="default"/>
          <w:color w:val="auto"/>
          <w:highlight w:val="none"/>
        </w:rPr>
        <w:drawing>
          <wp:inline distT="0" distB="0" distL="114300" distR="114300">
            <wp:extent cx="3561715" cy="3587750"/>
            <wp:effectExtent l="0" t="0" r="635" b="12700"/>
            <wp:docPr id="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4"/>
                    <pic:cNvPicPr>
                      <a:picLocks noChangeAspect="1"/>
                    </pic:cNvPicPr>
                  </pic:nvPicPr>
                  <pic:blipFill>
                    <a:blip r:embed="rId39"/>
                    <a:stretch>
                      <a:fillRect/>
                    </a:stretch>
                  </pic:blipFill>
                  <pic:spPr>
                    <a:xfrm>
                      <a:off x="0" y="0"/>
                      <a:ext cx="3561715" cy="3587750"/>
                    </a:xfrm>
                    <a:prstGeom prst="rect">
                      <a:avLst/>
                    </a:prstGeom>
                    <a:noFill/>
                    <a:ln>
                      <a:noFill/>
                    </a:ln>
                  </pic:spPr>
                </pic:pic>
              </a:graphicData>
            </a:graphic>
          </wp:inline>
        </w:drawing>
      </w:r>
    </w:p>
    <w:p w14:paraId="673FE207">
      <w:pPr>
        <w:pStyle w:val="76"/>
        <w:rPr>
          <w:color w:val="auto"/>
        </w:rPr>
      </w:pPr>
      <w:r>
        <w:rPr>
          <w:rFonts w:hint="eastAsia"/>
          <w:color w:val="auto"/>
        </w:rPr>
        <w:t>图4</w:t>
      </w:r>
      <w:r>
        <w:rPr>
          <w:color w:val="auto"/>
        </w:rPr>
        <w:t>-2-</w:t>
      </w:r>
      <w:r>
        <w:rPr>
          <w:rFonts w:hint="eastAsia"/>
          <w:color w:val="auto"/>
          <w:lang w:val="en-US" w:eastAsia="zh-CN"/>
        </w:rPr>
        <w:t>2</w:t>
      </w:r>
      <w:r>
        <w:rPr>
          <w:rFonts w:hint="eastAsia"/>
          <w:color w:val="auto"/>
        </w:rPr>
        <w:t>全省地表水水质状况示意图</w:t>
      </w:r>
    </w:p>
    <w:p w14:paraId="59A3C159">
      <w:pPr>
        <w:pStyle w:val="137"/>
        <w:rPr>
          <w:color w:val="auto"/>
        </w:rPr>
      </w:pPr>
      <w:r>
        <w:rPr>
          <w:color w:val="auto"/>
        </w:rPr>
        <w:t>4.</w:t>
      </w:r>
      <w:r>
        <w:rPr>
          <w:rFonts w:hint="eastAsia"/>
          <w:color w:val="auto"/>
        </w:rPr>
        <w:t>2</w:t>
      </w:r>
      <w:r>
        <w:rPr>
          <w:color w:val="auto"/>
        </w:rPr>
        <w:t>.3地下水质量现状评价</w:t>
      </w:r>
    </w:p>
    <w:p w14:paraId="76EE49B7">
      <w:pPr>
        <w:pStyle w:val="135"/>
        <w:rPr>
          <w:color w:val="auto"/>
        </w:rPr>
      </w:pPr>
      <w:r>
        <w:rPr>
          <w:color w:val="auto"/>
        </w:rPr>
        <w:t>4.</w:t>
      </w:r>
      <w:r>
        <w:rPr>
          <w:rFonts w:hint="eastAsia"/>
          <w:color w:val="auto"/>
        </w:rPr>
        <w:t>2</w:t>
      </w:r>
      <w:r>
        <w:rPr>
          <w:color w:val="auto"/>
        </w:rPr>
        <w:t>.3.1地下水环境现状监测</w:t>
      </w:r>
    </w:p>
    <w:p w14:paraId="2B66AC10">
      <w:pPr>
        <w:pStyle w:val="59"/>
        <w:ind w:firstLine="480"/>
        <w:rPr>
          <w:color w:val="auto"/>
        </w:rPr>
      </w:pPr>
      <w:r>
        <w:rPr>
          <w:rFonts w:hint="eastAsia"/>
          <w:color w:val="auto"/>
        </w:rPr>
        <w:t>1、</w:t>
      </w:r>
      <w:r>
        <w:rPr>
          <w:color w:val="auto"/>
        </w:rPr>
        <w:t>数据来源</w:t>
      </w:r>
    </w:p>
    <w:p w14:paraId="442528DE">
      <w:pPr>
        <w:pStyle w:val="59"/>
        <w:ind w:firstLine="480"/>
        <w:rPr>
          <w:color w:val="auto"/>
        </w:rPr>
      </w:pPr>
      <w:r>
        <w:rPr>
          <w:rFonts w:hint="eastAsia"/>
          <w:color w:val="auto"/>
        </w:rPr>
        <w:t>建设单位委托</w:t>
      </w:r>
      <w:r>
        <w:rPr>
          <w:rFonts w:hint="eastAsia"/>
          <w:color w:val="auto"/>
          <w:szCs w:val="22"/>
        </w:rPr>
        <w:t>黑龙江泓泽检测评价有限公司于2</w:t>
      </w:r>
      <w:r>
        <w:rPr>
          <w:color w:val="auto"/>
          <w:szCs w:val="22"/>
        </w:rPr>
        <w:t>02</w:t>
      </w:r>
      <w:r>
        <w:rPr>
          <w:rFonts w:hint="eastAsia"/>
          <w:color w:val="auto"/>
          <w:szCs w:val="22"/>
          <w:lang w:val="en-US" w:eastAsia="zh-CN"/>
        </w:rPr>
        <w:t>6</w:t>
      </w:r>
      <w:r>
        <w:rPr>
          <w:rFonts w:hint="eastAsia"/>
          <w:color w:val="auto"/>
          <w:szCs w:val="22"/>
        </w:rPr>
        <w:t>年</w:t>
      </w:r>
      <w:r>
        <w:rPr>
          <w:rFonts w:hint="eastAsia"/>
          <w:color w:val="auto"/>
          <w:szCs w:val="22"/>
          <w:lang w:val="en-US" w:eastAsia="zh-CN"/>
        </w:rPr>
        <w:t>7</w:t>
      </w:r>
      <w:r>
        <w:rPr>
          <w:rFonts w:hint="eastAsia"/>
          <w:color w:val="auto"/>
          <w:szCs w:val="22"/>
        </w:rPr>
        <w:t>月</w:t>
      </w:r>
      <w:r>
        <w:rPr>
          <w:rFonts w:hint="eastAsia"/>
          <w:color w:val="auto"/>
          <w:szCs w:val="22"/>
          <w:lang w:val="en-US" w:eastAsia="zh-CN"/>
        </w:rPr>
        <w:t>3</w:t>
      </w:r>
      <w:r>
        <w:rPr>
          <w:rFonts w:hint="eastAsia"/>
          <w:color w:val="auto"/>
          <w:szCs w:val="22"/>
        </w:rPr>
        <w:t>日对项目区的地下水环境质量</w:t>
      </w:r>
      <w:r>
        <w:rPr>
          <w:rFonts w:hint="eastAsia"/>
          <w:color w:val="auto"/>
        </w:rPr>
        <w:t>监测，</w:t>
      </w:r>
      <w:r>
        <w:rPr>
          <w:color w:val="auto"/>
        </w:rPr>
        <w:t>详细情况见附件。</w:t>
      </w:r>
    </w:p>
    <w:p w14:paraId="539C157B">
      <w:pPr>
        <w:pStyle w:val="59"/>
        <w:ind w:firstLine="480"/>
        <w:rPr>
          <w:color w:val="auto"/>
          <w:highlight w:val="none"/>
        </w:rPr>
      </w:pPr>
      <w:r>
        <w:rPr>
          <w:rFonts w:hint="eastAsia"/>
          <w:color w:val="auto"/>
          <w:highlight w:val="none"/>
        </w:rPr>
        <w:t>2、</w:t>
      </w:r>
      <w:r>
        <w:rPr>
          <w:color w:val="auto"/>
          <w:highlight w:val="none"/>
        </w:rPr>
        <w:t>监测点位</w:t>
      </w:r>
    </w:p>
    <w:p w14:paraId="0DC198D2">
      <w:pPr>
        <w:pStyle w:val="59"/>
        <w:ind w:firstLine="480"/>
        <w:rPr>
          <w:color w:val="auto"/>
          <w:highlight w:val="none"/>
        </w:rPr>
      </w:pPr>
      <w:r>
        <w:rPr>
          <w:rFonts w:cs="Times New Roman"/>
          <w:snapToGrid w:val="0"/>
          <w:color w:val="auto"/>
          <w:kern w:val="0"/>
          <w:szCs w:val="22"/>
          <w:highlight w:val="none"/>
        </w:rPr>
        <w:t>根据本项目的布局特点及所处环境特征，</w:t>
      </w:r>
      <w:r>
        <w:rPr>
          <w:rFonts w:hint="eastAsia" w:cs="Times New Roman"/>
          <w:snapToGrid w:val="0"/>
          <w:color w:val="auto"/>
          <w:kern w:val="0"/>
          <w:szCs w:val="22"/>
          <w:highlight w:val="none"/>
        </w:rPr>
        <w:t>地下水</w:t>
      </w:r>
      <w:r>
        <w:rPr>
          <w:rFonts w:cs="Times New Roman"/>
          <w:snapToGrid w:val="0"/>
          <w:color w:val="auto"/>
          <w:kern w:val="0"/>
          <w:szCs w:val="22"/>
          <w:highlight w:val="none"/>
        </w:rPr>
        <w:t>流向</w:t>
      </w:r>
      <w:r>
        <w:rPr>
          <w:rFonts w:hint="eastAsia" w:cs="Times New Roman"/>
          <w:snapToGrid w:val="0"/>
          <w:color w:val="auto"/>
          <w:kern w:val="0"/>
          <w:szCs w:val="22"/>
          <w:highlight w:val="none"/>
        </w:rPr>
        <w:t>由</w:t>
      </w:r>
      <w:r>
        <w:rPr>
          <w:rFonts w:hint="eastAsia" w:cs="Times New Roman"/>
          <w:snapToGrid w:val="0"/>
          <w:color w:val="auto"/>
          <w:kern w:val="0"/>
          <w:szCs w:val="22"/>
          <w:highlight w:val="none"/>
          <w:lang w:eastAsia="zh-CN"/>
        </w:rPr>
        <w:t>东北</w:t>
      </w:r>
      <w:r>
        <w:rPr>
          <w:rFonts w:hint="eastAsia" w:cs="Times New Roman"/>
          <w:snapToGrid w:val="0"/>
          <w:color w:val="auto"/>
          <w:kern w:val="0"/>
          <w:szCs w:val="22"/>
          <w:highlight w:val="none"/>
        </w:rPr>
        <w:t>向</w:t>
      </w:r>
      <w:r>
        <w:rPr>
          <w:rFonts w:hint="eastAsia" w:cs="Times New Roman"/>
          <w:snapToGrid w:val="0"/>
          <w:color w:val="auto"/>
          <w:kern w:val="0"/>
          <w:szCs w:val="22"/>
          <w:highlight w:val="none"/>
          <w:lang w:eastAsia="zh-CN"/>
        </w:rPr>
        <w:t>西</w:t>
      </w:r>
      <w:r>
        <w:rPr>
          <w:rFonts w:hint="eastAsia" w:cs="Times New Roman"/>
          <w:snapToGrid w:val="0"/>
          <w:color w:val="auto"/>
          <w:kern w:val="0"/>
          <w:szCs w:val="22"/>
          <w:highlight w:val="none"/>
        </w:rPr>
        <w:t>南</w:t>
      </w:r>
      <w:r>
        <w:rPr>
          <w:rFonts w:cs="Times New Roman"/>
          <w:snapToGrid w:val="0"/>
          <w:color w:val="auto"/>
          <w:kern w:val="0"/>
          <w:szCs w:val="22"/>
          <w:highlight w:val="none"/>
        </w:rPr>
        <w:t>，</w:t>
      </w:r>
      <w:r>
        <w:rPr>
          <w:rFonts w:hint="eastAsia" w:cs="Times New Roman"/>
          <w:snapToGrid w:val="0"/>
          <w:color w:val="auto"/>
          <w:kern w:val="0"/>
          <w:szCs w:val="22"/>
          <w:highlight w:val="none"/>
        </w:rPr>
        <w:t>在地下水流向的上游、</w:t>
      </w:r>
      <w:r>
        <w:rPr>
          <w:rFonts w:hint="eastAsia" w:cs="Times New Roman"/>
          <w:snapToGrid w:val="0"/>
          <w:color w:val="auto"/>
          <w:kern w:val="0"/>
          <w:szCs w:val="22"/>
          <w:highlight w:val="none"/>
          <w:lang w:eastAsia="zh-CN"/>
        </w:rPr>
        <w:t>项目区</w:t>
      </w:r>
      <w:r>
        <w:rPr>
          <w:rFonts w:hint="eastAsia" w:cs="Times New Roman"/>
          <w:snapToGrid w:val="0"/>
          <w:color w:val="auto"/>
          <w:kern w:val="0"/>
          <w:szCs w:val="22"/>
          <w:highlight w:val="none"/>
        </w:rPr>
        <w:t>和下游分别设置</w:t>
      </w:r>
      <w:r>
        <w:rPr>
          <w:rFonts w:cs="Times New Roman"/>
          <w:snapToGrid w:val="0"/>
          <w:color w:val="auto"/>
          <w:kern w:val="0"/>
          <w:szCs w:val="22"/>
          <w:highlight w:val="none"/>
        </w:rPr>
        <w:t>1</w:t>
      </w:r>
      <w:r>
        <w:rPr>
          <w:rFonts w:hint="eastAsia" w:cs="Times New Roman"/>
          <w:snapToGrid w:val="0"/>
          <w:color w:val="auto"/>
          <w:kern w:val="0"/>
          <w:szCs w:val="22"/>
          <w:highlight w:val="none"/>
        </w:rPr>
        <w:t>个监测点以监测含水层水质状况；在场地上游布设1个监测点</w:t>
      </w:r>
      <w:r>
        <w:rPr>
          <w:rFonts w:hint="eastAsia" w:cs="Times New Roman"/>
          <w:snapToGrid w:val="0"/>
          <w:color w:val="auto"/>
          <w:kern w:val="0"/>
          <w:szCs w:val="22"/>
          <w:highlight w:val="none"/>
          <w:lang w:eastAsia="zh-CN"/>
        </w:rPr>
        <w:t>、项目区设置</w:t>
      </w:r>
      <w:r>
        <w:rPr>
          <w:rFonts w:hint="eastAsia" w:cs="Times New Roman"/>
          <w:snapToGrid w:val="0"/>
          <w:color w:val="auto"/>
          <w:kern w:val="0"/>
          <w:szCs w:val="22"/>
          <w:highlight w:val="none"/>
          <w:lang w:val="en-US" w:eastAsia="zh-CN"/>
        </w:rPr>
        <w:t>1</w:t>
      </w:r>
      <w:r>
        <w:rPr>
          <w:rFonts w:hint="eastAsia" w:cs="Times New Roman"/>
          <w:snapToGrid w:val="0"/>
          <w:color w:val="auto"/>
          <w:kern w:val="0"/>
          <w:szCs w:val="22"/>
          <w:highlight w:val="none"/>
          <w:lang w:eastAsia="zh-CN"/>
        </w:rPr>
        <w:t>个监测点</w:t>
      </w:r>
      <w:r>
        <w:rPr>
          <w:rFonts w:hint="eastAsia" w:cs="Times New Roman"/>
          <w:snapToGrid w:val="0"/>
          <w:color w:val="auto"/>
          <w:kern w:val="0"/>
          <w:szCs w:val="22"/>
          <w:highlight w:val="none"/>
        </w:rPr>
        <w:t>、</w:t>
      </w:r>
      <w:r>
        <w:rPr>
          <w:rFonts w:hint="eastAsia" w:cs="Times New Roman"/>
          <w:snapToGrid w:val="0"/>
          <w:color w:val="auto"/>
          <w:kern w:val="0"/>
          <w:szCs w:val="22"/>
          <w:highlight w:val="none"/>
          <w:lang w:eastAsia="zh-CN"/>
        </w:rPr>
        <w:t>两</w:t>
      </w:r>
      <w:r>
        <w:rPr>
          <w:rFonts w:hint="eastAsia" w:cs="Times New Roman"/>
          <w:snapToGrid w:val="0"/>
          <w:color w:val="auto"/>
          <w:kern w:val="0"/>
          <w:szCs w:val="22"/>
          <w:highlight w:val="none"/>
        </w:rPr>
        <w:t>侧设置</w:t>
      </w:r>
      <w:r>
        <w:rPr>
          <w:rFonts w:hint="eastAsia" w:cs="Times New Roman"/>
          <w:snapToGrid w:val="0"/>
          <w:color w:val="auto"/>
          <w:kern w:val="0"/>
          <w:szCs w:val="22"/>
          <w:highlight w:val="none"/>
          <w:lang w:val="en-US" w:eastAsia="zh-CN"/>
        </w:rPr>
        <w:t>3</w:t>
      </w:r>
      <w:r>
        <w:rPr>
          <w:rFonts w:hint="eastAsia" w:cs="Times New Roman"/>
          <w:snapToGrid w:val="0"/>
          <w:color w:val="auto"/>
          <w:kern w:val="0"/>
          <w:szCs w:val="22"/>
          <w:highlight w:val="none"/>
        </w:rPr>
        <w:t>个监测点、下游设置</w:t>
      </w:r>
      <w:r>
        <w:rPr>
          <w:rFonts w:hint="eastAsia" w:cs="Times New Roman"/>
          <w:snapToGrid w:val="0"/>
          <w:color w:val="auto"/>
          <w:kern w:val="0"/>
          <w:szCs w:val="22"/>
          <w:highlight w:val="none"/>
          <w:lang w:val="en-US" w:eastAsia="zh-CN"/>
        </w:rPr>
        <w:t>1</w:t>
      </w:r>
      <w:r>
        <w:rPr>
          <w:rFonts w:hint="eastAsia" w:cs="Times New Roman"/>
          <w:snapToGrid w:val="0"/>
          <w:color w:val="auto"/>
          <w:kern w:val="0"/>
          <w:szCs w:val="22"/>
          <w:highlight w:val="none"/>
        </w:rPr>
        <w:t>个监测点以了解当地地下水的水位状况</w:t>
      </w:r>
      <w:r>
        <w:rPr>
          <w:color w:val="auto"/>
          <w:highlight w:val="none"/>
        </w:rPr>
        <w:t>。监测点概况见表</w:t>
      </w:r>
      <w:r>
        <w:rPr>
          <w:rFonts w:hint="eastAsia"/>
          <w:color w:val="auto"/>
          <w:highlight w:val="none"/>
        </w:rPr>
        <w:t>4-2-</w:t>
      </w:r>
      <w:r>
        <w:rPr>
          <w:color w:val="auto"/>
          <w:highlight w:val="none"/>
        </w:rPr>
        <w:t>3，监测点位置见</w:t>
      </w:r>
      <w:r>
        <w:rPr>
          <w:rFonts w:hint="eastAsia"/>
          <w:color w:val="auto"/>
          <w:highlight w:val="none"/>
        </w:rPr>
        <w:t>下图</w:t>
      </w:r>
      <w:r>
        <w:rPr>
          <w:color w:val="auto"/>
          <w:highlight w:val="none"/>
        </w:rPr>
        <w:t>。</w:t>
      </w:r>
    </w:p>
    <w:p w14:paraId="49001B78">
      <w:pPr>
        <w:pStyle w:val="76"/>
        <w:rPr>
          <w:color w:val="auto"/>
          <w:highlight w:val="none"/>
        </w:rPr>
      </w:pPr>
      <w:r>
        <w:rPr>
          <w:color w:val="auto"/>
          <w:highlight w:val="none"/>
        </w:rPr>
        <w:t>表4-</w:t>
      </w:r>
      <w:r>
        <w:rPr>
          <w:rFonts w:hint="eastAsia"/>
          <w:color w:val="auto"/>
          <w:highlight w:val="none"/>
        </w:rPr>
        <w:t>2</w:t>
      </w:r>
      <w:r>
        <w:rPr>
          <w:color w:val="auto"/>
          <w:highlight w:val="none"/>
        </w:rPr>
        <w:t>-3地下水现状监测点位表</w:t>
      </w:r>
    </w:p>
    <w:tbl>
      <w:tblPr>
        <w:tblStyle w:val="770"/>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1173"/>
        <w:gridCol w:w="1541"/>
        <w:gridCol w:w="1288"/>
        <w:gridCol w:w="870"/>
        <w:gridCol w:w="1655"/>
        <w:gridCol w:w="1823"/>
      </w:tblGrid>
      <w:tr w14:paraId="7E481F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73" w:hRule="atLeast"/>
        </w:trPr>
        <w:tc>
          <w:tcPr>
            <w:tcW w:w="621" w:type="dxa"/>
            <w:vAlign w:val="center"/>
          </w:tcPr>
          <w:p w14:paraId="0A571A8E">
            <w:pPr>
              <w:jc w:val="center"/>
              <w:rPr>
                <w:rFonts w:ascii="Times New Roman" w:hAnsi="Times New Roman"/>
                <w:color w:val="auto"/>
                <w:szCs w:val="21"/>
                <w:highlight w:val="none"/>
              </w:rPr>
            </w:pPr>
            <w:r>
              <w:rPr>
                <w:rFonts w:ascii="Times New Roman" w:hAnsi="Times New Roman"/>
                <w:color w:val="auto"/>
                <w:szCs w:val="21"/>
                <w:highlight w:val="none"/>
              </w:rPr>
              <w:t>序号</w:t>
            </w:r>
          </w:p>
        </w:tc>
        <w:tc>
          <w:tcPr>
            <w:tcW w:w="1080" w:type="dxa"/>
            <w:vAlign w:val="center"/>
          </w:tcPr>
          <w:p w14:paraId="66DBDE32">
            <w:pPr>
              <w:jc w:val="center"/>
              <w:rPr>
                <w:rFonts w:ascii="Times New Roman" w:hAnsi="Times New Roman"/>
                <w:color w:val="auto"/>
                <w:szCs w:val="21"/>
                <w:highlight w:val="none"/>
              </w:rPr>
            </w:pPr>
            <w:r>
              <w:rPr>
                <w:rFonts w:ascii="Times New Roman" w:hAnsi="Times New Roman"/>
                <w:color w:val="auto"/>
                <w:szCs w:val="21"/>
                <w:highlight w:val="none"/>
              </w:rPr>
              <w:t>监测点位</w:t>
            </w:r>
          </w:p>
        </w:tc>
        <w:tc>
          <w:tcPr>
            <w:tcW w:w="1418" w:type="dxa"/>
            <w:vAlign w:val="center"/>
          </w:tcPr>
          <w:p w14:paraId="0293B586">
            <w:pPr>
              <w:jc w:val="center"/>
              <w:rPr>
                <w:rFonts w:ascii="Times New Roman" w:hAnsi="Times New Roman"/>
                <w:color w:val="auto"/>
                <w:szCs w:val="21"/>
                <w:highlight w:val="none"/>
              </w:rPr>
            </w:pPr>
            <w:r>
              <w:rPr>
                <w:rFonts w:ascii="Times New Roman" w:hAnsi="Times New Roman"/>
                <w:color w:val="auto"/>
                <w:szCs w:val="21"/>
                <w:highlight w:val="none"/>
              </w:rPr>
              <w:t>监测项目</w:t>
            </w:r>
          </w:p>
        </w:tc>
        <w:tc>
          <w:tcPr>
            <w:tcW w:w="1185" w:type="dxa"/>
            <w:vAlign w:val="center"/>
          </w:tcPr>
          <w:p w14:paraId="2CEF3D5B">
            <w:pPr>
              <w:jc w:val="center"/>
              <w:rPr>
                <w:rFonts w:ascii="Times New Roman" w:hAnsi="Times New Roman"/>
                <w:color w:val="auto"/>
                <w:szCs w:val="21"/>
                <w:highlight w:val="none"/>
              </w:rPr>
            </w:pPr>
            <w:r>
              <w:rPr>
                <w:rFonts w:ascii="Times New Roman" w:hAnsi="Times New Roman"/>
                <w:color w:val="auto"/>
                <w:szCs w:val="21"/>
                <w:highlight w:val="none"/>
              </w:rPr>
              <w:t>用途</w:t>
            </w:r>
          </w:p>
        </w:tc>
        <w:tc>
          <w:tcPr>
            <w:tcW w:w="801" w:type="dxa"/>
            <w:vAlign w:val="center"/>
          </w:tcPr>
          <w:p w14:paraId="6F9D80F0">
            <w:pPr>
              <w:jc w:val="center"/>
              <w:rPr>
                <w:rFonts w:ascii="Times New Roman" w:hAnsi="Times New Roman"/>
                <w:color w:val="auto"/>
                <w:szCs w:val="21"/>
                <w:highlight w:val="none"/>
              </w:rPr>
            </w:pPr>
            <w:r>
              <w:rPr>
                <w:rFonts w:ascii="Times New Roman" w:hAnsi="Times New Roman"/>
                <w:color w:val="auto"/>
                <w:szCs w:val="21"/>
                <w:highlight w:val="none"/>
              </w:rPr>
              <w:t>含水层</w:t>
            </w:r>
          </w:p>
        </w:tc>
        <w:tc>
          <w:tcPr>
            <w:tcW w:w="1523" w:type="dxa"/>
            <w:vAlign w:val="center"/>
          </w:tcPr>
          <w:p w14:paraId="0B8659C4">
            <w:pPr>
              <w:jc w:val="center"/>
              <w:rPr>
                <w:rFonts w:ascii="Times New Roman" w:hAnsi="Times New Roman"/>
                <w:color w:val="auto"/>
                <w:szCs w:val="21"/>
                <w:highlight w:val="none"/>
              </w:rPr>
            </w:pPr>
            <w:r>
              <w:rPr>
                <w:rFonts w:ascii="Times New Roman" w:hAnsi="Times New Roman"/>
                <w:color w:val="auto"/>
                <w:szCs w:val="21"/>
                <w:highlight w:val="none"/>
              </w:rPr>
              <w:t>水位（m）</w:t>
            </w:r>
          </w:p>
        </w:tc>
        <w:tc>
          <w:tcPr>
            <w:tcW w:w="1678" w:type="dxa"/>
            <w:vAlign w:val="center"/>
          </w:tcPr>
          <w:p w14:paraId="3BA71815">
            <w:pPr>
              <w:jc w:val="center"/>
              <w:rPr>
                <w:rFonts w:ascii="Times New Roman" w:hAnsi="Times New Roman"/>
                <w:color w:val="auto"/>
                <w:szCs w:val="21"/>
                <w:highlight w:val="none"/>
              </w:rPr>
            </w:pPr>
            <w:r>
              <w:rPr>
                <w:rFonts w:hint="eastAsia"/>
                <w:color w:val="auto"/>
                <w:szCs w:val="21"/>
                <w:highlight w:val="none"/>
                <w:lang w:eastAsia="zh-CN"/>
              </w:rPr>
              <w:t>井深</w:t>
            </w:r>
            <w:r>
              <w:rPr>
                <w:rFonts w:ascii="Times New Roman" w:hAnsi="Times New Roman"/>
                <w:color w:val="auto"/>
                <w:szCs w:val="21"/>
                <w:highlight w:val="none"/>
              </w:rPr>
              <w:t>（m）</w:t>
            </w:r>
          </w:p>
        </w:tc>
      </w:tr>
      <w:tr w14:paraId="04103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21" w:type="dxa"/>
            <w:vAlign w:val="center"/>
          </w:tcPr>
          <w:p w14:paraId="3B32BE63">
            <w:pPr>
              <w:jc w:val="center"/>
              <w:rPr>
                <w:rFonts w:ascii="Times New Roman" w:hAnsi="Times New Roman"/>
                <w:color w:val="auto"/>
                <w:szCs w:val="21"/>
                <w:highlight w:val="none"/>
              </w:rPr>
            </w:pPr>
            <w:r>
              <w:rPr>
                <w:rFonts w:ascii="Times New Roman" w:hAnsi="Times New Roman"/>
                <w:color w:val="auto"/>
                <w:szCs w:val="21"/>
                <w:highlight w:val="none"/>
              </w:rPr>
              <w:t>1</w:t>
            </w:r>
          </w:p>
        </w:tc>
        <w:tc>
          <w:tcPr>
            <w:tcW w:w="1080" w:type="dxa"/>
            <w:vAlign w:val="center"/>
          </w:tcPr>
          <w:p w14:paraId="56D949FE">
            <w:pPr>
              <w:jc w:val="center"/>
              <w:rPr>
                <w:rFonts w:ascii="Times New Roman" w:hAnsi="Times New Roman"/>
                <w:color w:val="auto"/>
                <w:szCs w:val="21"/>
                <w:highlight w:val="none"/>
              </w:rPr>
            </w:pPr>
            <w:r>
              <w:rPr>
                <w:rFonts w:ascii="Segoe UI Symbol" w:hAnsi="Segoe UI Symbol" w:cs="Segoe UI Symbol"/>
                <w:b/>
                <w:color w:val="auto"/>
                <w:highlight w:val="none"/>
              </w:rPr>
              <w:t>☆</w:t>
            </w:r>
            <w:r>
              <w:rPr>
                <w:rFonts w:ascii="Times New Roman" w:hAnsi="Times New Roman"/>
                <w:color w:val="auto"/>
                <w:szCs w:val="21"/>
                <w:highlight w:val="none"/>
              </w:rPr>
              <w:t xml:space="preserve">01 </w:t>
            </w:r>
          </w:p>
        </w:tc>
        <w:tc>
          <w:tcPr>
            <w:tcW w:w="1418" w:type="dxa"/>
            <w:vAlign w:val="center"/>
          </w:tcPr>
          <w:p w14:paraId="0BDD4119">
            <w:pPr>
              <w:jc w:val="center"/>
              <w:rPr>
                <w:rFonts w:ascii="Times New Roman" w:hAnsi="Times New Roman"/>
                <w:color w:val="auto"/>
                <w:szCs w:val="21"/>
                <w:highlight w:val="none"/>
              </w:rPr>
            </w:pPr>
            <w:r>
              <w:rPr>
                <w:rFonts w:ascii="Times New Roman" w:hAnsi="Times New Roman"/>
                <w:color w:val="auto"/>
                <w:szCs w:val="21"/>
                <w:highlight w:val="none"/>
              </w:rPr>
              <w:t>水质、水位</w:t>
            </w:r>
          </w:p>
        </w:tc>
        <w:tc>
          <w:tcPr>
            <w:tcW w:w="1185" w:type="dxa"/>
            <w:vAlign w:val="center"/>
          </w:tcPr>
          <w:p w14:paraId="2A356D8F">
            <w:pPr>
              <w:jc w:val="center"/>
              <w:rPr>
                <w:rFonts w:ascii="Times New Roman" w:hAnsi="Times New Roman"/>
                <w:color w:val="auto"/>
                <w:szCs w:val="21"/>
                <w:highlight w:val="none"/>
              </w:rPr>
            </w:pPr>
            <w:r>
              <w:rPr>
                <w:rFonts w:ascii="Times New Roman" w:hAnsi="Times New Roman"/>
                <w:color w:val="auto"/>
                <w:szCs w:val="21"/>
                <w:highlight w:val="none"/>
              </w:rPr>
              <w:t>灌溉井</w:t>
            </w:r>
          </w:p>
        </w:tc>
        <w:tc>
          <w:tcPr>
            <w:tcW w:w="801" w:type="dxa"/>
            <w:vMerge w:val="restart"/>
            <w:vAlign w:val="center"/>
          </w:tcPr>
          <w:p w14:paraId="35F418FE">
            <w:pPr>
              <w:jc w:val="center"/>
              <w:rPr>
                <w:rFonts w:ascii="Times New Roman" w:hAnsi="Times New Roman" w:eastAsia="仿宋_GB2312"/>
                <w:color w:val="auto"/>
                <w:szCs w:val="21"/>
                <w:highlight w:val="none"/>
              </w:rPr>
            </w:pPr>
            <w:r>
              <w:rPr>
                <w:rFonts w:ascii="Times New Roman" w:hAnsi="Times New Roman"/>
                <w:color w:val="auto"/>
                <w:szCs w:val="21"/>
                <w:highlight w:val="none"/>
              </w:rPr>
              <w:t>潜水含水层</w:t>
            </w:r>
          </w:p>
        </w:tc>
        <w:tc>
          <w:tcPr>
            <w:tcW w:w="1523" w:type="dxa"/>
            <w:vAlign w:val="center"/>
          </w:tcPr>
          <w:p w14:paraId="7FCCA86B">
            <w:pPr>
              <w:jc w:val="center"/>
              <w:rPr>
                <w:rFonts w:hint="default" w:ascii="Times New Roman" w:hAnsi="Times New Roman" w:eastAsia="仿宋_GB2312"/>
                <w:color w:val="auto"/>
                <w:szCs w:val="21"/>
                <w:highlight w:val="none"/>
                <w:lang w:val="en-US" w:eastAsia="zh-CN"/>
              </w:rPr>
            </w:pPr>
            <w:r>
              <w:rPr>
                <w:rFonts w:hint="eastAsia" w:eastAsia="仿宋_GB2312"/>
                <w:color w:val="auto"/>
                <w:szCs w:val="21"/>
                <w:highlight w:val="none"/>
                <w:lang w:val="en-US" w:eastAsia="zh-CN"/>
              </w:rPr>
              <w:t>19.34</w:t>
            </w:r>
          </w:p>
        </w:tc>
        <w:tc>
          <w:tcPr>
            <w:tcW w:w="1678" w:type="dxa"/>
            <w:vAlign w:val="center"/>
          </w:tcPr>
          <w:p w14:paraId="757313DB">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26</w:t>
            </w:r>
          </w:p>
        </w:tc>
      </w:tr>
      <w:tr w14:paraId="735E23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21" w:type="dxa"/>
            <w:vAlign w:val="center"/>
          </w:tcPr>
          <w:p w14:paraId="335448CB">
            <w:pPr>
              <w:jc w:val="center"/>
              <w:rPr>
                <w:rFonts w:ascii="Times New Roman" w:hAnsi="Times New Roman"/>
                <w:color w:val="auto"/>
                <w:szCs w:val="21"/>
                <w:highlight w:val="none"/>
              </w:rPr>
            </w:pPr>
            <w:r>
              <w:rPr>
                <w:rFonts w:ascii="Times New Roman" w:hAnsi="Times New Roman"/>
                <w:color w:val="auto"/>
                <w:szCs w:val="21"/>
                <w:highlight w:val="none"/>
              </w:rPr>
              <w:t>2</w:t>
            </w:r>
          </w:p>
        </w:tc>
        <w:tc>
          <w:tcPr>
            <w:tcW w:w="1080" w:type="dxa"/>
            <w:vAlign w:val="center"/>
          </w:tcPr>
          <w:p w14:paraId="7928D178">
            <w:pPr>
              <w:jc w:val="center"/>
              <w:rPr>
                <w:rFonts w:ascii="Times New Roman" w:hAnsi="Times New Roman"/>
                <w:color w:val="auto"/>
                <w:szCs w:val="21"/>
                <w:highlight w:val="none"/>
              </w:rPr>
            </w:pPr>
            <w:r>
              <w:rPr>
                <w:rFonts w:ascii="Segoe UI Symbol" w:hAnsi="Segoe UI Symbol" w:cs="Segoe UI Symbol"/>
                <w:b/>
                <w:color w:val="auto"/>
                <w:highlight w:val="none"/>
              </w:rPr>
              <w:t>☆</w:t>
            </w:r>
            <w:r>
              <w:rPr>
                <w:rFonts w:ascii="Times New Roman" w:hAnsi="Times New Roman"/>
                <w:color w:val="auto"/>
                <w:szCs w:val="21"/>
                <w:highlight w:val="none"/>
              </w:rPr>
              <w:t xml:space="preserve">02 </w:t>
            </w:r>
          </w:p>
        </w:tc>
        <w:tc>
          <w:tcPr>
            <w:tcW w:w="1418" w:type="dxa"/>
            <w:vAlign w:val="center"/>
          </w:tcPr>
          <w:p w14:paraId="69575E61">
            <w:pPr>
              <w:jc w:val="center"/>
              <w:rPr>
                <w:rFonts w:ascii="Times New Roman" w:hAnsi="Times New Roman"/>
                <w:color w:val="auto"/>
                <w:szCs w:val="21"/>
                <w:highlight w:val="none"/>
              </w:rPr>
            </w:pPr>
            <w:r>
              <w:rPr>
                <w:rFonts w:ascii="Times New Roman" w:hAnsi="Times New Roman"/>
                <w:color w:val="auto"/>
                <w:szCs w:val="21"/>
                <w:highlight w:val="none"/>
              </w:rPr>
              <w:t>水质、水位</w:t>
            </w:r>
          </w:p>
        </w:tc>
        <w:tc>
          <w:tcPr>
            <w:tcW w:w="1185" w:type="dxa"/>
            <w:vAlign w:val="center"/>
          </w:tcPr>
          <w:p w14:paraId="0ADDFDB5">
            <w:pPr>
              <w:jc w:val="center"/>
              <w:rPr>
                <w:rFonts w:ascii="Times New Roman" w:hAnsi="Times New Roman"/>
                <w:color w:val="auto"/>
                <w:szCs w:val="21"/>
                <w:highlight w:val="none"/>
              </w:rPr>
            </w:pPr>
            <w:r>
              <w:rPr>
                <w:rFonts w:ascii="Times New Roman" w:hAnsi="Times New Roman"/>
                <w:color w:val="auto"/>
                <w:szCs w:val="21"/>
                <w:highlight w:val="none"/>
              </w:rPr>
              <w:t>监测井</w:t>
            </w:r>
          </w:p>
        </w:tc>
        <w:tc>
          <w:tcPr>
            <w:tcW w:w="801" w:type="dxa"/>
            <w:vMerge w:val="continue"/>
            <w:vAlign w:val="center"/>
          </w:tcPr>
          <w:p w14:paraId="2FE1DBDA">
            <w:pPr>
              <w:jc w:val="center"/>
              <w:rPr>
                <w:rFonts w:ascii="Times New Roman" w:hAnsi="Times New Roman"/>
                <w:color w:val="auto"/>
                <w:szCs w:val="21"/>
                <w:highlight w:val="none"/>
              </w:rPr>
            </w:pPr>
          </w:p>
        </w:tc>
        <w:tc>
          <w:tcPr>
            <w:tcW w:w="1523" w:type="dxa"/>
            <w:vAlign w:val="center"/>
          </w:tcPr>
          <w:p w14:paraId="2CE3D86B">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21.17</w:t>
            </w:r>
          </w:p>
        </w:tc>
        <w:tc>
          <w:tcPr>
            <w:tcW w:w="1678" w:type="dxa"/>
            <w:vAlign w:val="center"/>
          </w:tcPr>
          <w:p w14:paraId="388BF43E">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36</w:t>
            </w:r>
          </w:p>
        </w:tc>
      </w:tr>
      <w:tr w14:paraId="1E6EF5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21" w:type="dxa"/>
            <w:vAlign w:val="center"/>
          </w:tcPr>
          <w:p w14:paraId="381C1B7A">
            <w:pPr>
              <w:jc w:val="center"/>
              <w:rPr>
                <w:rFonts w:ascii="Times New Roman" w:hAnsi="Times New Roman"/>
                <w:color w:val="auto"/>
                <w:szCs w:val="21"/>
                <w:highlight w:val="none"/>
              </w:rPr>
            </w:pPr>
            <w:r>
              <w:rPr>
                <w:rFonts w:ascii="Times New Roman" w:hAnsi="Times New Roman"/>
                <w:color w:val="auto"/>
                <w:szCs w:val="21"/>
                <w:highlight w:val="none"/>
              </w:rPr>
              <w:t>3</w:t>
            </w:r>
          </w:p>
        </w:tc>
        <w:tc>
          <w:tcPr>
            <w:tcW w:w="1080" w:type="dxa"/>
            <w:vAlign w:val="center"/>
          </w:tcPr>
          <w:p w14:paraId="2E84FEBD">
            <w:pPr>
              <w:jc w:val="center"/>
              <w:rPr>
                <w:rFonts w:ascii="Times New Roman" w:hAnsi="Times New Roman"/>
                <w:color w:val="auto"/>
                <w:highlight w:val="none"/>
              </w:rPr>
            </w:pPr>
            <w:r>
              <w:rPr>
                <w:rFonts w:ascii="Segoe UI Symbol" w:hAnsi="Segoe UI Symbol" w:cs="Segoe UI Symbol"/>
                <w:b/>
                <w:color w:val="auto"/>
                <w:highlight w:val="none"/>
              </w:rPr>
              <w:t>☆</w:t>
            </w:r>
            <w:r>
              <w:rPr>
                <w:rFonts w:ascii="Times New Roman" w:hAnsi="Times New Roman"/>
                <w:color w:val="auto"/>
                <w:szCs w:val="21"/>
                <w:highlight w:val="none"/>
              </w:rPr>
              <w:t>03</w:t>
            </w:r>
            <w:r>
              <w:rPr>
                <w:rFonts w:ascii="Times New Roman" w:hAnsi="Times New Roman"/>
                <w:color w:val="auto"/>
                <w:highlight w:val="none"/>
              </w:rPr>
              <w:t xml:space="preserve"> </w:t>
            </w:r>
          </w:p>
        </w:tc>
        <w:tc>
          <w:tcPr>
            <w:tcW w:w="1418" w:type="dxa"/>
            <w:vAlign w:val="center"/>
          </w:tcPr>
          <w:p w14:paraId="04840F89">
            <w:pPr>
              <w:jc w:val="center"/>
              <w:rPr>
                <w:rFonts w:ascii="Times New Roman" w:hAnsi="Times New Roman"/>
                <w:color w:val="auto"/>
                <w:szCs w:val="21"/>
                <w:highlight w:val="none"/>
              </w:rPr>
            </w:pPr>
            <w:r>
              <w:rPr>
                <w:rFonts w:ascii="Times New Roman" w:hAnsi="Times New Roman"/>
                <w:color w:val="auto"/>
                <w:szCs w:val="21"/>
                <w:highlight w:val="none"/>
              </w:rPr>
              <w:t>水质、水位</w:t>
            </w:r>
          </w:p>
        </w:tc>
        <w:tc>
          <w:tcPr>
            <w:tcW w:w="1185" w:type="dxa"/>
            <w:vAlign w:val="center"/>
          </w:tcPr>
          <w:p w14:paraId="361EFDB3">
            <w:pPr>
              <w:jc w:val="center"/>
              <w:rPr>
                <w:rFonts w:hint="eastAsia" w:ascii="Times New Roman" w:hAnsi="Times New Roman" w:eastAsia="宋体"/>
                <w:color w:val="auto"/>
                <w:szCs w:val="21"/>
                <w:highlight w:val="none"/>
                <w:lang w:eastAsia="zh-CN"/>
              </w:rPr>
            </w:pPr>
            <w:r>
              <w:rPr>
                <w:rFonts w:hint="eastAsia"/>
                <w:color w:val="auto"/>
                <w:szCs w:val="21"/>
                <w:highlight w:val="none"/>
                <w:lang w:eastAsia="zh-CN"/>
              </w:rPr>
              <w:t>饮用</w:t>
            </w:r>
          </w:p>
        </w:tc>
        <w:tc>
          <w:tcPr>
            <w:tcW w:w="801" w:type="dxa"/>
            <w:vMerge w:val="continue"/>
            <w:vAlign w:val="center"/>
          </w:tcPr>
          <w:p w14:paraId="3FAB6A4F">
            <w:pPr>
              <w:jc w:val="center"/>
              <w:rPr>
                <w:rFonts w:ascii="Times New Roman" w:hAnsi="Times New Roman"/>
                <w:color w:val="auto"/>
                <w:szCs w:val="21"/>
                <w:highlight w:val="none"/>
              </w:rPr>
            </w:pPr>
          </w:p>
        </w:tc>
        <w:tc>
          <w:tcPr>
            <w:tcW w:w="1523" w:type="dxa"/>
            <w:vAlign w:val="center"/>
          </w:tcPr>
          <w:p w14:paraId="23109232">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22.26</w:t>
            </w:r>
          </w:p>
        </w:tc>
        <w:tc>
          <w:tcPr>
            <w:tcW w:w="1678" w:type="dxa"/>
            <w:vAlign w:val="center"/>
          </w:tcPr>
          <w:p w14:paraId="590E018E">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63</w:t>
            </w:r>
          </w:p>
        </w:tc>
      </w:tr>
      <w:tr w14:paraId="789984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21" w:type="dxa"/>
            <w:vAlign w:val="center"/>
          </w:tcPr>
          <w:p w14:paraId="13DC89E7">
            <w:pPr>
              <w:jc w:val="center"/>
              <w:rPr>
                <w:rFonts w:ascii="Times New Roman" w:hAnsi="Times New Roman"/>
                <w:color w:val="auto"/>
                <w:szCs w:val="21"/>
                <w:highlight w:val="none"/>
              </w:rPr>
            </w:pPr>
            <w:r>
              <w:rPr>
                <w:rFonts w:ascii="Times New Roman" w:hAnsi="Times New Roman"/>
                <w:color w:val="auto"/>
                <w:szCs w:val="21"/>
                <w:highlight w:val="none"/>
              </w:rPr>
              <w:t>4</w:t>
            </w:r>
          </w:p>
        </w:tc>
        <w:tc>
          <w:tcPr>
            <w:tcW w:w="1080" w:type="dxa"/>
            <w:vAlign w:val="center"/>
          </w:tcPr>
          <w:p w14:paraId="75F924A4">
            <w:pPr>
              <w:jc w:val="center"/>
              <w:rPr>
                <w:rFonts w:ascii="Times New Roman" w:hAnsi="Times New Roman"/>
                <w:color w:val="auto"/>
                <w:highlight w:val="none"/>
              </w:rPr>
            </w:pPr>
            <w:r>
              <w:rPr>
                <w:rFonts w:ascii="Segoe UI Symbol" w:hAnsi="Segoe UI Symbol" w:cs="Segoe UI Symbol"/>
                <w:b/>
                <w:color w:val="auto"/>
                <w:highlight w:val="none"/>
              </w:rPr>
              <w:t>☆</w:t>
            </w:r>
            <w:r>
              <w:rPr>
                <w:rFonts w:ascii="Times New Roman" w:hAnsi="Times New Roman"/>
                <w:color w:val="auto"/>
                <w:szCs w:val="21"/>
                <w:highlight w:val="none"/>
              </w:rPr>
              <w:t>04</w:t>
            </w:r>
          </w:p>
        </w:tc>
        <w:tc>
          <w:tcPr>
            <w:tcW w:w="1418" w:type="dxa"/>
            <w:vAlign w:val="center"/>
          </w:tcPr>
          <w:p w14:paraId="49BDFBDF">
            <w:pPr>
              <w:jc w:val="center"/>
              <w:rPr>
                <w:rFonts w:ascii="Times New Roman" w:hAnsi="Times New Roman"/>
                <w:color w:val="auto"/>
                <w:szCs w:val="21"/>
                <w:highlight w:val="none"/>
              </w:rPr>
            </w:pPr>
            <w:r>
              <w:rPr>
                <w:rFonts w:ascii="Times New Roman" w:hAnsi="Times New Roman"/>
                <w:color w:val="auto"/>
                <w:szCs w:val="21"/>
                <w:highlight w:val="none"/>
              </w:rPr>
              <w:t>水位</w:t>
            </w:r>
          </w:p>
        </w:tc>
        <w:tc>
          <w:tcPr>
            <w:tcW w:w="1185" w:type="dxa"/>
            <w:vAlign w:val="center"/>
          </w:tcPr>
          <w:p w14:paraId="78DD3CDC">
            <w:pPr>
              <w:jc w:val="center"/>
              <w:rPr>
                <w:rFonts w:ascii="Times New Roman" w:hAnsi="Times New Roman"/>
                <w:color w:val="auto"/>
                <w:szCs w:val="21"/>
                <w:highlight w:val="none"/>
              </w:rPr>
            </w:pPr>
            <w:r>
              <w:rPr>
                <w:rFonts w:hint="eastAsia"/>
                <w:color w:val="auto"/>
                <w:szCs w:val="21"/>
                <w:highlight w:val="none"/>
                <w:lang w:eastAsia="zh-CN"/>
              </w:rPr>
              <w:t>饮用</w:t>
            </w:r>
          </w:p>
        </w:tc>
        <w:tc>
          <w:tcPr>
            <w:tcW w:w="801" w:type="dxa"/>
            <w:vMerge w:val="continue"/>
            <w:vAlign w:val="center"/>
          </w:tcPr>
          <w:p w14:paraId="37122DFF">
            <w:pPr>
              <w:jc w:val="center"/>
              <w:rPr>
                <w:rFonts w:ascii="Times New Roman" w:hAnsi="Times New Roman"/>
                <w:color w:val="auto"/>
                <w:szCs w:val="21"/>
                <w:highlight w:val="none"/>
              </w:rPr>
            </w:pPr>
          </w:p>
        </w:tc>
        <w:tc>
          <w:tcPr>
            <w:tcW w:w="1523" w:type="dxa"/>
            <w:vAlign w:val="center"/>
          </w:tcPr>
          <w:p w14:paraId="2E794EE9">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21.34</w:t>
            </w:r>
          </w:p>
        </w:tc>
        <w:tc>
          <w:tcPr>
            <w:tcW w:w="1678" w:type="dxa"/>
            <w:vAlign w:val="center"/>
          </w:tcPr>
          <w:p w14:paraId="326AF256">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32</w:t>
            </w:r>
          </w:p>
        </w:tc>
      </w:tr>
      <w:tr w14:paraId="5131C7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21" w:type="dxa"/>
            <w:vAlign w:val="center"/>
          </w:tcPr>
          <w:p w14:paraId="71C3D685">
            <w:pPr>
              <w:jc w:val="center"/>
              <w:rPr>
                <w:rFonts w:ascii="Times New Roman" w:hAnsi="Times New Roman"/>
                <w:color w:val="auto"/>
                <w:szCs w:val="21"/>
                <w:highlight w:val="none"/>
              </w:rPr>
            </w:pPr>
            <w:r>
              <w:rPr>
                <w:rFonts w:ascii="Times New Roman" w:hAnsi="Times New Roman"/>
                <w:color w:val="auto"/>
                <w:szCs w:val="21"/>
                <w:highlight w:val="none"/>
              </w:rPr>
              <w:t>5</w:t>
            </w:r>
          </w:p>
        </w:tc>
        <w:tc>
          <w:tcPr>
            <w:tcW w:w="1080" w:type="dxa"/>
            <w:vAlign w:val="center"/>
          </w:tcPr>
          <w:p w14:paraId="0D526480">
            <w:pPr>
              <w:jc w:val="center"/>
              <w:rPr>
                <w:rFonts w:ascii="Times New Roman" w:hAnsi="Times New Roman"/>
                <w:color w:val="auto"/>
                <w:highlight w:val="none"/>
              </w:rPr>
            </w:pPr>
            <w:r>
              <w:rPr>
                <w:rFonts w:ascii="Segoe UI Symbol" w:hAnsi="Segoe UI Symbol" w:cs="Segoe UI Symbol"/>
                <w:b/>
                <w:color w:val="auto"/>
                <w:highlight w:val="none"/>
              </w:rPr>
              <w:t>☆</w:t>
            </w:r>
            <w:r>
              <w:rPr>
                <w:rFonts w:ascii="Times New Roman" w:hAnsi="Times New Roman"/>
                <w:color w:val="auto"/>
                <w:szCs w:val="21"/>
                <w:highlight w:val="none"/>
              </w:rPr>
              <w:t>05</w:t>
            </w:r>
            <w:r>
              <w:rPr>
                <w:rFonts w:ascii="Times New Roman" w:hAnsi="Times New Roman"/>
                <w:color w:val="auto"/>
                <w:highlight w:val="none"/>
              </w:rPr>
              <w:t xml:space="preserve"> </w:t>
            </w:r>
          </w:p>
        </w:tc>
        <w:tc>
          <w:tcPr>
            <w:tcW w:w="1418" w:type="dxa"/>
            <w:vAlign w:val="center"/>
          </w:tcPr>
          <w:p w14:paraId="7B0AC33F">
            <w:pPr>
              <w:jc w:val="center"/>
              <w:rPr>
                <w:rFonts w:ascii="Times New Roman" w:hAnsi="Times New Roman"/>
                <w:color w:val="auto"/>
                <w:szCs w:val="21"/>
                <w:highlight w:val="none"/>
              </w:rPr>
            </w:pPr>
            <w:r>
              <w:rPr>
                <w:rFonts w:ascii="Times New Roman" w:hAnsi="Times New Roman"/>
                <w:color w:val="auto"/>
                <w:szCs w:val="21"/>
                <w:highlight w:val="none"/>
              </w:rPr>
              <w:t>水位</w:t>
            </w:r>
          </w:p>
        </w:tc>
        <w:tc>
          <w:tcPr>
            <w:tcW w:w="1185" w:type="dxa"/>
            <w:vAlign w:val="center"/>
          </w:tcPr>
          <w:p w14:paraId="154149B4">
            <w:pPr>
              <w:jc w:val="center"/>
              <w:rPr>
                <w:rFonts w:ascii="Times New Roman" w:hAnsi="Times New Roman"/>
                <w:color w:val="auto"/>
                <w:szCs w:val="21"/>
                <w:highlight w:val="none"/>
              </w:rPr>
            </w:pPr>
            <w:r>
              <w:rPr>
                <w:rFonts w:hint="eastAsia"/>
                <w:color w:val="auto"/>
                <w:szCs w:val="21"/>
                <w:highlight w:val="none"/>
                <w:lang w:eastAsia="zh-CN"/>
              </w:rPr>
              <w:t>饮用</w:t>
            </w:r>
          </w:p>
        </w:tc>
        <w:tc>
          <w:tcPr>
            <w:tcW w:w="801" w:type="dxa"/>
            <w:vMerge w:val="continue"/>
            <w:vAlign w:val="center"/>
          </w:tcPr>
          <w:p w14:paraId="04C4815B">
            <w:pPr>
              <w:jc w:val="center"/>
              <w:rPr>
                <w:rFonts w:ascii="Times New Roman" w:hAnsi="Times New Roman"/>
                <w:color w:val="auto"/>
                <w:szCs w:val="21"/>
                <w:highlight w:val="none"/>
              </w:rPr>
            </w:pPr>
          </w:p>
        </w:tc>
        <w:tc>
          <w:tcPr>
            <w:tcW w:w="1523" w:type="dxa"/>
            <w:vAlign w:val="center"/>
          </w:tcPr>
          <w:p w14:paraId="22CB93A9">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26.35</w:t>
            </w:r>
          </w:p>
        </w:tc>
        <w:tc>
          <w:tcPr>
            <w:tcW w:w="1678" w:type="dxa"/>
            <w:vAlign w:val="center"/>
          </w:tcPr>
          <w:p w14:paraId="7A75B9CA">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42</w:t>
            </w:r>
          </w:p>
        </w:tc>
      </w:tr>
      <w:tr w14:paraId="2AE578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trPr>
        <w:tc>
          <w:tcPr>
            <w:tcW w:w="621" w:type="dxa"/>
            <w:vAlign w:val="center"/>
          </w:tcPr>
          <w:p w14:paraId="768E98CB">
            <w:pPr>
              <w:jc w:val="center"/>
              <w:rPr>
                <w:rFonts w:ascii="Times New Roman" w:hAnsi="Times New Roman"/>
                <w:color w:val="auto"/>
                <w:szCs w:val="21"/>
                <w:highlight w:val="none"/>
              </w:rPr>
            </w:pPr>
            <w:r>
              <w:rPr>
                <w:rFonts w:ascii="Times New Roman" w:hAnsi="Times New Roman"/>
                <w:color w:val="auto"/>
                <w:szCs w:val="21"/>
                <w:highlight w:val="none"/>
              </w:rPr>
              <w:t>6</w:t>
            </w:r>
          </w:p>
        </w:tc>
        <w:tc>
          <w:tcPr>
            <w:tcW w:w="1080" w:type="dxa"/>
            <w:vAlign w:val="center"/>
          </w:tcPr>
          <w:p w14:paraId="54CE62DE">
            <w:pPr>
              <w:jc w:val="center"/>
              <w:rPr>
                <w:rFonts w:ascii="Times New Roman" w:hAnsi="Times New Roman"/>
                <w:color w:val="auto"/>
                <w:highlight w:val="none"/>
              </w:rPr>
            </w:pPr>
            <w:r>
              <w:rPr>
                <w:rFonts w:ascii="Segoe UI Symbol" w:hAnsi="Segoe UI Symbol" w:cs="Segoe UI Symbol"/>
                <w:b/>
                <w:color w:val="auto"/>
                <w:highlight w:val="none"/>
              </w:rPr>
              <w:t>☆</w:t>
            </w:r>
            <w:r>
              <w:rPr>
                <w:rFonts w:ascii="Times New Roman" w:hAnsi="Times New Roman"/>
                <w:color w:val="auto"/>
                <w:szCs w:val="21"/>
                <w:highlight w:val="none"/>
              </w:rPr>
              <w:t>06</w:t>
            </w:r>
            <w:r>
              <w:rPr>
                <w:rFonts w:ascii="Times New Roman" w:hAnsi="Times New Roman"/>
                <w:color w:val="auto"/>
                <w:highlight w:val="none"/>
              </w:rPr>
              <w:t xml:space="preserve"> </w:t>
            </w:r>
          </w:p>
        </w:tc>
        <w:tc>
          <w:tcPr>
            <w:tcW w:w="1418" w:type="dxa"/>
            <w:vAlign w:val="center"/>
          </w:tcPr>
          <w:p w14:paraId="2FB67175">
            <w:pPr>
              <w:jc w:val="center"/>
              <w:rPr>
                <w:rFonts w:ascii="Times New Roman" w:hAnsi="Times New Roman"/>
                <w:color w:val="auto"/>
                <w:szCs w:val="21"/>
                <w:highlight w:val="none"/>
              </w:rPr>
            </w:pPr>
            <w:r>
              <w:rPr>
                <w:rFonts w:ascii="Times New Roman" w:hAnsi="Times New Roman"/>
                <w:color w:val="auto"/>
                <w:szCs w:val="21"/>
                <w:highlight w:val="none"/>
              </w:rPr>
              <w:t>水位</w:t>
            </w:r>
          </w:p>
        </w:tc>
        <w:tc>
          <w:tcPr>
            <w:tcW w:w="1185" w:type="dxa"/>
            <w:vAlign w:val="center"/>
          </w:tcPr>
          <w:p w14:paraId="4F9C386D">
            <w:pPr>
              <w:jc w:val="center"/>
              <w:rPr>
                <w:rFonts w:ascii="Times New Roman" w:hAnsi="Times New Roman"/>
                <w:color w:val="auto"/>
                <w:szCs w:val="21"/>
                <w:highlight w:val="none"/>
              </w:rPr>
            </w:pPr>
            <w:r>
              <w:rPr>
                <w:rFonts w:hint="eastAsia"/>
                <w:color w:val="auto"/>
                <w:szCs w:val="21"/>
                <w:highlight w:val="none"/>
                <w:lang w:eastAsia="zh-CN"/>
              </w:rPr>
              <w:t>饮用</w:t>
            </w:r>
          </w:p>
        </w:tc>
        <w:tc>
          <w:tcPr>
            <w:tcW w:w="801" w:type="dxa"/>
            <w:vMerge w:val="continue"/>
            <w:vAlign w:val="center"/>
          </w:tcPr>
          <w:p w14:paraId="479BF2ED">
            <w:pPr>
              <w:jc w:val="center"/>
              <w:rPr>
                <w:rFonts w:ascii="Times New Roman" w:hAnsi="Times New Roman"/>
                <w:color w:val="auto"/>
                <w:szCs w:val="21"/>
                <w:highlight w:val="none"/>
              </w:rPr>
            </w:pPr>
          </w:p>
        </w:tc>
        <w:tc>
          <w:tcPr>
            <w:tcW w:w="1523" w:type="dxa"/>
            <w:vAlign w:val="center"/>
          </w:tcPr>
          <w:p w14:paraId="242800DA">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11.16</w:t>
            </w:r>
          </w:p>
        </w:tc>
        <w:tc>
          <w:tcPr>
            <w:tcW w:w="1678" w:type="dxa"/>
            <w:vAlign w:val="center"/>
          </w:tcPr>
          <w:p w14:paraId="35267B93">
            <w:pPr>
              <w:jc w:val="center"/>
              <w:rPr>
                <w:rFonts w:hint="default" w:ascii="Times New Roman" w:hAnsi="Times New Roman" w:eastAsia="宋体"/>
                <w:color w:val="auto"/>
                <w:szCs w:val="21"/>
                <w:highlight w:val="none"/>
                <w:lang w:val="en-US" w:eastAsia="zh-CN"/>
              </w:rPr>
            </w:pPr>
            <w:r>
              <w:rPr>
                <w:rFonts w:hint="eastAsia"/>
                <w:color w:val="auto"/>
                <w:szCs w:val="21"/>
                <w:highlight w:val="none"/>
                <w:lang w:val="en-US" w:eastAsia="zh-CN"/>
              </w:rPr>
              <w:t>36</w:t>
            </w:r>
          </w:p>
        </w:tc>
      </w:tr>
    </w:tbl>
    <w:p w14:paraId="71B84EAF">
      <w:pPr>
        <w:spacing w:line="360" w:lineRule="auto"/>
        <w:jc w:val="center"/>
        <w:rPr>
          <w:color w:val="auto"/>
          <w:highlight w:val="cyan"/>
        </w:rPr>
      </w:pPr>
      <w:r>
        <w:rPr>
          <w:color w:val="auto"/>
        </w:rPr>
        <w:drawing>
          <wp:anchor distT="0" distB="0" distL="114300" distR="114300" simplePos="0" relativeHeight="251678720" behindDoc="0" locked="0" layoutInCell="1" allowOverlap="1">
            <wp:simplePos x="0" y="0"/>
            <wp:positionH relativeFrom="column">
              <wp:posOffset>5070475</wp:posOffset>
            </wp:positionH>
            <wp:positionV relativeFrom="paragraph">
              <wp:posOffset>57785</wp:posOffset>
            </wp:positionV>
            <wp:extent cx="644525" cy="664210"/>
            <wp:effectExtent l="0" t="0" r="3175" b="2540"/>
            <wp:wrapNone/>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r:embed="rId37">
                      <a:extLst>
                        <a:ext uri="{28A0092B-C50C-407E-A947-70E740481C1C}">
                          <a14:useLocalDpi xmlns:a14="http://schemas.microsoft.com/office/drawing/2010/main" val="0"/>
                        </a:ext>
                      </a:extLst>
                    </a:blip>
                    <a:stretch>
                      <a:fillRect/>
                    </a:stretch>
                  </pic:blipFill>
                  <pic:spPr>
                    <a:xfrm>
                      <a:off x="0" y="0"/>
                      <a:ext cx="644525" cy="664210"/>
                    </a:xfrm>
                    <a:prstGeom prst="rect">
                      <a:avLst/>
                    </a:prstGeom>
                    <a:noFill/>
                    <a:ln>
                      <a:noFill/>
                    </a:ln>
                  </pic:spPr>
                </pic:pic>
              </a:graphicData>
            </a:graphic>
          </wp:anchor>
        </w:drawing>
      </w:r>
      <w:r>
        <w:rPr>
          <w:color w:val="auto"/>
        </w:rPr>
        <w:drawing>
          <wp:inline distT="0" distB="0" distL="114300" distR="114300">
            <wp:extent cx="5726430" cy="2435860"/>
            <wp:effectExtent l="0" t="0" r="7620" b="2540"/>
            <wp:docPr id="1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3"/>
                    <pic:cNvPicPr>
                      <a:picLocks noChangeAspect="1"/>
                    </pic:cNvPicPr>
                  </pic:nvPicPr>
                  <pic:blipFill>
                    <a:blip r:embed="rId40"/>
                    <a:stretch>
                      <a:fillRect/>
                    </a:stretch>
                  </pic:blipFill>
                  <pic:spPr>
                    <a:xfrm>
                      <a:off x="0" y="0"/>
                      <a:ext cx="5726430" cy="2435860"/>
                    </a:xfrm>
                    <a:prstGeom prst="rect">
                      <a:avLst/>
                    </a:prstGeom>
                    <a:noFill/>
                    <a:ln>
                      <a:noFill/>
                    </a:ln>
                  </pic:spPr>
                </pic:pic>
              </a:graphicData>
            </a:graphic>
          </wp:inline>
        </w:drawing>
      </w:r>
    </w:p>
    <w:p w14:paraId="468111DA">
      <w:pPr>
        <w:pStyle w:val="76"/>
        <w:rPr>
          <w:color w:val="auto"/>
          <w:highlight w:val="none"/>
        </w:rPr>
      </w:pPr>
      <w:r>
        <w:rPr>
          <w:rFonts w:hint="eastAsia"/>
          <w:color w:val="auto"/>
          <w:highlight w:val="none"/>
        </w:rPr>
        <w:t>图</w:t>
      </w:r>
      <w:r>
        <w:rPr>
          <w:color w:val="auto"/>
          <w:highlight w:val="none"/>
        </w:rPr>
        <w:t>4-</w:t>
      </w:r>
      <w:r>
        <w:rPr>
          <w:rFonts w:hint="eastAsia"/>
          <w:color w:val="auto"/>
          <w:highlight w:val="none"/>
        </w:rPr>
        <w:t>2</w:t>
      </w:r>
      <w:r>
        <w:rPr>
          <w:color w:val="auto"/>
          <w:highlight w:val="none"/>
        </w:rPr>
        <w:t>-</w:t>
      </w:r>
      <w:r>
        <w:rPr>
          <w:rFonts w:hint="eastAsia"/>
          <w:color w:val="auto"/>
          <w:highlight w:val="none"/>
          <w:lang w:val="en-US" w:eastAsia="zh-CN"/>
        </w:rPr>
        <w:t>3</w:t>
      </w:r>
      <w:r>
        <w:rPr>
          <w:color w:val="auto"/>
          <w:highlight w:val="none"/>
        </w:rPr>
        <w:t>地下水监测点位</w:t>
      </w:r>
      <w:r>
        <w:rPr>
          <w:rFonts w:hint="eastAsia"/>
          <w:color w:val="auto"/>
          <w:highlight w:val="none"/>
        </w:rPr>
        <w:t>布设图</w:t>
      </w:r>
    </w:p>
    <w:p w14:paraId="6FA482AB">
      <w:pPr>
        <w:pStyle w:val="59"/>
        <w:ind w:firstLine="480"/>
        <w:rPr>
          <w:color w:val="auto"/>
        </w:rPr>
      </w:pPr>
      <w:r>
        <w:rPr>
          <w:rFonts w:hint="eastAsia"/>
          <w:color w:val="auto"/>
        </w:rPr>
        <w:t>3、监测项目</w:t>
      </w:r>
    </w:p>
    <w:p w14:paraId="517C212B">
      <w:pPr>
        <w:pStyle w:val="59"/>
        <w:ind w:firstLine="480"/>
        <w:rPr>
          <w:snapToGrid w:val="0"/>
          <w:color w:val="auto"/>
        </w:rPr>
      </w:pPr>
      <w:r>
        <w:rPr>
          <w:snapToGrid w:val="0"/>
          <w:color w:val="auto"/>
        </w:rPr>
        <w:t>pH值、氨氮、</w:t>
      </w:r>
      <w:r>
        <w:rPr>
          <w:color w:val="auto"/>
        </w:rPr>
        <w:t>总硬度</w:t>
      </w:r>
      <w:r>
        <w:rPr>
          <w:snapToGrid w:val="0"/>
          <w:color w:val="auto"/>
        </w:rPr>
        <w:t>、溶解性总固体、硫酸盐、氯化物、挥发酚、高锰酸盐指数（耗氧量）、阴离子表面活性剂、铁、锰、硝酸盐氮、亚硝酸盐氮、氟化物、氰化物、砷、汞、镉、铬（六价）、铅、</w:t>
      </w:r>
      <w:r>
        <w:rPr>
          <w:rFonts w:hint="eastAsia"/>
          <w:snapToGrid w:val="0"/>
          <w:color w:val="auto"/>
        </w:rPr>
        <w:t>铍、石油类、</w:t>
      </w:r>
      <w:r>
        <w:rPr>
          <w:snapToGrid w:val="0"/>
          <w:color w:val="auto"/>
        </w:rPr>
        <w:t>总大肠菌群、K</w:t>
      </w:r>
      <w:r>
        <w:rPr>
          <w:snapToGrid w:val="0"/>
          <w:color w:val="auto"/>
          <w:vertAlign w:val="superscript"/>
        </w:rPr>
        <w:t>+</w:t>
      </w:r>
      <w:r>
        <w:rPr>
          <w:snapToGrid w:val="0"/>
          <w:color w:val="auto"/>
        </w:rPr>
        <w:t>、Na</w:t>
      </w:r>
      <w:r>
        <w:rPr>
          <w:snapToGrid w:val="0"/>
          <w:color w:val="auto"/>
          <w:vertAlign w:val="superscript"/>
        </w:rPr>
        <w:t>+</w:t>
      </w:r>
      <w:r>
        <w:rPr>
          <w:snapToGrid w:val="0"/>
          <w:color w:val="auto"/>
        </w:rPr>
        <w:t>、Ca</w:t>
      </w:r>
      <w:r>
        <w:rPr>
          <w:snapToGrid w:val="0"/>
          <w:color w:val="auto"/>
          <w:vertAlign w:val="superscript"/>
        </w:rPr>
        <w:t>2+</w:t>
      </w:r>
      <w:r>
        <w:rPr>
          <w:snapToGrid w:val="0"/>
          <w:color w:val="auto"/>
        </w:rPr>
        <w:t>、Mg</w:t>
      </w:r>
      <w:r>
        <w:rPr>
          <w:snapToGrid w:val="0"/>
          <w:color w:val="auto"/>
          <w:vertAlign w:val="superscript"/>
        </w:rPr>
        <w:t>2+</w:t>
      </w:r>
      <w:r>
        <w:rPr>
          <w:snapToGrid w:val="0"/>
          <w:color w:val="auto"/>
        </w:rPr>
        <w:t>、CO</w:t>
      </w:r>
      <w:r>
        <w:rPr>
          <w:snapToGrid w:val="0"/>
          <w:color w:val="auto"/>
          <w:vertAlign w:val="subscript"/>
        </w:rPr>
        <w:t>3</w:t>
      </w:r>
      <w:r>
        <w:rPr>
          <w:snapToGrid w:val="0"/>
          <w:color w:val="auto"/>
          <w:vertAlign w:val="superscript"/>
        </w:rPr>
        <w:t>2-</w:t>
      </w:r>
      <w:r>
        <w:rPr>
          <w:snapToGrid w:val="0"/>
          <w:color w:val="auto"/>
        </w:rPr>
        <w:t>、HCO</w:t>
      </w:r>
      <w:r>
        <w:rPr>
          <w:snapToGrid w:val="0"/>
          <w:color w:val="auto"/>
          <w:vertAlign w:val="subscript"/>
        </w:rPr>
        <w:t>3</w:t>
      </w:r>
      <w:r>
        <w:rPr>
          <w:snapToGrid w:val="0"/>
          <w:color w:val="auto"/>
          <w:vertAlign w:val="superscript"/>
        </w:rPr>
        <w:t>-</w:t>
      </w:r>
      <w:r>
        <w:rPr>
          <w:snapToGrid w:val="0"/>
          <w:color w:val="auto"/>
        </w:rPr>
        <w:t>、Cl</w:t>
      </w:r>
      <w:r>
        <w:rPr>
          <w:snapToGrid w:val="0"/>
          <w:color w:val="auto"/>
          <w:vertAlign w:val="superscript"/>
        </w:rPr>
        <w:t>-</w:t>
      </w:r>
      <w:r>
        <w:rPr>
          <w:snapToGrid w:val="0"/>
          <w:color w:val="auto"/>
        </w:rPr>
        <w:t>、SO</w:t>
      </w:r>
      <w:r>
        <w:rPr>
          <w:snapToGrid w:val="0"/>
          <w:color w:val="auto"/>
          <w:vertAlign w:val="subscript"/>
        </w:rPr>
        <w:t>4</w:t>
      </w:r>
      <w:r>
        <w:rPr>
          <w:snapToGrid w:val="0"/>
          <w:color w:val="auto"/>
          <w:vertAlign w:val="superscript"/>
        </w:rPr>
        <w:t>2-</w:t>
      </w:r>
      <w:r>
        <w:rPr>
          <w:rFonts w:hint="eastAsia"/>
          <w:snapToGrid w:val="0"/>
          <w:color w:val="auto"/>
        </w:rPr>
        <w:t>，</w:t>
      </w:r>
      <w:r>
        <w:rPr>
          <w:snapToGrid w:val="0"/>
          <w:color w:val="auto"/>
        </w:rPr>
        <w:t>共计31项。</w:t>
      </w:r>
    </w:p>
    <w:p w14:paraId="1F7A9A7D">
      <w:pPr>
        <w:pStyle w:val="59"/>
        <w:ind w:firstLine="480"/>
        <w:rPr>
          <w:color w:val="auto"/>
        </w:rPr>
      </w:pPr>
      <w:r>
        <w:rPr>
          <w:color w:val="auto"/>
        </w:rPr>
        <w:t>4</w:t>
      </w:r>
      <w:r>
        <w:rPr>
          <w:rFonts w:hint="eastAsia"/>
          <w:color w:val="auto"/>
        </w:rPr>
        <w:t>、监测分析方法</w:t>
      </w:r>
    </w:p>
    <w:p w14:paraId="0D81AFF5">
      <w:pPr>
        <w:pStyle w:val="76"/>
        <w:rPr>
          <w:rFonts w:hint="eastAsia"/>
          <w:color w:val="auto"/>
        </w:rPr>
      </w:pPr>
      <w:r>
        <w:rPr>
          <w:rFonts w:hint="eastAsia"/>
          <w:color w:val="auto"/>
        </w:rPr>
        <w:t>表4</w:t>
      </w:r>
      <w:r>
        <w:rPr>
          <w:color w:val="auto"/>
        </w:rPr>
        <w:t>-2-4</w:t>
      </w:r>
      <w:r>
        <w:rPr>
          <w:rFonts w:hint="eastAsia"/>
          <w:color w:val="auto"/>
        </w:rPr>
        <w:t>监测方法</w:t>
      </w:r>
    </w:p>
    <w:tbl>
      <w:tblPr>
        <w:tblStyle w:val="45"/>
        <w:tblW w:w="8275"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33"/>
        <w:gridCol w:w="1556"/>
        <w:gridCol w:w="5986"/>
      </w:tblGrid>
      <w:tr w14:paraId="6F8A608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733" w:type="dxa"/>
            <w:noWrap w:val="0"/>
            <w:vAlign w:val="center"/>
          </w:tcPr>
          <w:p w14:paraId="492ED9C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1556" w:type="dxa"/>
            <w:noWrap w:val="0"/>
            <w:vAlign w:val="center"/>
          </w:tcPr>
          <w:p w14:paraId="0114585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项目</w:t>
            </w:r>
          </w:p>
        </w:tc>
        <w:tc>
          <w:tcPr>
            <w:tcW w:w="5986" w:type="dxa"/>
            <w:noWrap w:val="0"/>
            <w:vAlign w:val="center"/>
          </w:tcPr>
          <w:p w14:paraId="7CFED78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标准方法名称及代号</w:t>
            </w:r>
          </w:p>
        </w:tc>
      </w:tr>
      <w:tr w14:paraId="66DBF5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2FCC13E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w:t>
            </w:r>
          </w:p>
        </w:tc>
        <w:tc>
          <w:tcPr>
            <w:tcW w:w="1556" w:type="dxa"/>
            <w:noWrap w:val="0"/>
            <w:vAlign w:val="center"/>
          </w:tcPr>
          <w:p w14:paraId="652247F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eastAsia="宋体"/>
                <w:color w:val="auto"/>
                <w:kern w:val="2"/>
                <w:sz w:val="21"/>
                <w:szCs w:val="21"/>
                <w:lang w:val="en-US" w:eastAsia="zh-CN" w:bidi="ar-SA"/>
              </w:rPr>
            </w:pPr>
            <w:r>
              <w:rPr>
                <w:rFonts w:hint="default" w:ascii="Times New Roman" w:hAnsi="Times New Roman" w:cs="Times New Roman"/>
                <w:color w:val="auto"/>
                <w:sz w:val="21"/>
                <w:szCs w:val="21"/>
                <w:lang w:val="en-US" w:eastAsia="zh-CN"/>
              </w:rPr>
              <w:t>pH</w:t>
            </w:r>
            <w:r>
              <w:rPr>
                <w:rFonts w:hint="eastAsia" w:ascii="Times New Roman" w:hAnsi="Times New Roman" w:cs="Times New Roman"/>
                <w:color w:val="auto"/>
                <w:sz w:val="21"/>
                <w:szCs w:val="21"/>
                <w:lang w:val="en-US" w:eastAsia="zh-CN"/>
              </w:rPr>
              <w:t>值</w:t>
            </w:r>
          </w:p>
        </w:tc>
        <w:tc>
          <w:tcPr>
            <w:tcW w:w="5986" w:type="dxa"/>
            <w:noWrap w:val="0"/>
            <w:vAlign w:val="center"/>
          </w:tcPr>
          <w:p w14:paraId="68A98B05">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水质 pH值的测定 电极法HJ1147-2020</w:t>
            </w:r>
          </w:p>
        </w:tc>
      </w:tr>
      <w:tr w14:paraId="0368BC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23F52C6D">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w:t>
            </w:r>
          </w:p>
        </w:tc>
        <w:tc>
          <w:tcPr>
            <w:tcW w:w="1556" w:type="dxa"/>
            <w:noWrap w:val="0"/>
            <w:vAlign w:val="center"/>
          </w:tcPr>
          <w:p w14:paraId="500DB51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总硬度</w:t>
            </w:r>
          </w:p>
        </w:tc>
        <w:tc>
          <w:tcPr>
            <w:tcW w:w="5986" w:type="dxa"/>
            <w:noWrap w:val="0"/>
            <w:vAlign w:val="center"/>
          </w:tcPr>
          <w:p w14:paraId="08F6A53F">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水质 钙和镁总量的测定 EDTA滴定法 GB/T 7477-1987</w:t>
            </w:r>
          </w:p>
        </w:tc>
      </w:tr>
      <w:tr w14:paraId="745A91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5C9B809C">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w:t>
            </w:r>
          </w:p>
        </w:tc>
        <w:tc>
          <w:tcPr>
            <w:tcW w:w="1556" w:type="dxa"/>
            <w:noWrap w:val="0"/>
            <w:vAlign w:val="center"/>
          </w:tcPr>
          <w:p w14:paraId="142EDCC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溶解性总  固体</w:t>
            </w:r>
          </w:p>
        </w:tc>
        <w:tc>
          <w:tcPr>
            <w:tcW w:w="5986" w:type="dxa"/>
            <w:noWrap w:val="0"/>
            <w:vAlign w:val="center"/>
          </w:tcPr>
          <w:p w14:paraId="4C9C85D0">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eastAsia" w:ascii="宋体" w:hAnsi="宋体" w:eastAsia="宋体" w:cs="宋体"/>
                <w:color w:val="auto"/>
                <w:kern w:val="0"/>
                <w:sz w:val="21"/>
                <w:szCs w:val="21"/>
                <w:lang w:val="en-US" w:eastAsia="zh-CN"/>
              </w:rPr>
              <w:t>生活饮用水标准检验方法第4部分：感官性状和物理指标（11.1称量法）</w:t>
            </w:r>
            <w:r>
              <w:rPr>
                <w:rFonts w:hint="eastAsia" w:ascii="Times New Roman" w:hAnsi="Times New Roman" w:eastAsia="宋体" w:cs="Times New Roman"/>
                <w:color w:val="auto"/>
                <w:kern w:val="2"/>
                <w:sz w:val="21"/>
                <w:szCs w:val="21"/>
                <w:lang w:val="en-US" w:eastAsia="zh-CN" w:bidi="ar"/>
              </w:rPr>
              <w:t xml:space="preserve">（GB/T 5750.4-2023） </w:t>
            </w:r>
          </w:p>
        </w:tc>
      </w:tr>
      <w:tr w14:paraId="2BA83B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0587994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w:t>
            </w:r>
          </w:p>
        </w:tc>
        <w:tc>
          <w:tcPr>
            <w:tcW w:w="1556" w:type="dxa"/>
            <w:noWrap w:val="0"/>
            <w:vAlign w:val="center"/>
          </w:tcPr>
          <w:p w14:paraId="341C3FA8">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硫酸盐</w:t>
            </w:r>
          </w:p>
        </w:tc>
        <w:tc>
          <w:tcPr>
            <w:tcW w:w="5986" w:type="dxa"/>
            <w:noWrap w:val="0"/>
            <w:vAlign w:val="center"/>
          </w:tcPr>
          <w:p w14:paraId="77F80F89">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zh-CN" w:eastAsia="zh-CN" w:bidi="ar"/>
              </w:rPr>
            </w:pPr>
            <w:r>
              <w:rPr>
                <w:rFonts w:hint="eastAsia" w:ascii="Times New Roman" w:hAnsi="Times New Roman" w:eastAsia="宋体" w:cs="Times New Roman"/>
                <w:color w:val="auto"/>
                <w:kern w:val="2"/>
                <w:sz w:val="21"/>
                <w:szCs w:val="21"/>
                <w:lang w:val="en-US" w:eastAsia="zh-CN" w:bidi="ar"/>
              </w:rPr>
              <w:t>水质 硫酸盐的测定 重量法 GB/T 11899-1989</w:t>
            </w:r>
          </w:p>
        </w:tc>
      </w:tr>
      <w:tr w14:paraId="1F262D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02DFCB2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w:t>
            </w:r>
          </w:p>
        </w:tc>
        <w:tc>
          <w:tcPr>
            <w:tcW w:w="1556" w:type="dxa"/>
            <w:noWrap w:val="0"/>
            <w:vAlign w:val="center"/>
          </w:tcPr>
          <w:p w14:paraId="1C459CC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氯化物</w:t>
            </w:r>
          </w:p>
        </w:tc>
        <w:tc>
          <w:tcPr>
            <w:tcW w:w="5986" w:type="dxa"/>
            <w:noWrap w:val="0"/>
            <w:vAlign w:val="center"/>
          </w:tcPr>
          <w:p w14:paraId="7715577C">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水质 氯化物的测定 硝酸银滴定法 GB/T 11896-1989</w:t>
            </w:r>
          </w:p>
        </w:tc>
      </w:tr>
      <w:tr w14:paraId="632202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5BF9E21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w:t>
            </w:r>
          </w:p>
        </w:tc>
        <w:tc>
          <w:tcPr>
            <w:tcW w:w="1556" w:type="dxa"/>
            <w:noWrap w:val="0"/>
            <w:vAlign w:val="center"/>
          </w:tcPr>
          <w:p w14:paraId="47F64689">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铁</w:t>
            </w:r>
          </w:p>
        </w:tc>
        <w:tc>
          <w:tcPr>
            <w:tcW w:w="5986" w:type="dxa"/>
            <w:noWrap w:val="0"/>
            <w:vAlign w:val="center"/>
          </w:tcPr>
          <w:p w14:paraId="3A7F84FB">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水质 铁、锰的测定 火焰原子吸收分光光度法 GB/T 11911-1989</w:t>
            </w:r>
          </w:p>
        </w:tc>
      </w:tr>
      <w:tr w14:paraId="541FD9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09DF5D7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w:t>
            </w:r>
          </w:p>
        </w:tc>
        <w:tc>
          <w:tcPr>
            <w:tcW w:w="1556" w:type="dxa"/>
            <w:noWrap w:val="0"/>
            <w:vAlign w:val="center"/>
          </w:tcPr>
          <w:p w14:paraId="7000A78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锰</w:t>
            </w:r>
          </w:p>
        </w:tc>
        <w:tc>
          <w:tcPr>
            <w:tcW w:w="5986" w:type="dxa"/>
            <w:noWrap w:val="0"/>
            <w:vAlign w:val="center"/>
          </w:tcPr>
          <w:p w14:paraId="2735FF39">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zh-CN" w:eastAsia="zh-CN" w:bidi="ar"/>
              </w:rPr>
              <w:t>水质 铁、锰的测定 火焰原子吸收分光光度法 GB/T 11911-1989</w:t>
            </w:r>
          </w:p>
        </w:tc>
      </w:tr>
      <w:tr w14:paraId="13A2A6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0E7C26C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8</w:t>
            </w:r>
          </w:p>
        </w:tc>
        <w:tc>
          <w:tcPr>
            <w:tcW w:w="1556" w:type="dxa"/>
            <w:noWrap w:val="0"/>
            <w:vAlign w:val="center"/>
          </w:tcPr>
          <w:p w14:paraId="29789E0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挥发酚</w:t>
            </w:r>
          </w:p>
        </w:tc>
        <w:tc>
          <w:tcPr>
            <w:tcW w:w="5986" w:type="dxa"/>
            <w:noWrap w:val="0"/>
            <w:vAlign w:val="center"/>
          </w:tcPr>
          <w:p w14:paraId="1A9E7E57">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eastAsia"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水质 挥发酚的测定 4-氨基安替比林分光光度法 方法1萃取分光光度法 HJ503-2009</w:t>
            </w:r>
          </w:p>
        </w:tc>
      </w:tr>
      <w:tr w14:paraId="1721A6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65879A7E">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9</w:t>
            </w:r>
          </w:p>
        </w:tc>
        <w:tc>
          <w:tcPr>
            <w:tcW w:w="1556" w:type="dxa"/>
            <w:noWrap w:val="0"/>
            <w:vAlign w:val="center"/>
          </w:tcPr>
          <w:p w14:paraId="2FB4DD8D">
            <w:pPr>
              <w:keepNext w:val="0"/>
              <w:keepLines w:val="0"/>
              <w:pageBreakBefore w:val="0"/>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高锰酸盐指数 (以O</w:t>
            </w:r>
            <w:r>
              <w:rPr>
                <w:rFonts w:hint="eastAsia" w:ascii="Times New Roman" w:hAnsi="Times New Roman" w:eastAsia="宋体" w:cs="Times New Roman"/>
                <w:color w:val="auto"/>
                <w:sz w:val="21"/>
                <w:szCs w:val="21"/>
                <w:vertAlign w:val="subscript"/>
                <w:lang w:val="en-US" w:eastAsia="zh-CN"/>
              </w:rPr>
              <w:t>2</w:t>
            </w:r>
            <w:r>
              <w:rPr>
                <w:rFonts w:hint="eastAsia" w:ascii="Times New Roman" w:hAnsi="Times New Roman" w:eastAsia="宋体" w:cs="Times New Roman"/>
                <w:color w:val="auto"/>
                <w:sz w:val="21"/>
                <w:szCs w:val="21"/>
                <w:lang w:val="en-US" w:eastAsia="zh-CN"/>
              </w:rPr>
              <w:t>计)</w:t>
            </w:r>
          </w:p>
        </w:tc>
        <w:tc>
          <w:tcPr>
            <w:tcW w:w="5986" w:type="dxa"/>
            <w:noWrap w:val="0"/>
            <w:vAlign w:val="center"/>
          </w:tcPr>
          <w:p w14:paraId="13E93F21">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水质 高锰酸盐指数的测定 草酸钠还原酸性滴定法 HJ1445-2026</w:t>
            </w:r>
          </w:p>
        </w:tc>
      </w:tr>
      <w:tr w14:paraId="1EFFF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1C288E4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w:t>
            </w:r>
          </w:p>
        </w:tc>
        <w:tc>
          <w:tcPr>
            <w:tcW w:w="1556" w:type="dxa"/>
            <w:noWrap w:val="0"/>
            <w:vAlign w:val="center"/>
          </w:tcPr>
          <w:p w14:paraId="0F76C76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 xml:space="preserve">氨氮 </w:t>
            </w:r>
          </w:p>
        </w:tc>
        <w:tc>
          <w:tcPr>
            <w:tcW w:w="5986" w:type="dxa"/>
            <w:noWrap w:val="0"/>
            <w:vAlign w:val="center"/>
          </w:tcPr>
          <w:p w14:paraId="7B3A1231">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水质 氨氮的测定 纳氏试剂分光光度法</w:t>
            </w:r>
            <w:r>
              <w:rPr>
                <w:rFonts w:hint="eastAsia" w:ascii="Times New Roman" w:hAnsi="Times New Roman" w:eastAsia="宋体" w:cs="Times New Roman"/>
                <w:color w:val="auto"/>
                <w:kern w:val="2"/>
                <w:sz w:val="21"/>
                <w:szCs w:val="21"/>
                <w:lang w:val="en-US" w:eastAsia="zh-CN" w:bidi="ar"/>
              </w:rPr>
              <w:t xml:space="preserve"> </w:t>
            </w:r>
            <w:r>
              <w:rPr>
                <w:rFonts w:hint="default" w:ascii="Times New Roman" w:hAnsi="Times New Roman" w:eastAsia="宋体" w:cs="Times New Roman"/>
                <w:color w:val="auto"/>
                <w:kern w:val="2"/>
                <w:sz w:val="21"/>
                <w:szCs w:val="21"/>
                <w:lang w:val="en-US" w:eastAsia="zh-CN" w:bidi="ar"/>
              </w:rPr>
              <w:t>HJ 535-2009</w:t>
            </w:r>
          </w:p>
        </w:tc>
      </w:tr>
      <w:tr w14:paraId="785B25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3" w:type="dxa"/>
            <w:noWrap w:val="0"/>
            <w:vAlign w:val="center"/>
          </w:tcPr>
          <w:p w14:paraId="06034A1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11</w:t>
            </w:r>
          </w:p>
        </w:tc>
        <w:tc>
          <w:tcPr>
            <w:tcW w:w="1556" w:type="dxa"/>
            <w:noWrap w:val="0"/>
            <w:vAlign w:val="center"/>
          </w:tcPr>
          <w:p w14:paraId="6096995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总大肠菌群</w:t>
            </w:r>
          </w:p>
        </w:tc>
        <w:tc>
          <w:tcPr>
            <w:tcW w:w="5986" w:type="dxa"/>
            <w:noWrap w:val="0"/>
            <w:vAlign w:val="center"/>
          </w:tcPr>
          <w:p w14:paraId="71E4F52C">
            <w:pPr>
              <w:keepNext w:val="0"/>
              <w:keepLines w:val="0"/>
              <w:pageBreakBefore w:val="0"/>
              <w:widowControl/>
              <w:kinsoku/>
              <w:wordWrap/>
              <w:overflowPunct/>
              <w:topLinePunct w:val="0"/>
              <w:autoSpaceDE/>
              <w:autoSpaceDN/>
              <w:bidi w:val="0"/>
              <w:adjustRightInd w:val="0"/>
              <w:snapToGrid w:val="0"/>
              <w:spacing w:line="240" w:lineRule="auto"/>
              <w:ind w:left="1" w:leftChars="0" w:hanging="1" w:firstLineChars="0"/>
              <w:jc w:val="both"/>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生活饮用水标准检验方法 第12部分：微生物指标5.1多管发酵法 GB/T 5750.12-2023</w:t>
            </w:r>
          </w:p>
        </w:tc>
      </w:tr>
      <w:tr w14:paraId="49A8B1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780BE0A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w:t>
            </w:r>
          </w:p>
        </w:tc>
        <w:tc>
          <w:tcPr>
            <w:tcW w:w="1556" w:type="dxa"/>
            <w:noWrap w:val="0"/>
            <w:vAlign w:val="center"/>
          </w:tcPr>
          <w:p w14:paraId="17AE313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菌落总数</w:t>
            </w:r>
          </w:p>
        </w:tc>
        <w:tc>
          <w:tcPr>
            <w:tcW w:w="5986" w:type="dxa"/>
            <w:noWrap w:val="0"/>
            <w:vAlign w:val="center"/>
          </w:tcPr>
          <w:p w14:paraId="04606F8D">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
                <w:sz w:val="21"/>
                <w:szCs w:val="21"/>
                <w:lang w:val="en-US" w:eastAsia="zh-CN" w:bidi="ar"/>
              </w:rPr>
            </w:pPr>
            <w:r>
              <w:rPr>
                <w:rFonts w:hint="eastAsia" w:ascii="宋体" w:hAnsi="宋体"/>
                <w:color w:val="auto"/>
                <w:sz w:val="21"/>
                <w:szCs w:val="21"/>
              </w:rPr>
              <w:t xml:space="preserve">水质 </w:t>
            </w:r>
            <w:r>
              <w:rPr>
                <w:rFonts w:hint="eastAsia" w:ascii="宋体" w:hAnsi="宋体"/>
                <w:color w:val="auto"/>
                <w:sz w:val="21"/>
                <w:szCs w:val="21"/>
                <w:lang w:eastAsia="zh-CN"/>
              </w:rPr>
              <w:t>细菌总数</w:t>
            </w:r>
            <w:r>
              <w:rPr>
                <w:rFonts w:hint="eastAsia" w:ascii="宋体" w:hAnsi="宋体"/>
                <w:color w:val="auto"/>
                <w:sz w:val="21"/>
                <w:szCs w:val="21"/>
              </w:rPr>
              <w:t>的测定</w:t>
            </w:r>
            <w:r>
              <w:rPr>
                <w:rFonts w:hint="eastAsia" w:ascii="宋体" w:hAnsi="宋体"/>
                <w:color w:val="auto"/>
                <w:sz w:val="21"/>
                <w:szCs w:val="21"/>
                <w:lang w:val="en-US" w:eastAsia="zh-CN"/>
              </w:rPr>
              <w:t xml:space="preserve"> </w:t>
            </w:r>
            <w:r>
              <w:rPr>
                <w:rFonts w:hint="eastAsia" w:ascii="Times New Roman" w:hAnsi="Times New Roman" w:eastAsia="宋体" w:cs="Times New Roman"/>
                <w:color w:val="auto"/>
                <w:kern w:val="2"/>
                <w:sz w:val="21"/>
                <w:szCs w:val="21"/>
                <w:lang w:val="en-US" w:eastAsia="zh-CN" w:bidi="ar"/>
              </w:rPr>
              <w:t>平皿计数法 HJ1000-2018</w:t>
            </w:r>
          </w:p>
        </w:tc>
      </w:tr>
      <w:tr w14:paraId="2592C9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3CCD01BA">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13</w:t>
            </w:r>
          </w:p>
        </w:tc>
        <w:tc>
          <w:tcPr>
            <w:tcW w:w="1556" w:type="dxa"/>
            <w:noWrap w:val="0"/>
            <w:vAlign w:val="center"/>
          </w:tcPr>
          <w:p w14:paraId="2DB0930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亚硝酸盐</w:t>
            </w:r>
          </w:p>
        </w:tc>
        <w:tc>
          <w:tcPr>
            <w:tcW w:w="5986" w:type="dxa"/>
            <w:noWrap w:val="0"/>
            <w:vAlign w:val="center"/>
          </w:tcPr>
          <w:p w14:paraId="38C21FF7">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
                <w:sz w:val="21"/>
                <w:szCs w:val="21"/>
                <w:lang w:val="en-US" w:eastAsia="zh-CN" w:bidi="ar"/>
              </w:rPr>
            </w:pPr>
            <w:r>
              <w:rPr>
                <w:rFonts w:hint="eastAsia" w:ascii="宋体" w:hAnsi="宋体"/>
                <w:color w:val="auto"/>
                <w:sz w:val="21"/>
                <w:szCs w:val="21"/>
              </w:rPr>
              <w:t>水质 亚硝酸盐氮的测定 分光光度法</w:t>
            </w:r>
            <w:r>
              <w:rPr>
                <w:rFonts w:hint="eastAsia" w:ascii="Times New Roman" w:hAnsi="Times New Roman" w:eastAsia="宋体" w:cs="Times New Roman"/>
                <w:color w:val="auto"/>
                <w:kern w:val="2"/>
                <w:sz w:val="21"/>
                <w:szCs w:val="21"/>
                <w:lang w:val="en-US" w:eastAsia="zh-CN" w:bidi="ar"/>
              </w:rPr>
              <w:t>GB/T 7493-1987</w:t>
            </w:r>
          </w:p>
        </w:tc>
      </w:tr>
      <w:tr w14:paraId="6B2266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3689EF9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14</w:t>
            </w:r>
          </w:p>
        </w:tc>
        <w:tc>
          <w:tcPr>
            <w:tcW w:w="1556" w:type="dxa"/>
            <w:noWrap w:val="0"/>
            <w:vAlign w:val="center"/>
          </w:tcPr>
          <w:p w14:paraId="0B53733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硝酸盐</w:t>
            </w:r>
          </w:p>
        </w:tc>
        <w:tc>
          <w:tcPr>
            <w:tcW w:w="5986" w:type="dxa"/>
            <w:noWrap w:val="0"/>
            <w:vAlign w:val="center"/>
          </w:tcPr>
          <w:p w14:paraId="19BE650A">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
                <w:sz w:val="21"/>
                <w:szCs w:val="21"/>
                <w:lang w:val="en-US" w:eastAsia="zh-CN" w:bidi="ar"/>
              </w:rPr>
            </w:pPr>
            <w:r>
              <w:rPr>
                <w:rFonts w:hint="eastAsia" w:ascii="宋体" w:hAnsi="宋体" w:eastAsia="宋体" w:cs="Times New Roman"/>
                <w:color w:val="auto"/>
                <w:sz w:val="21"/>
                <w:szCs w:val="21"/>
              </w:rPr>
              <w:t>水质 硝酸盐氮的测定 紫外分光光度法</w:t>
            </w:r>
            <w:r>
              <w:rPr>
                <w:rFonts w:hint="eastAsia" w:ascii="宋体" w:hAnsi="宋体" w:eastAsia="宋体" w:cs="Times New Roman"/>
                <w:color w:val="auto"/>
                <w:sz w:val="21"/>
                <w:szCs w:val="21"/>
                <w:lang w:val="en-US" w:eastAsia="zh-CN"/>
              </w:rPr>
              <w:t xml:space="preserve"> </w:t>
            </w:r>
            <w:r>
              <w:rPr>
                <w:rFonts w:hint="eastAsia" w:ascii="Times New Roman" w:hAnsi="Times New Roman" w:eastAsia="宋体" w:cs="Times New Roman"/>
                <w:color w:val="auto"/>
                <w:kern w:val="2"/>
                <w:sz w:val="21"/>
                <w:szCs w:val="21"/>
                <w:lang w:val="en-US" w:eastAsia="zh-CN" w:bidi="ar"/>
              </w:rPr>
              <w:t>HJ/T 346-2007</w:t>
            </w:r>
          </w:p>
        </w:tc>
      </w:tr>
      <w:tr w14:paraId="6F373E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62A05B32">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15</w:t>
            </w:r>
          </w:p>
        </w:tc>
        <w:tc>
          <w:tcPr>
            <w:tcW w:w="1556" w:type="dxa"/>
            <w:noWrap w:val="0"/>
            <w:vAlign w:val="center"/>
          </w:tcPr>
          <w:p w14:paraId="171ABBF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氰化物</w:t>
            </w:r>
          </w:p>
        </w:tc>
        <w:tc>
          <w:tcPr>
            <w:tcW w:w="5986" w:type="dxa"/>
            <w:noWrap w:val="0"/>
            <w:vAlign w:val="center"/>
          </w:tcPr>
          <w:p w14:paraId="2D424E8F">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地下水质分析方法第52部分：氰化物的测定吡啶-吡唑啉酮分光光度法 DZ/T 0064.52-2021</w:t>
            </w:r>
          </w:p>
        </w:tc>
      </w:tr>
      <w:tr w14:paraId="73B921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397" w:hRule="atLeast"/>
          <w:jc w:val="center"/>
        </w:trPr>
        <w:tc>
          <w:tcPr>
            <w:tcW w:w="733" w:type="dxa"/>
            <w:noWrap w:val="0"/>
            <w:vAlign w:val="center"/>
          </w:tcPr>
          <w:p w14:paraId="57F3D28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16</w:t>
            </w:r>
          </w:p>
        </w:tc>
        <w:tc>
          <w:tcPr>
            <w:tcW w:w="1556" w:type="dxa"/>
            <w:noWrap w:val="0"/>
            <w:vAlign w:val="center"/>
          </w:tcPr>
          <w:p w14:paraId="65877492">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氟化物</w:t>
            </w:r>
          </w:p>
        </w:tc>
        <w:tc>
          <w:tcPr>
            <w:tcW w:w="5986" w:type="dxa"/>
            <w:noWrap w:val="0"/>
            <w:vAlign w:val="center"/>
          </w:tcPr>
          <w:p w14:paraId="73BBB072">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kern w:val="2"/>
                <w:sz w:val="21"/>
                <w:szCs w:val="21"/>
                <w:lang w:val="en-US" w:eastAsia="zh-CN" w:bidi="ar"/>
              </w:rPr>
              <w:t>水质 氟化物的测定 离子选择电极法 GB/T 7484-1987</w:t>
            </w:r>
          </w:p>
        </w:tc>
      </w:tr>
      <w:tr w14:paraId="67408E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42FE8AB7">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17</w:t>
            </w:r>
          </w:p>
        </w:tc>
        <w:tc>
          <w:tcPr>
            <w:tcW w:w="1556" w:type="dxa"/>
            <w:noWrap w:val="0"/>
            <w:vAlign w:val="center"/>
          </w:tcPr>
          <w:p w14:paraId="6469CD4B">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汞</w:t>
            </w:r>
          </w:p>
        </w:tc>
        <w:tc>
          <w:tcPr>
            <w:tcW w:w="5986" w:type="dxa"/>
            <w:noWrap w:val="0"/>
            <w:vAlign w:val="center"/>
          </w:tcPr>
          <w:p w14:paraId="64AA1B3D">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kern w:val="2"/>
                <w:sz w:val="21"/>
                <w:szCs w:val="21"/>
                <w:lang w:val="en-US" w:eastAsia="zh-CN" w:bidi="ar"/>
              </w:rPr>
            </w:pPr>
            <w:r>
              <w:rPr>
                <w:rFonts w:hint="default" w:ascii="Times New Roman" w:hAnsi="Times New Roman" w:cs="Times New Roman"/>
                <w:color w:val="auto"/>
                <w:spacing w:val="-4"/>
                <w:kern w:val="0"/>
                <w:sz w:val="21"/>
                <w:szCs w:val="21"/>
              </w:rPr>
              <w:t xml:space="preserve">水质 汞、砷、硒、铋和锑的测定 原子荧光法 </w:t>
            </w:r>
            <w:r>
              <w:rPr>
                <w:rFonts w:hint="default" w:ascii="Times New Roman" w:hAnsi="Times New Roman" w:eastAsia="宋体" w:cs="Times New Roman"/>
                <w:color w:val="auto"/>
                <w:kern w:val="2"/>
                <w:sz w:val="21"/>
                <w:szCs w:val="21"/>
                <w:lang w:val="en-US" w:eastAsia="zh-CN" w:bidi="ar"/>
              </w:rPr>
              <w:t>HJ 694-2014</w:t>
            </w:r>
          </w:p>
        </w:tc>
      </w:tr>
      <w:tr w14:paraId="35A471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08D71B5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18</w:t>
            </w:r>
          </w:p>
        </w:tc>
        <w:tc>
          <w:tcPr>
            <w:tcW w:w="1556" w:type="dxa"/>
            <w:noWrap w:val="0"/>
            <w:vAlign w:val="center"/>
          </w:tcPr>
          <w:p w14:paraId="4EB8EAC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砷</w:t>
            </w:r>
          </w:p>
        </w:tc>
        <w:tc>
          <w:tcPr>
            <w:tcW w:w="5986" w:type="dxa"/>
            <w:noWrap w:val="0"/>
            <w:vAlign w:val="center"/>
          </w:tcPr>
          <w:p w14:paraId="3F310EA1">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宋体" w:hAnsi="宋体" w:eastAsia="宋体" w:cs="宋体"/>
                <w:color w:val="auto"/>
                <w:spacing w:val="-4"/>
                <w:kern w:val="0"/>
                <w:sz w:val="21"/>
                <w:szCs w:val="21"/>
                <w:lang w:val="en-US" w:eastAsia="zh-CN"/>
              </w:rPr>
            </w:pPr>
            <w:r>
              <w:rPr>
                <w:rFonts w:hint="default" w:ascii="Times New Roman" w:hAnsi="Times New Roman" w:eastAsia="宋体" w:cs="Times New Roman"/>
                <w:color w:val="auto"/>
                <w:spacing w:val="-4"/>
                <w:kern w:val="0"/>
                <w:sz w:val="21"/>
                <w:szCs w:val="21"/>
              </w:rPr>
              <w:t xml:space="preserve">水质 汞、砷、硒、铋和锑的测定 原子荧光法 </w:t>
            </w:r>
            <w:r>
              <w:rPr>
                <w:rFonts w:hint="default" w:ascii="Times New Roman" w:hAnsi="Times New Roman" w:eastAsia="宋体" w:cs="Times New Roman"/>
                <w:color w:val="auto"/>
                <w:kern w:val="2"/>
                <w:sz w:val="21"/>
                <w:szCs w:val="21"/>
                <w:lang w:val="en-US" w:eastAsia="zh-CN" w:bidi="ar"/>
              </w:rPr>
              <w:t>HJ 694-2014</w:t>
            </w:r>
          </w:p>
        </w:tc>
      </w:tr>
      <w:tr w14:paraId="667F06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36871D5F">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19</w:t>
            </w:r>
          </w:p>
        </w:tc>
        <w:tc>
          <w:tcPr>
            <w:tcW w:w="1556" w:type="dxa"/>
            <w:noWrap w:val="0"/>
            <w:vAlign w:val="center"/>
          </w:tcPr>
          <w:p w14:paraId="0D2CE8A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spacing w:val="-4"/>
                <w:kern w:val="0"/>
                <w:sz w:val="21"/>
                <w:szCs w:val="21"/>
                <w:lang w:val="en-US" w:eastAsia="zh-CN"/>
              </w:rPr>
            </w:pPr>
            <w:r>
              <w:rPr>
                <w:rFonts w:hint="default" w:ascii="Times New Roman" w:hAnsi="Times New Roman" w:eastAsia="宋体" w:cs="Times New Roman"/>
                <w:color w:val="auto"/>
                <w:spacing w:val="-4"/>
                <w:kern w:val="0"/>
                <w:sz w:val="21"/>
                <w:szCs w:val="21"/>
                <w:lang w:val="en-US" w:eastAsia="zh-CN"/>
              </w:rPr>
              <w:t>镉</w:t>
            </w:r>
          </w:p>
        </w:tc>
        <w:tc>
          <w:tcPr>
            <w:tcW w:w="5986" w:type="dxa"/>
            <w:noWrap w:val="0"/>
            <w:vAlign w:val="center"/>
          </w:tcPr>
          <w:p w14:paraId="3A46132A">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spacing w:val="-4"/>
                <w:kern w:val="0"/>
                <w:sz w:val="21"/>
                <w:szCs w:val="21"/>
                <w:lang w:val="en-US" w:eastAsia="zh-CN"/>
              </w:rPr>
            </w:pPr>
            <w:r>
              <w:rPr>
                <w:rFonts w:hint="eastAsia" w:ascii="Times New Roman" w:hAnsi="Times New Roman" w:eastAsia="宋体" w:cs="Times New Roman"/>
                <w:color w:val="auto"/>
                <w:spacing w:val="-4"/>
                <w:kern w:val="0"/>
                <w:sz w:val="21"/>
                <w:szCs w:val="21"/>
                <w:lang w:val="en-US" w:eastAsia="zh-CN"/>
              </w:rPr>
              <w:t xml:space="preserve">水质 铜、锌、铅、镉的测定原子吸收分光光度法 </w:t>
            </w:r>
            <w:r>
              <w:rPr>
                <w:rFonts w:hint="default" w:ascii="Times New Roman" w:hAnsi="Times New Roman" w:eastAsia="宋体" w:cs="Times New Roman"/>
                <w:color w:val="auto"/>
                <w:spacing w:val="-4"/>
                <w:kern w:val="0"/>
                <w:sz w:val="21"/>
                <w:szCs w:val="21"/>
                <w:lang w:val="en-US" w:eastAsia="zh-CN"/>
              </w:rPr>
              <w:t>GB</w:t>
            </w:r>
            <w:r>
              <w:rPr>
                <w:rFonts w:hint="eastAsia" w:ascii="Times New Roman" w:hAnsi="Times New Roman" w:eastAsia="宋体" w:cs="Times New Roman"/>
                <w:color w:val="auto"/>
                <w:spacing w:val="-4"/>
                <w:kern w:val="0"/>
                <w:sz w:val="21"/>
                <w:szCs w:val="21"/>
                <w:lang w:val="en-US" w:eastAsia="zh-CN"/>
              </w:rPr>
              <w:t>/T 7475-1987</w:t>
            </w:r>
          </w:p>
        </w:tc>
      </w:tr>
      <w:tr w14:paraId="3996C82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7B7B4675">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20</w:t>
            </w:r>
          </w:p>
        </w:tc>
        <w:tc>
          <w:tcPr>
            <w:tcW w:w="1556" w:type="dxa"/>
            <w:noWrap w:val="0"/>
            <w:vAlign w:val="center"/>
          </w:tcPr>
          <w:p w14:paraId="31EF080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pacing w:val="-4"/>
                <w:kern w:val="0"/>
                <w:sz w:val="21"/>
                <w:szCs w:val="21"/>
                <w:lang w:val="en-US" w:eastAsia="zh-CN"/>
              </w:rPr>
            </w:pPr>
            <w:r>
              <w:rPr>
                <w:rFonts w:hint="default" w:ascii="Times New Roman" w:hAnsi="Times New Roman" w:eastAsia="宋体" w:cs="Times New Roman"/>
                <w:color w:val="auto"/>
                <w:spacing w:val="-4"/>
                <w:kern w:val="0"/>
                <w:sz w:val="21"/>
                <w:szCs w:val="21"/>
                <w:lang w:val="en-US" w:eastAsia="zh-CN"/>
              </w:rPr>
              <w:t>铅</w:t>
            </w:r>
          </w:p>
        </w:tc>
        <w:tc>
          <w:tcPr>
            <w:tcW w:w="5986" w:type="dxa"/>
            <w:noWrap w:val="0"/>
            <w:vAlign w:val="center"/>
          </w:tcPr>
          <w:p w14:paraId="67E8AAAF">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spacing w:val="-4"/>
                <w:kern w:val="0"/>
                <w:sz w:val="21"/>
                <w:szCs w:val="21"/>
                <w:lang w:val="en-US" w:eastAsia="zh-CN"/>
              </w:rPr>
            </w:pPr>
            <w:r>
              <w:rPr>
                <w:rFonts w:hint="eastAsia" w:ascii="Times New Roman" w:hAnsi="Times New Roman" w:eastAsia="宋体" w:cs="Times New Roman"/>
                <w:color w:val="auto"/>
                <w:spacing w:val="-4"/>
                <w:kern w:val="0"/>
                <w:sz w:val="21"/>
                <w:szCs w:val="21"/>
                <w:lang w:val="en-US" w:eastAsia="zh-CN"/>
              </w:rPr>
              <w:t>水质 铜、锌、铅、镉的测定原子吸收分光光度法 GB/T 7475-1987</w:t>
            </w:r>
          </w:p>
        </w:tc>
      </w:tr>
      <w:tr w14:paraId="4F2C03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3FA7F9E3">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21</w:t>
            </w:r>
          </w:p>
        </w:tc>
        <w:tc>
          <w:tcPr>
            <w:tcW w:w="1556" w:type="dxa"/>
            <w:noWrap w:val="0"/>
            <w:vAlign w:val="center"/>
          </w:tcPr>
          <w:p w14:paraId="71D6E42F">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ascii="Times New Roman" w:hAnsi="Times New Roman" w:eastAsia="宋体" w:cs="Times New Roman"/>
                <w:color w:val="auto"/>
                <w:spacing w:val="-4"/>
                <w:kern w:val="0"/>
                <w:sz w:val="21"/>
                <w:szCs w:val="21"/>
                <w:lang w:val="en-US" w:eastAsia="zh-CN"/>
              </w:rPr>
            </w:pPr>
            <w:r>
              <w:rPr>
                <w:rFonts w:hint="eastAsia" w:ascii="Times New Roman" w:hAnsi="Times New Roman" w:eastAsia="宋体" w:cs="Times New Roman"/>
                <w:color w:val="auto"/>
                <w:spacing w:val="-4"/>
                <w:kern w:val="0"/>
                <w:sz w:val="21"/>
                <w:szCs w:val="21"/>
                <w:lang w:val="en-US" w:eastAsia="zh-CN"/>
              </w:rPr>
              <w:t>铬（六价）</w:t>
            </w:r>
          </w:p>
        </w:tc>
        <w:tc>
          <w:tcPr>
            <w:tcW w:w="5986" w:type="dxa"/>
            <w:noWrap w:val="0"/>
            <w:vAlign w:val="center"/>
          </w:tcPr>
          <w:p w14:paraId="4268DE25">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spacing w:val="-4"/>
                <w:kern w:val="0"/>
                <w:sz w:val="21"/>
                <w:szCs w:val="21"/>
                <w:lang w:val="en-US" w:eastAsia="zh-CN"/>
              </w:rPr>
            </w:pPr>
            <w:r>
              <w:rPr>
                <w:rFonts w:hint="default" w:ascii="Times New Roman" w:hAnsi="Times New Roman" w:eastAsia="宋体" w:cs="Times New Roman"/>
                <w:color w:val="auto"/>
                <w:spacing w:val="-4"/>
                <w:kern w:val="0"/>
                <w:sz w:val="21"/>
                <w:szCs w:val="21"/>
                <w:lang w:val="en-US" w:eastAsia="zh-CN"/>
              </w:rPr>
              <w:t xml:space="preserve">水质 六价铬的测定 二苯碳酰二肼分光光度法 </w:t>
            </w:r>
            <w:r>
              <w:rPr>
                <w:rFonts w:hint="eastAsia" w:ascii="Times New Roman" w:hAnsi="Times New Roman" w:eastAsia="宋体" w:cs="Times New Roman"/>
                <w:color w:val="auto"/>
                <w:spacing w:val="-4"/>
                <w:kern w:val="0"/>
                <w:sz w:val="21"/>
                <w:szCs w:val="21"/>
                <w:lang w:val="en-US" w:eastAsia="zh-CN"/>
              </w:rPr>
              <w:t xml:space="preserve">GB/T </w:t>
            </w:r>
            <w:r>
              <w:rPr>
                <w:rFonts w:hint="default" w:ascii="Times New Roman" w:hAnsi="Times New Roman" w:eastAsia="宋体" w:cs="Times New Roman"/>
                <w:color w:val="auto"/>
                <w:spacing w:val="-4"/>
                <w:kern w:val="0"/>
                <w:sz w:val="21"/>
                <w:szCs w:val="21"/>
                <w:lang w:val="en-US" w:eastAsia="zh-CN"/>
              </w:rPr>
              <w:t>7467-1987</w:t>
            </w:r>
          </w:p>
        </w:tc>
      </w:tr>
      <w:tr w14:paraId="7F2AD8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661DFE6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22</w:t>
            </w:r>
          </w:p>
        </w:tc>
        <w:tc>
          <w:tcPr>
            <w:tcW w:w="1556" w:type="dxa"/>
            <w:noWrap w:val="0"/>
            <w:vAlign w:val="center"/>
          </w:tcPr>
          <w:p w14:paraId="6127ACA3">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K</w:t>
            </w:r>
            <w:r>
              <w:rPr>
                <w:rFonts w:hint="default" w:ascii="Times New Roman" w:hAnsi="Times New Roman" w:eastAsia="宋体" w:cs="Times New Roman"/>
                <w:color w:val="auto"/>
                <w:sz w:val="21"/>
                <w:szCs w:val="21"/>
                <w:vertAlign w:val="superscript"/>
                <w:lang w:val="en-US" w:eastAsia="zh-CN"/>
              </w:rPr>
              <w:t>+</w:t>
            </w:r>
          </w:p>
        </w:tc>
        <w:tc>
          <w:tcPr>
            <w:tcW w:w="5986" w:type="dxa"/>
            <w:noWrap w:val="0"/>
            <w:vAlign w:val="center"/>
          </w:tcPr>
          <w:p w14:paraId="48CAC28E">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zh-CN" w:eastAsia="zh-CN" w:bidi="ar"/>
              </w:rPr>
              <w:t xml:space="preserve">水质 </w:t>
            </w:r>
            <w:r>
              <w:rPr>
                <w:rFonts w:hint="default" w:ascii="Times New Roman" w:hAnsi="Times New Roman" w:eastAsia="宋体" w:cs="Times New Roman"/>
                <w:color w:val="auto"/>
                <w:kern w:val="2"/>
                <w:sz w:val="21"/>
                <w:szCs w:val="21"/>
                <w:lang w:val="en-US" w:eastAsia="zh-CN" w:bidi="ar"/>
              </w:rPr>
              <w:t>钾、钠</w:t>
            </w:r>
            <w:r>
              <w:rPr>
                <w:rFonts w:hint="default" w:ascii="Times New Roman" w:hAnsi="Times New Roman" w:eastAsia="宋体" w:cs="Times New Roman"/>
                <w:color w:val="auto"/>
                <w:kern w:val="2"/>
                <w:sz w:val="21"/>
                <w:szCs w:val="21"/>
                <w:lang w:val="zh-CN" w:eastAsia="zh-CN" w:bidi="ar"/>
              </w:rPr>
              <w:t xml:space="preserve">的测定 火焰原子吸收分光光度法 </w:t>
            </w:r>
            <w:r>
              <w:rPr>
                <w:rFonts w:hint="eastAsia" w:ascii="Times New Roman" w:hAnsi="Times New Roman" w:eastAsia="宋体" w:cs="Times New Roman"/>
                <w:color w:val="auto"/>
                <w:kern w:val="2"/>
                <w:sz w:val="21"/>
                <w:szCs w:val="21"/>
                <w:lang w:val="en-US" w:eastAsia="zh-CN" w:bidi="ar"/>
              </w:rPr>
              <w:t>GB/T</w:t>
            </w:r>
            <w:r>
              <w:rPr>
                <w:rFonts w:hint="default" w:ascii="Times New Roman" w:hAnsi="Times New Roman" w:eastAsia="宋体" w:cs="Times New Roman"/>
                <w:color w:val="auto"/>
                <w:kern w:val="2"/>
                <w:sz w:val="21"/>
                <w:szCs w:val="21"/>
                <w:lang w:val="zh-CN" w:eastAsia="zh-CN" w:bidi="ar"/>
              </w:rPr>
              <w:t xml:space="preserve"> 119</w:t>
            </w:r>
            <w:r>
              <w:rPr>
                <w:rFonts w:hint="default" w:ascii="Times New Roman" w:hAnsi="Times New Roman" w:eastAsia="宋体" w:cs="Times New Roman"/>
                <w:color w:val="auto"/>
                <w:kern w:val="2"/>
                <w:sz w:val="21"/>
                <w:szCs w:val="21"/>
                <w:lang w:val="en-US" w:eastAsia="zh-CN" w:bidi="ar"/>
              </w:rPr>
              <w:t>04</w:t>
            </w:r>
            <w:r>
              <w:rPr>
                <w:rFonts w:hint="default" w:ascii="Times New Roman" w:hAnsi="Times New Roman" w:eastAsia="宋体" w:cs="Times New Roman"/>
                <w:color w:val="auto"/>
                <w:kern w:val="2"/>
                <w:sz w:val="21"/>
                <w:szCs w:val="21"/>
                <w:lang w:val="zh-CN" w:eastAsia="zh-CN" w:bidi="ar"/>
              </w:rPr>
              <w:t>-1989</w:t>
            </w:r>
          </w:p>
        </w:tc>
      </w:tr>
      <w:tr w14:paraId="7D5065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0ADA590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23</w:t>
            </w:r>
          </w:p>
        </w:tc>
        <w:tc>
          <w:tcPr>
            <w:tcW w:w="1556" w:type="dxa"/>
            <w:noWrap w:val="0"/>
            <w:vAlign w:val="center"/>
          </w:tcPr>
          <w:p w14:paraId="63FEC7D5">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Na</w:t>
            </w:r>
            <w:r>
              <w:rPr>
                <w:rFonts w:hint="default" w:ascii="Times New Roman" w:hAnsi="Times New Roman" w:eastAsia="宋体" w:cs="Times New Roman"/>
                <w:color w:val="auto"/>
                <w:sz w:val="21"/>
                <w:szCs w:val="21"/>
                <w:vertAlign w:val="superscript"/>
                <w:lang w:val="en-US" w:eastAsia="zh-CN"/>
              </w:rPr>
              <w:t>+</w:t>
            </w:r>
          </w:p>
        </w:tc>
        <w:tc>
          <w:tcPr>
            <w:tcW w:w="5986" w:type="dxa"/>
            <w:noWrap w:val="0"/>
            <w:vAlign w:val="center"/>
          </w:tcPr>
          <w:p w14:paraId="26C3B868">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zh-CN" w:eastAsia="zh-CN" w:bidi="ar"/>
              </w:rPr>
              <w:t xml:space="preserve">水质 </w:t>
            </w:r>
            <w:r>
              <w:rPr>
                <w:rFonts w:hint="default" w:ascii="Times New Roman" w:hAnsi="Times New Roman" w:eastAsia="宋体" w:cs="Times New Roman"/>
                <w:color w:val="auto"/>
                <w:kern w:val="2"/>
                <w:sz w:val="21"/>
                <w:szCs w:val="21"/>
                <w:lang w:val="en-US" w:eastAsia="zh-CN" w:bidi="ar"/>
              </w:rPr>
              <w:t>钾、钠</w:t>
            </w:r>
            <w:r>
              <w:rPr>
                <w:rFonts w:hint="default" w:ascii="Times New Roman" w:hAnsi="Times New Roman" w:eastAsia="宋体" w:cs="Times New Roman"/>
                <w:color w:val="auto"/>
                <w:kern w:val="2"/>
                <w:sz w:val="21"/>
                <w:szCs w:val="21"/>
                <w:lang w:val="zh-CN" w:eastAsia="zh-CN" w:bidi="ar"/>
              </w:rPr>
              <w:t xml:space="preserve">的测定 火焰原子吸收分光光度法 </w:t>
            </w:r>
            <w:r>
              <w:rPr>
                <w:rFonts w:hint="eastAsia" w:ascii="Times New Roman" w:hAnsi="Times New Roman" w:eastAsia="宋体" w:cs="Times New Roman"/>
                <w:color w:val="auto"/>
                <w:kern w:val="2"/>
                <w:sz w:val="21"/>
                <w:szCs w:val="21"/>
                <w:lang w:val="en-US" w:eastAsia="zh-CN" w:bidi="ar"/>
              </w:rPr>
              <w:t xml:space="preserve">GB/T </w:t>
            </w:r>
            <w:r>
              <w:rPr>
                <w:rFonts w:hint="default" w:ascii="Times New Roman" w:hAnsi="Times New Roman" w:eastAsia="宋体" w:cs="Times New Roman"/>
                <w:color w:val="auto"/>
                <w:kern w:val="2"/>
                <w:sz w:val="21"/>
                <w:szCs w:val="21"/>
                <w:lang w:val="zh-CN" w:eastAsia="zh-CN" w:bidi="ar"/>
              </w:rPr>
              <w:t>119</w:t>
            </w:r>
            <w:r>
              <w:rPr>
                <w:rFonts w:hint="default" w:ascii="Times New Roman" w:hAnsi="Times New Roman" w:eastAsia="宋体" w:cs="Times New Roman"/>
                <w:color w:val="auto"/>
                <w:kern w:val="2"/>
                <w:sz w:val="21"/>
                <w:szCs w:val="21"/>
                <w:lang w:val="en-US" w:eastAsia="zh-CN" w:bidi="ar"/>
              </w:rPr>
              <w:t>04</w:t>
            </w:r>
            <w:r>
              <w:rPr>
                <w:rFonts w:hint="default" w:ascii="Times New Roman" w:hAnsi="Times New Roman" w:eastAsia="宋体" w:cs="Times New Roman"/>
                <w:color w:val="auto"/>
                <w:kern w:val="2"/>
                <w:sz w:val="21"/>
                <w:szCs w:val="21"/>
                <w:lang w:val="zh-CN" w:eastAsia="zh-CN" w:bidi="ar"/>
              </w:rPr>
              <w:t>-1989</w:t>
            </w:r>
          </w:p>
        </w:tc>
      </w:tr>
      <w:tr w14:paraId="7296FE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65361548">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24</w:t>
            </w:r>
          </w:p>
        </w:tc>
        <w:tc>
          <w:tcPr>
            <w:tcW w:w="1556" w:type="dxa"/>
            <w:noWrap w:val="0"/>
            <w:vAlign w:val="center"/>
          </w:tcPr>
          <w:p w14:paraId="160E86B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Ca</w:t>
            </w:r>
            <w:r>
              <w:rPr>
                <w:rFonts w:hint="default" w:ascii="Times New Roman" w:hAnsi="Times New Roman" w:eastAsia="宋体" w:cs="Times New Roman"/>
                <w:color w:val="auto"/>
                <w:sz w:val="21"/>
                <w:szCs w:val="21"/>
                <w:vertAlign w:val="superscript"/>
                <w:lang w:val="en-US" w:eastAsia="zh-CN"/>
              </w:rPr>
              <w:t>2+</w:t>
            </w:r>
          </w:p>
        </w:tc>
        <w:tc>
          <w:tcPr>
            <w:tcW w:w="5986" w:type="dxa"/>
            <w:noWrap w:val="0"/>
            <w:vAlign w:val="center"/>
          </w:tcPr>
          <w:p w14:paraId="2E2E8469">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zh-CN" w:eastAsia="zh-CN" w:bidi="ar"/>
              </w:rPr>
              <w:t xml:space="preserve">水质 </w:t>
            </w:r>
            <w:r>
              <w:rPr>
                <w:rFonts w:hint="default" w:ascii="Times New Roman" w:hAnsi="Times New Roman" w:eastAsia="宋体" w:cs="Times New Roman"/>
                <w:color w:val="auto"/>
                <w:kern w:val="2"/>
                <w:sz w:val="21"/>
                <w:szCs w:val="21"/>
                <w:lang w:val="en-US" w:eastAsia="zh-CN" w:bidi="ar"/>
              </w:rPr>
              <w:t>钙、镁</w:t>
            </w:r>
            <w:r>
              <w:rPr>
                <w:rFonts w:hint="default" w:ascii="Times New Roman" w:hAnsi="Times New Roman" w:eastAsia="宋体" w:cs="Times New Roman"/>
                <w:color w:val="auto"/>
                <w:kern w:val="2"/>
                <w:sz w:val="21"/>
                <w:szCs w:val="21"/>
                <w:lang w:val="zh-CN" w:eastAsia="zh-CN" w:bidi="ar"/>
              </w:rPr>
              <w:t xml:space="preserve">的测定 火焰原子吸收分光光度法 </w:t>
            </w:r>
            <w:r>
              <w:rPr>
                <w:rFonts w:hint="eastAsia" w:ascii="Times New Roman" w:hAnsi="Times New Roman" w:eastAsia="宋体" w:cs="Times New Roman"/>
                <w:color w:val="auto"/>
                <w:kern w:val="2"/>
                <w:sz w:val="21"/>
                <w:szCs w:val="21"/>
                <w:lang w:val="en-US" w:eastAsia="zh-CN" w:bidi="ar"/>
              </w:rPr>
              <w:t>GB/T</w:t>
            </w:r>
            <w:r>
              <w:rPr>
                <w:rFonts w:hint="default" w:ascii="Times New Roman" w:hAnsi="Times New Roman" w:eastAsia="宋体" w:cs="Times New Roman"/>
                <w:color w:val="auto"/>
                <w:kern w:val="2"/>
                <w:sz w:val="21"/>
                <w:szCs w:val="21"/>
                <w:lang w:val="zh-CN" w:eastAsia="zh-CN" w:bidi="ar"/>
              </w:rPr>
              <w:t xml:space="preserve"> 119</w:t>
            </w:r>
            <w:r>
              <w:rPr>
                <w:rFonts w:hint="default" w:ascii="Times New Roman" w:hAnsi="Times New Roman" w:eastAsia="宋体" w:cs="Times New Roman"/>
                <w:color w:val="auto"/>
                <w:kern w:val="2"/>
                <w:sz w:val="21"/>
                <w:szCs w:val="21"/>
                <w:lang w:val="en-US" w:eastAsia="zh-CN" w:bidi="ar"/>
              </w:rPr>
              <w:t>05</w:t>
            </w:r>
            <w:r>
              <w:rPr>
                <w:rFonts w:hint="default" w:ascii="Times New Roman" w:hAnsi="Times New Roman" w:eastAsia="宋体" w:cs="Times New Roman"/>
                <w:color w:val="auto"/>
                <w:kern w:val="2"/>
                <w:sz w:val="21"/>
                <w:szCs w:val="21"/>
                <w:lang w:val="zh-CN" w:eastAsia="zh-CN" w:bidi="ar"/>
              </w:rPr>
              <w:t>-1989</w:t>
            </w:r>
          </w:p>
        </w:tc>
      </w:tr>
      <w:tr w14:paraId="199DB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7C4B020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25</w:t>
            </w:r>
          </w:p>
        </w:tc>
        <w:tc>
          <w:tcPr>
            <w:tcW w:w="1556" w:type="dxa"/>
            <w:noWrap w:val="0"/>
            <w:vAlign w:val="center"/>
          </w:tcPr>
          <w:p w14:paraId="4AD749A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w:t>
            </w:r>
            <w:r>
              <w:rPr>
                <w:rFonts w:hint="default" w:ascii="Times New Roman" w:hAnsi="Times New Roman" w:eastAsia="宋体" w:cs="Times New Roman"/>
                <w:color w:val="auto"/>
                <w:sz w:val="21"/>
                <w:szCs w:val="21"/>
                <w:vertAlign w:val="superscript"/>
                <w:lang w:val="en-US" w:eastAsia="zh-CN"/>
              </w:rPr>
              <w:t>2+</w:t>
            </w:r>
          </w:p>
        </w:tc>
        <w:tc>
          <w:tcPr>
            <w:tcW w:w="5986" w:type="dxa"/>
            <w:noWrap w:val="0"/>
            <w:vAlign w:val="center"/>
          </w:tcPr>
          <w:p w14:paraId="0987060C">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zh-CN" w:eastAsia="zh-CN" w:bidi="ar"/>
              </w:rPr>
            </w:pPr>
            <w:r>
              <w:rPr>
                <w:rFonts w:hint="default" w:ascii="Times New Roman" w:hAnsi="Times New Roman" w:eastAsia="宋体" w:cs="Times New Roman"/>
                <w:color w:val="auto"/>
                <w:kern w:val="2"/>
                <w:sz w:val="21"/>
                <w:szCs w:val="21"/>
                <w:lang w:val="zh-CN" w:eastAsia="zh-CN" w:bidi="ar"/>
              </w:rPr>
              <w:t xml:space="preserve">水质 </w:t>
            </w:r>
            <w:r>
              <w:rPr>
                <w:rFonts w:hint="default" w:ascii="Times New Roman" w:hAnsi="Times New Roman" w:eastAsia="宋体" w:cs="Times New Roman"/>
                <w:color w:val="auto"/>
                <w:kern w:val="2"/>
                <w:sz w:val="21"/>
                <w:szCs w:val="21"/>
                <w:lang w:val="en-US" w:eastAsia="zh-CN" w:bidi="ar"/>
              </w:rPr>
              <w:t>钙、镁</w:t>
            </w:r>
            <w:r>
              <w:rPr>
                <w:rFonts w:hint="default" w:ascii="Times New Roman" w:hAnsi="Times New Roman" w:eastAsia="宋体" w:cs="Times New Roman"/>
                <w:color w:val="auto"/>
                <w:kern w:val="2"/>
                <w:sz w:val="21"/>
                <w:szCs w:val="21"/>
                <w:lang w:val="zh-CN" w:eastAsia="zh-CN" w:bidi="ar"/>
              </w:rPr>
              <w:t xml:space="preserve">的测定 火焰原子吸收分光光度法 </w:t>
            </w:r>
            <w:r>
              <w:rPr>
                <w:rFonts w:hint="eastAsia" w:ascii="Times New Roman" w:hAnsi="Times New Roman" w:eastAsia="宋体" w:cs="Times New Roman"/>
                <w:color w:val="auto"/>
                <w:kern w:val="2"/>
                <w:sz w:val="21"/>
                <w:szCs w:val="21"/>
                <w:lang w:val="en-US" w:eastAsia="zh-CN" w:bidi="ar"/>
              </w:rPr>
              <w:t>GB/T</w:t>
            </w:r>
            <w:r>
              <w:rPr>
                <w:rFonts w:hint="default" w:ascii="Times New Roman" w:hAnsi="Times New Roman" w:eastAsia="宋体" w:cs="Times New Roman"/>
                <w:color w:val="auto"/>
                <w:kern w:val="2"/>
                <w:sz w:val="21"/>
                <w:szCs w:val="21"/>
                <w:lang w:val="zh-CN" w:eastAsia="zh-CN" w:bidi="ar"/>
              </w:rPr>
              <w:t xml:space="preserve"> 119</w:t>
            </w:r>
            <w:r>
              <w:rPr>
                <w:rFonts w:hint="default" w:ascii="Times New Roman" w:hAnsi="Times New Roman" w:eastAsia="宋体" w:cs="Times New Roman"/>
                <w:color w:val="auto"/>
                <w:kern w:val="2"/>
                <w:sz w:val="21"/>
                <w:szCs w:val="21"/>
                <w:lang w:val="en-US" w:eastAsia="zh-CN" w:bidi="ar"/>
              </w:rPr>
              <w:t>05</w:t>
            </w:r>
            <w:r>
              <w:rPr>
                <w:rFonts w:hint="default" w:ascii="Times New Roman" w:hAnsi="Times New Roman" w:eastAsia="宋体" w:cs="Times New Roman"/>
                <w:color w:val="auto"/>
                <w:kern w:val="2"/>
                <w:sz w:val="21"/>
                <w:szCs w:val="21"/>
                <w:lang w:val="zh-CN" w:eastAsia="zh-CN" w:bidi="ar"/>
              </w:rPr>
              <w:t>-1989</w:t>
            </w:r>
          </w:p>
        </w:tc>
      </w:tr>
      <w:tr w14:paraId="134E52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6445A194">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26</w:t>
            </w:r>
          </w:p>
        </w:tc>
        <w:tc>
          <w:tcPr>
            <w:tcW w:w="1556" w:type="dxa"/>
            <w:noWrap w:val="0"/>
            <w:vAlign w:val="center"/>
          </w:tcPr>
          <w:p w14:paraId="121B5E6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Cl</w:t>
            </w:r>
            <w:r>
              <w:rPr>
                <w:rFonts w:hint="default" w:ascii="Times New Roman" w:hAnsi="Times New Roman" w:eastAsia="宋体" w:cs="Times New Roman"/>
                <w:color w:val="auto"/>
                <w:sz w:val="21"/>
                <w:szCs w:val="21"/>
                <w:vertAlign w:val="superscript"/>
                <w:lang w:val="en-US" w:eastAsia="zh-CN"/>
              </w:rPr>
              <w:t>-</w:t>
            </w:r>
          </w:p>
        </w:tc>
        <w:tc>
          <w:tcPr>
            <w:tcW w:w="5986" w:type="dxa"/>
            <w:noWrap w:val="0"/>
            <w:vAlign w:val="center"/>
          </w:tcPr>
          <w:p w14:paraId="218E8E44">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zh-CN" w:eastAsia="zh-CN" w:bidi="ar"/>
              </w:rPr>
            </w:pPr>
            <w:r>
              <w:rPr>
                <w:rFonts w:hint="default" w:ascii="Times New Roman" w:hAnsi="Times New Roman" w:eastAsia="宋体" w:cs="Times New Roman"/>
                <w:color w:val="auto"/>
                <w:kern w:val="2"/>
                <w:sz w:val="21"/>
                <w:szCs w:val="21"/>
                <w:lang w:val="en-US" w:eastAsia="zh-CN" w:bidi="ar"/>
              </w:rPr>
              <w:t xml:space="preserve">水质 氯化物的测定 硝酸银滴定法 </w:t>
            </w:r>
            <w:r>
              <w:rPr>
                <w:rFonts w:hint="eastAsia" w:ascii="Times New Roman" w:hAnsi="Times New Roman" w:eastAsia="宋体" w:cs="Times New Roman"/>
                <w:color w:val="auto"/>
                <w:kern w:val="2"/>
                <w:sz w:val="21"/>
                <w:szCs w:val="21"/>
                <w:lang w:val="en-US" w:eastAsia="zh-CN" w:bidi="ar"/>
              </w:rPr>
              <w:t xml:space="preserve">GB/T </w:t>
            </w:r>
            <w:r>
              <w:rPr>
                <w:rFonts w:hint="default" w:ascii="Times New Roman" w:hAnsi="Times New Roman" w:eastAsia="宋体" w:cs="Times New Roman"/>
                <w:color w:val="auto"/>
                <w:kern w:val="2"/>
                <w:sz w:val="21"/>
                <w:szCs w:val="21"/>
                <w:lang w:val="en-US" w:eastAsia="zh-CN" w:bidi="ar"/>
              </w:rPr>
              <w:t>11896-1989</w:t>
            </w:r>
          </w:p>
        </w:tc>
      </w:tr>
      <w:tr w14:paraId="5448A6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37622C51">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27</w:t>
            </w:r>
          </w:p>
        </w:tc>
        <w:tc>
          <w:tcPr>
            <w:tcW w:w="1556" w:type="dxa"/>
            <w:noWrap w:val="0"/>
            <w:vAlign w:val="center"/>
          </w:tcPr>
          <w:p w14:paraId="1BC0BE6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SO</w:t>
            </w:r>
            <w:r>
              <w:rPr>
                <w:rFonts w:hint="default" w:ascii="Times New Roman" w:hAnsi="Times New Roman" w:eastAsia="宋体" w:cs="Times New Roman"/>
                <w:color w:val="auto"/>
                <w:sz w:val="21"/>
                <w:szCs w:val="21"/>
                <w:vertAlign w:val="subscript"/>
                <w:lang w:val="en-US" w:eastAsia="zh-CN"/>
              </w:rPr>
              <w:t>4</w:t>
            </w:r>
            <w:r>
              <w:rPr>
                <w:rFonts w:hint="default" w:ascii="Times New Roman" w:hAnsi="Times New Roman" w:eastAsia="宋体" w:cs="Times New Roman"/>
                <w:color w:val="auto"/>
                <w:sz w:val="21"/>
                <w:szCs w:val="21"/>
                <w:vertAlign w:val="superscript"/>
                <w:lang w:val="en-US" w:eastAsia="zh-CN"/>
              </w:rPr>
              <w:t>2-</w:t>
            </w:r>
          </w:p>
        </w:tc>
        <w:tc>
          <w:tcPr>
            <w:tcW w:w="5986" w:type="dxa"/>
            <w:noWrap w:val="0"/>
            <w:vAlign w:val="center"/>
          </w:tcPr>
          <w:p w14:paraId="41049F52">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
              </w:rPr>
            </w:pPr>
            <w:r>
              <w:rPr>
                <w:rFonts w:hint="default" w:ascii="Times New Roman" w:hAnsi="Times New Roman" w:eastAsia="宋体" w:cs="Times New Roman"/>
                <w:color w:val="auto"/>
                <w:kern w:val="2"/>
                <w:sz w:val="21"/>
                <w:szCs w:val="21"/>
                <w:lang w:val="en-US" w:eastAsia="zh-CN" w:bidi="ar"/>
              </w:rPr>
              <w:t xml:space="preserve">水质 硫酸盐的测定 重量法 </w:t>
            </w:r>
            <w:r>
              <w:rPr>
                <w:rFonts w:hint="eastAsia" w:ascii="Times New Roman" w:hAnsi="Times New Roman" w:eastAsia="宋体" w:cs="Times New Roman"/>
                <w:color w:val="auto"/>
                <w:kern w:val="2"/>
                <w:sz w:val="21"/>
                <w:szCs w:val="21"/>
                <w:lang w:val="en-US" w:eastAsia="zh-CN" w:bidi="ar"/>
              </w:rPr>
              <w:t xml:space="preserve">GB/T </w:t>
            </w:r>
            <w:r>
              <w:rPr>
                <w:rFonts w:hint="default" w:ascii="Times New Roman" w:hAnsi="Times New Roman" w:eastAsia="宋体" w:cs="Times New Roman"/>
                <w:color w:val="auto"/>
                <w:kern w:val="2"/>
                <w:sz w:val="21"/>
                <w:szCs w:val="21"/>
                <w:lang w:val="en-US" w:eastAsia="zh-CN" w:bidi="ar"/>
              </w:rPr>
              <w:t>11899-1989</w:t>
            </w:r>
          </w:p>
        </w:tc>
      </w:tr>
      <w:tr w14:paraId="7646D4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15F25166">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28</w:t>
            </w:r>
          </w:p>
        </w:tc>
        <w:tc>
          <w:tcPr>
            <w:tcW w:w="1556" w:type="dxa"/>
            <w:noWrap w:val="0"/>
            <w:vAlign w:val="center"/>
          </w:tcPr>
          <w:p w14:paraId="70FFDA9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CO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vertAlign w:val="superscript"/>
                <w:lang w:val="en-US" w:eastAsia="zh-CN"/>
              </w:rPr>
              <w:t>2-</w:t>
            </w:r>
          </w:p>
        </w:tc>
        <w:tc>
          <w:tcPr>
            <w:tcW w:w="5986" w:type="dxa"/>
            <w:noWrap w:val="0"/>
            <w:vAlign w:val="center"/>
          </w:tcPr>
          <w:p w14:paraId="3CB1A8DE">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spacing w:val="-4"/>
                <w:kern w:val="0"/>
                <w:sz w:val="21"/>
                <w:szCs w:val="21"/>
                <w:lang w:val="en-US" w:eastAsia="zh-CN" w:bidi="ar-SA"/>
              </w:rPr>
            </w:pPr>
            <w:r>
              <w:rPr>
                <w:rFonts w:hint="eastAsia" w:ascii="Times New Roman" w:hAnsi="Times New Roman" w:eastAsia="宋体" w:cs="Times New Roman"/>
                <w:color w:val="auto"/>
                <w:spacing w:val="-4"/>
                <w:kern w:val="0"/>
                <w:sz w:val="21"/>
                <w:szCs w:val="21"/>
                <w:lang w:val="en-US" w:eastAsia="zh-CN" w:bidi="ar-SA"/>
              </w:rPr>
              <w:t>地下水质分析方法 第49部分：碳酸根、重碳酸根和氢氧根离子的测定 滴定法 DZ/T 0064.49-2021</w:t>
            </w:r>
          </w:p>
        </w:tc>
      </w:tr>
      <w:tr w14:paraId="0483CD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733" w:type="dxa"/>
            <w:noWrap w:val="0"/>
            <w:vAlign w:val="center"/>
          </w:tcPr>
          <w:p w14:paraId="6C3C69C0">
            <w:pPr>
              <w:keepNext w:val="0"/>
              <w:keepLines w:val="0"/>
              <w:pageBreakBefore w:val="0"/>
              <w:widowControl/>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29</w:t>
            </w:r>
          </w:p>
        </w:tc>
        <w:tc>
          <w:tcPr>
            <w:tcW w:w="1556" w:type="dxa"/>
            <w:noWrap w:val="0"/>
            <w:vAlign w:val="center"/>
          </w:tcPr>
          <w:p w14:paraId="1B79538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HCO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vertAlign w:val="superscript"/>
                <w:lang w:val="en-US" w:eastAsia="zh-CN"/>
              </w:rPr>
              <w:t>-</w:t>
            </w:r>
          </w:p>
        </w:tc>
        <w:tc>
          <w:tcPr>
            <w:tcW w:w="5986" w:type="dxa"/>
            <w:noWrap w:val="0"/>
            <w:vAlign w:val="center"/>
          </w:tcPr>
          <w:p w14:paraId="73B54916">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default" w:ascii="Times New Roman" w:hAnsi="Times New Roman" w:eastAsia="宋体" w:cs="Times New Roman"/>
                <w:color w:val="auto"/>
                <w:kern w:val="2"/>
                <w:sz w:val="21"/>
                <w:szCs w:val="21"/>
                <w:lang w:val="en-US" w:eastAsia="zh-CN" w:bidi="ar"/>
              </w:rPr>
            </w:pPr>
            <w:r>
              <w:rPr>
                <w:rFonts w:hint="eastAsia" w:ascii="Times New Roman" w:hAnsi="Times New Roman" w:eastAsia="宋体" w:cs="Times New Roman"/>
                <w:color w:val="auto"/>
                <w:spacing w:val="-4"/>
                <w:kern w:val="0"/>
                <w:sz w:val="21"/>
                <w:szCs w:val="21"/>
                <w:lang w:val="en-US" w:eastAsia="zh-CN" w:bidi="ar-SA"/>
              </w:rPr>
              <w:t>地下水质分析方法 第49部分：碳酸根、重碳酸根和氢氧根离子的测定 滴定法 DZ/T 0064.49-2021</w:t>
            </w:r>
          </w:p>
        </w:tc>
      </w:tr>
    </w:tbl>
    <w:p w14:paraId="1CD040D6">
      <w:pPr>
        <w:pStyle w:val="76"/>
        <w:rPr>
          <w:rFonts w:hint="eastAsia"/>
          <w:color w:val="auto"/>
        </w:rPr>
      </w:pPr>
    </w:p>
    <w:p w14:paraId="7CC38515">
      <w:pPr>
        <w:pStyle w:val="59"/>
        <w:ind w:firstLine="480"/>
        <w:rPr>
          <w:color w:val="auto"/>
        </w:rPr>
      </w:pPr>
      <w:r>
        <w:rPr>
          <w:rFonts w:hint="eastAsia"/>
          <w:color w:val="auto"/>
        </w:rPr>
        <w:t>5、监测仪器</w:t>
      </w:r>
    </w:p>
    <w:p w14:paraId="74BF3E29">
      <w:pPr>
        <w:pStyle w:val="76"/>
        <w:spacing w:line="240" w:lineRule="auto"/>
        <w:rPr>
          <w:rFonts w:hint="eastAsia"/>
          <w:color w:val="auto"/>
        </w:rPr>
      </w:pPr>
      <w:r>
        <w:rPr>
          <w:rFonts w:hint="eastAsia"/>
          <w:color w:val="auto"/>
        </w:rPr>
        <w:t>表4</w:t>
      </w:r>
      <w:r>
        <w:rPr>
          <w:color w:val="auto"/>
        </w:rPr>
        <w:t>-2-5</w:t>
      </w:r>
      <w:r>
        <w:rPr>
          <w:rFonts w:hint="eastAsia"/>
          <w:color w:val="auto"/>
        </w:rPr>
        <w:t>监测仪器</w:t>
      </w:r>
    </w:p>
    <w:tbl>
      <w:tblPr>
        <w:tblStyle w:val="45"/>
        <w:tblW w:w="8291"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730"/>
        <w:gridCol w:w="1585"/>
        <w:gridCol w:w="3059"/>
        <w:gridCol w:w="1780"/>
        <w:gridCol w:w="1137"/>
      </w:tblGrid>
      <w:tr w14:paraId="0B2274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516" w:hRule="atLeast"/>
          <w:jc w:val="center"/>
        </w:trPr>
        <w:tc>
          <w:tcPr>
            <w:tcW w:w="730" w:type="dxa"/>
            <w:noWrap w:val="0"/>
            <w:tcMar>
              <w:top w:w="0" w:type="dxa"/>
              <w:left w:w="108" w:type="dxa"/>
              <w:bottom w:w="0" w:type="dxa"/>
              <w:right w:w="108" w:type="dxa"/>
            </w:tcMar>
            <w:vAlign w:val="center"/>
          </w:tcPr>
          <w:p w14:paraId="38E5911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序号</w:t>
            </w:r>
          </w:p>
        </w:tc>
        <w:tc>
          <w:tcPr>
            <w:tcW w:w="1585" w:type="dxa"/>
            <w:noWrap w:val="0"/>
            <w:tcMar>
              <w:top w:w="0" w:type="dxa"/>
              <w:left w:w="108" w:type="dxa"/>
              <w:bottom w:w="0" w:type="dxa"/>
              <w:right w:w="108" w:type="dxa"/>
            </w:tcMar>
            <w:vAlign w:val="center"/>
          </w:tcPr>
          <w:p w14:paraId="0A71033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项目</w:t>
            </w:r>
          </w:p>
        </w:tc>
        <w:tc>
          <w:tcPr>
            <w:tcW w:w="3059" w:type="dxa"/>
            <w:noWrap w:val="0"/>
            <w:tcMar>
              <w:top w:w="0" w:type="dxa"/>
              <w:left w:w="108" w:type="dxa"/>
              <w:bottom w:w="0" w:type="dxa"/>
              <w:right w:w="108" w:type="dxa"/>
            </w:tcMar>
            <w:vAlign w:val="center"/>
          </w:tcPr>
          <w:p w14:paraId="56D4316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仪器名称</w:t>
            </w:r>
          </w:p>
        </w:tc>
        <w:tc>
          <w:tcPr>
            <w:tcW w:w="1780" w:type="dxa"/>
            <w:noWrap w:val="0"/>
            <w:tcMar>
              <w:top w:w="0" w:type="dxa"/>
              <w:left w:w="108" w:type="dxa"/>
              <w:bottom w:w="0" w:type="dxa"/>
              <w:right w:w="108" w:type="dxa"/>
            </w:tcMar>
            <w:vAlign w:val="center"/>
          </w:tcPr>
          <w:p w14:paraId="393E0B2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型号</w:t>
            </w:r>
          </w:p>
        </w:tc>
        <w:tc>
          <w:tcPr>
            <w:tcW w:w="1137" w:type="dxa"/>
            <w:noWrap w:val="0"/>
            <w:tcMar>
              <w:top w:w="0" w:type="dxa"/>
              <w:left w:w="108" w:type="dxa"/>
              <w:bottom w:w="0" w:type="dxa"/>
              <w:right w:w="108" w:type="dxa"/>
            </w:tcMar>
            <w:vAlign w:val="center"/>
          </w:tcPr>
          <w:p w14:paraId="1D46B42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rPr>
            </w:pPr>
            <w:r>
              <w:rPr>
                <w:rFonts w:hint="default" w:ascii="Times New Roman" w:hAnsi="Times New Roman" w:eastAsia="宋体" w:cs="Times New Roman"/>
                <w:color w:val="auto"/>
                <w:kern w:val="0"/>
                <w:sz w:val="21"/>
                <w:szCs w:val="21"/>
              </w:rPr>
              <w:t>编号</w:t>
            </w:r>
          </w:p>
        </w:tc>
      </w:tr>
      <w:tr w14:paraId="3AFCCB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4726CE5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val="en-US" w:eastAsia="zh-CN"/>
              </w:rPr>
              <w:t>1</w:t>
            </w:r>
          </w:p>
        </w:tc>
        <w:tc>
          <w:tcPr>
            <w:tcW w:w="1585" w:type="dxa"/>
            <w:noWrap w:val="0"/>
            <w:tcMar>
              <w:top w:w="0" w:type="dxa"/>
              <w:left w:w="108" w:type="dxa"/>
              <w:bottom w:w="0" w:type="dxa"/>
              <w:right w:w="108" w:type="dxa"/>
            </w:tcMar>
            <w:vAlign w:val="center"/>
          </w:tcPr>
          <w:p w14:paraId="58C0DB9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color w:val="auto"/>
                <w:kern w:val="2"/>
                <w:sz w:val="21"/>
                <w:szCs w:val="21"/>
                <w:lang w:val="en-US" w:eastAsia="zh-CN" w:bidi="ar-SA"/>
              </w:rPr>
            </w:pPr>
            <w:r>
              <w:rPr>
                <w:rFonts w:hint="default" w:ascii="Times New Roman" w:hAnsi="Times New Roman" w:cs="Times New Roman"/>
                <w:color w:val="auto"/>
                <w:sz w:val="21"/>
                <w:szCs w:val="21"/>
                <w:lang w:val="en-US" w:eastAsia="zh-CN"/>
              </w:rPr>
              <w:t>pH</w:t>
            </w:r>
            <w:r>
              <w:rPr>
                <w:rFonts w:hint="eastAsia" w:ascii="Times New Roman" w:hAnsi="Times New Roman" w:cs="Times New Roman"/>
                <w:color w:val="auto"/>
                <w:sz w:val="21"/>
                <w:szCs w:val="21"/>
                <w:lang w:val="en-US" w:eastAsia="zh-CN"/>
              </w:rPr>
              <w:t>值</w:t>
            </w:r>
          </w:p>
        </w:tc>
        <w:tc>
          <w:tcPr>
            <w:tcW w:w="3059" w:type="dxa"/>
            <w:noWrap w:val="0"/>
            <w:tcMar>
              <w:top w:w="0" w:type="dxa"/>
              <w:left w:w="108" w:type="dxa"/>
              <w:bottom w:w="0" w:type="dxa"/>
              <w:right w:w="108" w:type="dxa"/>
            </w:tcMar>
            <w:vAlign w:val="center"/>
          </w:tcPr>
          <w:p w14:paraId="4B52C11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0"/>
                <w:sz w:val="21"/>
                <w:szCs w:val="21"/>
                <w:lang w:eastAsia="zh-CN"/>
              </w:rPr>
              <w:t>便携式酸度</w:t>
            </w:r>
            <w:r>
              <w:rPr>
                <w:rFonts w:hint="default" w:ascii="Times New Roman" w:hAnsi="Times New Roman" w:eastAsia="宋体" w:cs="Times New Roman"/>
                <w:color w:val="auto"/>
                <w:kern w:val="0"/>
                <w:sz w:val="21"/>
                <w:szCs w:val="21"/>
              </w:rPr>
              <w:t>计</w:t>
            </w:r>
          </w:p>
        </w:tc>
        <w:tc>
          <w:tcPr>
            <w:tcW w:w="1780" w:type="dxa"/>
            <w:noWrap w:val="0"/>
            <w:tcMar>
              <w:top w:w="0" w:type="dxa"/>
              <w:left w:w="108" w:type="dxa"/>
              <w:bottom w:w="0" w:type="dxa"/>
              <w:right w:w="108" w:type="dxa"/>
            </w:tcMar>
            <w:vAlign w:val="center"/>
          </w:tcPr>
          <w:p w14:paraId="65A77A6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P701</w:t>
            </w:r>
          </w:p>
        </w:tc>
        <w:tc>
          <w:tcPr>
            <w:tcW w:w="1137" w:type="dxa"/>
            <w:noWrap w:val="0"/>
            <w:tcMar>
              <w:top w:w="0" w:type="dxa"/>
              <w:left w:w="108" w:type="dxa"/>
              <w:bottom w:w="0" w:type="dxa"/>
              <w:right w:w="108" w:type="dxa"/>
            </w:tcMar>
            <w:vAlign w:val="center"/>
          </w:tcPr>
          <w:p w14:paraId="4388F2E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SY</w:t>
            </w:r>
            <w:r>
              <w:rPr>
                <w:rFonts w:hint="default" w:ascii="Times New Roman" w:hAnsi="Times New Roman" w:eastAsia="宋体" w:cs="Times New Roman"/>
                <w:color w:val="auto"/>
                <w:sz w:val="21"/>
                <w:szCs w:val="21"/>
              </w:rPr>
              <w:softHyphen/>
            </w:r>
            <w:r>
              <w:rPr>
                <w:rFonts w:hint="default" w:ascii="Times New Roman" w:hAnsi="Times New Roman" w:eastAsia="宋体" w:cs="Times New Roman"/>
                <w:color w:val="auto"/>
                <w:sz w:val="21"/>
                <w:szCs w:val="21"/>
              </w:rPr>
              <w:t>-0</w:t>
            </w:r>
            <w:r>
              <w:rPr>
                <w:rFonts w:hint="eastAsia" w:ascii="Times New Roman" w:hAnsi="Times New Roman" w:eastAsia="宋体" w:cs="Times New Roman"/>
                <w:color w:val="auto"/>
                <w:sz w:val="21"/>
                <w:szCs w:val="21"/>
                <w:lang w:val="en-US" w:eastAsia="zh-CN"/>
              </w:rPr>
              <w:t>87</w:t>
            </w:r>
          </w:p>
        </w:tc>
      </w:tr>
      <w:tr w14:paraId="00F4A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3787270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w:t>
            </w:r>
          </w:p>
        </w:tc>
        <w:tc>
          <w:tcPr>
            <w:tcW w:w="1585" w:type="dxa"/>
            <w:noWrap w:val="0"/>
            <w:tcMar>
              <w:top w:w="0" w:type="dxa"/>
              <w:left w:w="108" w:type="dxa"/>
              <w:bottom w:w="0" w:type="dxa"/>
              <w:right w:w="108" w:type="dxa"/>
            </w:tcMar>
            <w:vAlign w:val="center"/>
          </w:tcPr>
          <w:p w14:paraId="787B7D8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总硬度</w:t>
            </w:r>
          </w:p>
        </w:tc>
        <w:tc>
          <w:tcPr>
            <w:tcW w:w="3059" w:type="dxa"/>
            <w:noWrap w:val="0"/>
            <w:tcMar>
              <w:top w:w="0" w:type="dxa"/>
              <w:left w:w="108" w:type="dxa"/>
              <w:bottom w:w="0" w:type="dxa"/>
              <w:right w:w="108" w:type="dxa"/>
            </w:tcMar>
            <w:vAlign w:val="center"/>
          </w:tcPr>
          <w:p w14:paraId="56C8F639">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eastAsia="宋体"/>
                <w:color w:val="auto"/>
                <w:kern w:val="2"/>
                <w:sz w:val="21"/>
                <w:szCs w:val="21"/>
                <w:lang w:val="en-US" w:eastAsia="zh-CN" w:bidi="ar-SA"/>
              </w:rPr>
            </w:pPr>
            <w:r>
              <w:rPr>
                <w:rFonts w:hint="eastAsia" w:ascii="宋体" w:hAnsi="宋体"/>
                <w:color w:val="auto"/>
                <w:sz w:val="21"/>
                <w:szCs w:val="21"/>
                <w:lang w:val="en-US" w:eastAsia="zh-CN"/>
              </w:rPr>
              <w:t>-</w:t>
            </w:r>
          </w:p>
        </w:tc>
        <w:tc>
          <w:tcPr>
            <w:tcW w:w="1780" w:type="dxa"/>
            <w:noWrap w:val="0"/>
            <w:tcMar>
              <w:top w:w="0" w:type="dxa"/>
              <w:left w:w="108" w:type="dxa"/>
              <w:bottom w:w="0" w:type="dxa"/>
              <w:right w:w="108" w:type="dxa"/>
            </w:tcMar>
            <w:vAlign w:val="center"/>
          </w:tcPr>
          <w:p w14:paraId="5729A17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hint="eastAsia" w:ascii="宋体" w:hAnsi="宋体"/>
                <w:color w:val="auto"/>
                <w:sz w:val="21"/>
                <w:szCs w:val="21"/>
                <w:lang w:val="en-US" w:eastAsia="zh-CN"/>
              </w:rPr>
              <w:t>-</w:t>
            </w:r>
          </w:p>
        </w:tc>
        <w:tc>
          <w:tcPr>
            <w:tcW w:w="1137" w:type="dxa"/>
            <w:noWrap w:val="0"/>
            <w:tcMar>
              <w:top w:w="0" w:type="dxa"/>
              <w:left w:w="108" w:type="dxa"/>
              <w:bottom w:w="0" w:type="dxa"/>
              <w:right w:w="108" w:type="dxa"/>
            </w:tcMar>
            <w:vAlign w:val="center"/>
          </w:tcPr>
          <w:p w14:paraId="3CDEBD6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olor w:val="auto"/>
                <w:kern w:val="0"/>
                <w:sz w:val="21"/>
                <w:szCs w:val="21"/>
                <w:lang w:val="en-US" w:eastAsia="zh-CN" w:bidi="ar-SA"/>
              </w:rPr>
            </w:pPr>
            <w:r>
              <w:rPr>
                <w:rFonts w:hint="eastAsia" w:ascii="宋体" w:hAnsi="宋体"/>
                <w:color w:val="auto"/>
                <w:sz w:val="21"/>
                <w:szCs w:val="21"/>
                <w:lang w:val="en-US" w:eastAsia="zh-CN"/>
              </w:rPr>
              <w:t>-</w:t>
            </w:r>
          </w:p>
        </w:tc>
      </w:tr>
      <w:tr w14:paraId="012C5C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20363C5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3</w:t>
            </w:r>
          </w:p>
        </w:tc>
        <w:tc>
          <w:tcPr>
            <w:tcW w:w="1585" w:type="dxa"/>
            <w:noWrap w:val="0"/>
            <w:tcMar>
              <w:top w:w="0" w:type="dxa"/>
              <w:left w:w="108" w:type="dxa"/>
              <w:bottom w:w="0" w:type="dxa"/>
              <w:right w:w="108" w:type="dxa"/>
            </w:tcMar>
            <w:vAlign w:val="center"/>
          </w:tcPr>
          <w:p w14:paraId="7279FA5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溶解性总  固体</w:t>
            </w:r>
          </w:p>
        </w:tc>
        <w:tc>
          <w:tcPr>
            <w:tcW w:w="3059" w:type="dxa"/>
            <w:noWrap w:val="0"/>
            <w:tcMar>
              <w:top w:w="0" w:type="dxa"/>
              <w:left w:w="108" w:type="dxa"/>
              <w:bottom w:w="0" w:type="dxa"/>
              <w:right w:w="108" w:type="dxa"/>
            </w:tcMar>
            <w:vAlign w:val="center"/>
          </w:tcPr>
          <w:p w14:paraId="7189FE2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kern w:val="2"/>
                <w:sz w:val="21"/>
                <w:szCs w:val="21"/>
                <w:lang w:val="en-US" w:eastAsia="zh-CN" w:bidi="ar-SA"/>
              </w:rPr>
            </w:pPr>
            <w:r>
              <w:rPr>
                <w:rFonts w:hint="eastAsia" w:ascii="Times New Roman" w:hAnsi="Times New Roman" w:cs="Times New Roman"/>
                <w:color w:val="auto"/>
                <w:sz w:val="21"/>
                <w:szCs w:val="21"/>
                <w:lang w:eastAsia="zh-CN"/>
              </w:rPr>
              <w:t>万分之一</w:t>
            </w:r>
            <w:r>
              <w:rPr>
                <w:rFonts w:hint="default" w:ascii="Times New Roman" w:hAnsi="Times New Roman" w:cs="Times New Roman"/>
                <w:color w:val="auto"/>
                <w:sz w:val="21"/>
                <w:szCs w:val="21"/>
              </w:rPr>
              <w:t>天平</w:t>
            </w:r>
          </w:p>
        </w:tc>
        <w:tc>
          <w:tcPr>
            <w:tcW w:w="1780" w:type="dxa"/>
            <w:noWrap w:val="0"/>
            <w:tcMar>
              <w:top w:w="0" w:type="dxa"/>
              <w:left w:w="108" w:type="dxa"/>
              <w:bottom w:w="0" w:type="dxa"/>
              <w:right w:w="108" w:type="dxa"/>
            </w:tcMar>
            <w:vAlign w:val="center"/>
          </w:tcPr>
          <w:p w14:paraId="4349059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hint="eastAsia" w:ascii="Times New Roman" w:hAnsi="Times New Roman" w:cs="Times New Roman"/>
                <w:color w:val="auto"/>
                <w:sz w:val="21"/>
                <w:szCs w:val="21"/>
                <w:lang w:val="en-US" w:eastAsia="zh-CN"/>
              </w:rPr>
              <w:t>BCE224-1CCN</w:t>
            </w:r>
          </w:p>
        </w:tc>
        <w:tc>
          <w:tcPr>
            <w:tcW w:w="1137" w:type="dxa"/>
            <w:noWrap w:val="0"/>
            <w:tcMar>
              <w:top w:w="0" w:type="dxa"/>
              <w:left w:w="108" w:type="dxa"/>
              <w:bottom w:w="0" w:type="dxa"/>
              <w:right w:w="108" w:type="dxa"/>
            </w:tcMar>
            <w:vAlign w:val="center"/>
          </w:tcPr>
          <w:p w14:paraId="75B3232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0"/>
                <w:sz w:val="21"/>
                <w:szCs w:val="21"/>
                <w:lang w:val="en-US" w:eastAsia="zh-CN" w:bidi="ar-SA"/>
              </w:rPr>
            </w:pPr>
            <w:r>
              <w:rPr>
                <w:rFonts w:hint="default" w:ascii="Times New Roman" w:hAnsi="Times New Roman" w:cs="Times New Roman"/>
                <w:color w:val="auto"/>
                <w:kern w:val="0"/>
                <w:sz w:val="21"/>
                <w:szCs w:val="21"/>
              </w:rPr>
              <w:t>SY</w:t>
            </w:r>
            <w:r>
              <w:rPr>
                <w:rFonts w:hint="default" w:ascii="Times New Roman" w:hAnsi="Times New Roman" w:cs="Times New Roman"/>
                <w:color w:val="auto"/>
                <w:kern w:val="0"/>
                <w:sz w:val="21"/>
                <w:szCs w:val="21"/>
              </w:rPr>
              <w:softHyphen/>
            </w:r>
            <w:r>
              <w:rPr>
                <w:rFonts w:hint="default" w:ascii="Times New Roman" w:hAnsi="Times New Roman" w:cs="Times New Roman"/>
                <w:color w:val="auto"/>
                <w:kern w:val="0"/>
                <w:sz w:val="21"/>
                <w:szCs w:val="21"/>
                <w:lang w:val="en-US" w:eastAsia="zh-CN"/>
              </w:rPr>
              <w:t>-</w:t>
            </w:r>
            <w:r>
              <w:rPr>
                <w:rFonts w:hint="eastAsia" w:ascii="Times New Roman" w:hAnsi="Times New Roman" w:cs="Times New Roman"/>
                <w:color w:val="auto"/>
                <w:kern w:val="0"/>
                <w:sz w:val="21"/>
                <w:szCs w:val="21"/>
                <w:lang w:val="en-US" w:eastAsia="zh-CN"/>
              </w:rPr>
              <w:t>155</w:t>
            </w:r>
          </w:p>
        </w:tc>
      </w:tr>
      <w:tr w14:paraId="307B73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75355D2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4</w:t>
            </w:r>
          </w:p>
        </w:tc>
        <w:tc>
          <w:tcPr>
            <w:tcW w:w="1585" w:type="dxa"/>
            <w:noWrap w:val="0"/>
            <w:tcMar>
              <w:top w:w="0" w:type="dxa"/>
              <w:left w:w="108" w:type="dxa"/>
              <w:bottom w:w="0" w:type="dxa"/>
              <w:right w:w="108" w:type="dxa"/>
            </w:tcMar>
            <w:vAlign w:val="center"/>
          </w:tcPr>
          <w:p w14:paraId="1F38B2A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硫酸盐</w:t>
            </w:r>
          </w:p>
        </w:tc>
        <w:tc>
          <w:tcPr>
            <w:tcW w:w="3059" w:type="dxa"/>
            <w:noWrap w:val="0"/>
            <w:tcMar>
              <w:top w:w="0" w:type="dxa"/>
              <w:left w:w="108" w:type="dxa"/>
              <w:bottom w:w="0" w:type="dxa"/>
              <w:right w:w="108" w:type="dxa"/>
            </w:tcMar>
            <w:vAlign w:val="center"/>
          </w:tcPr>
          <w:p w14:paraId="2D845DF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olor w:val="auto"/>
                <w:kern w:val="0"/>
                <w:sz w:val="21"/>
                <w:szCs w:val="21"/>
                <w:lang w:val="en-US" w:eastAsia="zh-CN" w:bidi="ar-SA"/>
              </w:rPr>
            </w:pPr>
            <w:r>
              <w:rPr>
                <w:rFonts w:hint="eastAsia" w:ascii="Times New Roman" w:hAnsi="Times New Roman" w:cs="Times New Roman"/>
                <w:color w:val="auto"/>
                <w:sz w:val="21"/>
                <w:szCs w:val="21"/>
                <w:lang w:eastAsia="zh-CN"/>
              </w:rPr>
              <w:t>万分之一</w:t>
            </w:r>
            <w:r>
              <w:rPr>
                <w:rFonts w:hint="default" w:ascii="Times New Roman" w:hAnsi="Times New Roman" w:cs="Times New Roman"/>
                <w:color w:val="auto"/>
                <w:sz w:val="21"/>
                <w:szCs w:val="21"/>
              </w:rPr>
              <w:t>天平</w:t>
            </w:r>
          </w:p>
        </w:tc>
        <w:tc>
          <w:tcPr>
            <w:tcW w:w="1780" w:type="dxa"/>
            <w:noWrap w:val="0"/>
            <w:tcMar>
              <w:top w:w="0" w:type="dxa"/>
              <w:left w:w="108" w:type="dxa"/>
              <w:bottom w:w="0" w:type="dxa"/>
              <w:right w:w="108" w:type="dxa"/>
            </w:tcMar>
            <w:vAlign w:val="center"/>
          </w:tcPr>
          <w:p w14:paraId="13C3CE9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0"/>
                <w:sz w:val="21"/>
                <w:szCs w:val="21"/>
                <w:lang w:val="en-US" w:eastAsia="zh-CN" w:bidi="ar-SA"/>
              </w:rPr>
            </w:pPr>
            <w:r>
              <w:rPr>
                <w:rFonts w:hint="eastAsia" w:ascii="Times New Roman" w:hAnsi="Times New Roman" w:cs="Times New Roman"/>
                <w:color w:val="auto"/>
                <w:sz w:val="21"/>
                <w:szCs w:val="21"/>
                <w:lang w:val="en-US" w:eastAsia="zh-CN"/>
              </w:rPr>
              <w:t>BCE224-1CCN</w:t>
            </w:r>
          </w:p>
        </w:tc>
        <w:tc>
          <w:tcPr>
            <w:tcW w:w="1137" w:type="dxa"/>
            <w:noWrap w:val="0"/>
            <w:tcMar>
              <w:top w:w="0" w:type="dxa"/>
              <w:left w:w="108" w:type="dxa"/>
              <w:bottom w:w="0" w:type="dxa"/>
              <w:right w:w="108" w:type="dxa"/>
            </w:tcMar>
            <w:vAlign w:val="center"/>
          </w:tcPr>
          <w:p w14:paraId="387759F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0"/>
                <w:sz w:val="21"/>
                <w:szCs w:val="21"/>
                <w:lang w:val="en-US" w:eastAsia="zh-CN" w:bidi="ar-SA"/>
              </w:rPr>
            </w:pPr>
            <w:r>
              <w:rPr>
                <w:rFonts w:hint="default" w:ascii="Times New Roman" w:hAnsi="Times New Roman" w:cs="Times New Roman"/>
                <w:color w:val="auto"/>
                <w:kern w:val="0"/>
                <w:sz w:val="21"/>
                <w:szCs w:val="21"/>
              </w:rPr>
              <w:t>SY</w:t>
            </w:r>
            <w:r>
              <w:rPr>
                <w:rFonts w:hint="default" w:ascii="Times New Roman" w:hAnsi="Times New Roman" w:cs="Times New Roman"/>
                <w:color w:val="auto"/>
                <w:kern w:val="0"/>
                <w:sz w:val="21"/>
                <w:szCs w:val="21"/>
              </w:rPr>
              <w:softHyphen/>
            </w:r>
            <w:r>
              <w:rPr>
                <w:rFonts w:hint="default" w:ascii="Times New Roman" w:hAnsi="Times New Roman" w:cs="Times New Roman"/>
                <w:color w:val="auto"/>
                <w:kern w:val="0"/>
                <w:sz w:val="21"/>
                <w:szCs w:val="21"/>
                <w:lang w:val="en-US" w:eastAsia="zh-CN"/>
              </w:rPr>
              <w:t>-</w:t>
            </w:r>
            <w:r>
              <w:rPr>
                <w:rFonts w:hint="eastAsia" w:ascii="Times New Roman" w:hAnsi="Times New Roman" w:cs="Times New Roman"/>
                <w:color w:val="auto"/>
                <w:kern w:val="0"/>
                <w:sz w:val="21"/>
                <w:szCs w:val="21"/>
                <w:lang w:val="en-US" w:eastAsia="zh-CN"/>
              </w:rPr>
              <w:t>155</w:t>
            </w:r>
          </w:p>
        </w:tc>
      </w:tr>
      <w:tr w14:paraId="4E2EF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7ED70029">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5</w:t>
            </w:r>
          </w:p>
        </w:tc>
        <w:tc>
          <w:tcPr>
            <w:tcW w:w="1585" w:type="dxa"/>
            <w:noWrap w:val="0"/>
            <w:tcMar>
              <w:top w:w="0" w:type="dxa"/>
              <w:left w:w="108" w:type="dxa"/>
              <w:bottom w:w="0" w:type="dxa"/>
              <w:right w:w="108" w:type="dxa"/>
            </w:tcMar>
            <w:vAlign w:val="center"/>
          </w:tcPr>
          <w:p w14:paraId="085EBD9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氯化物</w:t>
            </w:r>
          </w:p>
        </w:tc>
        <w:tc>
          <w:tcPr>
            <w:tcW w:w="3059" w:type="dxa"/>
            <w:noWrap w:val="0"/>
            <w:tcMar>
              <w:top w:w="0" w:type="dxa"/>
              <w:left w:w="108" w:type="dxa"/>
              <w:bottom w:w="0" w:type="dxa"/>
              <w:right w:w="108" w:type="dxa"/>
            </w:tcMar>
            <w:vAlign w:val="center"/>
          </w:tcPr>
          <w:p w14:paraId="24EFCFE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eastAsia="宋体"/>
                <w:color w:val="auto"/>
                <w:kern w:val="2"/>
                <w:sz w:val="21"/>
                <w:szCs w:val="21"/>
                <w:lang w:val="en-US" w:eastAsia="zh-CN" w:bidi="ar-SA"/>
              </w:rPr>
            </w:pPr>
            <w:r>
              <w:rPr>
                <w:rFonts w:hint="eastAsia" w:ascii="宋体" w:hAnsi="宋体"/>
                <w:color w:val="auto"/>
                <w:sz w:val="21"/>
                <w:szCs w:val="21"/>
                <w:lang w:val="en-US" w:eastAsia="zh-CN"/>
              </w:rPr>
              <w:t>-</w:t>
            </w:r>
          </w:p>
        </w:tc>
        <w:tc>
          <w:tcPr>
            <w:tcW w:w="1780" w:type="dxa"/>
            <w:noWrap w:val="0"/>
            <w:tcMar>
              <w:top w:w="0" w:type="dxa"/>
              <w:left w:w="108" w:type="dxa"/>
              <w:bottom w:w="0" w:type="dxa"/>
              <w:right w:w="108" w:type="dxa"/>
            </w:tcMar>
            <w:vAlign w:val="center"/>
          </w:tcPr>
          <w:p w14:paraId="393B9B7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hint="eastAsia" w:ascii="宋体" w:hAnsi="宋体"/>
                <w:color w:val="auto"/>
                <w:sz w:val="21"/>
                <w:szCs w:val="21"/>
                <w:lang w:val="en-US" w:eastAsia="zh-CN"/>
              </w:rPr>
              <w:t>-</w:t>
            </w:r>
          </w:p>
        </w:tc>
        <w:tc>
          <w:tcPr>
            <w:tcW w:w="1137" w:type="dxa"/>
            <w:noWrap w:val="0"/>
            <w:tcMar>
              <w:top w:w="0" w:type="dxa"/>
              <w:left w:w="108" w:type="dxa"/>
              <w:bottom w:w="0" w:type="dxa"/>
              <w:right w:w="108" w:type="dxa"/>
            </w:tcMar>
            <w:vAlign w:val="center"/>
          </w:tcPr>
          <w:p w14:paraId="3E2D82C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olor w:val="auto"/>
                <w:kern w:val="0"/>
                <w:sz w:val="21"/>
                <w:szCs w:val="21"/>
                <w:lang w:val="en-US" w:eastAsia="zh-CN" w:bidi="ar-SA"/>
              </w:rPr>
            </w:pPr>
            <w:r>
              <w:rPr>
                <w:rFonts w:hint="eastAsia" w:ascii="宋体" w:hAnsi="宋体"/>
                <w:color w:val="auto"/>
                <w:sz w:val="21"/>
                <w:szCs w:val="21"/>
                <w:lang w:val="en-US" w:eastAsia="zh-CN"/>
              </w:rPr>
              <w:t>-</w:t>
            </w:r>
          </w:p>
        </w:tc>
      </w:tr>
      <w:tr w14:paraId="7EAAE63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0F48151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6</w:t>
            </w:r>
          </w:p>
        </w:tc>
        <w:tc>
          <w:tcPr>
            <w:tcW w:w="1585" w:type="dxa"/>
            <w:noWrap w:val="0"/>
            <w:tcMar>
              <w:top w:w="0" w:type="dxa"/>
              <w:left w:w="108" w:type="dxa"/>
              <w:bottom w:w="0" w:type="dxa"/>
              <w:right w:w="108" w:type="dxa"/>
            </w:tcMar>
            <w:vAlign w:val="center"/>
          </w:tcPr>
          <w:p w14:paraId="77987E6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铁</w:t>
            </w:r>
          </w:p>
        </w:tc>
        <w:tc>
          <w:tcPr>
            <w:tcW w:w="3059" w:type="dxa"/>
            <w:noWrap w:val="0"/>
            <w:tcMar>
              <w:top w:w="0" w:type="dxa"/>
              <w:left w:w="108" w:type="dxa"/>
              <w:bottom w:w="0" w:type="dxa"/>
              <w:right w:w="108" w:type="dxa"/>
            </w:tcMar>
            <w:vAlign w:val="center"/>
          </w:tcPr>
          <w:p w14:paraId="4AEFD89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原子吸收分光光度计</w:t>
            </w:r>
          </w:p>
        </w:tc>
        <w:tc>
          <w:tcPr>
            <w:tcW w:w="1780" w:type="dxa"/>
            <w:noWrap w:val="0"/>
            <w:tcMar>
              <w:top w:w="0" w:type="dxa"/>
              <w:left w:w="108" w:type="dxa"/>
              <w:bottom w:w="0" w:type="dxa"/>
              <w:right w:w="108" w:type="dxa"/>
            </w:tcMar>
            <w:vAlign w:val="center"/>
          </w:tcPr>
          <w:p w14:paraId="342722F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WFX-220A</w:t>
            </w:r>
          </w:p>
        </w:tc>
        <w:tc>
          <w:tcPr>
            <w:tcW w:w="1137" w:type="dxa"/>
            <w:noWrap w:val="0"/>
            <w:tcMar>
              <w:top w:w="0" w:type="dxa"/>
              <w:left w:w="108" w:type="dxa"/>
              <w:bottom w:w="0" w:type="dxa"/>
              <w:right w:w="108" w:type="dxa"/>
            </w:tcMar>
            <w:vAlign w:val="center"/>
          </w:tcPr>
          <w:p w14:paraId="7C83AF0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SY</w:t>
            </w:r>
            <w:r>
              <w:rPr>
                <w:rFonts w:hint="default" w:ascii="Times New Roman" w:hAnsi="Times New Roman" w:eastAsia="宋体" w:cs="Times New Roman"/>
                <w:color w:val="auto"/>
                <w:sz w:val="21"/>
                <w:szCs w:val="21"/>
              </w:rPr>
              <w:softHyphen/>
            </w:r>
            <w:r>
              <w:rPr>
                <w:rFonts w:hint="default" w:ascii="Times New Roman" w:hAnsi="Times New Roman" w:eastAsia="宋体" w:cs="Times New Roman"/>
                <w:color w:val="auto"/>
                <w:sz w:val="21"/>
                <w:szCs w:val="21"/>
              </w:rPr>
              <w:t>-0</w:t>
            </w:r>
            <w:r>
              <w:rPr>
                <w:rFonts w:hint="default" w:ascii="Times New Roman" w:hAnsi="Times New Roman" w:eastAsia="宋体" w:cs="Times New Roman"/>
                <w:color w:val="auto"/>
                <w:sz w:val="21"/>
                <w:szCs w:val="21"/>
                <w:lang w:val="en-US" w:eastAsia="zh-CN"/>
              </w:rPr>
              <w:t>25</w:t>
            </w:r>
          </w:p>
        </w:tc>
      </w:tr>
      <w:tr w14:paraId="4ACF02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3EE8607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7</w:t>
            </w:r>
          </w:p>
        </w:tc>
        <w:tc>
          <w:tcPr>
            <w:tcW w:w="1585" w:type="dxa"/>
            <w:noWrap w:val="0"/>
            <w:tcMar>
              <w:top w:w="0" w:type="dxa"/>
              <w:left w:w="108" w:type="dxa"/>
              <w:bottom w:w="0" w:type="dxa"/>
              <w:right w:w="108" w:type="dxa"/>
            </w:tcMar>
            <w:vAlign w:val="center"/>
          </w:tcPr>
          <w:p w14:paraId="3A1D6FC0">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锰</w:t>
            </w:r>
          </w:p>
        </w:tc>
        <w:tc>
          <w:tcPr>
            <w:tcW w:w="3059" w:type="dxa"/>
            <w:noWrap w:val="0"/>
            <w:tcMar>
              <w:top w:w="0" w:type="dxa"/>
              <w:left w:w="108" w:type="dxa"/>
              <w:bottom w:w="0" w:type="dxa"/>
              <w:right w:w="108" w:type="dxa"/>
            </w:tcMar>
            <w:vAlign w:val="center"/>
          </w:tcPr>
          <w:p w14:paraId="0804A69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原子吸收分光光度计</w:t>
            </w:r>
          </w:p>
        </w:tc>
        <w:tc>
          <w:tcPr>
            <w:tcW w:w="1780" w:type="dxa"/>
            <w:noWrap w:val="0"/>
            <w:tcMar>
              <w:top w:w="0" w:type="dxa"/>
              <w:left w:w="108" w:type="dxa"/>
              <w:bottom w:w="0" w:type="dxa"/>
              <w:right w:w="108" w:type="dxa"/>
            </w:tcMar>
            <w:vAlign w:val="center"/>
          </w:tcPr>
          <w:p w14:paraId="6FE27BD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WFX-220A</w:t>
            </w:r>
          </w:p>
        </w:tc>
        <w:tc>
          <w:tcPr>
            <w:tcW w:w="1137" w:type="dxa"/>
            <w:noWrap w:val="0"/>
            <w:tcMar>
              <w:top w:w="0" w:type="dxa"/>
              <w:left w:w="108" w:type="dxa"/>
              <w:bottom w:w="0" w:type="dxa"/>
              <w:right w:w="108" w:type="dxa"/>
            </w:tcMar>
            <w:vAlign w:val="center"/>
          </w:tcPr>
          <w:p w14:paraId="4B51D9B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SY</w:t>
            </w:r>
            <w:r>
              <w:rPr>
                <w:rFonts w:hint="default" w:ascii="Times New Roman" w:hAnsi="Times New Roman" w:eastAsia="宋体" w:cs="Times New Roman"/>
                <w:color w:val="auto"/>
                <w:sz w:val="21"/>
                <w:szCs w:val="21"/>
              </w:rPr>
              <w:softHyphen/>
            </w:r>
            <w:r>
              <w:rPr>
                <w:rFonts w:hint="default" w:ascii="Times New Roman" w:hAnsi="Times New Roman" w:eastAsia="宋体" w:cs="Times New Roman"/>
                <w:color w:val="auto"/>
                <w:sz w:val="21"/>
                <w:szCs w:val="21"/>
              </w:rPr>
              <w:t>-0</w:t>
            </w:r>
            <w:r>
              <w:rPr>
                <w:rFonts w:hint="default" w:ascii="Times New Roman" w:hAnsi="Times New Roman" w:eastAsia="宋体" w:cs="Times New Roman"/>
                <w:color w:val="auto"/>
                <w:sz w:val="21"/>
                <w:szCs w:val="21"/>
                <w:lang w:val="en-US" w:eastAsia="zh-CN"/>
              </w:rPr>
              <w:t>25</w:t>
            </w:r>
          </w:p>
        </w:tc>
      </w:tr>
      <w:tr w14:paraId="61988A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7EBCB71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8</w:t>
            </w:r>
          </w:p>
        </w:tc>
        <w:tc>
          <w:tcPr>
            <w:tcW w:w="1585" w:type="dxa"/>
            <w:noWrap w:val="0"/>
            <w:tcMar>
              <w:top w:w="0" w:type="dxa"/>
              <w:left w:w="108" w:type="dxa"/>
              <w:bottom w:w="0" w:type="dxa"/>
              <w:right w:w="108" w:type="dxa"/>
            </w:tcMar>
            <w:vAlign w:val="center"/>
          </w:tcPr>
          <w:p w14:paraId="5DF4303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挥发酚</w:t>
            </w:r>
          </w:p>
        </w:tc>
        <w:tc>
          <w:tcPr>
            <w:tcW w:w="3059" w:type="dxa"/>
            <w:noWrap w:val="0"/>
            <w:tcMar>
              <w:top w:w="0" w:type="dxa"/>
              <w:left w:w="108" w:type="dxa"/>
              <w:bottom w:w="0" w:type="dxa"/>
              <w:right w:w="108" w:type="dxa"/>
            </w:tcMar>
            <w:vAlign w:val="center"/>
          </w:tcPr>
          <w:p w14:paraId="6E1F558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kern w:val="2"/>
                <w:sz w:val="21"/>
                <w:szCs w:val="21"/>
                <w:lang w:val="en-US" w:eastAsia="zh-CN" w:bidi="ar-SA"/>
              </w:rPr>
            </w:pPr>
            <w:r>
              <w:rPr>
                <w:rFonts w:hint="eastAsia" w:ascii="宋体" w:hAnsi="宋体"/>
                <w:color w:val="auto"/>
                <w:sz w:val="21"/>
                <w:szCs w:val="21"/>
              </w:rPr>
              <w:t>紫外可见分光光度计</w:t>
            </w:r>
          </w:p>
        </w:tc>
        <w:tc>
          <w:tcPr>
            <w:tcW w:w="1780" w:type="dxa"/>
            <w:noWrap w:val="0"/>
            <w:tcMar>
              <w:top w:w="0" w:type="dxa"/>
              <w:left w:w="108" w:type="dxa"/>
              <w:bottom w:w="0" w:type="dxa"/>
              <w:right w:w="108" w:type="dxa"/>
            </w:tcMar>
            <w:vAlign w:val="center"/>
          </w:tcPr>
          <w:p w14:paraId="6664B13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2"/>
                <w:sz w:val="21"/>
                <w:szCs w:val="21"/>
                <w:lang w:val="en-US" w:eastAsia="zh-CN" w:bidi="ar-SA"/>
              </w:rPr>
            </w:pPr>
            <w:r>
              <w:rPr>
                <w:rFonts w:hint="default" w:ascii="Times New Roman" w:hAnsi="Times New Roman" w:eastAsia="宋体" w:cs="Times New Roman"/>
                <w:color w:val="auto"/>
                <w:sz w:val="21"/>
                <w:szCs w:val="21"/>
              </w:rPr>
              <w:t>UV759CRT</w:t>
            </w:r>
          </w:p>
        </w:tc>
        <w:tc>
          <w:tcPr>
            <w:tcW w:w="1137" w:type="dxa"/>
            <w:noWrap w:val="0"/>
            <w:tcMar>
              <w:top w:w="0" w:type="dxa"/>
              <w:left w:w="108" w:type="dxa"/>
              <w:bottom w:w="0" w:type="dxa"/>
              <w:right w:w="108" w:type="dxa"/>
            </w:tcMar>
            <w:vAlign w:val="center"/>
          </w:tcPr>
          <w:p w14:paraId="335BA5A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default" w:ascii="Times New Roman" w:hAnsi="Times New Roman" w:eastAsia="宋体" w:cs="Times New Roman"/>
                <w:color w:val="auto"/>
                <w:sz w:val="21"/>
                <w:szCs w:val="21"/>
                <w:lang w:val="en-US" w:eastAsia="zh-CN"/>
              </w:rPr>
              <w:t>SY</w:t>
            </w:r>
            <w:r>
              <w:rPr>
                <w:rFonts w:hint="default" w:ascii="Times New Roman" w:hAnsi="Times New Roman" w:eastAsia="宋体" w:cs="Times New Roman"/>
                <w:color w:val="auto"/>
                <w:sz w:val="21"/>
                <w:szCs w:val="21"/>
                <w:lang w:val="en-US" w:eastAsia="zh-CN"/>
              </w:rPr>
              <w:softHyphen/>
            </w:r>
            <w:r>
              <w:rPr>
                <w:rFonts w:hint="default" w:ascii="Times New Roman" w:hAnsi="Times New Roman" w:eastAsia="宋体" w:cs="Times New Roman"/>
                <w:color w:val="auto"/>
                <w:sz w:val="21"/>
                <w:szCs w:val="21"/>
                <w:lang w:val="en-US" w:eastAsia="zh-CN"/>
              </w:rPr>
              <w:t>-027</w:t>
            </w:r>
          </w:p>
        </w:tc>
      </w:tr>
      <w:tr w14:paraId="2D75DC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7E875EC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9</w:t>
            </w:r>
          </w:p>
        </w:tc>
        <w:tc>
          <w:tcPr>
            <w:tcW w:w="1585" w:type="dxa"/>
            <w:noWrap w:val="0"/>
            <w:tcMar>
              <w:top w:w="0" w:type="dxa"/>
              <w:left w:w="108" w:type="dxa"/>
              <w:bottom w:w="0" w:type="dxa"/>
              <w:right w:w="108" w:type="dxa"/>
            </w:tcMar>
            <w:vAlign w:val="center"/>
          </w:tcPr>
          <w:p w14:paraId="2478F26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高锰酸盐指数 (以O</w:t>
            </w:r>
            <w:r>
              <w:rPr>
                <w:rFonts w:hint="eastAsia" w:ascii="Times New Roman" w:hAnsi="Times New Roman" w:eastAsia="宋体" w:cs="Times New Roman"/>
                <w:color w:val="auto"/>
                <w:sz w:val="21"/>
                <w:szCs w:val="21"/>
                <w:vertAlign w:val="subscript"/>
                <w:lang w:val="en-US" w:eastAsia="zh-CN"/>
              </w:rPr>
              <w:t>2</w:t>
            </w:r>
            <w:r>
              <w:rPr>
                <w:rFonts w:hint="eastAsia" w:ascii="Times New Roman" w:hAnsi="Times New Roman" w:eastAsia="宋体" w:cs="Times New Roman"/>
                <w:color w:val="auto"/>
                <w:sz w:val="21"/>
                <w:szCs w:val="21"/>
                <w:lang w:val="en-US" w:eastAsia="zh-CN"/>
              </w:rPr>
              <w:t>计)</w:t>
            </w:r>
          </w:p>
        </w:tc>
        <w:tc>
          <w:tcPr>
            <w:tcW w:w="3059" w:type="dxa"/>
            <w:noWrap w:val="0"/>
            <w:tcMar>
              <w:top w:w="0" w:type="dxa"/>
              <w:left w:w="108" w:type="dxa"/>
              <w:bottom w:w="0" w:type="dxa"/>
              <w:right w:w="108" w:type="dxa"/>
            </w:tcMar>
            <w:vAlign w:val="center"/>
          </w:tcPr>
          <w:p w14:paraId="07D7F46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eastAsia="宋体"/>
                <w:color w:val="auto"/>
                <w:sz w:val="21"/>
                <w:szCs w:val="21"/>
                <w:lang w:eastAsia="zh-CN"/>
              </w:rPr>
            </w:pPr>
            <w:r>
              <w:rPr>
                <w:rFonts w:hint="eastAsia" w:ascii="Times New Roman" w:hAnsi="Times New Roman" w:cs="Times New Roman"/>
                <w:color w:val="auto"/>
                <w:kern w:val="0"/>
                <w:sz w:val="21"/>
                <w:szCs w:val="21"/>
                <w:lang w:eastAsia="zh-CN"/>
              </w:rPr>
              <w:t>电热恒温水浴锅</w:t>
            </w:r>
          </w:p>
        </w:tc>
        <w:tc>
          <w:tcPr>
            <w:tcW w:w="1780" w:type="dxa"/>
            <w:noWrap w:val="0"/>
            <w:tcMar>
              <w:top w:w="0" w:type="dxa"/>
              <w:left w:w="108" w:type="dxa"/>
              <w:bottom w:w="0" w:type="dxa"/>
              <w:right w:w="108" w:type="dxa"/>
            </w:tcMar>
            <w:vAlign w:val="center"/>
          </w:tcPr>
          <w:p w14:paraId="5B18F59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HHS21-4</w:t>
            </w:r>
          </w:p>
        </w:tc>
        <w:tc>
          <w:tcPr>
            <w:tcW w:w="1137" w:type="dxa"/>
            <w:noWrap w:val="0"/>
            <w:tcMar>
              <w:top w:w="0" w:type="dxa"/>
              <w:left w:w="108" w:type="dxa"/>
              <w:bottom w:w="0" w:type="dxa"/>
              <w:right w:w="108" w:type="dxa"/>
            </w:tcMar>
            <w:vAlign w:val="center"/>
          </w:tcPr>
          <w:p w14:paraId="006E279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rPr>
              <w:t>SY</w:t>
            </w:r>
            <w:r>
              <w:rPr>
                <w:rFonts w:hint="default" w:ascii="Times New Roman" w:hAnsi="Times New Roman" w:cs="Times New Roman"/>
                <w:color w:val="auto"/>
                <w:sz w:val="21"/>
                <w:szCs w:val="21"/>
              </w:rPr>
              <w:softHyphen/>
            </w:r>
            <w:r>
              <w:rPr>
                <w:rFonts w:hint="default" w:ascii="Times New Roman" w:hAnsi="Times New Roman" w:cs="Times New Roman"/>
                <w:color w:val="auto"/>
                <w:sz w:val="21"/>
                <w:szCs w:val="21"/>
              </w:rPr>
              <w:t>-0</w:t>
            </w:r>
            <w:r>
              <w:rPr>
                <w:rFonts w:hint="eastAsia" w:ascii="Times New Roman" w:hAnsi="Times New Roman" w:cs="Times New Roman"/>
                <w:color w:val="auto"/>
                <w:sz w:val="21"/>
                <w:szCs w:val="21"/>
                <w:lang w:val="en-US" w:eastAsia="zh-CN"/>
              </w:rPr>
              <w:t>07</w:t>
            </w:r>
          </w:p>
        </w:tc>
      </w:tr>
      <w:tr w14:paraId="701ECB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507DBB0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10</w:t>
            </w:r>
          </w:p>
        </w:tc>
        <w:tc>
          <w:tcPr>
            <w:tcW w:w="1585" w:type="dxa"/>
            <w:noWrap w:val="0"/>
            <w:tcMar>
              <w:top w:w="0" w:type="dxa"/>
              <w:left w:w="108" w:type="dxa"/>
              <w:bottom w:w="0" w:type="dxa"/>
              <w:right w:w="108" w:type="dxa"/>
            </w:tcMar>
            <w:vAlign w:val="center"/>
          </w:tcPr>
          <w:p w14:paraId="1542AAA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氨氮</w:t>
            </w:r>
          </w:p>
        </w:tc>
        <w:tc>
          <w:tcPr>
            <w:tcW w:w="3059" w:type="dxa"/>
            <w:noWrap w:val="0"/>
            <w:tcMar>
              <w:top w:w="0" w:type="dxa"/>
              <w:left w:w="108" w:type="dxa"/>
              <w:bottom w:w="0" w:type="dxa"/>
              <w:right w:w="108" w:type="dxa"/>
            </w:tcMar>
            <w:vAlign w:val="center"/>
          </w:tcPr>
          <w:p w14:paraId="52D6E5C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宋体" w:hAnsi="宋体"/>
                <w:color w:val="auto"/>
                <w:sz w:val="21"/>
                <w:szCs w:val="21"/>
              </w:rPr>
              <w:t>紫外可见分光光度计</w:t>
            </w:r>
          </w:p>
        </w:tc>
        <w:tc>
          <w:tcPr>
            <w:tcW w:w="1780" w:type="dxa"/>
            <w:noWrap w:val="0"/>
            <w:tcMar>
              <w:top w:w="0" w:type="dxa"/>
              <w:left w:w="108" w:type="dxa"/>
              <w:bottom w:w="0" w:type="dxa"/>
              <w:right w:w="108" w:type="dxa"/>
            </w:tcMar>
            <w:vAlign w:val="center"/>
          </w:tcPr>
          <w:p w14:paraId="4C114FB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rPr>
              <w:t>UV759CRT</w:t>
            </w:r>
          </w:p>
        </w:tc>
        <w:tc>
          <w:tcPr>
            <w:tcW w:w="1137" w:type="dxa"/>
            <w:noWrap w:val="0"/>
            <w:tcMar>
              <w:top w:w="0" w:type="dxa"/>
              <w:left w:w="108" w:type="dxa"/>
              <w:bottom w:w="0" w:type="dxa"/>
              <w:right w:w="108" w:type="dxa"/>
            </w:tcMar>
            <w:vAlign w:val="center"/>
          </w:tcPr>
          <w:p w14:paraId="32DF666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SY</w:t>
            </w:r>
            <w:r>
              <w:rPr>
                <w:rFonts w:hint="default" w:ascii="Times New Roman" w:hAnsi="Times New Roman" w:eastAsia="宋体" w:cs="Times New Roman"/>
                <w:color w:val="auto"/>
                <w:sz w:val="21"/>
                <w:szCs w:val="21"/>
                <w:lang w:val="en-US" w:eastAsia="zh-CN"/>
              </w:rPr>
              <w:softHyphen/>
            </w:r>
            <w:r>
              <w:rPr>
                <w:rFonts w:hint="default" w:ascii="Times New Roman" w:hAnsi="Times New Roman" w:eastAsia="宋体" w:cs="Times New Roman"/>
                <w:color w:val="auto"/>
                <w:sz w:val="21"/>
                <w:szCs w:val="21"/>
                <w:lang w:val="en-US" w:eastAsia="zh-CN"/>
              </w:rPr>
              <w:t>-027</w:t>
            </w:r>
          </w:p>
        </w:tc>
      </w:tr>
      <w:tr w14:paraId="3315742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68FD4B1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11</w:t>
            </w:r>
          </w:p>
        </w:tc>
        <w:tc>
          <w:tcPr>
            <w:tcW w:w="1585" w:type="dxa"/>
            <w:noWrap w:val="0"/>
            <w:tcMar>
              <w:top w:w="0" w:type="dxa"/>
              <w:left w:w="108" w:type="dxa"/>
              <w:bottom w:w="0" w:type="dxa"/>
              <w:right w:w="108" w:type="dxa"/>
            </w:tcMar>
            <w:vAlign w:val="center"/>
          </w:tcPr>
          <w:p w14:paraId="082A59D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总大肠菌群</w:t>
            </w:r>
          </w:p>
        </w:tc>
        <w:tc>
          <w:tcPr>
            <w:tcW w:w="3059" w:type="dxa"/>
            <w:noWrap w:val="0"/>
            <w:tcMar>
              <w:top w:w="0" w:type="dxa"/>
              <w:left w:w="108" w:type="dxa"/>
              <w:bottom w:w="0" w:type="dxa"/>
              <w:right w:w="108" w:type="dxa"/>
            </w:tcMar>
            <w:vAlign w:val="center"/>
          </w:tcPr>
          <w:p w14:paraId="19E70AD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宋体" w:hAnsi="宋体"/>
                <w:color w:val="auto"/>
                <w:sz w:val="21"/>
                <w:szCs w:val="21"/>
              </w:rPr>
              <w:t>霉菌培养箱</w:t>
            </w:r>
          </w:p>
        </w:tc>
        <w:tc>
          <w:tcPr>
            <w:tcW w:w="1780" w:type="dxa"/>
            <w:noWrap w:val="0"/>
            <w:tcMar>
              <w:top w:w="0" w:type="dxa"/>
              <w:left w:w="108" w:type="dxa"/>
              <w:bottom w:w="0" w:type="dxa"/>
              <w:right w:w="108" w:type="dxa"/>
            </w:tcMar>
            <w:vAlign w:val="center"/>
          </w:tcPr>
          <w:p w14:paraId="38B7E7D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kern w:val="2"/>
                <w:sz w:val="21"/>
                <w:szCs w:val="21"/>
                <w:lang w:val="en-US" w:eastAsia="zh-CN" w:bidi="ar-SA"/>
              </w:rPr>
            </w:pPr>
            <w:r>
              <w:rPr>
                <w:rFonts w:hint="eastAsia" w:ascii="Times New Roman" w:hAnsi="Times New Roman"/>
                <w:color w:val="auto"/>
                <w:sz w:val="21"/>
                <w:szCs w:val="21"/>
              </w:rPr>
              <w:t>MJX-250B-Z</w:t>
            </w:r>
          </w:p>
        </w:tc>
        <w:tc>
          <w:tcPr>
            <w:tcW w:w="1137" w:type="dxa"/>
            <w:noWrap w:val="0"/>
            <w:tcMar>
              <w:top w:w="0" w:type="dxa"/>
              <w:left w:w="108" w:type="dxa"/>
              <w:bottom w:w="0" w:type="dxa"/>
              <w:right w:w="108" w:type="dxa"/>
            </w:tcMar>
            <w:vAlign w:val="center"/>
          </w:tcPr>
          <w:p w14:paraId="6F2853D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lang w:val="en-US" w:eastAsia="zh-CN" w:bidi="ar-SA"/>
              </w:rPr>
            </w:pPr>
            <w:r>
              <w:rPr>
                <w:rFonts w:hint="eastAsia" w:ascii="Times New Roman" w:hAnsi="Times New Roman"/>
                <w:color w:val="auto"/>
                <w:kern w:val="0"/>
                <w:sz w:val="21"/>
                <w:szCs w:val="21"/>
              </w:rPr>
              <w:t>SY</w:t>
            </w:r>
            <w:r>
              <w:rPr>
                <w:rFonts w:ascii="Times New Roman" w:hAnsi="Times New Roman"/>
                <w:color w:val="auto"/>
                <w:kern w:val="0"/>
                <w:sz w:val="21"/>
                <w:szCs w:val="21"/>
              </w:rPr>
              <w:softHyphen/>
            </w:r>
            <w:r>
              <w:rPr>
                <w:rFonts w:hint="eastAsia" w:ascii="Times New Roman" w:hAnsi="Times New Roman"/>
                <w:color w:val="auto"/>
                <w:kern w:val="0"/>
                <w:sz w:val="21"/>
                <w:szCs w:val="21"/>
                <w:lang w:val="en-US" w:eastAsia="zh-CN"/>
              </w:rPr>
              <w:t>-</w:t>
            </w:r>
            <w:r>
              <w:rPr>
                <w:rFonts w:hint="eastAsia" w:ascii="Times New Roman" w:hAnsi="Times New Roman"/>
                <w:color w:val="auto"/>
                <w:kern w:val="0"/>
                <w:sz w:val="21"/>
                <w:szCs w:val="21"/>
              </w:rPr>
              <w:t>0</w:t>
            </w:r>
            <w:r>
              <w:rPr>
                <w:rFonts w:hint="eastAsia" w:ascii="Times New Roman" w:hAnsi="Times New Roman"/>
                <w:color w:val="auto"/>
                <w:kern w:val="0"/>
                <w:sz w:val="21"/>
                <w:szCs w:val="21"/>
                <w:lang w:val="en-US" w:eastAsia="zh-CN"/>
              </w:rPr>
              <w:t>12</w:t>
            </w:r>
          </w:p>
        </w:tc>
      </w:tr>
      <w:tr w14:paraId="2A7A2B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43A0C7E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12</w:t>
            </w:r>
          </w:p>
        </w:tc>
        <w:tc>
          <w:tcPr>
            <w:tcW w:w="1585" w:type="dxa"/>
            <w:noWrap w:val="0"/>
            <w:tcMar>
              <w:top w:w="0" w:type="dxa"/>
              <w:left w:w="108" w:type="dxa"/>
              <w:bottom w:w="0" w:type="dxa"/>
              <w:right w:w="108" w:type="dxa"/>
            </w:tcMar>
            <w:vAlign w:val="center"/>
          </w:tcPr>
          <w:p w14:paraId="1EE2277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菌落总数</w:t>
            </w:r>
          </w:p>
        </w:tc>
        <w:tc>
          <w:tcPr>
            <w:tcW w:w="3059" w:type="dxa"/>
            <w:noWrap w:val="0"/>
            <w:tcMar>
              <w:top w:w="0" w:type="dxa"/>
              <w:left w:w="108" w:type="dxa"/>
              <w:bottom w:w="0" w:type="dxa"/>
              <w:right w:w="108" w:type="dxa"/>
            </w:tcMar>
            <w:vAlign w:val="center"/>
          </w:tcPr>
          <w:p w14:paraId="73F027E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宋体" w:hAnsi="宋体" w:eastAsia="宋体"/>
                <w:color w:val="auto"/>
                <w:kern w:val="2"/>
                <w:sz w:val="21"/>
                <w:szCs w:val="21"/>
                <w:lang w:val="en-US" w:eastAsia="zh-CN" w:bidi="ar-SA"/>
              </w:rPr>
            </w:pPr>
            <w:r>
              <w:rPr>
                <w:rFonts w:hint="eastAsia" w:ascii="宋体" w:hAnsi="宋体"/>
                <w:color w:val="auto"/>
                <w:kern w:val="2"/>
                <w:sz w:val="21"/>
                <w:szCs w:val="21"/>
                <w:lang w:val="en-US" w:eastAsia="zh-CN" w:bidi="ar-SA"/>
              </w:rPr>
              <w:t>二氧化碳培养箱</w:t>
            </w:r>
          </w:p>
        </w:tc>
        <w:tc>
          <w:tcPr>
            <w:tcW w:w="1780" w:type="dxa"/>
            <w:noWrap w:val="0"/>
            <w:tcMar>
              <w:top w:w="0" w:type="dxa"/>
              <w:left w:w="108" w:type="dxa"/>
              <w:bottom w:w="0" w:type="dxa"/>
              <w:right w:w="108" w:type="dxa"/>
            </w:tcMar>
            <w:vAlign w:val="center"/>
          </w:tcPr>
          <w:p w14:paraId="7C8EA92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0"/>
                <w:sz w:val="21"/>
                <w:szCs w:val="21"/>
                <w:lang w:val="en-US" w:eastAsia="zh-CN"/>
              </w:rPr>
              <w:t>QP-50</w:t>
            </w:r>
          </w:p>
        </w:tc>
        <w:tc>
          <w:tcPr>
            <w:tcW w:w="1137" w:type="dxa"/>
            <w:noWrap w:val="0"/>
            <w:tcMar>
              <w:top w:w="0" w:type="dxa"/>
              <w:left w:w="108" w:type="dxa"/>
              <w:bottom w:w="0" w:type="dxa"/>
              <w:right w:w="108" w:type="dxa"/>
            </w:tcMar>
            <w:vAlign w:val="center"/>
          </w:tcPr>
          <w:p w14:paraId="4E52ECD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kern w:val="0"/>
                <w:sz w:val="21"/>
                <w:szCs w:val="21"/>
                <w:lang w:val="en-US" w:eastAsia="zh-CN" w:bidi="ar-SA"/>
              </w:rPr>
            </w:pPr>
            <w:r>
              <w:rPr>
                <w:rFonts w:hint="eastAsia" w:ascii="Times New Roman" w:hAnsi="Times New Roman"/>
                <w:color w:val="auto"/>
                <w:kern w:val="0"/>
                <w:sz w:val="21"/>
                <w:szCs w:val="21"/>
              </w:rPr>
              <w:t>SY</w:t>
            </w:r>
            <w:r>
              <w:rPr>
                <w:rFonts w:ascii="Times New Roman" w:hAnsi="Times New Roman"/>
                <w:color w:val="auto"/>
                <w:kern w:val="0"/>
                <w:sz w:val="21"/>
                <w:szCs w:val="21"/>
              </w:rPr>
              <w:softHyphen/>
            </w:r>
            <w:r>
              <w:rPr>
                <w:rFonts w:hint="eastAsia" w:ascii="Times New Roman" w:hAnsi="Times New Roman"/>
                <w:color w:val="auto"/>
                <w:kern w:val="0"/>
                <w:sz w:val="21"/>
                <w:szCs w:val="21"/>
                <w:lang w:val="en-US" w:eastAsia="zh-CN"/>
              </w:rPr>
              <w:t>-107</w:t>
            </w:r>
          </w:p>
        </w:tc>
      </w:tr>
      <w:tr w14:paraId="119C6E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4C472D8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13</w:t>
            </w:r>
          </w:p>
        </w:tc>
        <w:tc>
          <w:tcPr>
            <w:tcW w:w="1585" w:type="dxa"/>
            <w:noWrap w:val="0"/>
            <w:tcMar>
              <w:top w:w="0" w:type="dxa"/>
              <w:left w:w="108" w:type="dxa"/>
              <w:bottom w:w="0" w:type="dxa"/>
              <w:right w:w="108" w:type="dxa"/>
            </w:tcMar>
            <w:vAlign w:val="center"/>
          </w:tcPr>
          <w:p w14:paraId="098B79D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 xml:space="preserve">亚硝酸盐 </w:t>
            </w:r>
          </w:p>
        </w:tc>
        <w:tc>
          <w:tcPr>
            <w:tcW w:w="3059" w:type="dxa"/>
            <w:noWrap w:val="0"/>
            <w:tcMar>
              <w:top w:w="0" w:type="dxa"/>
              <w:left w:w="108" w:type="dxa"/>
              <w:bottom w:w="0" w:type="dxa"/>
              <w:right w:w="108" w:type="dxa"/>
            </w:tcMar>
            <w:vAlign w:val="center"/>
          </w:tcPr>
          <w:p w14:paraId="180C0C9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宋体" w:hAnsi="宋体"/>
                <w:color w:val="auto"/>
                <w:sz w:val="21"/>
                <w:szCs w:val="21"/>
              </w:rPr>
              <w:t>紫外可见分光光度计</w:t>
            </w:r>
          </w:p>
        </w:tc>
        <w:tc>
          <w:tcPr>
            <w:tcW w:w="1780" w:type="dxa"/>
            <w:noWrap w:val="0"/>
            <w:tcMar>
              <w:top w:w="0" w:type="dxa"/>
              <w:left w:w="108" w:type="dxa"/>
              <w:bottom w:w="0" w:type="dxa"/>
              <w:right w:w="108" w:type="dxa"/>
            </w:tcMar>
            <w:vAlign w:val="center"/>
          </w:tcPr>
          <w:p w14:paraId="09B7194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ascii="Times New Roman" w:hAnsi="Times New Roman"/>
                <w:color w:val="auto"/>
                <w:kern w:val="0"/>
                <w:sz w:val="21"/>
                <w:szCs w:val="21"/>
              </w:rPr>
              <w:t>UV759CRT</w:t>
            </w:r>
          </w:p>
        </w:tc>
        <w:tc>
          <w:tcPr>
            <w:tcW w:w="1137" w:type="dxa"/>
            <w:noWrap w:val="0"/>
            <w:tcMar>
              <w:top w:w="0" w:type="dxa"/>
              <w:left w:w="108" w:type="dxa"/>
              <w:bottom w:w="0" w:type="dxa"/>
              <w:right w:w="108" w:type="dxa"/>
            </w:tcMar>
            <w:vAlign w:val="center"/>
          </w:tcPr>
          <w:p w14:paraId="44639A7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Times New Roman" w:hAnsi="Times New Roman"/>
                <w:color w:val="auto"/>
                <w:kern w:val="0"/>
                <w:sz w:val="21"/>
                <w:szCs w:val="21"/>
              </w:rPr>
              <w:t>SY</w:t>
            </w:r>
            <w:r>
              <w:rPr>
                <w:rFonts w:ascii="Times New Roman" w:hAnsi="Times New Roman"/>
                <w:color w:val="auto"/>
                <w:kern w:val="0"/>
                <w:sz w:val="21"/>
                <w:szCs w:val="21"/>
              </w:rPr>
              <w:softHyphen/>
            </w:r>
            <w:r>
              <w:rPr>
                <w:rFonts w:hint="eastAsia" w:ascii="Times New Roman" w:hAnsi="Times New Roman"/>
                <w:color w:val="auto"/>
                <w:kern w:val="0"/>
                <w:sz w:val="21"/>
                <w:szCs w:val="21"/>
              </w:rPr>
              <w:t>-027</w:t>
            </w:r>
          </w:p>
        </w:tc>
      </w:tr>
      <w:tr w14:paraId="720E90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2603055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14</w:t>
            </w:r>
          </w:p>
        </w:tc>
        <w:tc>
          <w:tcPr>
            <w:tcW w:w="1585" w:type="dxa"/>
            <w:noWrap w:val="0"/>
            <w:tcMar>
              <w:top w:w="0" w:type="dxa"/>
              <w:left w:w="108" w:type="dxa"/>
              <w:bottom w:w="0" w:type="dxa"/>
              <w:right w:w="108" w:type="dxa"/>
            </w:tcMar>
            <w:vAlign w:val="center"/>
          </w:tcPr>
          <w:p w14:paraId="23AD157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 xml:space="preserve">硝酸盐   </w:t>
            </w:r>
          </w:p>
        </w:tc>
        <w:tc>
          <w:tcPr>
            <w:tcW w:w="3059" w:type="dxa"/>
            <w:noWrap w:val="0"/>
            <w:tcMar>
              <w:top w:w="0" w:type="dxa"/>
              <w:left w:w="108" w:type="dxa"/>
              <w:bottom w:w="0" w:type="dxa"/>
              <w:right w:w="108" w:type="dxa"/>
            </w:tcMar>
            <w:vAlign w:val="center"/>
          </w:tcPr>
          <w:p w14:paraId="42D7647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宋体" w:hAnsi="宋体"/>
                <w:color w:val="auto"/>
                <w:sz w:val="21"/>
                <w:szCs w:val="21"/>
              </w:rPr>
              <w:t>紫外可见分光光度计</w:t>
            </w:r>
          </w:p>
        </w:tc>
        <w:tc>
          <w:tcPr>
            <w:tcW w:w="1780" w:type="dxa"/>
            <w:noWrap w:val="0"/>
            <w:tcMar>
              <w:top w:w="0" w:type="dxa"/>
              <w:left w:w="108" w:type="dxa"/>
              <w:bottom w:w="0" w:type="dxa"/>
              <w:right w:w="108" w:type="dxa"/>
            </w:tcMar>
            <w:vAlign w:val="center"/>
          </w:tcPr>
          <w:p w14:paraId="6EF1BC9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ascii="Times New Roman" w:hAnsi="Times New Roman"/>
                <w:color w:val="auto"/>
                <w:kern w:val="0"/>
                <w:sz w:val="21"/>
                <w:szCs w:val="21"/>
              </w:rPr>
              <w:t>UV759CRT</w:t>
            </w:r>
          </w:p>
        </w:tc>
        <w:tc>
          <w:tcPr>
            <w:tcW w:w="1137" w:type="dxa"/>
            <w:noWrap w:val="0"/>
            <w:tcMar>
              <w:top w:w="0" w:type="dxa"/>
              <w:left w:w="108" w:type="dxa"/>
              <w:bottom w:w="0" w:type="dxa"/>
              <w:right w:w="108" w:type="dxa"/>
            </w:tcMar>
            <w:vAlign w:val="center"/>
          </w:tcPr>
          <w:p w14:paraId="2910B70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Times New Roman" w:hAnsi="Times New Roman"/>
                <w:color w:val="auto"/>
                <w:kern w:val="0"/>
                <w:sz w:val="21"/>
                <w:szCs w:val="21"/>
              </w:rPr>
              <w:t>SY</w:t>
            </w:r>
            <w:r>
              <w:rPr>
                <w:rFonts w:ascii="Times New Roman" w:hAnsi="Times New Roman"/>
                <w:color w:val="auto"/>
                <w:kern w:val="0"/>
                <w:sz w:val="21"/>
                <w:szCs w:val="21"/>
              </w:rPr>
              <w:softHyphen/>
            </w:r>
            <w:r>
              <w:rPr>
                <w:rFonts w:hint="eastAsia" w:ascii="Times New Roman" w:hAnsi="Times New Roman"/>
                <w:color w:val="auto"/>
                <w:kern w:val="0"/>
                <w:sz w:val="21"/>
                <w:szCs w:val="21"/>
              </w:rPr>
              <w:t>-027</w:t>
            </w:r>
          </w:p>
        </w:tc>
      </w:tr>
      <w:tr w14:paraId="12803E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0B268F9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15</w:t>
            </w:r>
          </w:p>
        </w:tc>
        <w:tc>
          <w:tcPr>
            <w:tcW w:w="1585" w:type="dxa"/>
            <w:noWrap w:val="0"/>
            <w:tcMar>
              <w:top w:w="0" w:type="dxa"/>
              <w:left w:w="108" w:type="dxa"/>
              <w:bottom w:w="0" w:type="dxa"/>
              <w:right w:w="108" w:type="dxa"/>
            </w:tcMar>
            <w:vAlign w:val="center"/>
          </w:tcPr>
          <w:p w14:paraId="32FDEDB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氰化物</w:t>
            </w:r>
          </w:p>
        </w:tc>
        <w:tc>
          <w:tcPr>
            <w:tcW w:w="3059" w:type="dxa"/>
            <w:noWrap w:val="0"/>
            <w:tcMar>
              <w:top w:w="0" w:type="dxa"/>
              <w:left w:w="108" w:type="dxa"/>
              <w:bottom w:w="0" w:type="dxa"/>
              <w:right w:w="108" w:type="dxa"/>
            </w:tcMar>
            <w:vAlign w:val="center"/>
          </w:tcPr>
          <w:p w14:paraId="2ABF96D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宋体" w:hAnsi="宋体"/>
                <w:color w:val="auto"/>
                <w:sz w:val="21"/>
                <w:szCs w:val="21"/>
              </w:rPr>
              <w:t>紫外可见分光光度计</w:t>
            </w:r>
          </w:p>
        </w:tc>
        <w:tc>
          <w:tcPr>
            <w:tcW w:w="1780" w:type="dxa"/>
            <w:noWrap w:val="0"/>
            <w:tcMar>
              <w:top w:w="0" w:type="dxa"/>
              <w:left w:w="108" w:type="dxa"/>
              <w:bottom w:w="0" w:type="dxa"/>
              <w:right w:w="108" w:type="dxa"/>
            </w:tcMar>
            <w:vAlign w:val="center"/>
          </w:tcPr>
          <w:p w14:paraId="05C5616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ascii="Times New Roman" w:hAnsi="Times New Roman"/>
                <w:color w:val="auto"/>
                <w:kern w:val="0"/>
                <w:sz w:val="21"/>
                <w:szCs w:val="21"/>
              </w:rPr>
              <w:t>UV759CRT</w:t>
            </w:r>
          </w:p>
        </w:tc>
        <w:tc>
          <w:tcPr>
            <w:tcW w:w="1137" w:type="dxa"/>
            <w:noWrap w:val="0"/>
            <w:tcMar>
              <w:top w:w="0" w:type="dxa"/>
              <w:left w:w="108" w:type="dxa"/>
              <w:bottom w:w="0" w:type="dxa"/>
              <w:right w:w="108" w:type="dxa"/>
            </w:tcMar>
            <w:vAlign w:val="center"/>
          </w:tcPr>
          <w:p w14:paraId="70D76B7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Times New Roman" w:hAnsi="Times New Roman"/>
                <w:color w:val="auto"/>
                <w:kern w:val="0"/>
                <w:sz w:val="21"/>
                <w:szCs w:val="21"/>
              </w:rPr>
              <w:t>SY</w:t>
            </w:r>
            <w:r>
              <w:rPr>
                <w:rFonts w:ascii="Times New Roman" w:hAnsi="Times New Roman"/>
                <w:color w:val="auto"/>
                <w:kern w:val="0"/>
                <w:sz w:val="21"/>
                <w:szCs w:val="21"/>
              </w:rPr>
              <w:softHyphen/>
            </w:r>
            <w:r>
              <w:rPr>
                <w:rFonts w:hint="eastAsia" w:ascii="Times New Roman" w:hAnsi="Times New Roman"/>
                <w:color w:val="auto"/>
                <w:kern w:val="0"/>
                <w:sz w:val="21"/>
                <w:szCs w:val="21"/>
              </w:rPr>
              <w:t>-027</w:t>
            </w:r>
          </w:p>
        </w:tc>
      </w:tr>
      <w:tr w14:paraId="7A5AB3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2E83FB2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16</w:t>
            </w:r>
          </w:p>
        </w:tc>
        <w:tc>
          <w:tcPr>
            <w:tcW w:w="1585" w:type="dxa"/>
            <w:noWrap w:val="0"/>
            <w:tcMar>
              <w:top w:w="0" w:type="dxa"/>
              <w:left w:w="108" w:type="dxa"/>
              <w:bottom w:w="0" w:type="dxa"/>
              <w:right w:w="108" w:type="dxa"/>
            </w:tcMar>
            <w:vAlign w:val="center"/>
          </w:tcPr>
          <w:p w14:paraId="793CFC99">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氟化物</w:t>
            </w:r>
          </w:p>
        </w:tc>
        <w:tc>
          <w:tcPr>
            <w:tcW w:w="3059" w:type="dxa"/>
            <w:noWrap w:val="0"/>
            <w:tcMar>
              <w:top w:w="0" w:type="dxa"/>
              <w:left w:w="108" w:type="dxa"/>
              <w:bottom w:w="0" w:type="dxa"/>
              <w:right w:w="108" w:type="dxa"/>
            </w:tcMar>
            <w:vAlign w:val="center"/>
          </w:tcPr>
          <w:p w14:paraId="7F106779">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olor w:val="auto"/>
                <w:kern w:val="0"/>
                <w:sz w:val="21"/>
                <w:szCs w:val="21"/>
                <w:lang w:val="en-US" w:eastAsia="zh-CN" w:bidi="ar-SA"/>
              </w:rPr>
            </w:pPr>
            <w:r>
              <w:rPr>
                <w:rFonts w:hint="eastAsia" w:ascii="宋体" w:hAnsi="宋体"/>
                <w:color w:val="auto"/>
                <w:sz w:val="21"/>
                <w:szCs w:val="21"/>
                <w:lang w:val="en-US" w:eastAsia="zh-CN"/>
              </w:rPr>
              <w:t>离子计</w:t>
            </w:r>
          </w:p>
        </w:tc>
        <w:tc>
          <w:tcPr>
            <w:tcW w:w="1780" w:type="dxa"/>
            <w:noWrap w:val="0"/>
            <w:tcMar>
              <w:top w:w="0" w:type="dxa"/>
              <w:left w:w="108" w:type="dxa"/>
              <w:bottom w:w="0" w:type="dxa"/>
              <w:right w:w="108" w:type="dxa"/>
            </w:tcMar>
            <w:vAlign w:val="center"/>
          </w:tcPr>
          <w:p w14:paraId="294EEFC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olor w:val="auto"/>
                <w:kern w:val="2"/>
                <w:sz w:val="21"/>
                <w:szCs w:val="21"/>
                <w:lang w:val="en-US" w:eastAsia="zh-CN" w:bidi="ar-SA"/>
              </w:rPr>
            </w:pPr>
            <w:r>
              <w:rPr>
                <w:rFonts w:ascii="Times New Roman" w:hAnsi="Times New Roman"/>
                <w:color w:val="auto"/>
                <w:kern w:val="0"/>
                <w:sz w:val="21"/>
                <w:szCs w:val="21"/>
                <w:lang w:bidi="ar"/>
              </w:rPr>
              <w:t>P</w:t>
            </w:r>
            <w:r>
              <w:rPr>
                <w:rFonts w:hint="eastAsia" w:ascii="Times New Roman" w:hAnsi="Times New Roman"/>
                <w:color w:val="auto"/>
                <w:kern w:val="0"/>
                <w:sz w:val="21"/>
                <w:szCs w:val="21"/>
                <w:lang w:val="en-US" w:eastAsia="zh-CN" w:bidi="ar"/>
              </w:rPr>
              <w:t>XSJ</w:t>
            </w:r>
            <w:r>
              <w:rPr>
                <w:rFonts w:ascii="Times New Roman" w:hAnsi="Times New Roman"/>
                <w:color w:val="auto"/>
                <w:kern w:val="0"/>
                <w:sz w:val="21"/>
                <w:szCs w:val="21"/>
                <w:lang w:bidi="ar"/>
              </w:rPr>
              <w:t>-2</w:t>
            </w:r>
            <w:r>
              <w:rPr>
                <w:rFonts w:hint="eastAsia" w:ascii="Times New Roman" w:hAnsi="Times New Roman"/>
                <w:color w:val="auto"/>
                <w:kern w:val="0"/>
                <w:sz w:val="21"/>
                <w:szCs w:val="21"/>
                <w:lang w:val="en-US" w:eastAsia="zh-CN" w:bidi="ar"/>
              </w:rPr>
              <w:t>16F</w:t>
            </w:r>
          </w:p>
        </w:tc>
        <w:tc>
          <w:tcPr>
            <w:tcW w:w="1137" w:type="dxa"/>
            <w:noWrap w:val="0"/>
            <w:tcMar>
              <w:top w:w="0" w:type="dxa"/>
              <w:left w:w="108" w:type="dxa"/>
              <w:bottom w:w="0" w:type="dxa"/>
              <w:right w:w="108" w:type="dxa"/>
            </w:tcMar>
            <w:vAlign w:val="center"/>
          </w:tcPr>
          <w:p w14:paraId="44BD87C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olor w:val="auto"/>
                <w:kern w:val="0"/>
                <w:sz w:val="21"/>
                <w:szCs w:val="21"/>
                <w:lang w:val="en-US" w:eastAsia="zh-CN" w:bidi="ar-SA"/>
              </w:rPr>
            </w:pPr>
            <w:r>
              <w:rPr>
                <w:rFonts w:hint="eastAsia" w:ascii="Times New Roman" w:hAnsi="Times New Roman"/>
                <w:color w:val="auto"/>
                <w:kern w:val="0"/>
                <w:sz w:val="21"/>
                <w:szCs w:val="21"/>
              </w:rPr>
              <w:t>SY</w:t>
            </w:r>
            <w:r>
              <w:rPr>
                <w:rFonts w:ascii="Times New Roman" w:hAnsi="Times New Roman"/>
                <w:color w:val="auto"/>
                <w:kern w:val="0"/>
                <w:sz w:val="21"/>
                <w:szCs w:val="21"/>
              </w:rPr>
              <w:softHyphen/>
            </w:r>
            <w:r>
              <w:rPr>
                <w:rFonts w:hint="eastAsia" w:ascii="Times New Roman" w:hAnsi="Times New Roman"/>
                <w:color w:val="auto"/>
                <w:kern w:val="0"/>
                <w:sz w:val="21"/>
                <w:szCs w:val="21"/>
              </w:rPr>
              <w:t>-</w:t>
            </w:r>
            <w:r>
              <w:rPr>
                <w:rFonts w:hint="eastAsia" w:ascii="Times New Roman" w:hAnsi="Times New Roman"/>
                <w:color w:val="auto"/>
                <w:kern w:val="0"/>
                <w:sz w:val="21"/>
                <w:szCs w:val="21"/>
                <w:lang w:val="en-US" w:eastAsia="zh-CN"/>
              </w:rPr>
              <w:t>180</w:t>
            </w:r>
          </w:p>
        </w:tc>
      </w:tr>
      <w:tr w14:paraId="7EB88A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4E1C616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17</w:t>
            </w:r>
          </w:p>
        </w:tc>
        <w:tc>
          <w:tcPr>
            <w:tcW w:w="1585" w:type="dxa"/>
            <w:noWrap w:val="0"/>
            <w:tcMar>
              <w:top w:w="0" w:type="dxa"/>
              <w:left w:w="108" w:type="dxa"/>
              <w:bottom w:w="0" w:type="dxa"/>
              <w:right w:w="108" w:type="dxa"/>
            </w:tcMar>
            <w:vAlign w:val="center"/>
          </w:tcPr>
          <w:p w14:paraId="669D303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汞</w:t>
            </w:r>
          </w:p>
        </w:tc>
        <w:tc>
          <w:tcPr>
            <w:tcW w:w="3059" w:type="dxa"/>
            <w:noWrap w:val="0"/>
            <w:tcMar>
              <w:top w:w="0" w:type="dxa"/>
              <w:left w:w="108" w:type="dxa"/>
              <w:bottom w:w="0" w:type="dxa"/>
              <w:right w:w="108" w:type="dxa"/>
            </w:tcMar>
            <w:vAlign w:val="center"/>
          </w:tcPr>
          <w:p w14:paraId="09ECD97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kern w:val="2"/>
                <w:sz w:val="21"/>
                <w:szCs w:val="21"/>
                <w:lang w:val="en-US" w:eastAsia="zh-CN" w:bidi="ar-SA"/>
              </w:rPr>
            </w:pPr>
            <w:r>
              <w:rPr>
                <w:rFonts w:hint="eastAsia" w:ascii="宋体" w:hAnsi="宋体"/>
                <w:color w:val="auto"/>
                <w:sz w:val="21"/>
                <w:szCs w:val="21"/>
              </w:rPr>
              <w:t>原子荧光光谱仪</w:t>
            </w:r>
          </w:p>
        </w:tc>
        <w:tc>
          <w:tcPr>
            <w:tcW w:w="1780" w:type="dxa"/>
            <w:noWrap w:val="0"/>
            <w:tcMar>
              <w:top w:w="0" w:type="dxa"/>
              <w:left w:w="108" w:type="dxa"/>
              <w:bottom w:w="0" w:type="dxa"/>
              <w:right w:w="108" w:type="dxa"/>
            </w:tcMar>
            <w:vAlign w:val="center"/>
          </w:tcPr>
          <w:p w14:paraId="6C4EC4A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hint="eastAsia" w:ascii="Times New Roman" w:hAnsi="Times New Roman"/>
                <w:color w:val="auto"/>
                <w:sz w:val="21"/>
                <w:szCs w:val="21"/>
              </w:rPr>
              <w:t>AF-3200</w:t>
            </w:r>
          </w:p>
        </w:tc>
        <w:tc>
          <w:tcPr>
            <w:tcW w:w="1137" w:type="dxa"/>
            <w:noWrap w:val="0"/>
            <w:tcMar>
              <w:top w:w="0" w:type="dxa"/>
              <w:left w:w="108" w:type="dxa"/>
              <w:bottom w:w="0" w:type="dxa"/>
              <w:right w:w="108" w:type="dxa"/>
            </w:tcMar>
            <w:vAlign w:val="center"/>
          </w:tcPr>
          <w:p w14:paraId="74AF2B9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Times New Roman" w:hAnsi="Times New Roman"/>
                <w:color w:val="auto"/>
                <w:kern w:val="0"/>
                <w:sz w:val="21"/>
                <w:szCs w:val="21"/>
              </w:rPr>
              <w:t>SY-026</w:t>
            </w:r>
          </w:p>
        </w:tc>
      </w:tr>
      <w:tr w14:paraId="116235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7C17C16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18</w:t>
            </w:r>
          </w:p>
        </w:tc>
        <w:tc>
          <w:tcPr>
            <w:tcW w:w="1585" w:type="dxa"/>
            <w:noWrap w:val="0"/>
            <w:tcMar>
              <w:top w:w="0" w:type="dxa"/>
              <w:left w:w="108" w:type="dxa"/>
              <w:bottom w:w="0" w:type="dxa"/>
              <w:right w:w="108" w:type="dxa"/>
            </w:tcMar>
            <w:vAlign w:val="center"/>
          </w:tcPr>
          <w:p w14:paraId="7FDC7F9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砷</w:t>
            </w:r>
          </w:p>
        </w:tc>
        <w:tc>
          <w:tcPr>
            <w:tcW w:w="3059" w:type="dxa"/>
            <w:noWrap w:val="0"/>
            <w:tcMar>
              <w:top w:w="0" w:type="dxa"/>
              <w:left w:w="108" w:type="dxa"/>
              <w:bottom w:w="0" w:type="dxa"/>
              <w:right w:w="108" w:type="dxa"/>
            </w:tcMar>
            <w:vAlign w:val="center"/>
          </w:tcPr>
          <w:p w14:paraId="16A9E83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kern w:val="2"/>
                <w:sz w:val="21"/>
                <w:szCs w:val="21"/>
                <w:lang w:val="en-US" w:eastAsia="zh-CN" w:bidi="ar-SA"/>
              </w:rPr>
            </w:pPr>
            <w:r>
              <w:rPr>
                <w:rFonts w:hint="eastAsia" w:ascii="宋体" w:hAnsi="宋体"/>
                <w:color w:val="auto"/>
                <w:sz w:val="21"/>
                <w:szCs w:val="21"/>
              </w:rPr>
              <w:t>原子荧光光谱仪</w:t>
            </w:r>
          </w:p>
        </w:tc>
        <w:tc>
          <w:tcPr>
            <w:tcW w:w="1780" w:type="dxa"/>
            <w:noWrap w:val="0"/>
            <w:tcMar>
              <w:top w:w="0" w:type="dxa"/>
              <w:left w:w="108" w:type="dxa"/>
              <w:bottom w:w="0" w:type="dxa"/>
              <w:right w:w="108" w:type="dxa"/>
            </w:tcMar>
            <w:vAlign w:val="center"/>
          </w:tcPr>
          <w:p w14:paraId="692C75E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olor w:val="auto"/>
                <w:kern w:val="2"/>
                <w:sz w:val="21"/>
                <w:szCs w:val="21"/>
                <w:lang w:val="en-US" w:eastAsia="zh-CN" w:bidi="ar-SA"/>
              </w:rPr>
            </w:pPr>
            <w:r>
              <w:rPr>
                <w:rFonts w:hint="eastAsia" w:ascii="Times New Roman" w:hAnsi="Times New Roman"/>
                <w:color w:val="auto"/>
                <w:sz w:val="21"/>
                <w:szCs w:val="21"/>
              </w:rPr>
              <w:t>AF-3200</w:t>
            </w:r>
          </w:p>
        </w:tc>
        <w:tc>
          <w:tcPr>
            <w:tcW w:w="1137" w:type="dxa"/>
            <w:noWrap w:val="0"/>
            <w:tcMar>
              <w:top w:w="0" w:type="dxa"/>
              <w:left w:w="108" w:type="dxa"/>
              <w:bottom w:w="0" w:type="dxa"/>
              <w:right w:w="108" w:type="dxa"/>
            </w:tcMar>
            <w:vAlign w:val="center"/>
          </w:tcPr>
          <w:p w14:paraId="0A2CA3B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Times New Roman" w:hAnsi="Times New Roman"/>
                <w:color w:val="auto"/>
                <w:kern w:val="0"/>
                <w:sz w:val="21"/>
                <w:szCs w:val="21"/>
              </w:rPr>
              <w:t>SY-026</w:t>
            </w:r>
          </w:p>
        </w:tc>
      </w:tr>
      <w:tr w14:paraId="616589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7B96D4D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19</w:t>
            </w:r>
          </w:p>
        </w:tc>
        <w:tc>
          <w:tcPr>
            <w:tcW w:w="1585" w:type="dxa"/>
            <w:noWrap w:val="0"/>
            <w:tcMar>
              <w:top w:w="0" w:type="dxa"/>
              <w:left w:w="108" w:type="dxa"/>
              <w:bottom w:w="0" w:type="dxa"/>
              <w:right w:w="108" w:type="dxa"/>
            </w:tcMar>
            <w:vAlign w:val="center"/>
          </w:tcPr>
          <w:p w14:paraId="6649ADB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镉</w:t>
            </w:r>
          </w:p>
        </w:tc>
        <w:tc>
          <w:tcPr>
            <w:tcW w:w="3059" w:type="dxa"/>
            <w:noWrap w:val="0"/>
            <w:tcMar>
              <w:top w:w="0" w:type="dxa"/>
              <w:left w:w="108" w:type="dxa"/>
              <w:bottom w:w="0" w:type="dxa"/>
              <w:right w:w="108" w:type="dxa"/>
            </w:tcMar>
            <w:vAlign w:val="center"/>
          </w:tcPr>
          <w:p w14:paraId="39BEF65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kern w:val="2"/>
                <w:sz w:val="21"/>
                <w:szCs w:val="21"/>
                <w:lang w:val="en-US" w:eastAsia="zh-CN" w:bidi="ar-SA"/>
              </w:rPr>
            </w:pPr>
            <w:r>
              <w:rPr>
                <w:rFonts w:hint="eastAsia" w:ascii="宋体" w:hAnsi="宋体"/>
                <w:color w:val="auto"/>
                <w:sz w:val="21"/>
                <w:szCs w:val="21"/>
              </w:rPr>
              <w:t>原子吸收分光光度计</w:t>
            </w:r>
          </w:p>
        </w:tc>
        <w:tc>
          <w:tcPr>
            <w:tcW w:w="1780" w:type="dxa"/>
            <w:noWrap w:val="0"/>
            <w:tcMar>
              <w:top w:w="0" w:type="dxa"/>
              <w:left w:w="108" w:type="dxa"/>
              <w:bottom w:w="0" w:type="dxa"/>
              <w:right w:w="108" w:type="dxa"/>
            </w:tcMar>
            <w:vAlign w:val="center"/>
          </w:tcPr>
          <w:p w14:paraId="2A6A34B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kern w:val="2"/>
                <w:sz w:val="21"/>
                <w:szCs w:val="21"/>
                <w:lang w:val="en-US" w:eastAsia="zh-CN" w:bidi="ar-SA"/>
              </w:rPr>
            </w:pPr>
            <w:r>
              <w:rPr>
                <w:rFonts w:hint="eastAsia" w:ascii="Times New Roman" w:hAnsi="Times New Roman"/>
                <w:color w:val="auto"/>
                <w:sz w:val="21"/>
                <w:szCs w:val="21"/>
              </w:rPr>
              <w:t>WFX-220A</w:t>
            </w:r>
          </w:p>
        </w:tc>
        <w:tc>
          <w:tcPr>
            <w:tcW w:w="1137" w:type="dxa"/>
            <w:noWrap w:val="0"/>
            <w:tcMar>
              <w:top w:w="0" w:type="dxa"/>
              <w:left w:w="108" w:type="dxa"/>
              <w:bottom w:w="0" w:type="dxa"/>
              <w:right w:w="108" w:type="dxa"/>
            </w:tcMar>
            <w:vAlign w:val="center"/>
          </w:tcPr>
          <w:p w14:paraId="5B9AFE2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lang w:val="en-US" w:eastAsia="zh-CN" w:bidi="ar-SA"/>
              </w:rPr>
            </w:pPr>
            <w:r>
              <w:rPr>
                <w:rFonts w:hint="eastAsia" w:ascii="Times New Roman" w:hAnsi="Times New Roman"/>
                <w:color w:val="auto"/>
                <w:kern w:val="0"/>
                <w:sz w:val="21"/>
                <w:szCs w:val="21"/>
              </w:rPr>
              <w:t>SY-025</w:t>
            </w:r>
          </w:p>
        </w:tc>
      </w:tr>
      <w:tr w14:paraId="674ADF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6E108D0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20</w:t>
            </w:r>
          </w:p>
        </w:tc>
        <w:tc>
          <w:tcPr>
            <w:tcW w:w="1585" w:type="dxa"/>
            <w:noWrap w:val="0"/>
            <w:tcMar>
              <w:top w:w="0" w:type="dxa"/>
              <w:left w:w="108" w:type="dxa"/>
              <w:bottom w:w="0" w:type="dxa"/>
              <w:right w:w="108" w:type="dxa"/>
            </w:tcMar>
            <w:vAlign w:val="center"/>
          </w:tcPr>
          <w:p w14:paraId="2C8B3D39">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eastAsia" w:ascii="Times New Roman" w:hAnsi="Times New Roman" w:eastAsia="宋体" w:cs="Times New Roman"/>
                <w:color w:val="auto"/>
                <w:sz w:val="21"/>
                <w:szCs w:val="21"/>
                <w:lang w:val="en-US" w:eastAsia="zh-CN"/>
              </w:rPr>
              <w:t>铬（六价）</w:t>
            </w:r>
          </w:p>
        </w:tc>
        <w:tc>
          <w:tcPr>
            <w:tcW w:w="3059" w:type="dxa"/>
            <w:noWrap w:val="0"/>
            <w:tcMar>
              <w:top w:w="0" w:type="dxa"/>
              <w:left w:w="108" w:type="dxa"/>
              <w:bottom w:w="0" w:type="dxa"/>
              <w:right w:w="108" w:type="dxa"/>
            </w:tcMar>
            <w:vAlign w:val="center"/>
          </w:tcPr>
          <w:p w14:paraId="353745C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eastAsia" w:ascii="宋体" w:hAnsi="宋体"/>
                <w:color w:val="auto"/>
                <w:sz w:val="21"/>
                <w:szCs w:val="21"/>
              </w:rPr>
              <w:t>紫外可见分光光度计</w:t>
            </w:r>
          </w:p>
        </w:tc>
        <w:tc>
          <w:tcPr>
            <w:tcW w:w="1780" w:type="dxa"/>
            <w:noWrap w:val="0"/>
            <w:tcMar>
              <w:top w:w="0" w:type="dxa"/>
              <w:left w:w="108" w:type="dxa"/>
              <w:bottom w:w="0" w:type="dxa"/>
              <w:right w:w="108" w:type="dxa"/>
            </w:tcMar>
            <w:vAlign w:val="center"/>
          </w:tcPr>
          <w:p w14:paraId="2209543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eastAsia="宋体" w:cs="Times New Roman"/>
                <w:color w:val="auto"/>
                <w:sz w:val="21"/>
                <w:szCs w:val="21"/>
              </w:rPr>
              <w:t>UV759CRT</w:t>
            </w:r>
          </w:p>
        </w:tc>
        <w:tc>
          <w:tcPr>
            <w:tcW w:w="1137" w:type="dxa"/>
            <w:noWrap w:val="0"/>
            <w:tcMar>
              <w:top w:w="0" w:type="dxa"/>
              <w:left w:w="108" w:type="dxa"/>
              <w:bottom w:w="0" w:type="dxa"/>
              <w:right w:w="108" w:type="dxa"/>
            </w:tcMar>
            <w:vAlign w:val="center"/>
          </w:tcPr>
          <w:p w14:paraId="01FE81E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eastAsia="宋体" w:cs="Times New Roman"/>
                <w:color w:val="auto"/>
                <w:sz w:val="21"/>
                <w:szCs w:val="21"/>
                <w:lang w:val="en-US" w:eastAsia="zh-CN"/>
              </w:rPr>
              <w:t>SY</w:t>
            </w:r>
            <w:r>
              <w:rPr>
                <w:rFonts w:hint="default" w:ascii="Times New Roman" w:hAnsi="Times New Roman" w:eastAsia="宋体" w:cs="Times New Roman"/>
                <w:color w:val="auto"/>
                <w:sz w:val="21"/>
                <w:szCs w:val="21"/>
                <w:lang w:val="en-US" w:eastAsia="zh-CN"/>
              </w:rPr>
              <w:softHyphen/>
            </w:r>
            <w:r>
              <w:rPr>
                <w:rFonts w:hint="default" w:ascii="Times New Roman" w:hAnsi="Times New Roman" w:eastAsia="宋体" w:cs="Times New Roman"/>
                <w:color w:val="auto"/>
                <w:sz w:val="21"/>
                <w:szCs w:val="21"/>
                <w:lang w:val="en-US" w:eastAsia="zh-CN"/>
              </w:rPr>
              <w:t>-027</w:t>
            </w:r>
          </w:p>
        </w:tc>
      </w:tr>
      <w:tr w14:paraId="19EA6C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6DFEDDE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eastAsia="宋体" w:cs="Times New Roman"/>
                <w:color w:val="auto"/>
                <w:kern w:val="0"/>
                <w:sz w:val="21"/>
                <w:szCs w:val="21"/>
                <w:lang w:val="en-US" w:eastAsia="zh-CN"/>
              </w:rPr>
            </w:pPr>
            <w:r>
              <w:rPr>
                <w:rFonts w:hint="eastAsia" w:ascii="Times New Roman" w:hAnsi="Times New Roman" w:eastAsia="宋体" w:cs="Times New Roman"/>
                <w:color w:val="auto"/>
                <w:kern w:val="2"/>
                <w:sz w:val="21"/>
                <w:szCs w:val="21"/>
                <w:lang w:val="en-US" w:eastAsia="zh-CN" w:bidi="ar-SA"/>
              </w:rPr>
              <w:t>21</w:t>
            </w:r>
          </w:p>
        </w:tc>
        <w:tc>
          <w:tcPr>
            <w:tcW w:w="1585" w:type="dxa"/>
            <w:noWrap w:val="0"/>
            <w:tcMar>
              <w:top w:w="0" w:type="dxa"/>
              <w:left w:w="108" w:type="dxa"/>
              <w:bottom w:w="0" w:type="dxa"/>
              <w:right w:w="108" w:type="dxa"/>
            </w:tcMar>
            <w:vAlign w:val="center"/>
          </w:tcPr>
          <w:p w14:paraId="3F4CFF30">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sz w:val="21"/>
                <w:szCs w:val="21"/>
                <w:lang w:val="en-US" w:eastAsia="zh-CN"/>
              </w:rPr>
              <w:t>铅</w:t>
            </w:r>
          </w:p>
        </w:tc>
        <w:tc>
          <w:tcPr>
            <w:tcW w:w="3059" w:type="dxa"/>
            <w:noWrap w:val="0"/>
            <w:tcMar>
              <w:top w:w="0" w:type="dxa"/>
              <w:left w:w="108" w:type="dxa"/>
              <w:bottom w:w="0" w:type="dxa"/>
              <w:right w:w="108" w:type="dxa"/>
            </w:tcMar>
            <w:vAlign w:val="center"/>
          </w:tcPr>
          <w:p w14:paraId="557AFC29">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eastAsia" w:ascii="宋体" w:hAnsi="宋体"/>
                <w:color w:val="auto"/>
                <w:sz w:val="21"/>
                <w:szCs w:val="21"/>
              </w:rPr>
              <w:t>原子吸收分光光度计</w:t>
            </w:r>
          </w:p>
        </w:tc>
        <w:tc>
          <w:tcPr>
            <w:tcW w:w="1780" w:type="dxa"/>
            <w:noWrap w:val="0"/>
            <w:tcMar>
              <w:top w:w="0" w:type="dxa"/>
              <w:left w:w="108" w:type="dxa"/>
              <w:bottom w:w="0" w:type="dxa"/>
              <w:right w:w="108" w:type="dxa"/>
            </w:tcMar>
            <w:vAlign w:val="center"/>
          </w:tcPr>
          <w:p w14:paraId="226EF2C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sz w:val="21"/>
                <w:szCs w:val="21"/>
              </w:rPr>
            </w:pPr>
            <w:r>
              <w:rPr>
                <w:rFonts w:hint="eastAsia" w:ascii="Times New Roman" w:hAnsi="Times New Roman"/>
                <w:color w:val="auto"/>
                <w:sz w:val="21"/>
                <w:szCs w:val="21"/>
              </w:rPr>
              <w:t>WFX-220A</w:t>
            </w:r>
          </w:p>
        </w:tc>
        <w:tc>
          <w:tcPr>
            <w:tcW w:w="1137" w:type="dxa"/>
            <w:noWrap w:val="0"/>
            <w:tcMar>
              <w:top w:w="0" w:type="dxa"/>
              <w:left w:w="108" w:type="dxa"/>
              <w:bottom w:w="0" w:type="dxa"/>
              <w:right w:w="108" w:type="dxa"/>
            </w:tcMar>
            <w:vAlign w:val="center"/>
          </w:tcPr>
          <w:p w14:paraId="7B78ACD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eastAsia" w:ascii="Times New Roman" w:hAnsi="Times New Roman"/>
                <w:color w:val="auto"/>
                <w:kern w:val="0"/>
                <w:sz w:val="21"/>
                <w:szCs w:val="21"/>
              </w:rPr>
              <w:t>SY-025</w:t>
            </w:r>
          </w:p>
        </w:tc>
      </w:tr>
      <w:tr w14:paraId="4D42123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2BD8B85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22</w:t>
            </w:r>
          </w:p>
        </w:tc>
        <w:tc>
          <w:tcPr>
            <w:tcW w:w="1585" w:type="dxa"/>
            <w:noWrap w:val="0"/>
            <w:tcMar>
              <w:top w:w="0" w:type="dxa"/>
              <w:left w:w="108" w:type="dxa"/>
              <w:bottom w:w="0" w:type="dxa"/>
              <w:right w:w="108" w:type="dxa"/>
            </w:tcMar>
            <w:vAlign w:val="center"/>
          </w:tcPr>
          <w:p w14:paraId="2F7A045F">
            <w:pPr>
              <w:keepNext w:val="0"/>
              <w:keepLines w:val="0"/>
              <w:pageBreakBefore w:val="0"/>
              <w:widowControl/>
              <w:kinsoku/>
              <w:wordWrap/>
              <w:overflowPunct/>
              <w:topLinePunct w:val="0"/>
              <w:autoSpaceDE/>
              <w:autoSpaceDN/>
              <w:bidi w:val="0"/>
              <w:adjustRightInd w:val="0"/>
              <w:snapToGrid w:val="0"/>
              <w:spacing w:beforeAutospacing="0" w:afterAutospacing="0"/>
              <w:ind w:firstLine="420" w:firstLineChars="200"/>
              <w:jc w:val="both"/>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K</w:t>
            </w:r>
            <w:r>
              <w:rPr>
                <w:rFonts w:hint="default" w:ascii="Times New Roman" w:hAnsi="Times New Roman" w:eastAsia="宋体" w:cs="Times New Roman"/>
                <w:color w:val="auto"/>
                <w:sz w:val="21"/>
                <w:szCs w:val="21"/>
                <w:vertAlign w:val="superscript"/>
                <w:lang w:val="en-US" w:eastAsia="zh-CN"/>
              </w:rPr>
              <w:t>+</w:t>
            </w:r>
          </w:p>
        </w:tc>
        <w:tc>
          <w:tcPr>
            <w:tcW w:w="3059" w:type="dxa"/>
            <w:noWrap w:val="0"/>
            <w:tcMar>
              <w:top w:w="0" w:type="dxa"/>
              <w:left w:w="108" w:type="dxa"/>
              <w:bottom w:w="0" w:type="dxa"/>
              <w:right w:w="108" w:type="dxa"/>
            </w:tcMar>
            <w:vAlign w:val="center"/>
          </w:tcPr>
          <w:p w14:paraId="63D8FB9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default" w:ascii="Times New Roman" w:hAnsi="Times New Roman" w:cs="Times New Roman"/>
                <w:color w:val="auto"/>
                <w:sz w:val="21"/>
                <w:szCs w:val="21"/>
              </w:rPr>
              <w:t>原子吸收分光光度计</w:t>
            </w:r>
          </w:p>
        </w:tc>
        <w:tc>
          <w:tcPr>
            <w:tcW w:w="1780" w:type="dxa"/>
            <w:noWrap w:val="0"/>
            <w:tcMar>
              <w:top w:w="0" w:type="dxa"/>
              <w:left w:w="108" w:type="dxa"/>
              <w:bottom w:w="0" w:type="dxa"/>
              <w:right w:w="108" w:type="dxa"/>
            </w:tcMar>
            <w:vAlign w:val="center"/>
          </w:tcPr>
          <w:p w14:paraId="5BFB4C3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cs="Times New Roman"/>
                <w:color w:val="auto"/>
                <w:sz w:val="21"/>
                <w:szCs w:val="21"/>
              </w:rPr>
              <w:t>WFX-220A</w:t>
            </w:r>
          </w:p>
        </w:tc>
        <w:tc>
          <w:tcPr>
            <w:tcW w:w="1137" w:type="dxa"/>
            <w:noWrap w:val="0"/>
            <w:tcMar>
              <w:top w:w="0" w:type="dxa"/>
              <w:left w:w="108" w:type="dxa"/>
              <w:bottom w:w="0" w:type="dxa"/>
              <w:right w:w="108" w:type="dxa"/>
            </w:tcMar>
            <w:vAlign w:val="center"/>
          </w:tcPr>
          <w:p w14:paraId="210572DA">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cs="Times New Roman"/>
                <w:color w:val="auto"/>
                <w:kern w:val="0"/>
                <w:sz w:val="21"/>
                <w:szCs w:val="21"/>
              </w:rPr>
              <w:t>SY-025</w:t>
            </w:r>
          </w:p>
        </w:tc>
      </w:tr>
      <w:tr w14:paraId="2C9A0D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3BB97E9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23</w:t>
            </w:r>
          </w:p>
        </w:tc>
        <w:tc>
          <w:tcPr>
            <w:tcW w:w="1585" w:type="dxa"/>
            <w:noWrap w:val="0"/>
            <w:tcMar>
              <w:top w:w="0" w:type="dxa"/>
              <w:left w:w="108" w:type="dxa"/>
              <w:bottom w:w="0" w:type="dxa"/>
              <w:right w:w="108" w:type="dxa"/>
            </w:tcMar>
            <w:vAlign w:val="center"/>
          </w:tcPr>
          <w:p w14:paraId="0DDCD88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Na</w:t>
            </w:r>
            <w:r>
              <w:rPr>
                <w:rFonts w:hint="default" w:ascii="Times New Roman" w:hAnsi="Times New Roman" w:eastAsia="宋体" w:cs="Times New Roman"/>
                <w:color w:val="auto"/>
                <w:sz w:val="21"/>
                <w:szCs w:val="21"/>
                <w:vertAlign w:val="superscript"/>
                <w:lang w:val="en-US" w:eastAsia="zh-CN"/>
              </w:rPr>
              <w:t>+</w:t>
            </w:r>
          </w:p>
        </w:tc>
        <w:tc>
          <w:tcPr>
            <w:tcW w:w="3059" w:type="dxa"/>
            <w:noWrap w:val="0"/>
            <w:tcMar>
              <w:top w:w="0" w:type="dxa"/>
              <w:left w:w="108" w:type="dxa"/>
              <w:bottom w:w="0" w:type="dxa"/>
              <w:right w:w="108" w:type="dxa"/>
            </w:tcMar>
            <w:vAlign w:val="center"/>
          </w:tcPr>
          <w:p w14:paraId="2A40DB7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default" w:ascii="Times New Roman" w:hAnsi="Times New Roman" w:cs="Times New Roman"/>
                <w:color w:val="auto"/>
                <w:sz w:val="21"/>
                <w:szCs w:val="21"/>
              </w:rPr>
              <w:t>原子吸收分光光度计</w:t>
            </w:r>
          </w:p>
        </w:tc>
        <w:tc>
          <w:tcPr>
            <w:tcW w:w="1780" w:type="dxa"/>
            <w:noWrap w:val="0"/>
            <w:tcMar>
              <w:top w:w="0" w:type="dxa"/>
              <w:left w:w="108" w:type="dxa"/>
              <w:bottom w:w="0" w:type="dxa"/>
              <w:right w:w="108" w:type="dxa"/>
            </w:tcMar>
            <w:vAlign w:val="center"/>
          </w:tcPr>
          <w:p w14:paraId="5A9A895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cs="Times New Roman"/>
                <w:color w:val="auto"/>
                <w:sz w:val="21"/>
                <w:szCs w:val="21"/>
              </w:rPr>
              <w:t>WFX-220A</w:t>
            </w:r>
          </w:p>
        </w:tc>
        <w:tc>
          <w:tcPr>
            <w:tcW w:w="1137" w:type="dxa"/>
            <w:noWrap w:val="0"/>
            <w:tcMar>
              <w:top w:w="0" w:type="dxa"/>
              <w:left w:w="108" w:type="dxa"/>
              <w:bottom w:w="0" w:type="dxa"/>
              <w:right w:w="108" w:type="dxa"/>
            </w:tcMar>
            <w:vAlign w:val="center"/>
          </w:tcPr>
          <w:p w14:paraId="6E5305BD">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cs="Times New Roman"/>
                <w:color w:val="auto"/>
                <w:kern w:val="0"/>
                <w:sz w:val="21"/>
                <w:szCs w:val="21"/>
              </w:rPr>
              <w:t>SY-025</w:t>
            </w:r>
          </w:p>
        </w:tc>
      </w:tr>
      <w:tr w14:paraId="569538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389504F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24</w:t>
            </w:r>
          </w:p>
        </w:tc>
        <w:tc>
          <w:tcPr>
            <w:tcW w:w="1585" w:type="dxa"/>
            <w:noWrap w:val="0"/>
            <w:tcMar>
              <w:top w:w="0" w:type="dxa"/>
              <w:left w:w="108" w:type="dxa"/>
              <w:bottom w:w="0" w:type="dxa"/>
              <w:right w:w="108" w:type="dxa"/>
            </w:tcMar>
            <w:vAlign w:val="center"/>
          </w:tcPr>
          <w:p w14:paraId="0EADEAB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Ca</w:t>
            </w:r>
            <w:r>
              <w:rPr>
                <w:rFonts w:hint="default" w:ascii="Times New Roman" w:hAnsi="Times New Roman" w:eastAsia="宋体" w:cs="Times New Roman"/>
                <w:color w:val="auto"/>
                <w:sz w:val="21"/>
                <w:szCs w:val="21"/>
                <w:vertAlign w:val="superscript"/>
                <w:lang w:val="en-US" w:eastAsia="zh-CN"/>
              </w:rPr>
              <w:t>2+</w:t>
            </w:r>
          </w:p>
        </w:tc>
        <w:tc>
          <w:tcPr>
            <w:tcW w:w="3059" w:type="dxa"/>
            <w:noWrap w:val="0"/>
            <w:tcMar>
              <w:top w:w="0" w:type="dxa"/>
              <w:left w:w="108" w:type="dxa"/>
              <w:bottom w:w="0" w:type="dxa"/>
              <w:right w:w="108" w:type="dxa"/>
            </w:tcMar>
            <w:vAlign w:val="center"/>
          </w:tcPr>
          <w:p w14:paraId="2C6899B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default" w:ascii="Times New Roman" w:hAnsi="Times New Roman" w:cs="Times New Roman"/>
                <w:color w:val="auto"/>
                <w:sz w:val="21"/>
                <w:szCs w:val="21"/>
              </w:rPr>
              <w:t>原子吸收分光光度计</w:t>
            </w:r>
          </w:p>
        </w:tc>
        <w:tc>
          <w:tcPr>
            <w:tcW w:w="1780" w:type="dxa"/>
            <w:noWrap w:val="0"/>
            <w:tcMar>
              <w:top w:w="0" w:type="dxa"/>
              <w:left w:w="108" w:type="dxa"/>
              <w:bottom w:w="0" w:type="dxa"/>
              <w:right w:w="108" w:type="dxa"/>
            </w:tcMar>
            <w:vAlign w:val="center"/>
          </w:tcPr>
          <w:p w14:paraId="564EA62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cs="Times New Roman"/>
                <w:color w:val="auto"/>
                <w:sz w:val="21"/>
                <w:szCs w:val="21"/>
              </w:rPr>
              <w:t>WFX-220A</w:t>
            </w:r>
          </w:p>
        </w:tc>
        <w:tc>
          <w:tcPr>
            <w:tcW w:w="1137" w:type="dxa"/>
            <w:noWrap w:val="0"/>
            <w:tcMar>
              <w:top w:w="0" w:type="dxa"/>
              <w:left w:w="108" w:type="dxa"/>
              <w:bottom w:w="0" w:type="dxa"/>
              <w:right w:w="108" w:type="dxa"/>
            </w:tcMar>
            <w:vAlign w:val="center"/>
          </w:tcPr>
          <w:p w14:paraId="5277247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cs="Times New Roman"/>
                <w:color w:val="auto"/>
                <w:kern w:val="0"/>
                <w:sz w:val="21"/>
                <w:szCs w:val="21"/>
              </w:rPr>
              <w:t>SY-025</w:t>
            </w:r>
          </w:p>
        </w:tc>
      </w:tr>
      <w:tr w14:paraId="4B6C37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34802A15">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25</w:t>
            </w:r>
          </w:p>
        </w:tc>
        <w:tc>
          <w:tcPr>
            <w:tcW w:w="1585" w:type="dxa"/>
            <w:noWrap w:val="0"/>
            <w:tcMar>
              <w:top w:w="0" w:type="dxa"/>
              <w:left w:w="108" w:type="dxa"/>
              <w:bottom w:w="0" w:type="dxa"/>
              <w:right w:w="108" w:type="dxa"/>
            </w:tcMar>
            <w:vAlign w:val="center"/>
          </w:tcPr>
          <w:p w14:paraId="74AC9DA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Mg</w:t>
            </w:r>
            <w:r>
              <w:rPr>
                <w:rFonts w:hint="default" w:ascii="Times New Roman" w:hAnsi="Times New Roman" w:eastAsia="宋体" w:cs="Times New Roman"/>
                <w:color w:val="auto"/>
                <w:sz w:val="21"/>
                <w:szCs w:val="21"/>
                <w:vertAlign w:val="superscript"/>
                <w:lang w:val="en-US" w:eastAsia="zh-CN"/>
              </w:rPr>
              <w:t>2+</w:t>
            </w:r>
          </w:p>
        </w:tc>
        <w:tc>
          <w:tcPr>
            <w:tcW w:w="3059" w:type="dxa"/>
            <w:noWrap w:val="0"/>
            <w:tcMar>
              <w:top w:w="0" w:type="dxa"/>
              <w:left w:w="108" w:type="dxa"/>
              <w:bottom w:w="0" w:type="dxa"/>
              <w:right w:w="108" w:type="dxa"/>
            </w:tcMar>
            <w:vAlign w:val="center"/>
          </w:tcPr>
          <w:p w14:paraId="3014D2C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default" w:ascii="Times New Roman" w:hAnsi="Times New Roman" w:cs="Times New Roman"/>
                <w:color w:val="auto"/>
                <w:sz w:val="21"/>
                <w:szCs w:val="21"/>
              </w:rPr>
              <w:t>原子吸收分光光度计</w:t>
            </w:r>
          </w:p>
        </w:tc>
        <w:tc>
          <w:tcPr>
            <w:tcW w:w="1780" w:type="dxa"/>
            <w:noWrap w:val="0"/>
            <w:tcMar>
              <w:top w:w="0" w:type="dxa"/>
              <w:left w:w="108" w:type="dxa"/>
              <w:bottom w:w="0" w:type="dxa"/>
              <w:right w:w="108" w:type="dxa"/>
            </w:tcMar>
            <w:vAlign w:val="center"/>
          </w:tcPr>
          <w:p w14:paraId="76F07E6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cs="Times New Roman"/>
                <w:color w:val="auto"/>
                <w:sz w:val="21"/>
                <w:szCs w:val="21"/>
              </w:rPr>
              <w:t>WFX-220A</w:t>
            </w:r>
          </w:p>
        </w:tc>
        <w:tc>
          <w:tcPr>
            <w:tcW w:w="1137" w:type="dxa"/>
            <w:noWrap w:val="0"/>
            <w:tcMar>
              <w:top w:w="0" w:type="dxa"/>
              <w:left w:w="108" w:type="dxa"/>
              <w:bottom w:w="0" w:type="dxa"/>
              <w:right w:w="108" w:type="dxa"/>
            </w:tcMar>
            <w:vAlign w:val="center"/>
          </w:tcPr>
          <w:p w14:paraId="278EDD9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cs="Times New Roman"/>
                <w:color w:val="auto"/>
                <w:kern w:val="0"/>
                <w:sz w:val="21"/>
                <w:szCs w:val="21"/>
              </w:rPr>
              <w:t>SY-025</w:t>
            </w:r>
          </w:p>
        </w:tc>
      </w:tr>
      <w:tr w14:paraId="05FB34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10C9DA5F">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26</w:t>
            </w:r>
          </w:p>
        </w:tc>
        <w:tc>
          <w:tcPr>
            <w:tcW w:w="1585" w:type="dxa"/>
            <w:noWrap w:val="0"/>
            <w:tcMar>
              <w:top w:w="0" w:type="dxa"/>
              <w:left w:w="108" w:type="dxa"/>
              <w:bottom w:w="0" w:type="dxa"/>
              <w:right w:w="108" w:type="dxa"/>
            </w:tcMar>
            <w:vAlign w:val="center"/>
          </w:tcPr>
          <w:p w14:paraId="351BFDD2">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Cl</w:t>
            </w:r>
            <w:r>
              <w:rPr>
                <w:rFonts w:hint="default" w:ascii="Times New Roman" w:hAnsi="Times New Roman" w:eastAsia="宋体" w:cs="Times New Roman"/>
                <w:color w:val="auto"/>
                <w:sz w:val="21"/>
                <w:szCs w:val="21"/>
                <w:vertAlign w:val="superscript"/>
                <w:lang w:val="en-US" w:eastAsia="zh-CN"/>
              </w:rPr>
              <w:t>-</w:t>
            </w:r>
          </w:p>
        </w:tc>
        <w:tc>
          <w:tcPr>
            <w:tcW w:w="3059" w:type="dxa"/>
            <w:noWrap w:val="0"/>
            <w:tcMar>
              <w:top w:w="0" w:type="dxa"/>
              <w:left w:w="108" w:type="dxa"/>
              <w:bottom w:w="0" w:type="dxa"/>
              <w:right w:w="108" w:type="dxa"/>
            </w:tcMar>
            <w:vAlign w:val="center"/>
          </w:tcPr>
          <w:p w14:paraId="6C430E3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kern w:val="0"/>
                <w:sz w:val="21"/>
                <w:szCs w:val="21"/>
              </w:rPr>
            </w:pPr>
            <w:r>
              <w:rPr>
                <w:rFonts w:hint="default" w:ascii="Times New Roman" w:hAnsi="Times New Roman" w:eastAsia="宋体" w:cs="Times New Roman"/>
                <w:color w:val="auto"/>
                <w:sz w:val="21"/>
                <w:szCs w:val="21"/>
                <w:lang w:val="en-US" w:eastAsia="zh-CN"/>
              </w:rPr>
              <w:t>滴定管</w:t>
            </w:r>
          </w:p>
        </w:tc>
        <w:tc>
          <w:tcPr>
            <w:tcW w:w="1780" w:type="dxa"/>
            <w:noWrap w:val="0"/>
            <w:tcMar>
              <w:top w:w="0" w:type="dxa"/>
              <w:left w:w="108" w:type="dxa"/>
              <w:bottom w:w="0" w:type="dxa"/>
              <w:right w:w="108" w:type="dxa"/>
            </w:tcMar>
            <w:vAlign w:val="center"/>
          </w:tcPr>
          <w:p w14:paraId="53D4C24C">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sz w:val="21"/>
                <w:szCs w:val="21"/>
              </w:rPr>
            </w:pPr>
            <w:r>
              <w:rPr>
                <w:rFonts w:hint="default" w:ascii="Times New Roman" w:hAnsi="Times New Roman" w:eastAsia="宋体" w:cs="Times New Roman"/>
                <w:color w:val="auto"/>
                <w:kern w:val="0"/>
                <w:sz w:val="21"/>
                <w:szCs w:val="21"/>
                <w:lang w:val="en-US" w:eastAsia="zh-CN"/>
              </w:rPr>
              <w:t>25mL</w:t>
            </w:r>
          </w:p>
        </w:tc>
        <w:tc>
          <w:tcPr>
            <w:tcW w:w="1137" w:type="dxa"/>
            <w:noWrap w:val="0"/>
            <w:tcMar>
              <w:top w:w="0" w:type="dxa"/>
              <w:left w:w="108" w:type="dxa"/>
              <w:bottom w:w="0" w:type="dxa"/>
              <w:right w:w="108" w:type="dxa"/>
            </w:tcMar>
            <w:vAlign w:val="center"/>
          </w:tcPr>
          <w:p w14:paraId="648F6424">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SY-0</w:t>
            </w:r>
            <w:r>
              <w:rPr>
                <w:rFonts w:hint="default" w:ascii="Times New Roman" w:hAnsi="Times New Roman" w:cs="Times New Roman"/>
                <w:color w:val="auto"/>
                <w:kern w:val="0"/>
                <w:sz w:val="21"/>
                <w:szCs w:val="21"/>
                <w:lang w:val="en-US" w:eastAsia="zh-CN"/>
              </w:rPr>
              <w:t>59</w:t>
            </w:r>
          </w:p>
        </w:tc>
      </w:tr>
      <w:tr w14:paraId="6FD03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4A25EA7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27</w:t>
            </w:r>
          </w:p>
        </w:tc>
        <w:tc>
          <w:tcPr>
            <w:tcW w:w="1585" w:type="dxa"/>
            <w:noWrap w:val="0"/>
            <w:tcMar>
              <w:top w:w="0" w:type="dxa"/>
              <w:left w:w="108" w:type="dxa"/>
              <w:bottom w:w="0" w:type="dxa"/>
              <w:right w:w="108" w:type="dxa"/>
            </w:tcMar>
            <w:vAlign w:val="center"/>
          </w:tcPr>
          <w:p w14:paraId="583EE16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 w:val="21"/>
                <w:szCs w:val="21"/>
                <w:lang w:val="en-US" w:eastAsia="zh-CN"/>
              </w:rPr>
              <w:t>SO</w:t>
            </w:r>
            <w:r>
              <w:rPr>
                <w:rFonts w:hint="default" w:ascii="Times New Roman" w:hAnsi="Times New Roman" w:eastAsia="宋体" w:cs="Times New Roman"/>
                <w:color w:val="auto"/>
                <w:sz w:val="21"/>
                <w:szCs w:val="21"/>
                <w:vertAlign w:val="subscript"/>
                <w:lang w:val="en-US" w:eastAsia="zh-CN"/>
              </w:rPr>
              <w:t>4</w:t>
            </w:r>
            <w:r>
              <w:rPr>
                <w:rFonts w:hint="default" w:ascii="Times New Roman" w:hAnsi="Times New Roman" w:eastAsia="宋体" w:cs="Times New Roman"/>
                <w:color w:val="auto"/>
                <w:sz w:val="21"/>
                <w:szCs w:val="21"/>
                <w:vertAlign w:val="superscript"/>
                <w:lang w:val="en-US" w:eastAsia="zh-CN"/>
              </w:rPr>
              <w:t>2-</w:t>
            </w:r>
          </w:p>
        </w:tc>
        <w:tc>
          <w:tcPr>
            <w:tcW w:w="3059" w:type="dxa"/>
            <w:noWrap w:val="0"/>
            <w:tcMar>
              <w:top w:w="0" w:type="dxa"/>
              <w:left w:w="108" w:type="dxa"/>
              <w:bottom w:w="0" w:type="dxa"/>
              <w:right w:w="108" w:type="dxa"/>
            </w:tcMar>
            <w:vAlign w:val="center"/>
          </w:tcPr>
          <w:p w14:paraId="7ACA50C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kern w:val="0"/>
                <w:sz w:val="21"/>
                <w:szCs w:val="21"/>
              </w:rPr>
            </w:pPr>
            <w:r>
              <w:rPr>
                <w:rFonts w:hint="eastAsia" w:ascii="Times New Roman" w:hAnsi="Times New Roman" w:cs="Times New Roman"/>
                <w:color w:val="auto"/>
                <w:sz w:val="21"/>
                <w:szCs w:val="21"/>
                <w:lang w:eastAsia="zh-CN"/>
              </w:rPr>
              <w:t>万分之一</w:t>
            </w:r>
            <w:r>
              <w:rPr>
                <w:rFonts w:hint="default" w:ascii="Times New Roman" w:hAnsi="Times New Roman" w:cs="Times New Roman"/>
                <w:color w:val="auto"/>
                <w:sz w:val="21"/>
                <w:szCs w:val="21"/>
              </w:rPr>
              <w:t>天平</w:t>
            </w:r>
          </w:p>
        </w:tc>
        <w:tc>
          <w:tcPr>
            <w:tcW w:w="1780" w:type="dxa"/>
            <w:noWrap w:val="0"/>
            <w:tcMar>
              <w:top w:w="0" w:type="dxa"/>
              <w:left w:w="108" w:type="dxa"/>
              <w:bottom w:w="0" w:type="dxa"/>
              <w:right w:w="108" w:type="dxa"/>
            </w:tcMar>
            <w:vAlign w:val="center"/>
          </w:tcPr>
          <w:p w14:paraId="529F3526">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sz w:val="21"/>
                <w:szCs w:val="21"/>
              </w:rPr>
            </w:pPr>
            <w:r>
              <w:rPr>
                <w:rFonts w:hint="eastAsia" w:ascii="Times New Roman" w:hAnsi="Times New Roman" w:cs="Times New Roman"/>
                <w:color w:val="auto"/>
                <w:sz w:val="21"/>
                <w:szCs w:val="21"/>
                <w:lang w:val="en-US" w:eastAsia="zh-CN"/>
              </w:rPr>
              <w:t>BCE224-1CCN</w:t>
            </w:r>
          </w:p>
        </w:tc>
        <w:tc>
          <w:tcPr>
            <w:tcW w:w="1137" w:type="dxa"/>
            <w:noWrap w:val="0"/>
            <w:tcMar>
              <w:top w:w="0" w:type="dxa"/>
              <w:left w:w="108" w:type="dxa"/>
              <w:bottom w:w="0" w:type="dxa"/>
              <w:right w:w="108" w:type="dxa"/>
            </w:tcMar>
            <w:vAlign w:val="center"/>
          </w:tcPr>
          <w:p w14:paraId="1365B1DB">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kern w:val="0"/>
                <w:sz w:val="21"/>
                <w:szCs w:val="21"/>
              </w:rPr>
              <w:t>SY</w:t>
            </w:r>
            <w:r>
              <w:rPr>
                <w:rFonts w:hint="default" w:ascii="Times New Roman" w:hAnsi="Times New Roman" w:cs="Times New Roman"/>
                <w:color w:val="auto"/>
                <w:kern w:val="0"/>
                <w:sz w:val="21"/>
                <w:szCs w:val="21"/>
              </w:rPr>
              <w:softHyphen/>
            </w:r>
            <w:r>
              <w:rPr>
                <w:rFonts w:hint="default" w:ascii="Times New Roman" w:hAnsi="Times New Roman" w:cs="Times New Roman"/>
                <w:color w:val="auto"/>
                <w:kern w:val="0"/>
                <w:sz w:val="21"/>
                <w:szCs w:val="21"/>
                <w:lang w:val="en-US" w:eastAsia="zh-CN"/>
              </w:rPr>
              <w:t>-</w:t>
            </w:r>
            <w:r>
              <w:rPr>
                <w:rFonts w:hint="eastAsia" w:ascii="Times New Roman" w:hAnsi="Times New Roman" w:cs="Times New Roman"/>
                <w:color w:val="auto"/>
                <w:kern w:val="0"/>
                <w:sz w:val="21"/>
                <w:szCs w:val="21"/>
                <w:lang w:val="en-US" w:eastAsia="zh-CN"/>
              </w:rPr>
              <w:t>155</w:t>
            </w:r>
          </w:p>
        </w:tc>
      </w:tr>
      <w:tr w14:paraId="586932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179E8D8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28</w:t>
            </w:r>
          </w:p>
        </w:tc>
        <w:tc>
          <w:tcPr>
            <w:tcW w:w="1585" w:type="dxa"/>
            <w:noWrap w:val="0"/>
            <w:tcMar>
              <w:top w:w="0" w:type="dxa"/>
              <w:left w:w="108" w:type="dxa"/>
              <w:bottom w:w="0" w:type="dxa"/>
              <w:right w:w="108" w:type="dxa"/>
            </w:tcMar>
            <w:vAlign w:val="center"/>
          </w:tcPr>
          <w:p w14:paraId="732447E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CO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vertAlign w:val="superscript"/>
                <w:lang w:val="en-US" w:eastAsia="zh-CN"/>
              </w:rPr>
              <w:t>2-</w:t>
            </w:r>
          </w:p>
        </w:tc>
        <w:tc>
          <w:tcPr>
            <w:tcW w:w="3059" w:type="dxa"/>
            <w:noWrap w:val="0"/>
            <w:tcMar>
              <w:top w:w="0" w:type="dxa"/>
              <w:left w:w="108" w:type="dxa"/>
              <w:bottom w:w="0" w:type="dxa"/>
              <w:right w:w="108" w:type="dxa"/>
            </w:tcMar>
            <w:vAlign w:val="center"/>
          </w:tcPr>
          <w:p w14:paraId="4C9DFB2E">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default" w:ascii="Times New Roman" w:hAnsi="Times New Roman" w:eastAsia="宋体" w:cs="Times New Roman"/>
                <w:color w:val="auto"/>
                <w:sz w:val="21"/>
                <w:szCs w:val="21"/>
                <w:lang w:val="en-US" w:eastAsia="zh-CN"/>
              </w:rPr>
              <w:t>滴定管</w:t>
            </w:r>
          </w:p>
        </w:tc>
        <w:tc>
          <w:tcPr>
            <w:tcW w:w="1780" w:type="dxa"/>
            <w:noWrap w:val="0"/>
            <w:tcMar>
              <w:top w:w="0" w:type="dxa"/>
              <w:left w:w="108" w:type="dxa"/>
              <w:bottom w:w="0" w:type="dxa"/>
              <w:right w:w="108" w:type="dxa"/>
            </w:tcMar>
            <w:vAlign w:val="center"/>
          </w:tcPr>
          <w:p w14:paraId="5307424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eastAsia="宋体" w:cs="Times New Roman"/>
                <w:color w:val="auto"/>
                <w:kern w:val="0"/>
                <w:sz w:val="21"/>
                <w:szCs w:val="21"/>
                <w:lang w:val="en-US" w:eastAsia="zh-CN"/>
              </w:rPr>
              <w:t>25mL</w:t>
            </w:r>
          </w:p>
        </w:tc>
        <w:tc>
          <w:tcPr>
            <w:tcW w:w="1137" w:type="dxa"/>
            <w:noWrap w:val="0"/>
            <w:tcMar>
              <w:top w:w="0" w:type="dxa"/>
              <w:left w:w="108" w:type="dxa"/>
              <w:bottom w:w="0" w:type="dxa"/>
              <w:right w:w="108" w:type="dxa"/>
            </w:tcMar>
            <w:vAlign w:val="center"/>
          </w:tcPr>
          <w:p w14:paraId="7310DD68">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cs="Times New Roman"/>
                <w:color w:val="auto"/>
                <w:kern w:val="0"/>
                <w:sz w:val="21"/>
                <w:szCs w:val="21"/>
              </w:rPr>
              <w:t>SY-0</w:t>
            </w:r>
            <w:r>
              <w:rPr>
                <w:rFonts w:hint="eastAsia" w:ascii="Times New Roman" w:hAnsi="Times New Roman" w:cs="Times New Roman"/>
                <w:color w:val="auto"/>
                <w:kern w:val="0"/>
                <w:sz w:val="21"/>
                <w:szCs w:val="21"/>
                <w:lang w:val="en-US" w:eastAsia="zh-CN"/>
              </w:rPr>
              <w:t>38</w:t>
            </w:r>
          </w:p>
        </w:tc>
      </w:tr>
      <w:tr w14:paraId="41AB96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97" w:hRule="atLeast"/>
          <w:jc w:val="center"/>
        </w:trPr>
        <w:tc>
          <w:tcPr>
            <w:tcW w:w="730" w:type="dxa"/>
            <w:noWrap w:val="0"/>
            <w:tcMar>
              <w:top w:w="0" w:type="dxa"/>
              <w:left w:w="108" w:type="dxa"/>
              <w:bottom w:w="0" w:type="dxa"/>
              <w:right w:w="108" w:type="dxa"/>
            </w:tcMar>
            <w:vAlign w:val="center"/>
          </w:tcPr>
          <w:p w14:paraId="3E228967">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kern w:val="2"/>
                <w:sz w:val="21"/>
                <w:szCs w:val="21"/>
                <w:lang w:val="en-US" w:eastAsia="zh-CN" w:bidi="ar-SA"/>
              </w:rPr>
            </w:pPr>
            <w:r>
              <w:rPr>
                <w:rFonts w:hint="eastAsia" w:ascii="Times New Roman" w:hAnsi="Times New Roman" w:eastAsia="宋体" w:cs="Times New Roman"/>
                <w:color w:val="auto"/>
                <w:kern w:val="2"/>
                <w:sz w:val="21"/>
                <w:szCs w:val="21"/>
                <w:lang w:val="en-US" w:eastAsia="zh-CN" w:bidi="ar-SA"/>
              </w:rPr>
              <w:t>29</w:t>
            </w:r>
          </w:p>
        </w:tc>
        <w:tc>
          <w:tcPr>
            <w:tcW w:w="1585" w:type="dxa"/>
            <w:noWrap w:val="0"/>
            <w:tcMar>
              <w:top w:w="0" w:type="dxa"/>
              <w:left w:w="108" w:type="dxa"/>
              <w:bottom w:w="0" w:type="dxa"/>
              <w:right w:w="108" w:type="dxa"/>
            </w:tcMar>
            <w:vAlign w:val="center"/>
          </w:tcPr>
          <w:p w14:paraId="55E6F4A3">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HCO</w:t>
            </w:r>
            <w:r>
              <w:rPr>
                <w:rFonts w:hint="default" w:ascii="Times New Roman" w:hAnsi="Times New Roman" w:eastAsia="宋体" w:cs="Times New Roman"/>
                <w:color w:val="auto"/>
                <w:sz w:val="21"/>
                <w:szCs w:val="21"/>
                <w:vertAlign w:val="subscript"/>
                <w:lang w:val="en-US" w:eastAsia="zh-CN"/>
              </w:rPr>
              <w:t>3</w:t>
            </w:r>
            <w:r>
              <w:rPr>
                <w:rFonts w:hint="default" w:ascii="Times New Roman" w:hAnsi="Times New Roman" w:eastAsia="宋体" w:cs="Times New Roman"/>
                <w:color w:val="auto"/>
                <w:sz w:val="21"/>
                <w:szCs w:val="21"/>
                <w:vertAlign w:val="superscript"/>
                <w:lang w:val="en-US" w:eastAsia="zh-CN"/>
              </w:rPr>
              <w:t>-</w:t>
            </w:r>
          </w:p>
        </w:tc>
        <w:tc>
          <w:tcPr>
            <w:tcW w:w="3059" w:type="dxa"/>
            <w:noWrap w:val="0"/>
            <w:tcMar>
              <w:top w:w="0" w:type="dxa"/>
              <w:left w:w="108" w:type="dxa"/>
              <w:bottom w:w="0" w:type="dxa"/>
              <w:right w:w="108" w:type="dxa"/>
            </w:tcMar>
            <w:vAlign w:val="center"/>
          </w:tcPr>
          <w:p w14:paraId="1B868560">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宋体" w:hAnsi="宋体"/>
                <w:color w:val="auto"/>
                <w:sz w:val="21"/>
                <w:szCs w:val="21"/>
              </w:rPr>
            </w:pPr>
            <w:r>
              <w:rPr>
                <w:rFonts w:hint="default" w:ascii="Times New Roman" w:hAnsi="Times New Roman" w:eastAsia="宋体" w:cs="Times New Roman"/>
                <w:color w:val="auto"/>
                <w:sz w:val="21"/>
                <w:szCs w:val="21"/>
                <w:lang w:val="en-US" w:eastAsia="zh-CN"/>
              </w:rPr>
              <w:t>滴定管</w:t>
            </w:r>
          </w:p>
        </w:tc>
        <w:tc>
          <w:tcPr>
            <w:tcW w:w="1780" w:type="dxa"/>
            <w:noWrap w:val="0"/>
            <w:tcMar>
              <w:top w:w="0" w:type="dxa"/>
              <w:left w:w="108" w:type="dxa"/>
              <w:bottom w:w="0" w:type="dxa"/>
              <w:right w:w="108" w:type="dxa"/>
            </w:tcMar>
            <w:vAlign w:val="center"/>
          </w:tcPr>
          <w:p w14:paraId="456D41D1">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sz w:val="21"/>
                <w:szCs w:val="21"/>
              </w:rPr>
            </w:pPr>
            <w:r>
              <w:rPr>
                <w:rFonts w:hint="default" w:ascii="Times New Roman" w:hAnsi="Times New Roman" w:eastAsia="宋体" w:cs="Times New Roman"/>
                <w:color w:val="auto"/>
                <w:kern w:val="0"/>
                <w:sz w:val="21"/>
                <w:szCs w:val="21"/>
                <w:lang w:val="en-US" w:eastAsia="zh-CN"/>
              </w:rPr>
              <w:t>25mL</w:t>
            </w:r>
          </w:p>
        </w:tc>
        <w:tc>
          <w:tcPr>
            <w:tcW w:w="1137" w:type="dxa"/>
            <w:noWrap w:val="0"/>
            <w:tcMar>
              <w:top w:w="0" w:type="dxa"/>
              <w:left w:w="108" w:type="dxa"/>
              <w:bottom w:w="0" w:type="dxa"/>
              <w:right w:w="108" w:type="dxa"/>
            </w:tcMar>
            <w:vAlign w:val="center"/>
          </w:tcPr>
          <w:p w14:paraId="0F981EC0">
            <w:pPr>
              <w:keepNext w:val="0"/>
              <w:keepLines w:val="0"/>
              <w:pageBreakBefore w:val="0"/>
              <w:widowControl/>
              <w:kinsoku/>
              <w:wordWrap/>
              <w:overflowPunct/>
              <w:topLinePunct w:val="0"/>
              <w:autoSpaceDE/>
              <w:autoSpaceDN/>
              <w:bidi w:val="0"/>
              <w:adjustRightInd w:val="0"/>
              <w:snapToGrid w:val="0"/>
              <w:spacing w:beforeAutospacing="0" w:afterAutospacing="0"/>
              <w:jc w:val="center"/>
              <w:textAlignment w:val="auto"/>
              <w:rPr>
                <w:rFonts w:hint="eastAsia" w:ascii="Times New Roman" w:hAnsi="Times New Roman"/>
                <w:color w:val="auto"/>
                <w:kern w:val="0"/>
                <w:sz w:val="21"/>
                <w:szCs w:val="21"/>
              </w:rPr>
            </w:pPr>
            <w:r>
              <w:rPr>
                <w:rFonts w:hint="default" w:ascii="Times New Roman" w:hAnsi="Times New Roman" w:cs="Times New Roman"/>
                <w:color w:val="auto"/>
                <w:kern w:val="0"/>
                <w:sz w:val="21"/>
                <w:szCs w:val="21"/>
              </w:rPr>
              <w:t>SY-0</w:t>
            </w:r>
            <w:r>
              <w:rPr>
                <w:rFonts w:hint="eastAsia" w:ascii="Times New Roman" w:hAnsi="Times New Roman" w:cs="Times New Roman"/>
                <w:color w:val="auto"/>
                <w:kern w:val="0"/>
                <w:sz w:val="21"/>
                <w:szCs w:val="21"/>
                <w:lang w:val="en-US" w:eastAsia="zh-CN"/>
              </w:rPr>
              <w:t>38</w:t>
            </w:r>
          </w:p>
        </w:tc>
      </w:tr>
    </w:tbl>
    <w:p w14:paraId="3D043A77">
      <w:pPr>
        <w:spacing w:line="360" w:lineRule="auto"/>
        <w:ind w:firstLine="240" w:firstLineChars="100"/>
        <w:rPr>
          <w:color w:val="auto"/>
          <w:sz w:val="24"/>
        </w:rPr>
      </w:pPr>
      <w:r>
        <w:rPr>
          <w:color w:val="auto"/>
          <w:sz w:val="24"/>
        </w:rPr>
        <w:t>6、监测结果与评价</w:t>
      </w:r>
    </w:p>
    <w:p w14:paraId="24D75F15">
      <w:pPr>
        <w:spacing w:line="360" w:lineRule="auto"/>
        <w:ind w:firstLine="480" w:firstLineChars="200"/>
        <w:rPr>
          <w:b/>
          <w:color w:val="auto"/>
          <w:sz w:val="24"/>
        </w:rPr>
      </w:pPr>
      <w:r>
        <w:rPr>
          <w:color w:val="auto"/>
          <w:sz w:val="24"/>
        </w:rPr>
        <w:t>地下水监测结果见</w:t>
      </w:r>
      <w:r>
        <w:rPr>
          <w:rFonts w:hint="eastAsia"/>
          <w:color w:val="auto"/>
          <w:sz w:val="24"/>
        </w:rPr>
        <w:t>下表</w:t>
      </w:r>
      <w:r>
        <w:rPr>
          <w:color w:val="auto"/>
          <w:sz w:val="24"/>
        </w:rPr>
        <w:t>。</w:t>
      </w:r>
      <w:r>
        <w:rPr>
          <w:rFonts w:hint="eastAsia"/>
          <w:b/>
          <w:color w:val="auto"/>
          <w:sz w:val="24"/>
        </w:rPr>
        <w:t xml:space="preserve"> </w:t>
      </w:r>
    </w:p>
    <w:p w14:paraId="5F690828">
      <w:pPr>
        <w:pStyle w:val="76"/>
        <w:rPr>
          <w:color w:val="auto"/>
          <w:highlight w:val="none"/>
        </w:rPr>
      </w:pPr>
      <w:r>
        <w:rPr>
          <w:color w:val="auto"/>
          <w:highlight w:val="none"/>
        </w:rPr>
        <w:t>表</w:t>
      </w:r>
      <w:r>
        <w:rPr>
          <w:rFonts w:hint="eastAsia"/>
          <w:color w:val="auto"/>
          <w:highlight w:val="none"/>
        </w:rPr>
        <w:t>4-2-</w:t>
      </w:r>
      <w:r>
        <w:rPr>
          <w:color w:val="auto"/>
          <w:highlight w:val="none"/>
        </w:rPr>
        <w:t>6地下水监测结果表</w:t>
      </w:r>
      <w:r>
        <w:rPr>
          <w:rFonts w:hint="eastAsia"/>
          <w:color w:val="auto"/>
          <w:highlight w:val="none"/>
        </w:rPr>
        <w:t xml:space="preserve">     </w:t>
      </w:r>
      <w:r>
        <w:rPr>
          <w:rFonts w:hAnsi="宋体"/>
          <w:color w:val="auto"/>
          <w:highlight w:val="none"/>
        </w:rPr>
        <w:t>单位：</w:t>
      </w:r>
      <w:r>
        <w:rPr>
          <w:color w:val="auto"/>
          <w:highlight w:val="none"/>
        </w:rPr>
        <w:t>mg/L</w:t>
      </w:r>
    </w:p>
    <w:tbl>
      <w:tblPr>
        <w:tblStyle w:val="45"/>
        <w:tblW w:w="4872"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652"/>
        <w:gridCol w:w="1202"/>
        <w:gridCol w:w="2108"/>
        <w:gridCol w:w="1920"/>
        <w:gridCol w:w="1912"/>
      </w:tblGrid>
      <w:tr w14:paraId="17C4BAF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2" w:hRule="atLeast"/>
          <w:jc w:val="center"/>
        </w:trPr>
        <w:tc>
          <w:tcPr>
            <w:tcW w:w="939" w:type="pct"/>
            <w:vMerge w:val="restart"/>
            <w:vAlign w:val="center"/>
          </w:tcPr>
          <w:p w14:paraId="42DF1D0D">
            <w:pPr>
              <w:pStyle w:val="84"/>
              <w:rPr>
                <w:color w:val="auto"/>
                <w:sz w:val="21"/>
                <w:szCs w:val="21"/>
                <w:highlight w:val="none"/>
              </w:rPr>
            </w:pPr>
            <w:r>
              <w:rPr>
                <w:rFonts w:hint="eastAsia"/>
                <w:color w:val="auto"/>
                <w:sz w:val="21"/>
                <w:szCs w:val="21"/>
                <w:highlight w:val="none"/>
              </w:rPr>
              <w:t>检测</w:t>
            </w:r>
          </w:p>
          <w:p w14:paraId="05085C5B">
            <w:pPr>
              <w:pStyle w:val="84"/>
              <w:rPr>
                <w:color w:val="auto"/>
                <w:sz w:val="21"/>
                <w:szCs w:val="21"/>
                <w:highlight w:val="none"/>
              </w:rPr>
            </w:pPr>
            <w:r>
              <w:rPr>
                <w:rFonts w:hint="eastAsia"/>
                <w:color w:val="auto"/>
                <w:sz w:val="21"/>
                <w:szCs w:val="21"/>
                <w:highlight w:val="none"/>
              </w:rPr>
              <w:t>项目</w:t>
            </w:r>
          </w:p>
        </w:tc>
        <w:tc>
          <w:tcPr>
            <w:tcW w:w="683" w:type="pct"/>
            <w:vMerge w:val="restart"/>
            <w:vAlign w:val="center"/>
          </w:tcPr>
          <w:p w14:paraId="5D37428E">
            <w:pPr>
              <w:pStyle w:val="84"/>
              <w:rPr>
                <w:color w:val="auto"/>
                <w:sz w:val="21"/>
                <w:szCs w:val="21"/>
                <w:highlight w:val="none"/>
              </w:rPr>
            </w:pPr>
            <w:r>
              <w:rPr>
                <w:rFonts w:hint="eastAsia"/>
                <w:color w:val="auto"/>
                <w:sz w:val="21"/>
                <w:szCs w:val="21"/>
                <w:highlight w:val="none"/>
              </w:rPr>
              <w:t>单位</w:t>
            </w:r>
          </w:p>
        </w:tc>
        <w:tc>
          <w:tcPr>
            <w:tcW w:w="3377" w:type="pct"/>
            <w:gridSpan w:val="3"/>
            <w:vAlign w:val="center"/>
          </w:tcPr>
          <w:p w14:paraId="42142ADC">
            <w:pPr>
              <w:pStyle w:val="84"/>
              <w:rPr>
                <w:b/>
                <w:color w:val="auto"/>
                <w:sz w:val="21"/>
                <w:szCs w:val="21"/>
                <w:highlight w:val="none"/>
              </w:rPr>
            </w:pPr>
            <w:r>
              <w:rPr>
                <w:rFonts w:hint="eastAsia"/>
                <w:b/>
                <w:color w:val="auto"/>
                <w:sz w:val="21"/>
                <w:szCs w:val="21"/>
                <w:highlight w:val="none"/>
              </w:rPr>
              <w:t>检测结果</w:t>
            </w:r>
          </w:p>
        </w:tc>
      </w:tr>
      <w:tr w14:paraId="7CF3E75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2" w:hRule="atLeast"/>
          <w:jc w:val="center"/>
        </w:trPr>
        <w:tc>
          <w:tcPr>
            <w:tcW w:w="939" w:type="pct"/>
            <w:vMerge w:val="continue"/>
            <w:vAlign w:val="center"/>
          </w:tcPr>
          <w:p w14:paraId="166F3212">
            <w:pPr>
              <w:pStyle w:val="84"/>
              <w:rPr>
                <w:color w:val="auto"/>
                <w:sz w:val="21"/>
                <w:szCs w:val="21"/>
                <w:highlight w:val="none"/>
              </w:rPr>
            </w:pPr>
          </w:p>
        </w:tc>
        <w:tc>
          <w:tcPr>
            <w:tcW w:w="683" w:type="pct"/>
            <w:vMerge w:val="continue"/>
            <w:vAlign w:val="center"/>
          </w:tcPr>
          <w:p w14:paraId="08872EF4">
            <w:pPr>
              <w:pStyle w:val="84"/>
              <w:rPr>
                <w:color w:val="auto"/>
                <w:sz w:val="21"/>
                <w:szCs w:val="21"/>
                <w:highlight w:val="none"/>
              </w:rPr>
            </w:pPr>
          </w:p>
        </w:tc>
        <w:tc>
          <w:tcPr>
            <w:tcW w:w="3377" w:type="pct"/>
            <w:gridSpan w:val="3"/>
            <w:vAlign w:val="center"/>
          </w:tcPr>
          <w:p w14:paraId="25D786E7">
            <w:pPr>
              <w:pStyle w:val="84"/>
              <w:rPr>
                <w:rFonts w:hint="eastAsia" w:eastAsia="宋体"/>
                <w:color w:val="auto"/>
                <w:sz w:val="21"/>
                <w:szCs w:val="21"/>
                <w:highlight w:val="none"/>
                <w:lang w:eastAsia="zh-CN"/>
              </w:rPr>
            </w:pPr>
            <w:r>
              <w:rPr>
                <w:rFonts w:hint="eastAsia"/>
                <w:color w:val="auto"/>
                <w:sz w:val="21"/>
                <w:szCs w:val="21"/>
                <w:highlight w:val="none"/>
              </w:rPr>
              <w:t>202</w:t>
            </w:r>
            <w:r>
              <w:rPr>
                <w:rFonts w:hint="eastAsia"/>
                <w:color w:val="auto"/>
                <w:sz w:val="21"/>
                <w:szCs w:val="21"/>
                <w:highlight w:val="none"/>
                <w:lang w:val="en-US" w:eastAsia="zh-CN"/>
              </w:rPr>
              <w:t>6</w:t>
            </w:r>
            <w:r>
              <w:rPr>
                <w:rFonts w:hint="eastAsia"/>
                <w:color w:val="auto"/>
                <w:sz w:val="21"/>
                <w:szCs w:val="21"/>
                <w:highlight w:val="none"/>
              </w:rPr>
              <w:t>.</w:t>
            </w:r>
            <w:r>
              <w:rPr>
                <w:rFonts w:hint="eastAsia"/>
                <w:color w:val="auto"/>
                <w:sz w:val="21"/>
                <w:szCs w:val="21"/>
                <w:highlight w:val="none"/>
                <w:lang w:val="en-US" w:eastAsia="zh-CN"/>
              </w:rPr>
              <w:t>7</w:t>
            </w:r>
            <w:r>
              <w:rPr>
                <w:rFonts w:hint="eastAsia"/>
                <w:color w:val="auto"/>
                <w:sz w:val="21"/>
                <w:szCs w:val="21"/>
                <w:highlight w:val="none"/>
              </w:rPr>
              <w:t>.</w:t>
            </w:r>
            <w:r>
              <w:rPr>
                <w:rFonts w:hint="eastAsia"/>
                <w:color w:val="auto"/>
                <w:sz w:val="21"/>
                <w:szCs w:val="21"/>
                <w:highlight w:val="none"/>
                <w:lang w:val="en-US" w:eastAsia="zh-CN"/>
              </w:rPr>
              <w:t>3</w:t>
            </w:r>
          </w:p>
        </w:tc>
      </w:tr>
      <w:tr w14:paraId="22F1152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70" w:hRule="atLeast"/>
          <w:jc w:val="center"/>
        </w:trPr>
        <w:tc>
          <w:tcPr>
            <w:tcW w:w="939" w:type="pct"/>
            <w:vMerge w:val="continue"/>
            <w:vAlign w:val="center"/>
          </w:tcPr>
          <w:p w14:paraId="53721E89">
            <w:pPr>
              <w:pStyle w:val="84"/>
              <w:rPr>
                <w:color w:val="auto"/>
                <w:sz w:val="21"/>
                <w:szCs w:val="21"/>
                <w:highlight w:val="none"/>
              </w:rPr>
            </w:pPr>
          </w:p>
        </w:tc>
        <w:tc>
          <w:tcPr>
            <w:tcW w:w="683" w:type="pct"/>
            <w:vMerge w:val="continue"/>
            <w:vAlign w:val="center"/>
          </w:tcPr>
          <w:p w14:paraId="567D175B">
            <w:pPr>
              <w:pStyle w:val="84"/>
              <w:rPr>
                <w:color w:val="auto"/>
                <w:sz w:val="21"/>
                <w:szCs w:val="21"/>
                <w:highlight w:val="none"/>
              </w:rPr>
            </w:pPr>
          </w:p>
        </w:tc>
        <w:tc>
          <w:tcPr>
            <w:tcW w:w="1126" w:type="pct"/>
            <w:vAlign w:val="center"/>
          </w:tcPr>
          <w:p w14:paraId="0D8EC0A6">
            <w:pPr>
              <w:pStyle w:val="84"/>
              <w:rPr>
                <w:color w:val="auto"/>
                <w:sz w:val="21"/>
                <w:szCs w:val="21"/>
                <w:highlight w:val="none"/>
              </w:rPr>
            </w:pPr>
            <w:r>
              <w:rPr>
                <w:rFonts w:hint="eastAsia" w:ascii="宋体" w:hAnsi="宋体" w:cs="宋体"/>
                <w:b/>
                <w:color w:val="auto"/>
                <w:sz w:val="21"/>
                <w:szCs w:val="21"/>
                <w:highlight w:val="none"/>
              </w:rPr>
              <w:t>☆</w:t>
            </w:r>
            <w:r>
              <w:rPr>
                <w:rFonts w:hint="eastAsia"/>
                <w:color w:val="auto"/>
                <w:sz w:val="21"/>
                <w:szCs w:val="21"/>
                <w:highlight w:val="none"/>
              </w:rPr>
              <w:t>0</w:t>
            </w:r>
            <w:r>
              <w:rPr>
                <w:color w:val="auto"/>
                <w:sz w:val="21"/>
                <w:szCs w:val="21"/>
                <w:highlight w:val="none"/>
              </w:rPr>
              <w:t>1</w:t>
            </w:r>
          </w:p>
        </w:tc>
        <w:tc>
          <w:tcPr>
            <w:tcW w:w="1063" w:type="pct"/>
            <w:vAlign w:val="center"/>
          </w:tcPr>
          <w:p w14:paraId="25F60CD9">
            <w:pPr>
              <w:pStyle w:val="84"/>
              <w:rPr>
                <w:color w:val="auto"/>
                <w:sz w:val="21"/>
                <w:szCs w:val="21"/>
                <w:highlight w:val="none"/>
              </w:rPr>
            </w:pPr>
            <w:r>
              <w:rPr>
                <w:rFonts w:hint="eastAsia" w:ascii="宋体" w:hAnsi="宋体" w:cs="宋体"/>
                <w:b/>
                <w:color w:val="auto"/>
                <w:sz w:val="21"/>
                <w:szCs w:val="21"/>
                <w:highlight w:val="none"/>
              </w:rPr>
              <w:t>☆</w:t>
            </w:r>
            <w:r>
              <w:rPr>
                <w:rFonts w:hint="eastAsia"/>
                <w:color w:val="auto"/>
                <w:sz w:val="21"/>
                <w:szCs w:val="21"/>
                <w:highlight w:val="none"/>
              </w:rPr>
              <w:t>02</w:t>
            </w:r>
            <w:r>
              <w:rPr>
                <w:color w:val="auto"/>
                <w:sz w:val="21"/>
                <w:szCs w:val="21"/>
                <w:highlight w:val="none"/>
              </w:rPr>
              <w:t xml:space="preserve"> </w:t>
            </w:r>
          </w:p>
        </w:tc>
        <w:tc>
          <w:tcPr>
            <w:tcW w:w="1186" w:type="pct"/>
            <w:vAlign w:val="center"/>
          </w:tcPr>
          <w:p w14:paraId="7DC160BC">
            <w:pPr>
              <w:pStyle w:val="84"/>
              <w:rPr>
                <w:color w:val="auto"/>
                <w:sz w:val="21"/>
                <w:szCs w:val="21"/>
                <w:highlight w:val="none"/>
              </w:rPr>
            </w:pPr>
            <w:r>
              <w:rPr>
                <w:rFonts w:hint="eastAsia" w:ascii="宋体" w:hAnsi="宋体" w:cs="宋体"/>
                <w:b/>
                <w:color w:val="auto"/>
                <w:sz w:val="21"/>
                <w:szCs w:val="21"/>
                <w:highlight w:val="none"/>
              </w:rPr>
              <w:t>☆</w:t>
            </w:r>
            <w:r>
              <w:rPr>
                <w:rFonts w:hint="eastAsia"/>
                <w:color w:val="auto"/>
                <w:sz w:val="21"/>
                <w:szCs w:val="21"/>
                <w:highlight w:val="none"/>
              </w:rPr>
              <w:t>03</w:t>
            </w:r>
            <w:r>
              <w:rPr>
                <w:color w:val="auto"/>
                <w:sz w:val="21"/>
                <w:szCs w:val="21"/>
                <w:highlight w:val="none"/>
              </w:rPr>
              <w:t xml:space="preserve"> </w:t>
            </w:r>
          </w:p>
        </w:tc>
      </w:tr>
      <w:tr w14:paraId="0E5C63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77" w:hRule="atLeast"/>
          <w:jc w:val="center"/>
        </w:trPr>
        <w:tc>
          <w:tcPr>
            <w:tcW w:w="1560" w:type="dxa"/>
            <w:tcBorders>
              <w:top w:val="single" w:color="000000" w:sz="4" w:space="0"/>
            </w:tcBorders>
            <w:vAlign w:val="center"/>
          </w:tcPr>
          <w:p w14:paraId="4C523200">
            <w:pPr>
              <w:spacing w:after="0"/>
              <w:jc w:val="center"/>
              <w:rPr>
                <w:color w:val="auto"/>
                <w:sz w:val="21"/>
                <w:szCs w:val="21"/>
                <w:highlight w:val="none"/>
              </w:rPr>
            </w:pPr>
            <w:r>
              <w:rPr>
                <w:rFonts w:hint="default" w:ascii="Times New Roman" w:hAnsi="Times New Roman" w:cs="Times New Roman"/>
                <w:color w:val="auto"/>
                <w:sz w:val="21"/>
                <w:szCs w:val="21"/>
                <w:highlight w:val="none"/>
                <w:lang w:val="en-US" w:eastAsia="zh-CN"/>
              </w:rPr>
              <w:t>pH</w:t>
            </w:r>
            <w:r>
              <w:rPr>
                <w:rFonts w:hint="eastAsia" w:ascii="Times New Roman" w:hAnsi="Times New Roman" w:cs="Times New Roman"/>
                <w:color w:val="auto"/>
                <w:sz w:val="21"/>
                <w:szCs w:val="21"/>
                <w:highlight w:val="none"/>
                <w:lang w:val="en-US" w:eastAsia="zh-CN"/>
              </w:rPr>
              <w:t>值</w:t>
            </w:r>
          </w:p>
        </w:tc>
        <w:tc>
          <w:tcPr>
            <w:tcW w:w="683" w:type="pct"/>
            <w:tcBorders>
              <w:top w:val="single" w:color="000000" w:sz="4" w:space="0"/>
            </w:tcBorders>
            <w:vAlign w:val="center"/>
          </w:tcPr>
          <w:p w14:paraId="56C36D45">
            <w:pPr>
              <w:spacing w:after="0"/>
              <w:jc w:val="center"/>
              <w:rPr>
                <w:color w:val="auto"/>
                <w:sz w:val="21"/>
                <w:szCs w:val="21"/>
                <w:highlight w:val="none"/>
              </w:rPr>
            </w:pPr>
            <w:r>
              <w:rPr>
                <w:rFonts w:hint="default" w:ascii="Times New Roman" w:hAnsi="Times New Roman" w:cs="Times New Roman"/>
                <w:color w:val="auto"/>
                <w:kern w:val="0"/>
                <w:sz w:val="21"/>
                <w:szCs w:val="21"/>
                <w:highlight w:val="none"/>
              </w:rPr>
              <w:t>无量纲</w:t>
            </w:r>
          </w:p>
        </w:tc>
        <w:tc>
          <w:tcPr>
            <w:tcW w:w="1126" w:type="pct"/>
            <w:vAlign w:val="center"/>
          </w:tcPr>
          <w:p w14:paraId="3B9666DC">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7.3</w:t>
            </w:r>
          </w:p>
        </w:tc>
        <w:tc>
          <w:tcPr>
            <w:tcW w:w="1063" w:type="pct"/>
            <w:vAlign w:val="center"/>
          </w:tcPr>
          <w:p w14:paraId="779CD491">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7.5</w:t>
            </w:r>
          </w:p>
        </w:tc>
        <w:tc>
          <w:tcPr>
            <w:tcW w:w="1186" w:type="pct"/>
            <w:vAlign w:val="center"/>
          </w:tcPr>
          <w:p w14:paraId="5C8B63BC">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7.5</w:t>
            </w:r>
          </w:p>
        </w:tc>
      </w:tr>
      <w:tr w14:paraId="7C5799E5">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8" w:hRule="atLeast"/>
          <w:jc w:val="center"/>
        </w:trPr>
        <w:tc>
          <w:tcPr>
            <w:tcW w:w="1560" w:type="dxa"/>
            <w:tcBorders>
              <w:bottom w:val="single" w:color="000000" w:sz="4" w:space="0"/>
            </w:tcBorders>
            <w:vAlign w:val="center"/>
          </w:tcPr>
          <w:p w14:paraId="2A02CCF6">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总硬度</w:t>
            </w:r>
          </w:p>
        </w:tc>
        <w:tc>
          <w:tcPr>
            <w:tcW w:w="683" w:type="pct"/>
            <w:tcBorders>
              <w:bottom w:val="single" w:color="000000" w:sz="4" w:space="0"/>
            </w:tcBorders>
            <w:vAlign w:val="center"/>
          </w:tcPr>
          <w:p w14:paraId="72D1CDDE">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51195702">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242</w:t>
            </w:r>
          </w:p>
        </w:tc>
        <w:tc>
          <w:tcPr>
            <w:tcW w:w="1063" w:type="pct"/>
            <w:vAlign w:val="center"/>
          </w:tcPr>
          <w:p w14:paraId="716600B0">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226</w:t>
            </w:r>
          </w:p>
        </w:tc>
        <w:tc>
          <w:tcPr>
            <w:tcW w:w="1186" w:type="pct"/>
            <w:vAlign w:val="center"/>
          </w:tcPr>
          <w:p w14:paraId="28167A6A">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382</w:t>
            </w:r>
          </w:p>
        </w:tc>
      </w:tr>
      <w:tr w14:paraId="7959F95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7" w:hRule="atLeast"/>
          <w:jc w:val="center"/>
        </w:trPr>
        <w:tc>
          <w:tcPr>
            <w:tcW w:w="1560" w:type="dxa"/>
            <w:tcBorders>
              <w:top w:val="single" w:color="000000" w:sz="4" w:space="0"/>
            </w:tcBorders>
            <w:vAlign w:val="center"/>
          </w:tcPr>
          <w:p w14:paraId="5AE9579B">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溶解性总固体</w:t>
            </w:r>
          </w:p>
        </w:tc>
        <w:tc>
          <w:tcPr>
            <w:tcW w:w="683" w:type="pct"/>
            <w:tcBorders>
              <w:top w:val="single" w:color="000000" w:sz="4" w:space="0"/>
            </w:tcBorders>
            <w:vAlign w:val="center"/>
          </w:tcPr>
          <w:p w14:paraId="26108A71">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1318F04">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386</w:t>
            </w:r>
          </w:p>
        </w:tc>
        <w:tc>
          <w:tcPr>
            <w:tcW w:w="1063" w:type="pct"/>
            <w:vAlign w:val="center"/>
          </w:tcPr>
          <w:p w14:paraId="4EA6CFF1">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397</w:t>
            </w:r>
          </w:p>
        </w:tc>
        <w:tc>
          <w:tcPr>
            <w:tcW w:w="1186" w:type="pct"/>
            <w:vAlign w:val="center"/>
          </w:tcPr>
          <w:p w14:paraId="21B42541">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401</w:t>
            </w:r>
          </w:p>
        </w:tc>
      </w:tr>
      <w:tr w14:paraId="21BCAAC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1560" w:type="dxa"/>
            <w:vAlign w:val="center"/>
          </w:tcPr>
          <w:p w14:paraId="7ECA911F">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硫酸盐</w:t>
            </w:r>
          </w:p>
        </w:tc>
        <w:tc>
          <w:tcPr>
            <w:tcW w:w="683" w:type="pct"/>
            <w:vAlign w:val="center"/>
          </w:tcPr>
          <w:p w14:paraId="71347438">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0B077F0">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128</w:t>
            </w:r>
          </w:p>
        </w:tc>
        <w:tc>
          <w:tcPr>
            <w:tcW w:w="1063" w:type="pct"/>
            <w:vAlign w:val="center"/>
          </w:tcPr>
          <w:p w14:paraId="1322769A">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82</w:t>
            </w:r>
          </w:p>
        </w:tc>
        <w:tc>
          <w:tcPr>
            <w:tcW w:w="1186" w:type="pct"/>
            <w:vAlign w:val="center"/>
          </w:tcPr>
          <w:p w14:paraId="4421416C">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119</w:t>
            </w:r>
          </w:p>
        </w:tc>
      </w:tr>
      <w:tr w14:paraId="71EC23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20" w:hRule="atLeast"/>
          <w:jc w:val="center"/>
        </w:trPr>
        <w:tc>
          <w:tcPr>
            <w:tcW w:w="1560" w:type="dxa"/>
            <w:vAlign w:val="center"/>
          </w:tcPr>
          <w:p w14:paraId="7E7AC1EC">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氯化物</w:t>
            </w:r>
          </w:p>
        </w:tc>
        <w:tc>
          <w:tcPr>
            <w:tcW w:w="683" w:type="pct"/>
            <w:vAlign w:val="center"/>
          </w:tcPr>
          <w:p w14:paraId="12B4B595">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0B31C5BF">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31</w:t>
            </w:r>
          </w:p>
        </w:tc>
        <w:tc>
          <w:tcPr>
            <w:tcW w:w="1063" w:type="pct"/>
            <w:vAlign w:val="center"/>
          </w:tcPr>
          <w:p w14:paraId="16685C64">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28</w:t>
            </w:r>
          </w:p>
        </w:tc>
        <w:tc>
          <w:tcPr>
            <w:tcW w:w="1186" w:type="pct"/>
            <w:vAlign w:val="center"/>
          </w:tcPr>
          <w:p w14:paraId="6BF4FD6D">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166</w:t>
            </w:r>
          </w:p>
        </w:tc>
      </w:tr>
      <w:tr w14:paraId="7CD27A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83" w:hRule="atLeast"/>
          <w:jc w:val="center"/>
        </w:trPr>
        <w:tc>
          <w:tcPr>
            <w:tcW w:w="1560" w:type="dxa"/>
            <w:vAlign w:val="center"/>
          </w:tcPr>
          <w:p w14:paraId="26D99441">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铁</w:t>
            </w:r>
          </w:p>
        </w:tc>
        <w:tc>
          <w:tcPr>
            <w:tcW w:w="683" w:type="pct"/>
            <w:vAlign w:val="center"/>
          </w:tcPr>
          <w:p w14:paraId="31CCADCA">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47B25AC">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0.15</w:t>
            </w:r>
          </w:p>
        </w:tc>
        <w:tc>
          <w:tcPr>
            <w:tcW w:w="1063" w:type="pct"/>
            <w:vAlign w:val="center"/>
          </w:tcPr>
          <w:p w14:paraId="7E15B783">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0.11</w:t>
            </w:r>
          </w:p>
        </w:tc>
        <w:tc>
          <w:tcPr>
            <w:tcW w:w="1186" w:type="pct"/>
            <w:vAlign w:val="center"/>
          </w:tcPr>
          <w:p w14:paraId="49C10AA5">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0.14</w:t>
            </w:r>
          </w:p>
        </w:tc>
      </w:tr>
      <w:tr w14:paraId="707100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1560" w:type="dxa"/>
            <w:vAlign w:val="center"/>
          </w:tcPr>
          <w:p w14:paraId="1B6D3A3F">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锰</w:t>
            </w:r>
          </w:p>
        </w:tc>
        <w:tc>
          <w:tcPr>
            <w:tcW w:w="683" w:type="pct"/>
            <w:vAlign w:val="center"/>
          </w:tcPr>
          <w:p w14:paraId="5C281A09">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2AF2A5D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0.08</w:t>
            </w:r>
          </w:p>
        </w:tc>
        <w:tc>
          <w:tcPr>
            <w:tcW w:w="1063" w:type="pct"/>
            <w:vAlign w:val="center"/>
          </w:tcPr>
          <w:p w14:paraId="18542E0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0.03</w:t>
            </w:r>
          </w:p>
        </w:tc>
        <w:tc>
          <w:tcPr>
            <w:tcW w:w="1186" w:type="pct"/>
            <w:vAlign w:val="center"/>
          </w:tcPr>
          <w:p w14:paraId="03EBBD37">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0.05</w:t>
            </w:r>
          </w:p>
        </w:tc>
      </w:tr>
      <w:tr w14:paraId="6C5684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150" w:hRule="atLeast"/>
          <w:jc w:val="center"/>
        </w:trPr>
        <w:tc>
          <w:tcPr>
            <w:tcW w:w="1560" w:type="dxa"/>
            <w:vAlign w:val="center"/>
          </w:tcPr>
          <w:p w14:paraId="045E530E">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挥发酚</w:t>
            </w:r>
          </w:p>
        </w:tc>
        <w:tc>
          <w:tcPr>
            <w:tcW w:w="683" w:type="pct"/>
            <w:vAlign w:val="center"/>
          </w:tcPr>
          <w:p w14:paraId="0B1C444B">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0AD6D442">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0.0003L</w:t>
            </w:r>
          </w:p>
        </w:tc>
        <w:tc>
          <w:tcPr>
            <w:tcW w:w="1063" w:type="pct"/>
            <w:vAlign w:val="center"/>
          </w:tcPr>
          <w:p w14:paraId="41C12258">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0.0003L</w:t>
            </w:r>
          </w:p>
        </w:tc>
        <w:tc>
          <w:tcPr>
            <w:tcW w:w="1186" w:type="pct"/>
            <w:vAlign w:val="center"/>
          </w:tcPr>
          <w:p w14:paraId="5050016E">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0.0003L</w:t>
            </w:r>
          </w:p>
        </w:tc>
      </w:tr>
      <w:tr w14:paraId="43ACAC9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1560" w:type="dxa"/>
            <w:vAlign w:val="center"/>
          </w:tcPr>
          <w:p w14:paraId="34E9F222">
            <w:pPr>
              <w:spacing w:after="0"/>
              <w:jc w:val="center"/>
              <w:rPr>
                <w:color w:val="auto"/>
                <w:sz w:val="21"/>
                <w:szCs w:val="21"/>
                <w:highlight w:val="none"/>
              </w:rPr>
            </w:pPr>
            <w:r>
              <w:rPr>
                <w:rFonts w:hint="eastAsia" w:ascii="Times New Roman" w:hAnsi="Times New Roman" w:eastAsia="宋体" w:cs="Times New Roman"/>
                <w:color w:val="auto"/>
                <w:sz w:val="21"/>
                <w:szCs w:val="21"/>
                <w:highlight w:val="none"/>
                <w:lang w:val="en-US" w:eastAsia="zh-CN"/>
              </w:rPr>
              <w:t>高锰酸盐指数(以O</w:t>
            </w:r>
            <w:r>
              <w:rPr>
                <w:rFonts w:hint="eastAsia" w:ascii="Times New Roman" w:hAnsi="Times New Roman" w:eastAsia="宋体" w:cs="Times New Roman"/>
                <w:color w:val="auto"/>
                <w:sz w:val="21"/>
                <w:szCs w:val="21"/>
                <w:highlight w:val="none"/>
                <w:vertAlign w:val="subscript"/>
                <w:lang w:val="en-US" w:eastAsia="zh-CN"/>
              </w:rPr>
              <w:t>2</w:t>
            </w:r>
            <w:r>
              <w:rPr>
                <w:rFonts w:hint="eastAsia" w:ascii="Times New Roman" w:hAnsi="Times New Roman" w:eastAsia="宋体" w:cs="Times New Roman"/>
                <w:color w:val="auto"/>
                <w:sz w:val="21"/>
                <w:szCs w:val="21"/>
                <w:highlight w:val="none"/>
                <w:lang w:val="en-US" w:eastAsia="zh-CN"/>
              </w:rPr>
              <w:t>计)</w:t>
            </w:r>
          </w:p>
        </w:tc>
        <w:tc>
          <w:tcPr>
            <w:tcW w:w="683" w:type="pct"/>
            <w:vAlign w:val="center"/>
          </w:tcPr>
          <w:p w14:paraId="065B6C1A">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24C309E0">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1.1</w:t>
            </w:r>
          </w:p>
        </w:tc>
        <w:tc>
          <w:tcPr>
            <w:tcW w:w="1063" w:type="pct"/>
            <w:vAlign w:val="center"/>
          </w:tcPr>
          <w:p w14:paraId="126DBDF7">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1.0</w:t>
            </w:r>
          </w:p>
        </w:tc>
        <w:tc>
          <w:tcPr>
            <w:tcW w:w="1186" w:type="pct"/>
            <w:vAlign w:val="center"/>
          </w:tcPr>
          <w:p w14:paraId="73175CBF">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1.3</w:t>
            </w:r>
          </w:p>
        </w:tc>
      </w:tr>
      <w:tr w14:paraId="2968987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1560" w:type="dxa"/>
            <w:vAlign w:val="center"/>
          </w:tcPr>
          <w:p w14:paraId="43886209">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 xml:space="preserve">氨氮         </w:t>
            </w:r>
          </w:p>
        </w:tc>
        <w:tc>
          <w:tcPr>
            <w:tcW w:w="683" w:type="pct"/>
            <w:vAlign w:val="center"/>
          </w:tcPr>
          <w:p w14:paraId="3E70FC75">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2F5C0A5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0.35</w:t>
            </w:r>
          </w:p>
        </w:tc>
        <w:tc>
          <w:tcPr>
            <w:tcW w:w="1063" w:type="pct"/>
            <w:vAlign w:val="center"/>
          </w:tcPr>
          <w:p w14:paraId="55FF1D30">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0.39</w:t>
            </w:r>
          </w:p>
        </w:tc>
        <w:tc>
          <w:tcPr>
            <w:tcW w:w="1186" w:type="pct"/>
            <w:vAlign w:val="center"/>
          </w:tcPr>
          <w:p w14:paraId="1EC5AC7C">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0.42</w:t>
            </w:r>
          </w:p>
        </w:tc>
      </w:tr>
      <w:tr w14:paraId="00C586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1560" w:type="dxa"/>
            <w:vAlign w:val="center"/>
          </w:tcPr>
          <w:p w14:paraId="571AD46C">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总大肠菌群</w:t>
            </w:r>
          </w:p>
        </w:tc>
        <w:tc>
          <w:tcPr>
            <w:tcW w:w="683" w:type="pct"/>
            <w:vAlign w:val="center"/>
          </w:tcPr>
          <w:p w14:paraId="2E86F267">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MPN/</w:t>
            </w:r>
            <w:r>
              <w:rPr>
                <w:rFonts w:hint="eastAsia" w:ascii="Times New Roman" w:hAnsi="Times New Roman" w:eastAsia="宋体" w:cs="Times New Roman"/>
                <w:color w:val="auto"/>
                <w:kern w:val="0"/>
                <w:sz w:val="21"/>
                <w:szCs w:val="21"/>
                <w:highlight w:val="none"/>
                <w:lang w:val="en-US" w:eastAsia="zh-CN" w:bidi="ar"/>
              </w:rPr>
              <w:t>100m</w:t>
            </w:r>
            <w:r>
              <w:rPr>
                <w:rFonts w:hint="default" w:ascii="Times New Roman" w:hAnsi="Times New Roman" w:eastAsia="宋体" w:cs="Times New Roman"/>
                <w:color w:val="auto"/>
                <w:kern w:val="0"/>
                <w:sz w:val="21"/>
                <w:szCs w:val="21"/>
                <w:highlight w:val="none"/>
                <w:lang w:val="en-US" w:eastAsia="zh-CN" w:bidi="ar"/>
              </w:rPr>
              <w:t>L</w:t>
            </w:r>
          </w:p>
        </w:tc>
        <w:tc>
          <w:tcPr>
            <w:tcW w:w="1126" w:type="pct"/>
            <w:vAlign w:val="center"/>
          </w:tcPr>
          <w:p w14:paraId="480A3FD1">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未检出</w:t>
            </w:r>
          </w:p>
        </w:tc>
        <w:tc>
          <w:tcPr>
            <w:tcW w:w="1063" w:type="pct"/>
            <w:vAlign w:val="center"/>
          </w:tcPr>
          <w:p w14:paraId="3E7D7291">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未检出</w:t>
            </w:r>
          </w:p>
        </w:tc>
        <w:tc>
          <w:tcPr>
            <w:tcW w:w="1186" w:type="pct"/>
            <w:vAlign w:val="center"/>
          </w:tcPr>
          <w:p w14:paraId="4897882F">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未检出</w:t>
            </w:r>
          </w:p>
        </w:tc>
      </w:tr>
      <w:tr w14:paraId="0D4336B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54" w:hRule="atLeast"/>
          <w:jc w:val="center"/>
        </w:trPr>
        <w:tc>
          <w:tcPr>
            <w:tcW w:w="1560" w:type="dxa"/>
            <w:vAlign w:val="center"/>
          </w:tcPr>
          <w:p w14:paraId="136FFE68">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菌落总数</w:t>
            </w:r>
          </w:p>
        </w:tc>
        <w:tc>
          <w:tcPr>
            <w:tcW w:w="683" w:type="pct"/>
            <w:vAlign w:val="center"/>
          </w:tcPr>
          <w:p w14:paraId="42599322">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CFU/mL</w:t>
            </w:r>
          </w:p>
        </w:tc>
        <w:tc>
          <w:tcPr>
            <w:tcW w:w="1126" w:type="pct"/>
            <w:vAlign w:val="center"/>
          </w:tcPr>
          <w:p w14:paraId="719D5354">
            <w:pPr>
              <w:tabs>
                <w:tab w:val="left" w:pos="437"/>
              </w:tabs>
              <w:spacing w:after="0"/>
              <w:jc w:val="center"/>
              <w:rPr>
                <w:color w:val="auto"/>
                <w:sz w:val="21"/>
                <w:szCs w:val="21"/>
                <w:highlight w:val="none"/>
              </w:rPr>
            </w:pPr>
            <w:r>
              <w:rPr>
                <w:rFonts w:hint="eastAsia" w:cs="Times New Roman"/>
                <w:color w:val="auto"/>
                <w:kern w:val="0"/>
                <w:sz w:val="21"/>
                <w:szCs w:val="21"/>
                <w:highlight w:val="none"/>
                <w:lang w:val="en-US" w:eastAsia="zh-CN" w:bidi="ar-SA"/>
              </w:rPr>
              <w:t>27</w:t>
            </w:r>
          </w:p>
        </w:tc>
        <w:tc>
          <w:tcPr>
            <w:tcW w:w="1063" w:type="pct"/>
            <w:vAlign w:val="center"/>
          </w:tcPr>
          <w:p w14:paraId="59A745BA">
            <w:pPr>
              <w:tabs>
                <w:tab w:val="left" w:pos="437"/>
              </w:tabs>
              <w:spacing w:after="0"/>
              <w:jc w:val="center"/>
              <w:rPr>
                <w:color w:val="auto"/>
                <w:sz w:val="21"/>
                <w:szCs w:val="21"/>
                <w:highlight w:val="none"/>
              </w:rPr>
            </w:pPr>
            <w:r>
              <w:rPr>
                <w:rFonts w:hint="eastAsia" w:cs="Times New Roman"/>
                <w:color w:val="auto"/>
                <w:kern w:val="0"/>
                <w:sz w:val="21"/>
                <w:szCs w:val="21"/>
                <w:highlight w:val="none"/>
                <w:lang w:val="en-US" w:eastAsia="zh-CN" w:bidi="ar-SA"/>
              </w:rPr>
              <w:t>21</w:t>
            </w:r>
          </w:p>
        </w:tc>
        <w:tc>
          <w:tcPr>
            <w:tcW w:w="1186" w:type="pct"/>
            <w:vAlign w:val="center"/>
          </w:tcPr>
          <w:p w14:paraId="4C55AF51">
            <w:pPr>
              <w:tabs>
                <w:tab w:val="left" w:pos="437"/>
              </w:tabs>
              <w:spacing w:after="0"/>
              <w:jc w:val="center"/>
              <w:rPr>
                <w:color w:val="auto"/>
                <w:sz w:val="21"/>
                <w:szCs w:val="21"/>
                <w:highlight w:val="none"/>
              </w:rPr>
            </w:pPr>
            <w:r>
              <w:rPr>
                <w:rFonts w:hint="eastAsia" w:cs="Times New Roman"/>
                <w:color w:val="auto"/>
                <w:kern w:val="0"/>
                <w:sz w:val="21"/>
                <w:szCs w:val="21"/>
                <w:highlight w:val="none"/>
                <w:lang w:val="en-US" w:eastAsia="zh-CN" w:bidi="ar-SA"/>
              </w:rPr>
              <w:t>23</w:t>
            </w:r>
          </w:p>
        </w:tc>
      </w:tr>
      <w:tr w14:paraId="76C92FB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69BF339D">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 xml:space="preserve">亚硝酸盐     </w:t>
            </w:r>
          </w:p>
        </w:tc>
        <w:tc>
          <w:tcPr>
            <w:tcW w:w="683" w:type="pct"/>
            <w:vAlign w:val="center"/>
          </w:tcPr>
          <w:p w14:paraId="718B6B03">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07BE12B">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0.003L</w:t>
            </w:r>
          </w:p>
        </w:tc>
        <w:tc>
          <w:tcPr>
            <w:tcW w:w="1063" w:type="pct"/>
            <w:vAlign w:val="center"/>
          </w:tcPr>
          <w:p w14:paraId="6E114DFE">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0.003L</w:t>
            </w:r>
          </w:p>
        </w:tc>
        <w:tc>
          <w:tcPr>
            <w:tcW w:w="1186" w:type="pct"/>
            <w:vAlign w:val="center"/>
          </w:tcPr>
          <w:p w14:paraId="64A42281">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0.003L</w:t>
            </w:r>
          </w:p>
        </w:tc>
      </w:tr>
      <w:tr w14:paraId="6B8FFAF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738A0C53">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 xml:space="preserve">硝酸盐       </w:t>
            </w:r>
          </w:p>
        </w:tc>
        <w:tc>
          <w:tcPr>
            <w:tcW w:w="683" w:type="pct"/>
            <w:vAlign w:val="center"/>
          </w:tcPr>
          <w:p w14:paraId="06A23DD5">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FD96B95">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1.78</w:t>
            </w:r>
          </w:p>
        </w:tc>
        <w:tc>
          <w:tcPr>
            <w:tcW w:w="1063" w:type="pct"/>
            <w:vAlign w:val="center"/>
          </w:tcPr>
          <w:p w14:paraId="361E10DE">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1.81</w:t>
            </w:r>
          </w:p>
        </w:tc>
        <w:tc>
          <w:tcPr>
            <w:tcW w:w="1186" w:type="pct"/>
            <w:vAlign w:val="center"/>
          </w:tcPr>
          <w:p w14:paraId="58A9A5D9">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1.83</w:t>
            </w:r>
          </w:p>
        </w:tc>
      </w:tr>
      <w:tr w14:paraId="1A7FB65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506FF4F2">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氰化物</w:t>
            </w:r>
          </w:p>
        </w:tc>
        <w:tc>
          <w:tcPr>
            <w:tcW w:w="683" w:type="pct"/>
            <w:vAlign w:val="center"/>
          </w:tcPr>
          <w:p w14:paraId="41D56323">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607B8530">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0.002L</w:t>
            </w:r>
          </w:p>
        </w:tc>
        <w:tc>
          <w:tcPr>
            <w:tcW w:w="1063" w:type="pct"/>
            <w:vAlign w:val="center"/>
          </w:tcPr>
          <w:p w14:paraId="33FA02ED">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0.002L</w:t>
            </w:r>
          </w:p>
        </w:tc>
        <w:tc>
          <w:tcPr>
            <w:tcW w:w="1186" w:type="pct"/>
            <w:vAlign w:val="center"/>
          </w:tcPr>
          <w:p w14:paraId="1FD7E36E">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0.002L</w:t>
            </w:r>
          </w:p>
        </w:tc>
      </w:tr>
      <w:tr w14:paraId="7C1CA55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61AE80F1">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氟化物</w:t>
            </w:r>
          </w:p>
        </w:tc>
        <w:tc>
          <w:tcPr>
            <w:tcW w:w="683" w:type="pct"/>
            <w:vAlign w:val="center"/>
          </w:tcPr>
          <w:p w14:paraId="34372EE7">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5F1A1902">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0.37</w:t>
            </w:r>
          </w:p>
        </w:tc>
        <w:tc>
          <w:tcPr>
            <w:tcW w:w="1063" w:type="pct"/>
            <w:vAlign w:val="center"/>
          </w:tcPr>
          <w:p w14:paraId="4FD59CA7">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0.39</w:t>
            </w:r>
          </w:p>
        </w:tc>
        <w:tc>
          <w:tcPr>
            <w:tcW w:w="1186" w:type="pct"/>
            <w:vAlign w:val="center"/>
          </w:tcPr>
          <w:p w14:paraId="70A545A9">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0.41</w:t>
            </w:r>
          </w:p>
        </w:tc>
      </w:tr>
      <w:tr w14:paraId="3331087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14AE2FDB">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汞</w:t>
            </w:r>
          </w:p>
        </w:tc>
        <w:tc>
          <w:tcPr>
            <w:tcW w:w="683" w:type="pct"/>
            <w:vAlign w:val="center"/>
          </w:tcPr>
          <w:p w14:paraId="23879C20">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51D577CF">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0.00015</w:t>
            </w:r>
          </w:p>
        </w:tc>
        <w:tc>
          <w:tcPr>
            <w:tcW w:w="1063" w:type="pct"/>
            <w:vAlign w:val="center"/>
          </w:tcPr>
          <w:p w14:paraId="5711AF39">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0.00012</w:t>
            </w:r>
          </w:p>
        </w:tc>
        <w:tc>
          <w:tcPr>
            <w:tcW w:w="1186" w:type="pct"/>
            <w:vAlign w:val="center"/>
          </w:tcPr>
          <w:p w14:paraId="574AC47B">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0.00011</w:t>
            </w:r>
          </w:p>
        </w:tc>
      </w:tr>
      <w:tr w14:paraId="2603E0BF">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687E8A6C">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砷</w:t>
            </w:r>
          </w:p>
        </w:tc>
        <w:tc>
          <w:tcPr>
            <w:tcW w:w="683" w:type="pct"/>
            <w:vAlign w:val="center"/>
          </w:tcPr>
          <w:p w14:paraId="530749D5">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55D82B59">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0.0008</w:t>
            </w:r>
          </w:p>
        </w:tc>
        <w:tc>
          <w:tcPr>
            <w:tcW w:w="1063" w:type="pct"/>
            <w:vAlign w:val="center"/>
          </w:tcPr>
          <w:p w14:paraId="43BEFB46">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0.0005</w:t>
            </w:r>
          </w:p>
        </w:tc>
        <w:tc>
          <w:tcPr>
            <w:tcW w:w="1186" w:type="pct"/>
            <w:vAlign w:val="center"/>
          </w:tcPr>
          <w:p w14:paraId="78CC7614">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0.0007</w:t>
            </w:r>
          </w:p>
        </w:tc>
      </w:tr>
      <w:tr w14:paraId="2BBF497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74545A7D">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镉</w:t>
            </w:r>
          </w:p>
        </w:tc>
        <w:tc>
          <w:tcPr>
            <w:tcW w:w="683" w:type="pct"/>
            <w:vAlign w:val="center"/>
          </w:tcPr>
          <w:p w14:paraId="1A58C2CE">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7F7CB2B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0.001L</w:t>
            </w:r>
          </w:p>
        </w:tc>
        <w:tc>
          <w:tcPr>
            <w:tcW w:w="1063" w:type="pct"/>
            <w:vAlign w:val="center"/>
          </w:tcPr>
          <w:p w14:paraId="4DDC1FA1">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0.001L</w:t>
            </w:r>
          </w:p>
        </w:tc>
        <w:tc>
          <w:tcPr>
            <w:tcW w:w="1186" w:type="pct"/>
            <w:vAlign w:val="center"/>
          </w:tcPr>
          <w:p w14:paraId="62EE2E9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0.001L</w:t>
            </w:r>
          </w:p>
        </w:tc>
      </w:tr>
      <w:tr w14:paraId="6238D6A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70289F55">
            <w:pPr>
              <w:spacing w:after="0"/>
              <w:jc w:val="center"/>
              <w:rPr>
                <w:color w:val="auto"/>
                <w:sz w:val="21"/>
                <w:szCs w:val="21"/>
                <w:highlight w:val="none"/>
              </w:rPr>
            </w:pPr>
            <w:r>
              <w:rPr>
                <w:rFonts w:hint="eastAsia" w:ascii="Times New Roman" w:hAnsi="Times New Roman" w:eastAsia="宋体" w:cs="Times New Roman"/>
                <w:color w:val="auto"/>
                <w:sz w:val="21"/>
                <w:szCs w:val="21"/>
                <w:highlight w:val="none"/>
                <w:lang w:val="en-US" w:eastAsia="zh-CN"/>
              </w:rPr>
              <w:t>铬（六价）</w:t>
            </w:r>
          </w:p>
        </w:tc>
        <w:tc>
          <w:tcPr>
            <w:tcW w:w="683" w:type="pct"/>
            <w:vAlign w:val="center"/>
          </w:tcPr>
          <w:p w14:paraId="2835B924">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68414FF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0.004L</w:t>
            </w:r>
          </w:p>
        </w:tc>
        <w:tc>
          <w:tcPr>
            <w:tcW w:w="1063" w:type="pct"/>
            <w:vAlign w:val="center"/>
          </w:tcPr>
          <w:p w14:paraId="422AE704">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0.004L</w:t>
            </w:r>
          </w:p>
        </w:tc>
        <w:tc>
          <w:tcPr>
            <w:tcW w:w="1186" w:type="pct"/>
            <w:vAlign w:val="center"/>
          </w:tcPr>
          <w:p w14:paraId="2EDC79BB">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0.004L</w:t>
            </w:r>
          </w:p>
        </w:tc>
      </w:tr>
      <w:tr w14:paraId="4427304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60C70388">
            <w:pPr>
              <w:spacing w:after="0"/>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铅</w:t>
            </w:r>
          </w:p>
        </w:tc>
        <w:tc>
          <w:tcPr>
            <w:tcW w:w="683" w:type="pct"/>
            <w:vAlign w:val="center"/>
          </w:tcPr>
          <w:p w14:paraId="62F8DB2E">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5F8F7E1D">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0.010L</w:t>
            </w:r>
          </w:p>
        </w:tc>
        <w:tc>
          <w:tcPr>
            <w:tcW w:w="1063" w:type="pct"/>
            <w:vAlign w:val="center"/>
          </w:tcPr>
          <w:p w14:paraId="55BF6896">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0.010L</w:t>
            </w:r>
          </w:p>
        </w:tc>
        <w:tc>
          <w:tcPr>
            <w:tcW w:w="1186" w:type="pct"/>
            <w:vAlign w:val="center"/>
          </w:tcPr>
          <w:p w14:paraId="2DDC2826">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0.010L</w:t>
            </w:r>
          </w:p>
        </w:tc>
      </w:tr>
      <w:tr w14:paraId="7E8FD21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PrEx>
        <w:trPr>
          <w:trHeight w:val="291" w:hRule="atLeast"/>
          <w:jc w:val="center"/>
        </w:trPr>
        <w:tc>
          <w:tcPr>
            <w:tcW w:w="1560" w:type="dxa"/>
            <w:vAlign w:val="center"/>
          </w:tcPr>
          <w:p w14:paraId="2DC331B6">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K</w:t>
            </w:r>
            <w:r>
              <w:rPr>
                <w:rFonts w:hint="default" w:ascii="Times New Roman" w:hAnsi="Times New Roman" w:eastAsia="宋体" w:cs="Times New Roman"/>
                <w:color w:val="auto"/>
                <w:sz w:val="21"/>
                <w:szCs w:val="21"/>
                <w:highlight w:val="none"/>
                <w:vertAlign w:val="superscript"/>
                <w:lang w:val="en-US" w:eastAsia="zh-CN"/>
              </w:rPr>
              <w:t>+</w:t>
            </w:r>
          </w:p>
        </w:tc>
        <w:tc>
          <w:tcPr>
            <w:tcW w:w="683" w:type="pct"/>
            <w:vAlign w:val="center"/>
          </w:tcPr>
          <w:p w14:paraId="0ACE0149">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117D24C3">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14.8</w:t>
            </w:r>
          </w:p>
        </w:tc>
        <w:tc>
          <w:tcPr>
            <w:tcW w:w="1063" w:type="pct"/>
            <w:vAlign w:val="center"/>
          </w:tcPr>
          <w:p w14:paraId="20B48560">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15.1</w:t>
            </w:r>
          </w:p>
        </w:tc>
        <w:tc>
          <w:tcPr>
            <w:tcW w:w="1186" w:type="pct"/>
            <w:vAlign w:val="center"/>
          </w:tcPr>
          <w:p w14:paraId="39AECA1C">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17.5</w:t>
            </w:r>
          </w:p>
        </w:tc>
      </w:tr>
      <w:tr w14:paraId="4B97080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68D747C0">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Na</w:t>
            </w:r>
            <w:r>
              <w:rPr>
                <w:rFonts w:hint="default" w:ascii="Times New Roman" w:hAnsi="Times New Roman" w:eastAsia="宋体" w:cs="Times New Roman"/>
                <w:color w:val="auto"/>
                <w:sz w:val="21"/>
                <w:szCs w:val="21"/>
                <w:highlight w:val="none"/>
                <w:vertAlign w:val="superscript"/>
                <w:lang w:val="en-US" w:eastAsia="zh-CN"/>
              </w:rPr>
              <w:t>+</w:t>
            </w:r>
          </w:p>
        </w:tc>
        <w:tc>
          <w:tcPr>
            <w:tcW w:w="683" w:type="pct"/>
            <w:vAlign w:val="center"/>
          </w:tcPr>
          <w:p w14:paraId="383E109A">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359245D">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17.6</w:t>
            </w:r>
          </w:p>
        </w:tc>
        <w:tc>
          <w:tcPr>
            <w:tcW w:w="1063" w:type="pct"/>
            <w:vAlign w:val="center"/>
          </w:tcPr>
          <w:p w14:paraId="04A8EB32">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14.9</w:t>
            </w:r>
          </w:p>
        </w:tc>
        <w:tc>
          <w:tcPr>
            <w:tcW w:w="1186" w:type="pct"/>
            <w:vAlign w:val="center"/>
          </w:tcPr>
          <w:p w14:paraId="57761744">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60.2</w:t>
            </w:r>
          </w:p>
        </w:tc>
      </w:tr>
      <w:tr w14:paraId="22C9532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1FE3FC4E">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Ca</w:t>
            </w:r>
            <w:r>
              <w:rPr>
                <w:rFonts w:hint="default" w:ascii="Times New Roman" w:hAnsi="Times New Roman" w:eastAsia="宋体" w:cs="Times New Roman"/>
                <w:color w:val="auto"/>
                <w:sz w:val="21"/>
                <w:szCs w:val="21"/>
                <w:highlight w:val="none"/>
                <w:vertAlign w:val="superscript"/>
                <w:lang w:val="en-US" w:eastAsia="zh-CN"/>
              </w:rPr>
              <w:t>2+</w:t>
            </w:r>
          </w:p>
        </w:tc>
        <w:tc>
          <w:tcPr>
            <w:tcW w:w="683" w:type="pct"/>
            <w:vAlign w:val="center"/>
          </w:tcPr>
          <w:p w14:paraId="4D10EC8E">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23627D14">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79.4</w:t>
            </w:r>
          </w:p>
        </w:tc>
        <w:tc>
          <w:tcPr>
            <w:tcW w:w="1063" w:type="pct"/>
            <w:vAlign w:val="center"/>
          </w:tcPr>
          <w:p w14:paraId="6577A657">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78.4</w:t>
            </w:r>
          </w:p>
        </w:tc>
        <w:tc>
          <w:tcPr>
            <w:tcW w:w="1186" w:type="pct"/>
            <w:vAlign w:val="center"/>
          </w:tcPr>
          <w:p w14:paraId="6B629D16">
            <w:pPr>
              <w:spacing w:after="0"/>
              <w:jc w:val="center"/>
              <w:rPr>
                <w:color w:val="auto"/>
                <w:sz w:val="21"/>
                <w:szCs w:val="21"/>
                <w:highlight w:val="none"/>
              </w:rPr>
            </w:pPr>
            <w:r>
              <w:rPr>
                <w:rFonts w:hint="eastAsia" w:ascii="Times New Roman" w:hAnsi="Times New Roman" w:eastAsia="宋体" w:cs="Times New Roman"/>
                <w:color w:val="auto"/>
                <w:kern w:val="0"/>
                <w:sz w:val="21"/>
                <w:szCs w:val="21"/>
                <w:highlight w:val="none"/>
                <w:lang w:val="en-US" w:eastAsia="zh-CN" w:bidi="ar-SA"/>
              </w:rPr>
              <w:t>91.0</w:t>
            </w:r>
          </w:p>
        </w:tc>
      </w:tr>
      <w:tr w14:paraId="464B7E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2F65BE1D">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Mg</w:t>
            </w:r>
            <w:r>
              <w:rPr>
                <w:rFonts w:hint="default" w:ascii="Times New Roman" w:hAnsi="Times New Roman" w:eastAsia="宋体" w:cs="Times New Roman"/>
                <w:color w:val="auto"/>
                <w:sz w:val="21"/>
                <w:szCs w:val="21"/>
                <w:highlight w:val="none"/>
                <w:vertAlign w:val="superscript"/>
                <w:lang w:val="en-US" w:eastAsia="zh-CN"/>
              </w:rPr>
              <w:t>2+</w:t>
            </w:r>
          </w:p>
        </w:tc>
        <w:tc>
          <w:tcPr>
            <w:tcW w:w="683" w:type="pct"/>
            <w:vAlign w:val="center"/>
          </w:tcPr>
          <w:p w14:paraId="673CCEB6">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67F077D7">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22.7</w:t>
            </w:r>
          </w:p>
        </w:tc>
        <w:tc>
          <w:tcPr>
            <w:tcW w:w="1063" w:type="pct"/>
            <w:vAlign w:val="center"/>
          </w:tcPr>
          <w:p w14:paraId="788EF582">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15.5</w:t>
            </w:r>
          </w:p>
        </w:tc>
        <w:tc>
          <w:tcPr>
            <w:tcW w:w="1186" w:type="pct"/>
            <w:vAlign w:val="center"/>
          </w:tcPr>
          <w:p w14:paraId="7C23544E">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28.2</w:t>
            </w:r>
          </w:p>
        </w:tc>
      </w:tr>
      <w:tr w14:paraId="6CCDEED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1BB36E53">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Cl</w:t>
            </w:r>
            <w:r>
              <w:rPr>
                <w:rFonts w:hint="default" w:ascii="Times New Roman" w:hAnsi="Times New Roman" w:eastAsia="宋体" w:cs="Times New Roman"/>
                <w:color w:val="auto"/>
                <w:sz w:val="21"/>
                <w:szCs w:val="21"/>
                <w:highlight w:val="none"/>
                <w:vertAlign w:val="superscript"/>
                <w:lang w:val="en-US" w:eastAsia="zh-CN"/>
              </w:rPr>
              <w:t>-</w:t>
            </w:r>
          </w:p>
        </w:tc>
        <w:tc>
          <w:tcPr>
            <w:tcW w:w="683" w:type="pct"/>
            <w:vAlign w:val="center"/>
          </w:tcPr>
          <w:p w14:paraId="12DA750B">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459708EA">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31</w:t>
            </w:r>
          </w:p>
        </w:tc>
        <w:tc>
          <w:tcPr>
            <w:tcW w:w="1063" w:type="pct"/>
            <w:vAlign w:val="center"/>
          </w:tcPr>
          <w:p w14:paraId="04A748FE">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28</w:t>
            </w:r>
          </w:p>
        </w:tc>
        <w:tc>
          <w:tcPr>
            <w:tcW w:w="1186" w:type="pct"/>
            <w:vAlign w:val="center"/>
          </w:tcPr>
          <w:p w14:paraId="43520E06">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166</w:t>
            </w:r>
          </w:p>
        </w:tc>
      </w:tr>
      <w:tr w14:paraId="369FCC4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285021E3">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SO</w:t>
            </w:r>
            <w:r>
              <w:rPr>
                <w:rFonts w:hint="default" w:ascii="Times New Roman" w:hAnsi="Times New Roman" w:eastAsia="宋体" w:cs="Times New Roman"/>
                <w:color w:val="auto"/>
                <w:sz w:val="21"/>
                <w:szCs w:val="21"/>
                <w:highlight w:val="none"/>
                <w:vertAlign w:val="subscript"/>
                <w:lang w:val="en-US" w:eastAsia="zh-CN"/>
              </w:rPr>
              <w:t>4</w:t>
            </w:r>
            <w:r>
              <w:rPr>
                <w:rFonts w:hint="default" w:ascii="Times New Roman" w:hAnsi="Times New Roman" w:eastAsia="宋体" w:cs="Times New Roman"/>
                <w:color w:val="auto"/>
                <w:sz w:val="21"/>
                <w:szCs w:val="21"/>
                <w:highlight w:val="none"/>
                <w:vertAlign w:val="superscript"/>
                <w:lang w:val="en-US" w:eastAsia="zh-CN"/>
              </w:rPr>
              <w:t>2-</w:t>
            </w:r>
          </w:p>
        </w:tc>
        <w:tc>
          <w:tcPr>
            <w:tcW w:w="683" w:type="pct"/>
            <w:vAlign w:val="center"/>
          </w:tcPr>
          <w:p w14:paraId="09D3A387">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3B874854">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128</w:t>
            </w:r>
          </w:p>
        </w:tc>
        <w:tc>
          <w:tcPr>
            <w:tcW w:w="1063" w:type="pct"/>
            <w:vAlign w:val="center"/>
          </w:tcPr>
          <w:p w14:paraId="46846928">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82</w:t>
            </w:r>
          </w:p>
        </w:tc>
        <w:tc>
          <w:tcPr>
            <w:tcW w:w="1186" w:type="pct"/>
            <w:vAlign w:val="center"/>
          </w:tcPr>
          <w:p w14:paraId="7BB6B853">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119</w:t>
            </w:r>
          </w:p>
        </w:tc>
      </w:tr>
      <w:tr w14:paraId="634DD9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521387F6">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CO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vertAlign w:val="superscript"/>
                <w:lang w:val="en-US" w:eastAsia="zh-CN"/>
              </w:rPr>
              <w:t>2-</w:t>
            </w:r>
          </w:p>
        </w:tc>
        <w:tc>
          <w:tcPr>
            <w:tcW w:w="683" w:type="pct"/>
            <w:vAlign w:val="center"/>
          </w:tcPr>
          <w:p w14:paraId="2F21D1E5">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18A49E74">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5L</w:t>
            </w:r>
          </w:p>
        </w:tc>
        <w:tc>
          <w:tcPr>
            <w:tcW w:w="1063" w:type="pct"/>
            <w:vAlign w:val="center"/>
          </w:tcPr>
          <w:p w14:paraId="38880AED">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5L</w:t>
            </w:r>
          </w:p>
        </w:tc>
        <w:tc>
          <w:tcPr>
            <w:tcW w:w="1186" w:type="pct"/>
            <w:vAlign w:val="center"/>
          </w:tcPr>
          <w:p w14:paraId="554A5E37">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5L</w:t>
            </w:r>
          </w:p>
        </w:tc>
      </w:tr>
      <w:tr w14:paraId="3041A01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91" w:hRule="atLeast"/>
          <w:jc w:val="center"/>
        </w:trPr>
        <w:tc>
          <w:tcPr>
            <w:tcW w:w="1560" w:type="dxa"/>
            <w:vAlign w:val="center"/>
          </w:tcPr>
          <w:p w14:paraId="40A12833">
            <w:pPr>
              <w:jc w:val="center"/>
              <w:rPr>
                <w:color w:val="auto"/>
                <w:sz w:val="21"/>
                <w:szCs w:val="21"/>
                <w:highlight w:val="none"/>
              </w:rPr>
            </w:pPr>
            <w:r>
              <w:rPr>
                <w:rFonts w:hint="default" w:ascii="Times New Roman" w:hAnsi="Times New Roman" w:eastAsia="宋体" w:cs="Times New Roman"/>
                <w:color w:val="auto"/>
                <w:sz w:val="21"/>
                <w:szCs w:val="21"/>
                <w:highlight w:val="none"/>
                <w:lang w:val="en-US" w:eastAsia="zh-CN"/>
              </w:rPr>
              <w:t>HCO</w:t>
            </w:r>
            <w:r>
              <w:rPr>
                <w:rFonts w:hint="default" w:ascii="Times New Roman" w:hAnsi="Times New Roman" w:eastAsia="宋体" w:cs="Times New Roman"/>
                <w:color w:val="auto"/>
                <w:sz w:val="21"/>
                <w:szCs w:val="21"/>
                <w:highlight w:val="none"/>
                <w:vertAlign w:val="subscript"/>
                <w:lang w:val="en-US" w:eastAsia="zh-CN"/>
              </w:rPr>
              <w:t>3</w:t>
            </w:r>
            <w:r>
              <w:rPr>
                <w:rFonts w:hint="default" w:ascii="Times New Roman" w:hAnsi="Times New Roman" w:eastAsia="宋体" w:cs="Times New Roman"/>
                <w:color w:val="auto"/>
                <w:sz w:val="21"/>
                <w:szCs w:val="21"/>
                <w:highlight w:val="none"/>
                <w:vertAlign w:val="superscript"/>
                <w:lang w:val="en-US" w:eastAsia="zh-CN"/>
              </w:rPr>
              <w:t>-</w:t>
            </w:r>
          </w:p>
        </w:tc>
        <w:tc>
          <w:tcPr>
            <w:tcW w:w="683" w:type="pct"/>
            <w:vAlign w:val="center"/>
          </w:tcPr>
          <w:p w14:paraId="31FD453E">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
              </w:rPr>
              <w:t>mg/L</w:t>
            </w:r>
          </w:p>
        </w:tc>
        <w:tc>
          <w:tcPr>
            <w:tcW w:w="1126" w:type="pct"/>
            <w:vAlign w:val="center"/>
          </w:tcPr>
          <w:p w14:paraId="75F1833D">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214</w:t>
            </w:r>
          </w:p>
        </w:tc>
        <w:tc>
          <w:tcPr>
            <w:tcW w:w="1063" w:type="pct"/>
            <w:vAlign w:val="center"/>
          </w:tcPr>
          <w:p w14:paraId="43D4B32B">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214</w:t>
            </w:r>
          </w:p>
        </w:tc>
        <w:tc>
          <w:tcPr>
            <w:tcW w:w="1186" w:type="pct"/>
            <w:vAlign w:val="center"/>
          </w:tcPr>
          <w:p w14:paraId="5ACEF13C">
            <w:pPr>
              <w:spacing w:after="0"/>
              <w:jc w:val="center"/>
              <w:rPr>
                <w:color w:val="auto"/>
                <w:sz w:val="21"/>
                <w:szCs w:val="21"/>
                <w:highlight w:val="none"/>
              </w:rPr>
            </w:pPr>
            <w:r>
              <w:rPr>
                <w:rFonts w:hint="eastAsia" w:cs="Times New Roman"/>
                <w:color w:val="auto"/>
                <w:kern w:val="0"/>
                <w:sz w:val="21"/>
                <w:szCs w:val="21"/>
                <w:highlight w:val="none"/>
                <w:lang w:val="en-US" w:eastAsia="zh-CN" w:bidi="ar-SA"/>
              </w:rPr>
              <w:t>153</w:t>
            </w:r>
          </w:p>
        </w:tc>
      </w:tr>
    </w:tbl>
    <w:p w14:paraId="02547281">
      <w:pPr>
        <w:spacing w:line="0" w:lineRule="atLeast"/>
        <w:jc w:val="left"/>
        <w:rPr>
          <w:b/>
          <w:color w:val="auto"/>
          <w:sz w:val="18"/>
        </w:rPr>
      </w:pPr>
      <w:r>
        <w:rPr>
          <w:b/>
          <w:color w:val="auto"/>
          <w:sz w:val="18"/>
        </w:rPr>
        <w:t>注</w:t>
      </w:r>
      <w:r>
        <w:rPr>
          <w:rFonts w:hint="eastAsia"/>
          <w:b/>
          <w:color w:val="auto"/>
          <w:sz w:val="18"/>
        </w:rPr>
        <w:t>：pH为无量纲；L表示小于方法检出限；其中菌落总数单位为CFU/ml；总大肠菌数单位MPN/100ml</w:t>
      </w:r>
      <w:r>
        <w:rPr>
          <w:b/>
          <w:color w:val="auto"/>
          <w:sz w:val="18"/>
        </w:rPr>
        <w:t>。</w:t>
      </w:r>
    </w:p>
    <w:p w14:paraId="6F5AEF8A">
      <w:pPr>
        <w:pStyle w:val="135"/>
        <w:rPr>
          <w:color w:val="auto"/>
        </w:rPr>
      </w:pPr>
      <w:r>
        <w:rPr>
          <w:rFonts w:hint="eastAsia"/>
          <w:color w:val="auto"/>
        </w:rPr>
        <w:t>4</w:t>
      </w:r>
      <w:r>
        <w:rPr>
          <w:color w:val="auto"/>
        </w:rPr>
        <w:t>.</w:t>
      </w:r>
      <w:r>
        <w:rPr>
          <w:rFonts w:hint="eastAsia"/>
          <w:color w:val="auto"/>
        </w:rPr>
        <w:t>2.3.2</w:t>
      </w:r>
      <w:r>
        <w:rPr>
          <w:color w:val="auto"/>
        </w:rPr>
        <w:t>地下水环境现状评价</w:t>
      </w:r>
      <w:r>
        <w:rPr>
          <w:rFonts w:hint="eastAsia"/>
          <w:color w:val="auto"/>
        </w:rPr>
        <w:t xml:space="preserve">   </w:t>
      </w:r>
    </w:p>
    <w:p w14:paraId="028A411E">
      <w:pPr>
        <w:pStyle w:val="59"/>
        <w:ind w:firstLine="480"/>
        <w:rPr>
          <w:color w:val="auto"/>
        </w:rPr>
      </w:pPr>
      <w:r>
        <w:rPr>
          <w:color w:val="auto"/>
        </w:rPr>
        <w:t>1</w:t>
      </w:r>
      <w:r>
        <w:rPr>
          <w:rFonts w:hint="eastAsia"/>
          <w:color w:val="auto"/>
        </w:rPr>
        <w:t>、评价标准</w:t>
      </w:r>
    </w:p>
    <w:p w14:paraId="30CAD5CC">
      <w:pPr>
        <w:pStyle w:val="59"/>
        <w:ind w:firstLine="480"/>
        <w:rPr>
          <w:color w:val="auto"/>
        </w:rPr>
      </w:pPr>
      <w:r>
        <w:rPr>
          <w:rFonts w:hint="eastAsia"/>
          <w:color w:val="auto"/>
        </w:rPr>
        <w:t>根据评价区地下水水质状况和使用功能，地下水评价执行《地下水质量标准》(GB/T14848-2017)Ⅲ类标准。</w:t>
      </w:r>
    </w:p>
    <w:p w14:paraId="5C79189B">
      <w:pPr>
        <w:spacing w:line="500" w:lineRule="exact"/>
        <w:ind w:firstLine="480" w:firstLineChars="200"/>
        <w:rPr>
          <w:snapToGrid w:val="0"/>
          <w:color w:val="auto"/>
          <w:kern w:val="0"/>
          <w:sz w:val="24"/>
          <w:szCs w:val="22"/>
        </w:rPr>
      </w:pPr>
      <w:r>
        <w:rPr>
          <w:color w:val="auto"/>
          <w:sz w:val="24"/>
        </w:rPr>
        <w:t>2、</w:t>
      </w:r>
      <w:r>
        <w:rPr>
          <w:snapToGrid w:val="0"/>
          <w:color w:val="auto"/>
          <w:kern w:val="0"/>
          <w:sz w:val="24"/>
          <w:szCs w:val="22"/>
        </w:rPr>
        <w:t>评价方法</w:t>
      </w:r>
    </w:p>
    <w:p w14:paraId="4077EB88">
      <w:pPr>
        <w:spacing w:line="500" w:lineRule="exact"/>
        <w:ind w:firstLine="480" w:firstLineChars="200"/>
        <w:rPr>
          <w:snapToGrid w:val="0"/>
          <w:color w:val="auto"/>
          <w:kern w:val="0"/>
          <w:sz w:val="24"/>
          <w:szCs w:val="22"/>
          <w:lang w:val="zh-CN"/>
        </w:rPr>
      </w:pPr>
      <w:r>
        <w:rPr>
          <w:snapToGrid w:val="0"/>
          <w:color w:val="auto"/>
          <w:kern w:val="0"/>
          <w:sz w:val="24"/>
          <w:szCs w:val="22"/>
          <w:lang w:val="zh-CN"/>
        </w:rPr>
        <w:t>采用单项标准指数法对地</w:t>
      </w:r>
      <w:r>
        <w:rPr>
          <w:rFonts w:hint="eastAsia"/>
          <w:snapToGrid w:val="0"/>
          <w:color w:val="auto"/>
          <w:kern w:val="0"/>
          <w:sz w:val="24"/>
          <w:szCs w:val="22"/>
          <w:lang w:val="zh-CN"/>
        </w:rPr>
        <w:t>下</w:t>
      </w:r>
      <w:r>
        <w:rPr>
          <w:snapToGrid w:val="0"/>
          <w:color w:val="auto"/>
          <w:kern w:val="0"/>
          <w:sz w:val="24"/>
          <w:szCs w:val="22"/>
          <w:lang w:val="zh-CN"/>
        </w:rPr>
        <w:t>水现状监测结果进行评价，评价模式如下：</w:t>
      </w:r>
    </w:p>
    <w:p w14:paraId="697446ED">
      <w:pPr>
        <w:spacing w:line="500" w:lineRule="exact"/>
        <w:ind w:firstLine="480" w:firstLineChars="200"/>
        <w:jc w:val="center"/>
        <w:rPr>
          <w:snapToGrid w:val="0"/>
          <w:color w:val="auto"/>
          <w:kern w:val="0"/>
          <w:sz w:val="24"/>
          <w:szCs w:val="22"/>
        </w:rPr>
      </w:pPr>
      <w:r>
        <w:rPr>
          <w:snapToGrid w:val="0"/>
          <w:color w:val="auto"/>
          <w:kern w:val="0"/>
          <w:sz w:val="24"/>
          <w:szCs w:val="22"/>
        </w:rPr>
        <w:t>P</w:t>
      </w:r>
      <w:r>
        <w:rPr>
          <w:snapToGrid w:val="0"/>
          <w:color w:val="auto"/>
          <w:kern w:val="0"/>
          <w:sz w:val="24"/>
          <w:szCs w:val="22"/>
          <w:vertAlign w:val="subscript"/>
        </w:rPr>
        <w:t>i</w:t>
      </w:r>
      <w:r>
        <w:rPr>
          <w:snapToGrid w:val="0"/>
          <w:color w:val="auto"/>
          <w:kern w:val="0"/>
          <w:sz w:val="24"/>
          <w:szCs w:val="22"/>
        </w:rPr>
        <w:t>=C</w:t>
      </w:r>
      <w:r>
        <w:rPr>
          <w:snapToGrid w:val="0"/>
          <w:color w:val="auto"/>
          <w:kern w:val="0"/>
          <w:sz w:val="24"/>
          <w:szCs w:val="22"/>
          <w:vertAlign w:val="subscript"/>
        </w:rPr>
        <w:t>i</w:t>
      </w:r>
      <w:r>
        <w:rPr>
          <w:snapToGrid w:val="0"/>
          <w:color w:val="auto"/>
          <w:kern w:val="0"/>
          <w:sz w:val="24"/>
          <w:szCs w:val="22"/>
        </w:rPr>
        <w:t>/C</w:t>
      </w:r>
      <w:r>
        <w:rPr>
          <w:snapToGrid w:val="0"/>
          <w:color w:val="auto"/>
          <w:kern w:val="0"/>
          <w:sz w:val="24"/>
          <w:szCs w:val="22"/>
          <w:vertAlign w:val="subscript"/>
        </w:rPr>
        <w:t>si</w:t>
      </w:r>
    </w:p>
    <w:p w14:paraId="3FF669C0">
      <w:pPr>
        <w:spacing w:line="500" w:lineRule="exact"/>
        <w:ind w:firstLine="480" w:firstLineChars="200"/>
        <w:rPr>
          <w:snapToGrid w:val="0"/>
          <w:color w:val="auto"/>
          <w:kern w:val="0"/>
          <w:sz w:val="24"/>
          <w:szCs w:val="22"/>
        </w:rPr>
      </w:pPr>
      <w:r>
        <w:rPr>
          <w:snapToGrid w:val="0"/>
          <w:color w:val="auto"/>
          <w:kern w:val="0"/>
          <w:sz w:val="24"/>
          <w:szCs w:val="22"/>
        </w:rPr>
        <w:t>式中：P</w:t>
      </w:r>
      <w:r>
        <w:rPr>
          <w:snapToGrid w:val="0"/>
          <w:color w:val="auto"/>
          <w:kern w:val="0"/>
          <w:sz w:val="24"/>
          <w:szCs w:val="22"/>
          <w:vertAlign w:val="subscript"/>
        </w:rPr>
        <w:t>i</w:t>
      </w:r>
      <w:r>
        <w:rPr>
          <w:snapToGrid w:val="0"/>
          <w:color w:val="auto"/>
          <w:kern w:val="0"/>
          <w:sz w:val="24"/>
          <w:szCs w:val="22"/>
        </w:rPr>
        <w:t>—第i个水质因子的标准指数，</w:t>
      </w:r>
      <w:r>
        <w:rPr>
          <w:rFonts w:hint="eastAsia"/>
          <w:snapToGrid w:val="0"/>
          <w:color w:val="auto"/>
          <w:kern w:val="0"/>
          <w:sz w:val="24"/>
          <w:szCs w:val="22"/>
        </w:rPr>
        <w:t>无</w:t>
      </w:r>
      <w:r>
        <w:rPr>
          <w:snapToGrid w:val="0"/>
          <w:color w:val="auto"/>
          <w:kern w:val="0"/>
          <w:sz w:val="24"/>
          <w:szCs w:val="22"/>
        </w:rPr>
        <w:t>量纲；</w:t>
      </w:r>
    </w:p>
    <w:p w14:paraId="71AEADC4">
      <w:pPr>
        <w:spacing w:line="500" w:lineRule="exact"/>
        <w:ind w:firstLine="480" w:firstLineChars="200"/>
        <w:rPr>
          <w:snapToGrid w:val="0"/>
          <w:color w:val="auto"/>
          <w:kern w:val="0"/>
          <w:sz w:val="24"/>
          <w:szCs w:val="22"/>
        </w:rPr>
      </w:pPr>
      <w:r>
        <w:rPr>
          <w:snapToGrid w:val="0"/>
          <w:color w:val="auto"/>
          <w:kern w:val="0"/>
          <w:sz w:val="24"/>
          <w:szCs w:val="22"/>
        </w:rPr>
        <w:t xml:space="preserve">      C</w:t>
      </w:r>
      <w:r>
        <w:rPr>
          <w:snapToGrid w:val="0"/>
          <w:color w:val="auto"/>
          <w:kern w:val="0"/>
          <w:sz w:val="24"/>
          <w:szCs w:val="22"/>
          <w:vertAlign w:val="subscript"/>
        </w:rPr>
        <w:t>i</w:t>
      </w:r>
      <w:r>
        <w:rPr>
          <w:snapToGrid w:val="0"/>
          <w:color w:val="auto"/>
          <w:kern w:val="0"/>
          <w:sz w:val="24"/>
          <w:szCs w:val="22"/>
        </w:rPr>
        <w:t>—第i个水质因子的监测质量浓度值，mg/L；</w:t>
      </w:r>
    </w:p>
    <w:p w14:paraId="16AB203D">
      <w:pPr>
        <w:spacing w:line="500" w:lineRule="exact"/>
        <w:ind w:firstLine="480" w:firstLineChars="200"/>
        <w:rPr>
          <w:snapToGrid w:val="0"/>
          <w:color w:val="auto"/>
          <w:kern w:val="0"/>
          <w:sz w:val="24"/>
          <w:szCs w:val="22"/>
        </w:rPr>
      </w:pPr>
      <w:r>
        <w:rPr>
          <w:snapToGrid w:val="0"/>
          <w:color w:val="auto"/>
          <w:kern w:val="0"/>
          <w:sz w:val="24"/>
          <w:szCs w:val="22"/>
        </w:rPr>
        <w:t xml:space="preserve">      C</w:t>
      </w:r>
      <w:r>
        <w:rPr>
          <w:snapToGrid w:val="0"/>
          <w:color w:val="auto"/>
          <w:kern w:val="0"/>
          <w:sz w:val="24"/>
          <w:szCs w:val="22"/>
          <w:vertAlign w:val="subscript"/>
        </w:rPr>
        <w:t>si</w:t>
      </w:r>
      <w:r>
        <w:rPr>
          <w:snapToGrid w:val="0"/>
          <w:color w:val="auto"/>
          <w:kern w:val="0"/>
          <w:sz w:val="24"/>
          <w:szCs w:val="22"/>
        </w:rPr>
        <w:t>—第i个水质因子的标准质量浓度值，mg/L。</w:t>
      </w:r>
    </w:p>
    <w:p w14:paraId="026D9B2B">
      <w:pPr>
        <w:widowControl/>
        <w:jc w:val="center"/>
        <w:rPr>
          <w:rFonts w:ascii="宋体" w:hAnsi="宋体" w:cs="宋体"/>
          <w:color w:val="auto"/>
          <w:kern w:val="0"/>
          <w:sz w:val="24"/>
        </w:rPr>
      </w:pPr>
      <w:r>
        <w:rPr>
          <w:rFonts w:ascii="宋体" w:hAnsi="宋体" w:cs="宋体"/>
          <w:color w:val="auto"/>
          <w:kern w:val="0"/>
          <w:sz w:val="24"/>
        </w:rPr>
        <w:drawing>
          <wp:inline distT="0" distB="0" distL="0" distR="0">
            <wp:extent cx="1019175" cy="419100"/>
            <wp:effectExtent l="0" t="0" r="9525" b="0"/>
            <wp:docPr id="207" name="图片 207" descr="C:\Users\Administrator\AppData\Roaming\Tencent\Users\171099826\QQ\WinTemp\RichOle\D2X1C@@Q$2E[]V86NBFWOE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图片 207" descr="C:\Users\Administrator\AppData\Roaming\Tencent\Users\171099826\QQ\WinTemp\RichOle\D2X1C@@Q$2E[]V86NBFWOEE.png"/>
                    <pic:cNvPicPr>
                      <a:picLocks noChangeAspect="1" noChangeArrowheads="1"/>
                    </pic:cNvPicPr>
                  </pic:nvPicPr>
                  <pic:blipFill>
                    <a:blip r:embed="rId41">
                      <a:extLst>
                        <a:ext uri="{28A0092B-C50C-407E-A947-70E740481C1C}">
                          <a14:useLocalDpi xmlns:a14="http://schemas.microsoft.com/office/drawing/2010/main" val="0"/>
                        </a:ext>
                      </a:extLst>
                    </a:blip>
                    <a:srcRect r="1527"/>
                    <a:stretch>
                      <a:fillRect/>
                    </a:stretch>
                  </pic:blipFill>
                  <pic:spPr>
                    <a:xfrm>
                      <a:off x="0" y="0"/>
                      <a:ext cx="1019175" cy="419100"/>
                    </a:xfrm>
                    <a:prstGeom prst="rect">
                      <a:avLst/>
                    </a:prstGeom>
                    <a:noFill/>
                    <a:ln>
                      <a:noFill/>
                    </a:ln>
                  </pic:spPr>
                </pic:pic>
              </a:graphicData>
            </a:graphic>
          </wp:inline>
        </w:drawing>
      </w:r>
    </w:p>
    <w:p w14:paraId="603B8295">
      <w:pPr>
        <w:spacing w:line="360" w:lineRule="auto"/>
        <w:ind w:firstLine="480" w:firstLineChars="200"/>
        <w:jc w:val="center"/>
        <w:rPr>
          <w:snapToGrid w:val="0"/>
          <w:color w:val="auto"/>
          <w:kern w:val="0"/>
          <w:sz w:val="24"/>
          <w:szCs w:val="22"/>
          <w:lang w:val="zh-CN"/>
        </w:rPr>
      </w:pPr>
      <w:r>
        <w:rPr>
          <w:snapToGrid w:val="0"/>
          <w:color w:val="auto"/>
          <w:kern w:val="0"/>
          <w:sz w:val="24"/>
          <w:szCs w:val="22"/>
          <w:lang w:val="zh-CN"/>
        </w:rPr>
        <w:t>pH≤7.0时</w:t>
      </w:r>
    </w:p>
    <w:p w14:paraId="54354161">
      <w:pPr>
        <w:widowControl/>
        <w:jc w:val="center"/>
        <w:rPr>
          <w:rFonts w:ascii="宋体" w:hAnsi="宋体" w:cs="宋体"/>
          <w:color w:val="auto"/>
          <w:kern w:val="0"/>
          <w:sz w:val="24"/>
        </w:rPr>
      </w:pPr>
      <w:r>
        <w:rPr>
          <w:rFonts w:ascii="宋体" w:hAnsi="宋体" w:cs="宋体"/>
          <w:color w:val="auto"/>
          <w:kern w:val="0"/>
          <w:sz w:val="24"/>
        </w:rPr>
        <w:drawing>
          <wp:inline distT="0" distB="0" distL="0" distR="0">
            <wp:extent cx="1057275" cy="438150"/>
            <wp:effectExtent l="0" t="0" r="9525" b="0"/>
            <wp:docPr id="206" name="图片 206" descr="C:\Users\Administrator\AppData\Roaming\Tencent\Users\171099826\QQ\WinTemp\RichOle\@K%@UQL46{N`PKPCZ37L}2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图片 206" descr="C:\Users\Administrator\AppData\Roaming\Tencent\Users\171099826\QQ\WinTemp\RichOle\@K%@UQL46{N`PKPCZ37L}2T.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1057275" cy="438150"/>
                    </a:xfrm>
                    <a:prstGeom prst="rect">
                      <a:avLst/>
                    </a:prstGeom>
                    <a:noFill/>
                    <a:ln>
                      <a:noFill/>
                    </a:ln>
                  </pic:spPr>
                </pic:pic>
              </a:graphicData>
            </a:graphic>
          </wp:inline>
        </w:drawing>
      </w:r>
    </w:p>
    <w:p w14:paraId="5306C98E">
      <w:pPr>
        <w:spacing w:line="360" w:lineRule="auto"/>
        <w:ind w:firstLine="480" w:firstLineChars="200"/>
        <w:jc w:val="center"/>
        <w:rPr>
          <w:snapToGrid w:val="0"/>
          <w:color w:val="auto"/>
          <w:kern w:val="0"/>
          <w:sz w:val="24"/>
          <w:szCs w:val="22"/>
          <w:lang w:val="zh-CN"/>
        </w:rPr>
      </w:pPr>
      <w:r>
        <w:rPr>
          <w:snapToGrid w:val="0"/>
          <w:color w:val="auto"/>
          <w:kern w:val="0"/>
          <w:sz w:val="24"/>
          <w:szCs w:val="22"/>
          <w:lang w:val="zh-CN"/>
        </w:rPr>
        <w:t>pH＞7.0时</w:t>
      </w:r>
    </w:p>
    <w:p w14:paraId="69E8C687">
      <w:pPr>
        <w:spacing w:line="500" w:lineRule="exact"/>
        <w:ind w:firstLine="480" w:firstLineChars="200"/>
        <w:rPr>
          <w:snapToGrid w:val="0"/>
          <w:color w:val="auto"/>
          <w:kern w:val="0"/>
          <w:sz w:val="24"/>
          <w:szCs w:val="22"/>
          <w:lang w:val="zh-CN"/>
        </w:rPr>
      </w:pPr>
      <w:r>
        <w:rPr>
          <w:snapToGrid w:val="0"/>
          <w:color w:val="auto"/>
          <w:kern w:val="0"/>
          <w:sz w:val="24"/>
          <w:szCs w:val="22"/>
          <w:lang w:val="zh-CN"/>
        </w:rPr>
        <w:t>式中：P</w:t>
      </w:r>
      <w:r>
        <w:rPr>
          <w:snapToGrid w:val="0"/>
          <w:color w:val="auto"/>
          <w:kern w:val="0"/>
          <w:sz w:val="24"/>
          <w:szCs w:val="22"/>
          <w:vertAlign w:val="subscript"/>
          <w:lang w:val="zh-CN"/>
        </w:rPr>
        <w:t>pH</w:t>
      </w:r>
      <w:r>
        <w:rPr>
          <w:snapToGrid w:val="0"/>
          <w:color w:val="auto"/>
          <w:kern w:val="0"/>
          <w:sz w:val="24"/>
          <w:szCs w:val="22"/>
          <w:lang w:val="zh-CN"/>
        </w:rPr>
        <w:t>——pH的标准指数，</w:t>
      </w:r>
      <w:r>
        <w:rPr>
          <w:rFonts w:hint="eastAsia"/>
          <w:snapToGrid w:val="0"/>
          <w:color w:val="auto"/>
          <w:kern w:val="0"/>
          <w:sz w:val="24"/>
          <w:szCs w:val="22"/>
          <w:lang w:val="zh-CN"/>
        </w:rPr>
        <w:t>无</w:t>
      </w:r>
      <w:r>
        <w:rPr>
          <w:snapToGrid w:val="0"/>
          <w:color w:val="auto"/>
          <w:kern w:val="0"/>
          <w:sz w:val="24"/>
          <w:szCs w:val="22"/>
          <w:lang w:val="zh-CN"/>
        </w:rPr>
        <w:t>量纲；</w:t>
      </w:r>
    </w:p>
    <w:p w14:paraId="76DFF613">
      <w:pPr>
        <w:spacing w:line="500" w:lineRule="exact"/>
        <w:ind w:firstLine="1200" w:firstLineChars="500"/>
        <w:rPr>
          <w:snapToGrid w:val="0"/>
          <w:color w:val="auto"/>
          <w:kern w:val="0"/>
          <w:sz w:val="24"/>
          <w:szCs w:val="22"/>
          <w:lang w:val="zh-CN"/>
        </w:rPr>
      </w:pPr>
      <w:r>
        <w:rPr>
          <w:snapToGrid w:val="0"/>
          <w:color w:val="auto"/>
          <w:kern w:val="0"/>
          <w:sz w:val="24"/>
          <w:szCs w:val="22"/>
          <w:lang w:val="zh-CN"/>
        </w:rPr>
        <w:t>pH——pH监测值；</w:t>
      </w:r>
    </w:p>
    <w:p w14:paraId="51847C5D">
      <w:pPr>
        <w:spacing w:line="500" w:lineRule="exact"/>
        <w:ind w:firstLine="1200" w:firstLineChars="500"/>
        <w:rPr>
          <w:snapToGrid w:val="0"/>
          <w:color w:val="auto"/>
          <w:kern w:val="0"/>
          <w:sz w:val="24"/>
          <w:szCs w:val="22"/>
          <w:lang w:val="zh-CN"/>
        </w:rPr>
      </w:pPr>
      <w:r>
        <w:rPr>
          <w:snapToGrid w:val="0"/>
          <w:color w:val="auto"/>
          <w:kern w:val="0"/>
          <w:sz w:val="24"/>
          <w:szCs w:val="22"/>
          <w:lang w:val="zh-CN"/>
        </w:rPr>
        <w:t>pH</w:t>
      </w:r>
      <w:r>
        <w:rPr>
          <w:snapToGrid w:val="0"/>
          <w:color w:val="auto"/>
          <w:kern w:val="0"/>
          <w:sz w:val="24"/>
          <w:szCs w:val="22"/>
          <w:vertAlign w:val="subscript"/>
          <w:lang w:val="zh-CN"/>
        </w:rPr>
        <w:t>su</w:t>
      </w:r>
      <w:r>
        <w:rPr>
          <w:snapToGrid w:val="0"/>
          <w:color w:val="auto"/>
          <w:kern w:val="0"/>
          <w:sz w:val="24"/>
          <w:szCs w:val="22"/>
          <w:lang w:val="zh-CN"/>
        </w:rPr>
        <w:t>——标准中pH的上限值；</w:t>
      </w:r>
    </w:p>
    <w:p w14:paraId="4E880294">
      <w:pPr>
        <w:spacing w:line="500" w:lineRule="exact"/>
        <w:ind w:firstLine="1200" w:firstLineChars="500"/>
        <w:rPr>
          <w:snapToGrid w:val="0"/>
          <w:color w:val="auto"/>
          <w:kern w:val="0"/>
          <w:sz w:val="24"/>
          <w:szCs w:val="22"/>
          <w:lang w:val="zh-CN"/>
        </w:rPr>
      </w:pPr>
      <w:r>
        <w:rPr>
          <w:snapToGrid w:val="0"/>
          <w:color w:val="auto"/>
          <w:kern w:val="0"/>
          <w:sz w:val="24"/>
          <w:szCs w:val="22"/>
          <w:lang w:val="zh-CN"/>
        </w:rPr>
        <w:t>pH</w:t>
      </w:r>
      <w:r>
        <w:rPr>
          <w:snapToGrid w:val="0"/>
          <w:color w:val="auto"/>
          <w:kern w:val="0"/>
          <w:sz w:val="24"/>
          <w:szCs w:val="22"/>
          <w:vertAlign w:val="subscript"/>
          <w:lang w:val="zh-CN"/>
        </w:rPr>
        <w:t>sd</w:t>
      </w:r>
      <w:r>
        <w:rPr>
          <w:snapToGrid w:val="0"/>
          <w:color w:val="auto"/>
          <w:kern w:val="0"/>
          <w:sz w:val="24"/>
          <w:szCs w:val="22"/>
          <w:lang w:val="zh-CN"/>
        </w:rPr>
        <w:t>——标准中pH的下限值。</w:t>
      </w:r>
    </w:p>
    <w:p w14:paraId="1FC1559E">
      <w:pPr>
        <w:spacing w:line="500" w:lineRule="exact"/>
        <w:ind w:firstLine="480" w:firstLineChars="200"/>
        <w:rPr>
          <w:snapToGrid w:val="0"/>
          <w:color w:val="auto"/>
          <w:kern w:val="0"/>
          <w:sz w:val="24"/>
          <w:szCs w:val="22"/>
          <w:lang w:val="zh-CN"/>
        </w:rPr>
      </w:pPr>
      <w:r>
        <w:rPr>
          <w:snapToGrid w:val="0"/>
          <w:color w:val="auto"/>
          <w:kern w:val="0"/>
          <w:sz w:val="24"/>
          <w:szCs w:val="22"/>
          <w:lang w:val="zh-CN"/>
        </w:rPr>
        <w:t>当标准指数＞1时，表示该水质参数所表征的污染物已满足不了标准要求，水体已受到污染；反之，则满足标准要求。</w:t>
      </w:r>
    </w:p>
    <w:p w14:paraId="733C91D1">
      <w:pPr>
        <w:pStyle w:val="59"/>
        <w:ind w:firstLine="480"/>
        <w:rPr>
          <w:color w:val="auto"/>
          <w:lang w:val="zh-CN"/>
        </w:rPr>
      </w:pPr>
      <w:r>
        <w:rPr>
          <w:rFonts w:hint="eastAsia"/>
          <w:color w:val="auto"/>
          <w:lang w:val="zh-CN"/>
        </w:rPr>
        <w:t>3、评价结果</w:t>
      </w:r>
    </w:p>
    <w:p w14:paraId="02E57E44">
      <w:pPr>
        <w:pStyle w:val="76"/>
        <w:rPr>
          <w:color w:val="auto"/>
          <w:highlight w:val="none"/>
        </w:rPr>
      </w:pPr>
      <w:r>
        <w:rPr>
          <w:color w:val="auto"/>
          <w:highlight w:val="none"/>
        </w:rPr>
        <w:t>表</w:t>
      </w:r>
      <w:r>
        <w:rPr>
          <w:rFonts w:hint="eastAsia"/>
          <w:color w:val="auto"/>
          <w:highlight w:val="none"/>
        </w:rPr>
        <w:t>4-2-</w:t>
      </w:r>
      <w:r>
        <w:rPr>
          <w:color w:val="auto"/>
          <w:highlight w:val="none"/>
        </w:rPr>
        <w:t>7地下</w:t>
      </w:r>
      <w:r>
        <w:rPr>
          <w:rFonts w:hint="eastAsia"/>
          <w:color w:val="auto"/>
          <w:highlight w:val="none"/>
        </w:rPr>
        <w:t>水质现状评价统计结果</w:t>
      </w:r>
    </w:p>
    <w:tbl>
      <w:tblPr>
        <w:tblStyle w:val="45"/>
        <w:tblW w:w="499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0" w:type="dxa"/>
          <w:bottom w:w="0" w:type="dxa"/>
          <w:right w:w="0" w:type="dxa"/>
        </w:tblCellMar>
      </w:tblPr>
      <w:tblGrid>
        <w:gridCol w:w="1711"/>
        <w:gridCol w:w="1703"/>
        <w:gridCol w:w="1709"/>
        <w:gridCol w:w="1875"/>
        <w:gridCol w:w="2023"/>
      </w:tblGrid>
      <w:tr w14:paraId="6D4F96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319" w:hRule="atLeast"/>
          <w:jc w:val="center"/>
        </w:trPr>
        <w:tc>
          <w:tcPr>
            <w:tcW w:w="949" w:type="pct"/>
            <w:vMerge w:val="restart"/>
            <w:vAlign w:val="center"/>
          </w:tcPr>
          <w:p w14:paraId="7219809D">
            <w:pPr>
              <w:spacing w:line="0" w:lineRule="atLeast"/>
              <w:jc w:val="center"/>
              <w:rPr>
                <w:b/>
                <w:color w:val="auto"/>
                <w:sz w:val="21"/>
                <w:szCs w:val="21"/>
                <w:highlight w:val="none"/>
              </w:rPr>
            </w:pPr>
            <w:r>
              <w:rPr>
                <w:rFonts w:hAnsi="宋体"/>
                <w:b/>
                <w:color w:val="auto"/>
                <w:sz w:val="21"/>
                <w:szCs w:val="21"/>
                <w:highlight w:val="none"/>
              </w:rPr>
              <w:t>评价因子</w:t>
            </w:r>
          </w:p>
        </w:tc>
        <w:tc>
          <w:tcPr>
            <w:tcW w:w="2930" w:type="pct"/>
            <w:gridSpan w:val="3"/>
            <w:vAlign w:val="center"/>
          </w:tcPr>
          <w:p w14:paraId="3270D67A">
            <w:pPr>
              <w:spacing w:line="0" w:lineRule="atLeast"/>
              <w:jc w:val="center"/>
              <w:rPr>
                <w:rFonts w:hAnsi="宋体"/>
                <w:b/>
                <w:color w:val="auto"/>
                <w:sz w:val="21"/>
                <w:szCs w:val="21"/>
                <w:highlight w:val="none"/>
              </w:rPr>
            </w:pPr>
            <w:r>
              <w:rPr>
                <w:rFonts w:hAnsi="宋体"/>
                <w:b/>
                <w:color w:val="auto"/>
                <w:sz w:val="21"/>
                <w:szCs w:val="21"/>
                <w:highlight w:val="none"/>
              </w:rPr>
              <w:t>监测点位</w:t>
            </w:r>
          </w:p>
        </w:tc>
        <w:tc>
          <w:tcPr>
            <w:tcW w:w="1120" w:type="pct"/>
            <w:vMerge w:val="restart"/>
            <w:vAlign w:val="center"/>
          </w:tcPr>
          <w:p w14:paraId="11064D38">
            <w:pPr>
              <w:spacing w:line="0" w:lineRule="atLeast"/>
              <w:jc w:val="center"/>
              <w:rPr>
                <w:rFonts w:hAnsi="宋体"/>
                <w:b/>
                <w:color w:val="auto"/>
                <w:sz w:val="21"/>
                <w:szCs w:val="21"/>
                <w:highlight w:val="none"/>
              </w:rPr>
            </w:pPr>
            <w:r>
              <w:rPr>
                <w:rFonts w:hint="eastAsia"/>
                <w:b/>
                <w:color w:val="auto"/>
                <w:sz w:val="21"/>
                <w:szCs w:val="21"/>
                <w:highlight w:val="none"/>
              </w:rPr>
              <w:t>标准值（mg/L）</w:t>
            </w:r>
          </w:p>
        </w:tc>
      </w:tr>
      <w:tr w14:paraId="51AEA41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141" w:hRule="atLeast"/>
          <w:jc w:val="center"/>
        </w:trPr>
        <w:tc>
          <w:tcPr>
            <w:tcW w:w="949" w:type="pct"/>
            <w:vMerge w:val="continue"/>
            <w:vAlign w:val="center"/>
          </w:tcPr>
          <w:p w14:paraId="6B273085">
            <w:pPr>
              <w:spacing w:line="0" w:lineRule="atLeast"/>
              <w:jc w:val="center"/>
              <w:rPr>
                <w:b/>
                <w:color w:val="auto"/>
                <w:sz w:val="21"/>
                <w:szCs w:val="21"/>
                <w:highlight w:val="none"/>
              </w:rPr>
            </w:pPr>
          </w:p>
        </w:tc>
        <w:tc>
          <w:tcPr>
            <w:tcW w:w="944" w:type="pct"/>
            <w:vAlign w:val="center"/>
          </w:tcPr>
          <w:p w14:paraId="292F89DD">
            <w:pPr>
              <w:spacing w:line="0" w:lineRule="atLeast"/>
              <w:jc w:val="center"/>
              <w:rPr>
                <w:b/>
                <w:color w:val="auto"/>
                <w:sz w:val="21"/>
                <w:szCs w:val="21"/>
                <w:highlight w:val="none"/>
              </w:rPr>
            </w:pPr>
            <w:r>
              <w:rPr>
                <w:rFonts w:hint="eastAsia"/>
                <w:color w:val="auto"/>
                <w:sz w:val="21"/>
                <w:szCs w:val="21"/>
                <w:highlight w:val="none"/>
              </w:rPr>
              <w:t>★01</w:t>
            </w:r>
          </w:p>
        </w:tc>
        <w:tc>
          <w:tcPr>
            <w:tcW w:w="947" w:type="pct"/>
            <w:vAlign w:val="center"/>
          </w:tcPr>
          <w:p w14:paraId="3345982D">
            <w:pPr>
              <w:spacing w:line="0" w:lineRule="atLeast"/>
              <w:jc w:val="center"/>
              <w:rPr>
                <w:b/>
                <w:color w:val="auto"/>
                <w:sz w:val="21"/>
                <w:szCs w:val="21"/>
                <w:highlight w:val="none"/>
              </w:rPr>
            </w:pPr>
            <w:r>
              <w:rPr>
                <w:rFonts w:hint="eastAsia"/>
                <w:color w:val="auto"/>
                <w:sz w:val="21"/>
                <w:szCs w:val="21"/>
                <w:highlight w:val="none"/>
              </w:rPr>
              <w:t>★02</w:t>
            </w:r>
          </w:p>
        </w:tc>
        <w:tc>
          <w:tcPr>
            <w:tcW w:w="1038" w:type="pct"/>
            <w:vAlign w:val="center"/>
          </w:tcPr>
          <w:p w14:paraId="72A13065">
            <w:pPr>
              <w:spacing w:line="0" w:lineRule="atLeast"/>
              <w:jc w:val="center"/>
              <w:rPr>
                <w:b/>
                <w:color w:val="auto"/>
                <w:sz w:val="21"/>
                <w:szCs w:val="21"/>
                <w:highlight w:val="none"/>
              </w:rPr>
            </w:pPr>
            <w:r>
              <w:rPr>
                <w:rFonts w:hint="eastAsia"/>
                <w:color w:val="auto"/>
                <w:sz w:val="21"/>
                <w:szCs w:val="21"/>
                <w:highlight w:val="none"/>
              </w:rPr>
              <w:t>★03</w:t>
            </w:r>
          </w:p>
        </w:tc>
        <w:tc>
          <w:tcPr>
            <w:tcW w:w="1120" w:type="pct"/>
            <w:vMerge w:val="continue"/>
            <w:vAlign w:val="center"/>
          </w:tcPr>
          <w:p w14:paraId="1D8E64E7">
            <w:pPr>
              <w:spacing w:line="0" w:lineRule="atLeast"/>
              <w:jc w:val="center"/>
              <w:rPr>
                <w:b/>
                <w:color w:val="auto"/>
                <w:sz w:val="21"/>
                <w:szCs w:val="21"/>
                <w:highlight w:val="none"/>
              </w:rPr>
            </w:pPr>
          </w:p>
        </w:tc>
      </w:tr>
      <w:tr w14:paraId="14C8E88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141" w:hRule="atLeast"/>
          <w:jc w:val="center"/>
        </w:trPr>
        <w:tc>
          <w:tcPr>
            <w:tcW w:w="949" w:type="pct"/>
            <w:vAlign w:val="center"/>
          </w:tcPr>
          <w:p w14:paraId="18B0476B">
            <w:pPr>
              <w:keepNext w:val="0"/>
              <w:keepLines w:val="0"/>
              <w:widowControl/>
              <w:suppressLineNumbers w:val="0"/>
              <w:jc w:val="center"/>
              <w:textAlignment w:val="center"/>
              <w:rPr>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pH</w:t>
            </w:r>
            <w:r>
              <w:rPr>
                <w:rStyle w:val="776"/>
                <w:color w:val="auto"/>
                <w:sz w:val="21"/>
                <w:szCs w:val="21"/>
                <w:highlight w:val="none"/>
                <w:lang w:val="en-US" w:eastAsia="zh-CN" w:bidi="ar"/>
              </w:rPr>
              <w:t>值</w:t>
            </w:r>
          </w:p>
        </w:tc>
        <w:tc>
          <w:tcPr>
            <w:tcW w:w="944" w:type="pct"/>
            <w:vAlign w:val="bottom"/>
          </w:tcPr>
          <w:p w14:paraId="490591EA">
            <w:pPr>
              <w:jc w:val="center"/>
              <w:rPr>
                <w:color w:val="auto"/>
                <w:sz w:val="21"/>
                <w:szCs w:val="21"/>
                <w:highlight w:val="none"/>
              </w:rPr>
            </w:pPr>
            <w:r>
              <w:rPr>
                <w:rFonts w:hint="eastAsia"/>
                <w:color w:val="auto"/>
                <w:sz w:val="21"/>
                <w:szCs w:val="21"/>
                <w:highlight w:val="none"/>
              </w:rPr>
              <w:t xml:space="preserve">0.2 </w:t>
            </w:r>
          </w:p>
        </w:tc>
        <w:tc>
          <w:tcPr>
            <w:tcW w:w="947" w:type="pct"/>
            <w:vAlign w:val="bottom"/>
          </w:tcPr>
          <w:p w14:paraId="35508E73">
            <w:pPr>
              <w:jc w:val="center"/>
              <w:rPr>
                <w:rFonts w:hint="default" w:eastAsia="宋体"/>
                <w:color w:val="auto"/>
                <w:sz w:val="21"/>
                <w:szCs w:val="21"/>
                <w:highlight w:val="none"/>
                <w:lang w:val="en-US" w:eastAsia="zh-CN"/>
              </w:rPr>
            </w:pPr>
            <w:r>
              <w:rPr>
                <w:rFonts w:hint="eastAsia"/>
                <w:color w:val="auto"/>
                <w:sz w:val="21"/>
                <w:szCs w:val="21"/>
                <w:highlight w:val="none"/>
              </w:rPr>
              <w:t>0.</w:t>
            </w:r>
            <w:r>
              <w:rPr>
                <w:rFonts w:hint="eastAsia"/>
                <w:color w:val="auto"/>
                <w:sz w:val="21"/>
                <w:szCs w:val="21"/>
                <w:highlight w:val="none"/>
                <w:lang w:val="en-US" w:eastAsia="zh-CN"/>
              </w:rPr>
              <w:t>333</w:t>
            </w:r>
          </w:p>
        </w:tc>
        <w:tc>
          <w:tcPr>
            <w:tcW w:w="1038" w:type="pct"/>
            <w:vAlign w:val="bottom"/>
          </w:tcPr>
          <w:p w14:paraId="5C4FB4F5">
            <w:pPr>
              <w:jc w:val="center"/>
              <w:rPr>
                <w:rFonts w:hint="default" w:eastAsia="宋体"/>
                <w:color w:val="auto"/>
                <w:sz w:val="21"/>
                <w:szCs w:val="21"/>
                <w:highlight w:val="none"/>
                <w:lang w:val="en-US" w:eastAsia="zh-CN"/>
              </w:rPr>
            </w:pPr>
            <w:r>
              <w:rPr>
                <w:rFonts w:hint="eastAsia"/>
                <w:color w:val="auto"/>
                <w:sz w:val="21"/>
                <w:szCs w:val="21"/>
                <w:highlight w:val="none"/>
              </w:rPr>
              <w:t>0.</w:t>
            </w:r>
            <w:r>
              <w:rPr>
                <w:rFonts w:hint="eastAsia"/>
                <w:color w:val="auto"/>
                <w:sz w:val="21"/>
                <w:szCs w:val="21"/>
                <w:highlight w:val="none"/>
                <w:lang w:val="en-US" w:eastAsia="zh-CN"/>
              </w:rPr>
              <w:t>333</w:t>
            </w:r>
          </w:p>
        </w:tc>
        <w:tc>
          <w:tcPr>
            <w:tcW w:w="1862" w:type="dxa"/>
            <w:vAlign w:val="center"/>
          </w:tcPr>
          <w:p w14:paraId="0A38A857">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6.5≤</w:t>
            </w:r>
            <w:r>
              <w:rPr>
                <w:rFonts w:hint="default" w:ascii="Times New Roman" w:hAnsi="Times New Roman" w:cs="Times New Roman"/>
                <w:color w:val="auto"/>
                <w:sz w:val="21"/>
                <w:szCs w:val="21"/>
                <w:highlight w:val="none"/>
                <w:lang w:val="en-US" w:eastAsia="zh-CN"/>
              </w:rPr>
              <w:t>pH</w:t>
            </w:r>
            <w:r>
              <w:rPr>
                <w:rFonts w:hint="default" w:ascii="Times New Roman" w:hAnsi="Times New Roman" w:eastAsia="宋体" w:cs="Times New Roman"/>
                <w:color w:val="auto"/>
                <w:kern w:val="0"/>
                <w:sz w:val="21"/>
                <w:szCs w:val="21"/>
                <w:highlight w:val="none"/>
                <w:lang w:val="en-US" w:eastAsia="zh-CN" w:bidi="ar-SA"/>
              </w:rPr>
              <w:t>≤8.5</w:t>
            </w:r>
          </w:p>
        </w:tc>
      </w:tr>
      <w:tr w14:paraId="15D40CC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5" w:hRule="atLeast"/>
          <w:jc w:val="center"/>
        </w:trPr>
        <w:tc>
          <w:tcPr>
            <w:tcW w:w="949" w:type="pct"/>
            <w:vAlign w:val="center"/>
          </w:tcPr>
          <w:p w14:paraId="30952B90">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总硬度</w:t>
            </w:r>
          </w:p>
        </w:tc>
        <w:tc>
          <w:tcPr>
            <w:tcW w:w="1569" w:type="dxa"/>
            <w:vAlign w:val="center"/>
          </w:tcPr>
          <w:p w14:paraId="19922AD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0.538</w:t>
            </w:r>
          </w:p>
        </w:tc>
        <w:tc>
          <w:tcPr>
            <w:tcW w:w="1573" w:type="dxa"/>
            <w:vAlign w:val="center"/>
          </w:tcPr>
          <w:p w14:paraId="5710E23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0.502</w:t>
            </w:r>
          </w:p>
        </w:tc>
        <w:tc>
          <w:tcPr>
            <w:tcW w:w="1725" w:type="dxa"/>
            <w:vAlign w:val="center"/>
          </w:tcPr>
          <w:p w14:paraId="359A9A6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0.849</w:t>
            </w:r>
          </w:p>
        </w:tc>
        <w:tc>
          <w:tcPr>
            <w:tcW w:w="1862" w:type="dxa"/>
            <w:vAlign w:val="center"/>
          </w:tcPr>
          <w:p w14:paraId="70C4AD3C">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≤450</w:t>
            </w:r>
          </w:p>
        </w:tc>
      </w:tr>
      <w:tr w14:paraId="1625A32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174" w:hRule="atLeast"/>
          <w:jc w:val="center"/>
        </w:trPr>
        <w:tc>
          <w:tcPr>
            <w:tcW w:w="949" w:type="pct"/>
            <w:vAlign w:val="center"/>
          </w:tcPr>
          <w:p w14:paraId="4088A11E">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溶解性总固体</w:t>
            </w:r>
          </w:p>
        </w:tc>
        <w:tc>
          <w:tcPr>
            <w:tcW w:w="1569" w:type="dxa"/>
            <w:vAlign w:val="center"/>
          </w:tcPr>
          <w:p w14:paraId="5212688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0.386</w:t>
            </w:r>
          </w:p>
        </w:tc>
        <w:tc>
          <w:tcPr>
            <w:tcW w:w="1573" w:type="dxa"/>
            <w:vAlign w:val="center"/>
          </w:tcPr>
          <w:p w14:paraId="77703B6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0.397</w:t>
            </w:r>
          </w:p>
        </w:tc>
        <w:tc>
          <w:tcPr>
            <w:tcW w:w="1725" w:type="dxa"/>
            <w:vAlign w:val="center"/>
          </w:tcPr>
          <w:p w14:paraId="2188D4F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0.401</w:t>
            </w:r>
          </w:p>
        </w:tc>
        <w:tc>
          <w:tcPr>
            <w:tcW w:w="1862" w:type="dxa"/>
            <w:vAlign w:val="center"/>
          </w:tcPr>
          <w:p w14:paraId="52BA61CA">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≤1000</w:t>
            </w:r>
          </w:p>
        </w:tc>
      </w:tr>
      <w:tr w14:paraId="6C84B63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1C0171A1">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硫酸盐</w:t>
            </w:r>
          </w:p>
        </w:tc>
        <w:tc>
          <w:tcPr>
            <w:tcW w:w="1569" w:type="dxa"/>
            <w:vAlign w:val="center"/>
          </w:tcPr>
          <w:p w14:paraId="0BD3E26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0.512</w:t>
            </w:r>
          </w:p>
        </w:tc>
        <w:tc>
          <w:tcPr>
            <w:tcW w:w="1573" w:type="dxa"/>
            <w:vAlign w:val="center"/>
          </w:tcPr>
          <w:p w14:paraId="1117F7F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0.328</w:t>
            </w:r>
          </w:p>
        </w:tc>
        <w:tc>
          <w:tcPr>
            <w:tcW w:w="1725" w:type="dxa"/>
            <w:vAlign w:val="center"/>
          </w:tcPr>
          <w:p w14:paraId="34E87BC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0.476</w:t>
            </w:r>
          </w:p>
        </w:tc>
        <w:tc>
          <w:tcPr>
            <w:tcW w:w="1862" w:type="dxa"/>
            <w:vAlign w:val="center"/>
          </w:tcPr>
          <w:p w14:paraId="5F9BF457">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≤250</w:t>
            </w:r>
          </w:p>
        </w:tc>
      </w:tr>
      <w:tr w14:paraId="0831267C">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6" w:hRule="atLeast"/>
          <w:jc w:val="center"/>
        </w:trPr>
        <w:tc>
          <w:tcPr>
            <w:tcW w:w="949" w:type="pct"/>
            <w:vAlign w:val="center"/>
          </w:tcPr>
          <w:p w14:paraId="75491669">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氯化物</w:t>
            </w:r>
          </w:p>
        </w:tc>
        <w:tc>
          <w:tcPr>
            <w:tcW w:w="1569" w:type="dxa"/>
            <w:vAlign w:val="center"/>
          </w:tcPr>
          <w:p w14:paraId="3B797EE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0.124</w:t>
            </w:r>
          </w:p>
        </w:tc>
        <w:tc>
          <w:tcPr>
            <w:tcW w:w="1573" w:type="dxa"/>
            <w:vAlign w:val="center"/>
          </w:tcPr>
          <w:p w14:paraId="1908653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0.112</w:t>
            </w:r>
          </w:p>
        </w:tc>
        <w:tc>
          <w:tcPr>
            <w:tcW w:w="1725" w:type="dxa"/>
            <w:vAlign w:val="center"/>
          </w:tcPr>
          <w:p w14:paraId="24D2A6B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0.664</w:t>
            </w:r>
          </w:p>
        </w:tc>
        <w:tc>
          <w:tcPr>
            <w:tcW w:w="1862" w:type="dxa"/>
            <w:vAlign w:val="center"/>
          </w:tcPr>
          <w:p w14:paraId="34849301">
            <w:pPr>
              <w:spacing w:after="0"/>
              <w:jc w:val="center"/>
              <w:rPr>
                <w:rFonts w:hAnsi="宋体"/>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≤250</w:t>
            </w:r>
          </w:p>
        </w:tc>
      </w:tr>
      <w:tr w14:paraId="1F68FC7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201" w:hRule="atLeast"/>
          <w:jc w:val="center"/>
        </w:trPr>
        <w:tc>
          <w:tcPr>
            <w:tcW w:w="949" w:type="pct"/>
            <w:vAlign w:val="center"/>
          </w:tcPr>
          <w:p w14:paraId="69DA8CD6">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铁</w:t>
            </w:r>
          </w:p>
        </w:tc>
        <w:tc>
          <w:tcPr>
            <w:tcW w:w="1569" w:type="dxa"/>
            <w:vAlign w:val="center"/>
          </w:tcPr>
          <w:p w14:paraId="4C1146E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c>
          <w:tcPr>
            <w:tcW w:w="1573" w:type="dxa"/>
            <w:vAlign w:val="center"/>
          </w:tcPr>
          <w:p w14:paraId="59739ACF">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0.367</w:t>
            </w:r>
          </w:p>
        </w:tc>
        <w:tc>
          <w:tcPr>
            <w:tcW w:w="1725" w:type="dxa"/>
            <w:vAlign w:val="center"/>
          </w:tcPr>
          <w:p w14:paraId="40B51D0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0.467</w:t>
            </w:r>
          </w:p>
        </w:tc>
        <w:tc>
          <w:tcPr>
            <w:tcW w:w="1862" w:type="dxa"/>
            <w:vAlign w:val="center"/>
          </w:tcPr>
          <w:p w14:paraId="587DA0CF">
            <w:pPr>
              <w:spacing w:after="0"/>
              <w:jc w:val="center"/>
              <w:rPr>
                <w:rFonts w:hAnsi="宋体"/>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≤0.3</w:t>
            </w:r>
          </w:p>
        </w:tc>
      </w:tr>
      <w:tr w14:paraId="5AF2723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90" w:hRule="atLeast"/>
          <w:jc w:val="center"/>
        </w:trPr>
        <w:tc>
          <w:tcPr>
            <w:tcW w:w="949" w:type="pct"/>
            <w:vAlign w:val="center"/>
          </w:tcPr>
          <w:p w14:paraId="3CEE475F">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锰</w:t>
            </w:r>
          </w:p>
        </w:tc>
        <w:tc>
          <w:tcPr>
            <w:tcW w:w="1569" w:type="dxa"/>
            <w:vAlign w:val="center"/>
          </w:tcPr>
          <w:p w14:paraId="774A367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0.8</w:t>
            </w:r>
          </w:p>
        </w:tc>
        <w:tc>
          <w:tcPr>
            <w:tcW w:w="1573" w:type="dxa"/>
            <w:vAlign w:val="center"/>
          </w:tcPr>
          <w:p w14:paraId="33FA8D9E">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w:t>
            </w:r>
          </w:p>
        </w:tc>
        <w:tc>
          <w:tcPr>
            <w:tcW w:w="1725" w:type="dxa"/>
            <w:vAlign w:val="center"/>
          </w:tcPr>
          <w:p w14:paraId="486BD76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0.5</w:t>
            </w:r>
          </w:p>
        </w:tc>
        <w:tc>
          <w:tcPr>
            <w:tcW w:w="1862" w:type="dxa"/>
            <w:vAlign w:val="center"/>
          </w:tcPr>
          <w:p w14:paraId="5F9C904B">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≤0.10</w:t>
            </w:r>
          </w:p>
        </w:tc>
      </w:tr>
      <w:tr w14:paraId="1807A64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130" w:hRule="atLeast"/>
          <w:jc w:val="center"/>
        </w:trPr>
        <w:tc>
          <w:tcPr>
            <w:tcW w:w="949" w:type="pct"/>
            <w:vAlign w:val="center"/>
          </w:tcPr>
          <w:p w14:paraId="5A75E87D">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挥发酚</w:t>
            </w:r>
          </w:p>
        </w:tc>
        <w:tc>
          <w:tcPr>
            <w:tcW w:w="1569" w:type="dxa"/>
            <w:vAlign w:val="center"/>
          </w:tcPr>
          <w:p w14:paraId="4F2815F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573" w:type="dxa"/>
            <w:vAlign w:val="center"/>
          </w:tcPr>
          <w:p w14:paraId="3548DAD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725" w:type="dxa"/>
            <w:vAlign w:val="center"/>
          </w:tcPr>
          <w:p w14:paraId="71453111">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862" w:type="dxa"/>
            <w:vAlign w:val="center"/>
          </w:tcPr>
          <w:p w14:paraId="7F354429">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≤0.002</w:t>
            </w:r>
          </w:p>
        </w:tc>
      </w:tr>
      <w:tr w14:paraId="283C718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06EC3E18">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高锰酸盐指数</w:t>
            </w:r>
            <w:r>
              <w:rPr>
                <w:rFonts w:hint="default" w:ascii="Times New Roman" w:hAnsi="Times New Roman" w:eastAsia="宋体" w:cs="Times New Roman"/>
                <w:i w:val="0"/>
                <w:iCs w:val="0"/>
                <w:color w:val="auto"/>
                <w:kern w:val="0"/>
                <w:sz w:val="21"/>
                <w:szCs w:val="21"/>
                <w:highlight w:val="none"/>
                <w:u w:val="none"/>
                <w:lang w:val="en-US" w:eastAsia="zh-CN" w:bidi="ar"/>
              </w:rPr>
              <w:t>(</w:t>
            </w:r>
            <w:r>
              <w:rPr>
                <w:rStyle w:val="776"/>
                <w:color w:val="auto"/>
                <w:sz w:val="21"/>
                <w:szCs w:val="21"/>
                <w:highlight w:val="none"/>
                <w:lang w:val="en-US" w:eastAsia="zh-CN" w:bidi="ar"/>
              </w:rPr>
              <w:t>以</w:t>
            </w:r>
            <w:r>
              <w:rPr>
                <w:rFonts w:hint="default" w:ascii="Times New Roman" w:hAnsi="Times New Roman" w:eastAsia="宋体" w:cs="Times New Roman"/>
                <w:i w:val="0"/>
                <w:iCs w:val="0"/>
                <w:color w:val="auto"/>
                <w:kern w:val="0"/>
                <w:sz w:val="21"/>
                <w:szCs w:val="21"/>
                <w:highlight w:val="none"/>
                <w:u w:val="none"/>
                <w:lang w:val="en-US" w:eastAsia="zh-CN" w:bidi="ar"/>
              </w:rPr>
              <w:t>O</w:t>
            </w:r>
            <w:r>
              <w:rPr>
                <w:rStyle w:val="777"/>
                <w:rFonts w:eastAsia="宋体"/>
                <w:color w:val="auto"/>
                <w:sz w:val="21"/>
                <w:szCs w:val="21"/>
                <w:highlight w:val="none"/>
                <w:lang w:val="en-US" w:eastAsia="zh-CN" w:bidi="ar"/>
              </w:rPr>
              <w:t>2</w:t>
            </w:r>
            <w:r>
              <w:rPr>
                <w:rStyle w:val="776"/>
                <w:color w:val="auto"/>
                <w:sz w:val="21"/>
                <w:szCs w:val="21"/>
                <w:highlight w:val="none"/>
                <w:lang w:val="en-US" w:eastAsia="zh-CN" w:bidi="ar"/>
              </w:rPr>
              <w:t>计</w:t>
            </w:r>
            <w:r>
              <w:rPr>
                <w:rFonts w:hint="default" w:ascii="Times New Roman" w:hAnsi="Times New Roman" w:eastAsia="宋体" w:cs="Times New Roman"/>
                <w:i w:val="0"/>
                <w:iCs w:val="0"/>
                <w:color w:val="auto"/>
                <w:kern w:val="0"/>
                <w:sz w:val="21"/>
                <w:szCs w:val="21"/>
                <w:highlight w:val="none"/>
                <w:u w:val="none"/>
                <w:lang w:val="en-US" w:eastAsia="zh-CN" w:bidi="ar"/>
              </w:rPr>
              <w:t>)</w:t>
            </w:r>
          </w:p>
        </w:tc>
        <w:tc>
          <w:tcPr>
            <w:tcW w:w="1569" w:type="dxa"/>
            <w:vAlign w:val="center"/>
          </w:tcPr>
          <w:p w14:paraId="0714C26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0.367</w:t>
            </w:r>
          </w:p>
        </w:tc>
        <w:tc>
          <w:tcPr>
            <w:tcW w:w="1573" w:type="dxa"/>
            <w:vAlign w:val="center"/>
          </w:tcPr>
          <w:p w14:paraId="1C166D1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0.333</w:t>
            </w:r>
          </w:p>
        </w:tc>
        <w:tc>
          <w:tcPr>
            <w:tcW w:w="1725" w:type="dxa"/>
            <w:vAlign w:val="center"/>
          </w:tcPr>
          <w:p w14:paraId="7791F8AB">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0.433</w:t>
            </w:r>
          </w:p>
        </w:tc>
        <w:tc>
          <w:tcPr>
            <w:tcW w:w="1862" w:type="dxa"/>
            <w:vAlign w:val="center"/>
          </w:tcPr>
          <w:p w14:paraId="4911DD2A">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w:t>
            </w:r>
            <w:r>
              <w:rPr>
                <w:rFonts w:hint="eastAsia" w:ascii="Times New Roman" w:hAnsi="Times New Roman" w:eastAsia="宋体" w:cs="Times New Roman"/>
                <w:color w:val="auto"/>
                <w:kern w:val="0"/>
                <w:sz w:val="21"/>
                <w:szCs w:val="21"/>
                <w:highlight w:val="none"/>
                <w:lang w:val="en-US" w:eastAsia="zh-CN" w:bidi="ar-SA"/>
              </w:rPr>
              <w:t>3.0</w:t>
            </w:r>
          </w:p>
        </w:tc>
      </w:tr>
      <w:tr w14:paraId="550F6A6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59" w:hRule="atLeast"/>
          <w:jc w:val="center"/>
        </w:trPr>
        <w:tc>
          <w:tcPr>
            <w:tcW w:w="949" w:type="pct"/>
            <w:vAlign w:val="center"/>
          </w:tcPr>
          <w:p w14:paraId="3DED2FFC">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氨氮</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569" w:type="dxa"/>
            <w:vAlign w:val="center"/>
          </w:tcPr>
          <w:p w14:paraId="2730EAC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0.7</w:t>
            </w:r>
          </w:p>
        </w:tc>
        <w:tc>
          <w:tcPr>
            <w:tcW w:w="1573" w:type="dxa"/>
            <w:vAlign w:val="center"/>
          </w:tcPr>
          <w:p w14:paraId="78E00D8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0.78</w:t>
            </w:r>
          </w:p>
        </w:tc>
        <w:tc>
          <w:tcPr>
            <w:tcW w:w="1725" w:type="dxa"/>
            <w:vAlign w:val="center"/>
          </w:tcPr>
          <w:p w14:paraId="0909869C">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0.84</w:t>
            </w:r>
          </w:p>
        </w:tc>
        <w:tc>
          <w:tcPr>
            <w:tcW w:w="1862" w:type="dxa"/>
            <w:vAlign w:val="center"/>
          </w:tcPr>
          <w:p w14:paraId="26C443E3">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≤0.50</w:t>
            </w:r>
          </w:p>
        </w:tc>
      </w:tr>
      <w:tr w14:paraId="085688D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5565EB68">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总大肠菌群</w:t>
            </w:r>
          </w:p>
        </w:tc>
        <w:tc>
          <w:tcPr>
            <w:tcW w:w="1569" w:type="dxa"/>
            <w:vAlign w:val="center"/>
          </w:tcPr>
          <w:p w14:paraId="7073509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573" w:type="dxa"/>
            <w:vAlign w:val="center"/>
          </w:tcPr>
          <w:p w14:paraId="4521B32A">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725" w:type="dxa"/>
            <w:vAlign w:val="center"/>
          </w:tcPr>
          <w:p w14:paraId="0CDEBA59">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862" w:type="dxa"/>
            <w:vAlign w:val="center"/>
          </w:tcPr>
          <w:p w14:paraId="76108D13">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≤3</w:t>
            </w:r>
            <w:r>
              <w:rPr>
                <w:rFonts w:hint="eastAsia" w:ascii="Times New Roman" w:hAnsi="Times New Roman" w:eastAsia="宋体" w:cs="Times New Roman"/>
                <w:color w:val="auto"/>
                <w:kern w:val="0"/>
                <w:sz w:val="21"/>
                <w:szCs w:val="21"/>
                <w:highlight w:val="none"/>
                <w:lang w:val="en-US" w:eastAsia="zh-CN" w:bidi="ar-SA"/>
              </w:rPr>
              <w:t>.0</w:t>
            </w:r>
          </w:p>
        </w:tc>
      </w:tr>
      <w:tr w14:paraId="43179F3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4E7D9C41">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菌落总数</w:t>
            </w:r>
          </w:p>
        </w:tc>
        <w:tc>
          <w:tcPr>
            <w:tcW w:w="1569" w:type="dxa"/>
            <w:vAlign w:val="center"/>
          </w:tcPr>
          <w:p w14:paraId="563E350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0.27</w:t>
            </w:r>
          </w:p>
        </w:tc>
        <w:tc>
          <w:tcPr>
            <w:tcW w:w="1573" w:type="dxa"/>
            <w:vAlign w:val="center"/>
          </w:tcPr>
          <w:p w14:paraId="01374DD3">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0.21</w:t>
            </w:r>
          </w:p>
        </w:tc>
        <w:tc>
          <w:tcPr>
            <w:tcW w:w="1725" w:type="dxa"/>
            <w:vAlign w:val="center"/>
          </w:tcPr>
          <w:p w14:paraId="75CB57B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0.23</w:t>
            </w:r>
          </w:p>
        </w:tc>
        <w:tc>
          <w:tcPr>
            <w:tcW w:w="1862" w:type="dxa"/>
            <w:vAlign w:val="center"/>
          </w:tcPr>
          <w:p w14:paraId="0E19DE74">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≤100</w:t>
            </w:r>
          </w:p>
        </w:tc>
      </w:tr>
      <w:tr w14:paraId="3042894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52B39F74">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亚硝酸盐</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569" w:type="dxa"/>
            <w:vAlign w:val="center"/>
          </w:tcPr>
          <w:p w14:paraId="6A593E4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573" w:type="dxa"/>
            <w:vAlign w:val="center"/>
          </w:tcPr>
          <w:p w14:paraId="4D373DDD">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725" w:type="dxa"/>
            <w:vAlign w:val="center"/>
          </w:tcPr>
          <w:p w14:paraId="7EB61542">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862" w:type="dxa"/>
            <w:vAlign w:val="center"/>
          </w:tcPr>
          <w:p w14:paraId="0152ECD6">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≤1.00</w:t>
            </w:r>
          </w:p>
        </w:tc>
      </w:tr>
      <w:tr w14:paraId="7076B10F">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6334DD1B">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硝酸盐</w:t>
            </w:r>
            <w:r>
              <w:rPr>
                <w:rFonts w:hint="default" w:ascii="Times New Roman" w:hAnsi="Times New Roman" w:eastAsia="宋体" w:cs="Times New Roman"/>
                <w:i w:val="0"/>
                <w:iCs w:val="0"/>
                <w:color w:val="auto"/>
                <w:kern w:val="0"/>
                <w:sz w:val="21"/>
                <w:szCs w:val="21"/>
                <w:highlight w:val="none"/>
                <w:u w:val="none"/>
                <w:lang w:val="en-US" w:eastAsia="zh-CN" w:bidi="ar"/>
              </w:rPr>
              <w:t xml:space="preserve">       </w:t>
            </w:r>
          </w:p>
        </w:tc>
        <w:tc>
          <w:tcPr>
            <w:tcW w:w="1569" w:type="dxa"/>
            <w:vAlign w:val="center"/>
          </w:tcPr>
          <w:p w14:paraId="0C163B99">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0.089</w:t>
            </w:r>
          </w:p>
        </w:tc>
        <w:tc>
          <w:tcPr>
            <w:tcW w:w="1573" w:type="dxa"/>
            <w:vAlign w:val="center"/>
          </w:tcPr>
          <w:p w14:paraId="736AAF87">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0.0905</w:t>
            </w:r>
          </w:p>
        </w:tc>
        <w:tc>
          <w:tcPr>
            <w:tcW w:w="1725" w:type="dxa"/>
            <w:vAlign w:val="center"/>
          </w:tcPr>
          <w:p w14:paraId="3DD4D8FD">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0.0915</w:t>
            </w:r>
          </w:p>
        </w:tc>
        <w:tc>
          <w:tcPr>
            <w:tcW w:w="1862" w:type="dxa"/>
            <w:vAlign w:val="center"/>
          </w:tcPr>
          <w:p w14:paraId="7547CA9D">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≤20.0</w:t>
            </w:r>
          </w:p>
        </w:tc>
      </w:tr>
      <w:tr w14:paraId="2BDEF96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75" w:hRule="atLeast"/>
          <w:jc w:val="center"/>
        </w:trPr>
        <w:tc>
          <w:tcPr>
            <w:tcW w:w="949" w:type="pct"/>
            <w:vAlign w:val="center"/>
          </w:tcPr>
          <w:p w14:paraId="0FF356DF">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氰化物</w:t>
            </w:r>
          </w:p>
        </w:tc>
        <w:tc>
          <w:tcPr>
            <w:tcW w:w="1569" w:type="dxa"/>
            <w:vAlign w:val="center"/>
          </w:tcPr>
          <w:p w14:paraId="2E4254D6">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573" w:type="dxa"/>
            <w:vAlign w:val="center"/>
          </w:tcPr>
          <w:p w14:paraId="30D6079F">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725" w:type="dxa"/>
            <w:vAlign w:val="center"/>
          </w:tcPr>
          <w:p w14:paraId="26E0C275">
            <w:pPr>
              <w:keepNext w:val="0"/>
              <w:keepLines w:val="0"/>
              <w:pageBreakBefore w:val="0"/>
              <w:widowControl/>
              <w:kinsoku/>
              <w:wordWrap/>
              <w:overflowPunct/>
              <w:topLinePunct w:val="0"/>
              <w:autoSpaceDE/>
              <w:autoSpaceDN/>
              <w:bidi w:val="0"/>
              <w:adjustRightInd w:val="0"/>
              <w:snapToGrid w:val="0"/>
              <w:jc w:val="center"/>
              <w:rPr>
                <w:rFonts w:hint="default" w:ascii="Times New Roman" w:hAnsi="Times New Roman" w:cs="Times New Roman"/>
                <w:color w:val="auto"/>
                <w:sz w:val="21"/>
                <w:szCs w:val="21"/>
                <w:highlight w:val="none"/>
              </w:rPr>
            </w:pPr>
            <w:r>
              <w:rPr>
                <w:rFonts w:hint="eastAsia"/>
                <w:color w:val="auto"/>
                <w:szCs w:val="21"/>
                <w:highlight w:val="none"/>
                <w:lang w:eastAsia="zh-CN"/>
              </w:rPr>
              <w:t>未检出</w:t>
            </w:r>
          </w:p>
        </w:tc>
        <w:tc>
          <w:tcPr>
            <w:tcW w:w="1862" w:type="dxa"/>
            <w:vAlign w:val="center"/>
          </w:tcPr>
          <w:p w14:paraId="58DFF9A8">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≤0.05</w:t>
            </w:r>
          </w:p>
        </w:tc>
      </w:tr>
      <w:tr w14:paraId="7EBB2DB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trHeight w:val="40" w:hRule="atLeast"/>
          <w:jc w:val="center"/>
        </w:trPr>
        <w:tc>
          <w:tcPr>
            <w:tcW w:w="949" w:type="pct"/>
            <w:vAlign w:val="center"/>
          </w:tcPr>
          <w:p w14:paraId="1C54E25D">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氟化物</w:t>
            </w:r>
          </w:p>
        </w:tc>
        <w:tc>
          <w:tcPr>
            <w:tcW w:w="1569" w:type="dxa"/>
            <w:vAlign w:val="center"/>
          </w:tcPr>
          <w:p w14:paraId="72EAB11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0.37</w:t>
            </w:r>
          </w:p>
        </w:tc>
        <w:tc>
          <w:tcPr>
            <w:tcW w:w="1573" w:type="dxa"/>
            <w:vAlign w:val="center"/>
          </w:tcPr>
          <w:p w14:paraId="02880BAA">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0.39</w:t>
            </w:r>
          </w:p>
        </w:tc>
        <w:tc>
          <w:tcPr>
            <w:tcW w:w="1725" w:type="dxa"/>
            <w:vAlign w:val="center"/>
          </w:tcPr>
          <w:p w14:paraId="117269C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0.41</w:t>
            </w:r>
          </w:p>
        </w:tc>
        <w:tc>
          <w:tcPr>
            <w:tcW w:w="1862" w:type="dxa"/>
            <w:vAlign w:val="center"/>
          </w:tcPr>
          <w:p w14:paraId="24056BEB">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≤1.0</w:t>
            </w:r>
          </w:p>
        </w:tc>
      </w:tr>
      <w:tr w14:paraId="69BB393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28C88A5D">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汞</w:t>
            </w:r>
          </w:p>
        </w:tc>
        <w:tc>
          <w:tcPr>
            <w:tcW w:w="1569" w:type="dxa"/>
            <w:vAlign w:val="center"/>
          </w:tcPr>
          <w:p w14:paraId="1F093662">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0.15</w:t>
            </w:r>
          </w:p>
        </w:tc>
        <w:tc>
          <w:tcPr>
            <w:tcW w:w="1573" w:type="dxa"/>
            <w:vAlign w:val="center"/>
          </w:tcPr>
          <w:p w14:paraId="5CDA1A96">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0.12</w:t>
            </w:r>
          </w:p>
        </w:tc>
        <w:tc>
          <w:tcPr>
            <w:tcW w:w="1725" w:type="dxa"/>
            <w:vAlign w:val="center"/>
          </w:tcPr>
          <w:p w14:paraId="6A4B2AE5">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0.11</w:t>
            </w:r>
          </w:p>
        </w:tc>
        <w:tc>
          <w:tcPr>
            <w:tcW w:w="1862" w:type="dxa"/>
            <w:vAlign w:val="center"/>
          </w:tcPr>
          <w:p w14:paraId="44854AC7">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≤0.001</w:t>
            </w:r>
          </w:p>
        </w:tc>
      </w:tr>
      <w:tr w14:paraId="2A18BA8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0171D53F">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砷</w:t>
            </w:r>
          </w:p>
        </w:tc>
        <w:tc>
          <w:tcPr>
            <w:tcW w:w="1569" w:type="dxa"/>
            <w:vAlign w:val="center"/>
          </w:tcPr>
          <w:p w14:paraId="546E74E4">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0.08</w:t>
            </w:r>
          </w:p>
        </w:tc>
        <w:tc>
          <w:tcPr>
            <w:tcW w:w="1573" w:type="dxa"/>
            <w:vAlign w:val="center"/>
          </w:tcPr>
          <w:p w14:paraId="6CAF4DF8">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0.05</w:t>
            </w:r>
          </w:p>
        </w:tc>
        <w:tc>
          <w:tcPr>
            <w:tcW w:w="1725" w:type="dxa"/>
            <w:vAlign w:val="center"/>
          </w:tcPr>
          <w:p w14:paraId="601BF3D0">
            <w:pPr>
              <w:keepNext w:val="0"/>
              <w:keepLines w:val="0"/>
              <w:pageBreakBefore w:val="0"/>
              <w:widowControl/>
              <w:suppressLineNumbers w:val="0"/>
              <w:kinsoku/>
              <w:wordWrap/>
              <w:overflowPunct/>
              <w:topLinePunct w:val="0"/>
              <w:autoSpaceDE/>
              <w:autoSpaceDN/>
              <w:bidi w:val="0"/>
              <w:adjustRightInd w:val="0"/>
              <w:snapToGrid w:val="0"/>
              <w:jc w:val="center"/>
              <w:textAlignment w:val="center"/>
              <w:rPr>
                <w:rFonts w:hint="default" w:ascii="Times New Roman" w:hAnsi="Times New Roman" w:cs="Times New Roman"/>
                <w:color w:val="auto"/>
                <w:sz w:val="21"/>
                <w:szCs w:val="21"/>
                <w:highlight w:val="none"/>
              </w:rPr>
            </w:pPr>
            <w:r>
              <w:rPr>
                <w:rFonts w:hint="default" w:ascii="Times New Roman" w:hAnsi="Times New Roman" w:eastAsia="宋体" w:cs="Times New Roman"/>
                <w:i w:val="0"/>
                <w:iCs w:val="0"/>
                <w:color w:val="auto"/>
                <w:kern w:val="0"/>
                <w:sz w:val="21"/>
                <w:szCs w:val="21"/>
                <w:highlight w:val="none"/>
                <w:u w:val="none"/>
                <w:lang w:val="en-US" w:eastAsia="zh-CN" w:bidi="ar"/>
              </w:rPr>
              <w:t>0.07</w:t>
            </w:r>
          </w:p>
        </w:tc>
        <w:tc>
          <w:tcPr>
            <w:tcW w:w="1862" w:type="dxa"/>
            <w:vAlign w:val="center"/>
          </w:tcPr>
          <w:p w14:paraId="5571AC60">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≤0.01</w:t>
            </w:r>
          </w:p>
        </w:tc>
      </w:tr>
      <w:tr w14:paraId="17594E7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02CADB9C">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镉</w:t>
            </w:r>
          </w:p>
        </w:tc>
        <w:tc>
          <w:tcPr>
            <w:tcW w:w="944" w:type="pct"/>
            <w:vAlign w:val="center"/>
          </w:tcPr>
          <w:p w14:paraId="2AD90BDB">
            <w:pPr>
              <w:jc w:val="center"/>
              <w:rPr>
                <w:rFonts w:hint="eastAsia" w:eastAsia="宋体"/>
                <w:color w:val="auto"/>
                <w:sz w:val="21"/>
                <w:szCs w:val="21"/>
                <w:highlight w:val="none"/>
                <w:lang w:eastAsia="zh-CN"/>
              </w:rPr>
            </w:pPr>
            <w:r>
              <w:rPr>
                <w:rFonts w:hint="eastAsia"/>
                <w:color w:val="auto"/>
                <w:sz w:val="21"/>
                <w:szCs w:val="21"/>
                <w:highlight w:val="none"/>
                <w:lang w:eastAsia="zh-CN"/>
              </w:rPr>
              <w:t>未检出</w:t>
            </w:r>
          </w:p>
        </w:tc>
        <w:tc>
          <w:tcPr>
            <w:tcW w:w="947" w:type="pct"/>
            <w:vAlign w:val="bottom"/>
          </w:tcPr>
          <w:p w14:paraId="469DEF27">
            <w:pPr>
              <w:jc w:val="center"/>
              <w:rPr>
                <w:color w:val="auto"/>
                <w:sz w:val="21"/>
                <w:szCs w:val="21"/>
                <w:highlight w:val="none"/>
              </w:rPr>
            </w:pPr>
            <w:r>
              <w:rPr>
                <w:rFonts w:hint="eastAsia"/>
                <w:color w:val="auto"/>
                <w:sz w:val="21"/>
                <w:szCs w:val="21"/>
                <w:highlight w:val="none"/>
                <w:lang w:eastAsia="zh-CN"/>
              </w:rPr>
              <w:t>未检出</w:t>
            </w:r>
          </w:p>
        </w:tc>
        <w:tc>
          <w:tcPr>
            <w:tcW w:w="1038" w:type="pct"/>
            <w:vAlign w:val="center"/>
          </w:tcPr>
          <w:p w14:paraId="6175E7C3">
            <w:pPr>
              <w:jc w:val="center"/>
              <w:rPr>
                <w:color w:val="auto"/>
                <w:sz w:val="21"/>
                <w:szCs w:val="21"/>
                <w:highlight w:val="none"/>
              </w:rPr>
            </w:pPr>
            <w:r>
              <w:rPr>
                <w:rFonts w:hint="eastAsia"/>
                <w:color w:val="auto"/>
                <w:sz w:val="21"/>
                <w:szCs w:val="21"/>
                <w:highlight w:val="none"/>
                <w:lang w:eastAsia="zh-CN"/>
              </w:rPr>
              <w:t>未检出</w:t>
            </w:r>
          </w:p>
        </w:tc>
        <w:tc>
          <w:tcPr>
            <w:tcW w:w="1862" w:type="dxa"/>
            <w:vAlign w:val="center"/>
          </w:tcPr>
          <w:p w14:paraId="4F30A250">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≤0.005</w:t>
            </w:r>
          </w:p>
        </w:tc>
      </w:tr>
      <w:tr w14:paraId="33F43D77">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18504992">
            <w:pPr>
              <w:keepNext w:val="0"/>
              <w:keepLines w:val="0"/>
              <w:widowControl/>
              <w:suppressLineNumbers w:val="0"/>
              <w:jc w:val="center"/>
              <w:textAlignment w:val="center"/>
              <w:rPr>
                <w:rFonts w:hAnsi="宋体"/>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铬（六价）</w:t>
            </w:r>
          </w:p>
        </w:tc>
        <w:tc>
          <w:tcPr>
            <w:tcW w:w="944" w:type="pct"/>
            <w:vAlign w:val="center"/>
          </w:tcPr>
          <w:p w14:paraId="3C178F20">
            <w:pPr>
              <w:jc w:val="center"/>
              <w:rPr>
                <w:color w:val="auto"/>
                <w:sz w:val="21"/>
                <w:szCs w:val="21"/>
                <w:highlight w:val="none"/>
              </w:rPr>
            </w:pPr>
            <w:r>
              <w:rPr>
                <w:rFonts w:hint="eastAsia"/>
                <w:color w:val="auto"/>
                <w:sz w:val="21"/>
                <w:szCs w:val="21"/>
                <w:highlight w:val="none"/>
                <w:lang w:eastAsia="zh-CN"/>
              </w:rPr>
              <w:t>未检出</w:t>
            </w:r>
          </w:p>
        </w:tc>
        <w:tc>
          <w:tcPr>
            <w:tcW w:w="947" w:type="pct"/>
            <w:vAlign w:val="center"/>
          </w:tcPr>
          <w:p w14:paraId="5F1E0AD1">
            <w:pPr>
              <w:jc w:val="center"/>
              <w:rPr>
                <w:color w:val="auto"/>
                <w:sz w:val="21"/>
                <w:szCs w:val="21"/>
                <w:highlight w:val="none"/>
              </w:rPr>
            </w:pPr>
            <w:r>
              <w:rPr>
                <w:rFonts w:hint="eastAsia"/>
                <w:color w:val="auto"/>
                <w:sz w:val="21"/>
                <w:szCs w:val="21"/>
                <w:highlight w:val="none"/>
                <w:lang w:eastAsia="zh-CN"/>
              </w:rPr>
              <w:t>未检出</w:t>
            </w:r>
          </w:p>
        </w:tc>
        <w:tc>
          <w:tcPr>
            <w:tcW w:w="1038" w:type="pct"/>
            <w:vAlign w:val="center"/>
          </w:tcPr>
          <w:p w14:paraId="186AC354">
            <w:pPr>
              <w:jc w:val="center"/>
              <w:rPr>
                <w:color w:val="auto"/>
                <w:sz w:val="21"/>
                <w:szCs w:val="21"/>
                <w:highlight w:val="none"/>
              </w:rPr>
            </w:pPr>
            <w:r>
              <w:rPr>
                <w:rFonts w:hint="eastAsia"/>
                <w:color w:val="auto"/>
                <w:sz w:val="21"/>
                <w:szCs w:val="21"/>
                <w:highlight w:val="none"/>
                <w:lang w:eastAsia="zh-CN"/>
              </w:rPr>
              <w:t>未检出</w:t>
            </w:r>
          </w:p>
        </w:tc>
        <w:tc>
          <w:tcPr>
            <w:tcW w:w="1862" w:type="dxa"/>
            <w:vAlign w:val="center"/>
          </w:tcPr>
          <w:p w14:paraId="1B9BBF53">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≤0.05</w:t>
            </w:r>
          </w:p>
        </w:tc>
      </w:tr>
      <w:tr w14:paraId="5B6C7F7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949" w:type="pct"/>
            <w:vAlign w:val="center"/>
          </w:tcPr>
          <w:p w14:paraId="2A9160B8">
            <w:pPr>
              <w:keepNext w:val="0"/>
              <w:keepLines w:val="0"/>
              <w:widowControl/>
              <w:suppressLineNumbers w:val="0"/>
              <w:jc w:val="center"/>
              <w:textAlignment w:val="center"/>
              <w:rPr>
                <w:color w:val="auto"/>
                <w:sz w:val="21"/>
                <w:szCs w:val="21"/>
                <w:highlight w:val="none"/>
              </w:rPr>
            </w:pPr>
            <w:r>
              <w:rPr>
                <w:rFonts w:hint="eastAsia" w:ascii="宋体" w:hAnsi="宋体" w:eastAsia="宋体" w:cs="宋体"/>
                <w:i w:val="0"/>
                <w:iCs w:val="0"/>
                <w:color w:val="auto"/>
                <w:kern w:val="0"/>
                <w:sz w:val="21"/>
                <w:szCs w:val="21"/>
                <w:highlight w:val="none"/>
                <w:u w:val="none"/>
                <w:lang w:val="en-US" w:eastAsia="zh-CN" w:bidi="ar"/>
              </w:rPr>
              <w:t>铅</w:t>
            </w:r>
          </w:p>
        </w:tc>
        <w:tc>
          <w:tcPr>
            <w:tcW w:w="944" w:type="pct"/>
            <w:vAlign w:val="center"/>
          </w:tcPr>
          <w:p w14:paraId="036A59F1">
            <w:pPr>
              <w:jc w:val="center"/>
              <w:rPr>
                <w:color w:val="auto"/>
                <w:sz w:val="21"/>
                <w:szCs w:val="21"/>
                <w:highlight w:val="none"/>
              </w:rPr>
            </w:pPr>
            <w:r>
              <w:rPr>
                <w:rFonts w:hint="eastAsia"/>
                <w:color w:val="auto"/>
                <w:sz w:val="21"/>
                <w:szCs w:val="21"/>
                <w:highlight w:val="none"/>
                <w:lang w:eastAsia="zh-CN"/>
              </w:rPr>
              <w:t>未检出</w:t>
            </w:r>
          </w:p>
        </w:tc>
        <w:tc>
          <w:tcPr>
            <w:tcW w:w="947" w:type="pct"/>
            <w:vAlign w:val="center"/>
          </w:tcPr>
          <w:p w14:paraId="578E16D2">
            <w:pPr>
              <w:jc w:val="center"/>
              <w:rPr>
                <w:color w:val="auto"/>
                <w:sz w:val="21"/>
                <w:szCs w:val="21"/>
                <w:highlight w:val="none"/>
              </w:rPr>
            </w:pPr>
            <w:r>
              <w:rPr>
                <w:rFonts w:hint="eastAsia"/>
                <w:color w:val="auto"/>
                <w:sz w:val="21"/>
                <w:szCs w:val="21"/>
                <w:highlight w:val="none"/>
                <w:lang w:eastAsia="zh-CN"/>
              </w:rPr>
              <w:t>未检出</w:t>
            </w:r>
          </w:p>
        </w:tc>
        <w:tc>
          <w:tcPr>
            <w:tcW w:w="1038" w:type="pct"/>
            <w:vAlign w:val="center"/>
          </w:tcPr>
          <w:p w14:paraId="5A470AF4">
            <w:pPr>
              <w:jc w:val="center"/>
              <w:rPr>
                <w:color w:val="auto"/>
                <w:sz w:val="21"/>
                <w:szCs w:val="21"/>
                <w:highlight w:val="none"/>
              </w:rPr>
            </w:pPr>
            <w:r>
              <w:rPr>
                <w:rFonts w:hint="eastAsia"/>
                <w:color w:val="auto"/>
                <w:sz w:val="21"/>
                <w:szCs w:val="21"/>
                <w:highlight w:val="none"/>
                <w:lang w:eastAsia="zh-CN"/>
              </w:rPr>
              <w:t>未检出</w:t>
            </w:r>
          </w:p>
        </w:tc>
        <w:tc>
          <w:tcPr>
            <w:tcW w:w="1862" w:type="dxa"/>
            <w:vAlign w:val="center"/>
          </w:tcPr>
          <w:p w14:paraId="31154892">
            <w:pPr>
              <w:spacing w:after="0"/>
              <w:jc w:val="center"/>
              <w:rPr>
                <w:color w:val="auto"/>
                <w:sz w:val="21"/>
                <w:szCs w:val="21"/>
                <w:highlight w:val="none"/>
              </w:rPr>
            </w:pPr>
            <w:r>
              <w:rPr>
                <w:rFonts w:hint="default" w:ascii="Times New Roman" w:hAnsi="Times New Roman" w:eastAsia="宋体" w:cs="Times New Roman"/>
                <w:color w:val="auto"/>
                <w:kern w:val="0"/>
                <w:sz w:val="21"/>
                <w:szCs w:val="21"/>
                <w:highlight w:val="none"/>
                <w:lang w:val="en-US" w:eastAsia="zh-CN" w:bidi="ar-SA"/>
              </w:rPr>
              <w:t>≤0.01</w:t>
            </w:r>
          </w:p>
        </w:tc>
      </w:tr>
      <w:tr w14:paraId="2F4251BB">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0" w:type="dxa"/>
            <w:bottom w:w="0" w:type="dxa"/>
            <w:right w:w="0" w:type="dxa"/>
          </w:tblCellMar>
        </w:tblPrEx>
        <w:trPr>
          <w:trHeight w:val="40" w:hRule="atLeast"/>
          <w:jc w:val="center"/>
        </w:trPr>
        <w:tc>
          <w:tcPr>
            <w:tcW w:w="5000" w:type="pct"/>
            <w:gridSpan w:val="5"/>
            <w:vAlign w:val="center"/>
          </w:tcPr>
          <w:p w14:paraId="1F436274">
            <w:pPr>
              <w:rPr>
                <w:color w:val="auto"/>
                <w:szCs w:val="21"/>
                <w:highlight w:val="none"/>
              </w:rPr>
            </w:pPr>
            <w:r>
              <w:rPr>
                <w:color w:val="auto"/>
                <w:szCs w:val="21"/>
                <w:highlight w:val="none"/>
              </w:rPr>
              <w:t>备注：“—”表示未检出，检测结果小于检出限报最低检出限值加L。</w:t>
            </w:r>
          </w:p>
        </w:tc>
      </w:tr>
    </w:tbl>
    <w:p w14:paraId="76C112C5">
      <w:pPr>
        <w:spacing w:line="500" w:lineRule="exact"/>
        <w:ind w:firstLine="480" w:firstLineChars="200"/>
        <w:rPr>
          <w:color w:val="auto"/>
        </w:rPr>
      </w:pPr>
      <w:r>
        <w:rPr>
          <w:rFonts w:hint="eastAsia"/>
          <w:snapToGrid w:val="0"/>
          <w:color w:val="auto"/>
          <w:kern w:val="0"/>
          <w:sz w:val="24"/>
          <w:szCs w:val="22"/>
        </w:rPr>
        <w:t>由以上地下水标准指数分析可知</w:t>
      </w:r>
      <w:bookmarkStart w:id="124" w:name="_Hlk134695475"/>
      <w:r>
        <w:rPr>
          <w:rFonts w:hint="eastAsia"/>
          <w:snapToGrid w:val="0"/>
          <w:color w:val="auto"/>
          <w:kern w:val="0"/>
          <w:sz w:val="24"/>
          <w:szCs w:val="22"/>
          <w:lang w:eastAsia="zh-CN"/>
        </w:rPr>
        <w:t>，</w:t>
      </w:r>
      <w:r>
        <w:rPr>
          <w:rFonts w:hint="eastAsia"/>
          <w:snapToGrid w:val="0"/>
          <w:color w:val="auto"/>
          <w:kern w:val="0"/>
          <w:sz w:val="24"/>
          <w:szCs w:val="22"/>
        </w:rPr>
        <w:t>各监测点位的</w:t>
      </w:r>
      <w:r>
        <w:rPr>
          <w:snapToGrid w:val="0"/>
          <w:color w:val="auto"/>
          <w:kern w:val="0"/>
          <w:sz w:val="24"/>
          <w:szCs w:val="22"/>
        </w:rPr>
        <w:t>监测因子</w:t>
      </w:r>
      <w:r>
        <w:rPr>
          <w:rFonts w:hint="eastAsia"/>
          <w:snapToGrid w:val="0"/>
          <w:color w:val="auto"/>
          <w:kern w:val="0"/>
          <w:sz w:val="24"/>
          <w:szCs w:val="22"/>
        </w:rPr>
        <w:t>指标均满足《地下水质量标准》（GB/T14848-</w:t>
      </w:r>
      <w:r>
        <w:rPr>
          <w:snapToGrid w:val="0"/>
          <w:color w:val="auto"/>
          <w:kern w:val="0"/>
          <w:sz w:val="24"/>
          <w:szCs w:val="22"/>
        </w:rPr>
        <w:t>2017</w:t>
      </w:r>
      <w:r>
        <w:rPr>
          <w:rFonts w:hint="eastAsia"/>
          <w:snapToGrid w:val="0"/>
          <w:color w:val="auto"/>
          <w:kern w:val="0"/>
          <w:sz w:val="24"/>
          <w:szCs w:val="22"/>
        </w:rPr>
        <w:t>）中的</w:t>
      </w:r>
      <w:r>
        <w:rPr>
          <w:snapToGrid w:val="0"/>
          <w:color w:val="auto"/>
          <w:kern w:val="0"/>
          <w:sz w:val="24"/>
          <w:szCs w:val="22"/>
        </w:rPr>
        <w:fldChar w:fldCharType="begin"/>
      </w:r>
      <w:r>
        <w:rPr>
          <w:snapToGrid w:val="0"/>
          <w:color w:val="auto"/>
          <w:kern w:val="0"/>
          <w:sz w:val="24"/>
          <w:szCs w:val="22"/>
        </w:rPr>
        <w:instrText xml:space="preserve"> </w:instrText>
      </w:r>
      <w:r>
        <w:rPr>
          <w:rFonts w:hint="eastAsia"/>
          <w:snapToGrid w:val="0"/>
          <w:color w:val="auto"/>
          <w:kern w:val="0"/>
          <w:sz w:val="24"/>
          <w:szCs w:val="22"/>
        </w:rPr>
        <w:instrText xml:space="preserve">= 3 \* ROMAN</w:instrText>
      </w:r>
      <w:r>
        <w:rPr>
          <w:snapToGrid w:val="0"/>
          <w:color w:val="auto"/>
          <w:kern w:val="0"/>
          <w:sz w:val="24"/>
          <w:szCs w:val="22"/>
        </w:rPr>
        <w:instrText xml:space="preserve"> </w:instrText>
      </w:r>
      <w:r>
        <w:rPr>
          <w:snapToGrid w:val="0"/>
          <w:color w:val="auto"/>
          <w:kern w:val="0"/>
          <w:sz w:val="24"/>
          <w:szCs w:val="22"/>
        </w:rPr>
        <w:fldChar w:fldCharType="separate"/>
      </w:r>
      <w:r>
        <w:rPr>
          <w:snapToGrid w:val="0"/>
          <w:color w:val="auto"/>
          <w:kern w:val="0"/>
          <w:sz w:val="24"/>
          <w:szCs w:val="22"/>
        </w:rPr>
        <w:t>III</w:t>
      </w:r>
      <w:r>
        <w:rPr>
          <w:snapToGrid w:val="0"/>
          <w:color w:val="auto"/>
          <w:kern w:val="0"/>
          <w:sz w:val="24"/>
          <w:szCs w:val="22"/>
        </w:rPr>
        <w:fldChar w:fldCharType="end"/>
      </w:r>
      <w:r>
        <w:rPr>
          <w:rFonts w:hint="eastAsia"/>
          <w:snapToGrid w:val="0"/>
          <w:color w:val="auto"/>
          <w:kern w:val="0"/>
          <w:sz w:val="24"/>
          <w:szCs w:val="22"/>
        </w:rPr>
        <w:t>类标准要求。</w:t>
      </w:r>
      <w:bookmarkEnd w:id="124"/>
    </w:p>
    <w:p w14:paraId="2213CC36">
      <w:pPr>
        <w:pStyle w:val="59"/>
        <w:ind w:firstLine="480"/>
        <w:rPr>
          <w:color w:val="auto"/>
        </w:rPr>
      </w:pPr>
      <w:r>
        <w:rPr>
          <w:color w:val="auto"/>
        </w:rPr>
        <w:t>4、地下水化学类型</w:t>
      </w:r>
    </w:p>
    <w:p w14:paraId="6649B766">
      <w:pPr>
        <w:pStyle w:val="59"/>
        <w:ind w:firstLine="480"/>
        <w:rPr>
          <w:color w:val="auto"/>
        </w:rPr>
      </w:pPr>
      <w:r>
        <w:rPr>
          <w:color w:val="auto"/>
        </w:rPr>
        <w:t>用舒卡列夫分类法对地下水化学类型进行评价。地下水化学类型的舒卡列夫分类是根据地下水中6种主要离子（Na</w:t>
      </w:r>
      <w:r>
        <w:rPr>
          <w:color w:val="auto"/>
          <w:vertAlign w:val="superscript"/>
        </w:rPr>
        <w:t>+</w:t>
      </w:r>
      <w:r>
        <w:rPr>
          <w:color w:val="auto"/>
        </w:rPr>
        <w:t>、Ca</w:t>
      </w:r>
      <w:r>
        <w:rPr>
          <w:color w:val="auto"/>
          <w:vertAlign w:val="superscript"/>
        </w:rPr>
        <w:t>2+</w:t>
      </w:r>
      <w:r>
        <w:rPr>
          <w:color w:val="auto"/>
        </w:rPr>
        <w:t>、Mg</w:t>
      </w:r>
      <w:r>
        <w:rPr>
          <w:color w:val="auto"/>
          <w:vertAlign w:val="superscript"/>
        </w:rPr>
        <w:t>2+</w:t>
      </w:r>
      <w:r>
        <w:rPr>
          <w:color w:val="auto"/>
        </w:rPr>
        <w:t>、HCO</w:t>
      </w:r>
      <w:r>
        <w:rPr>
          <w:color w:val="auto"/>
          <w:vertAlign w:val="subscript"/>
        </w:rPr>
        <w:t>3</w:t>
      </w:r>
      <w:r>
        <w:rPr>
          <w:color w:val="auto"/>
          <w:vertAlign w:val="superscript"/>
        </w:rPr>
        <w:t>-</w:t>
      </w:r>
      <w:r>
        <w:rPr>
          <w:color w:val="auto"/>
        </w:rPr>
        <w:t>、SO</w:t>
      </w:r>
      <w:r>
        <w:rPr>
          <w:color w:val="auto"/>
          <w:vertAlign w:val="subscript"/>
        </w:rPr>
        <w:t>4</w:t>
      </w:r>
      <w:r>
        <w:rPr>
          <w:color w:val="auto"/>
          <w:vertAlign w:val="superscript"/>
        </w:rPr>
        <w:t>2-</w:t>
      </w:r>
      <w:r>
        <w:rPr>
          <w:color w:val="auto"/>
        </w:rPr>
        <w:t>、Cl</w:t>
      </w:r>
      <w:r>
        <w:rPr>
          <w:color w:val="auto"/>
          <w:vertAlign w:val="superscript"/>
        </w:rPr>
        <w:t>-</w:t>
      </w:r>
      <w:r>
        <w:rPr>
          <w:color w:val="auto"/>
        </w:rPr>
        <w:t>，K</w:t>
      </w:r>
      <w:r>
        <w:rPr>
          <w:color w:val="auto"/>
          <w:vertAlign w:val="superscript"/>
        </w:rPr>
        <w:t>+</w:t>
      </w:r>
      <w:r>
        <w:rPr>
          <w:color w:val="auto"/>
        </w:rPr>
        <w:t>合并于Na</w:t>
      </w:r>
      <w:r>
        <w:rPr>
          <w:color w:val="auto"/>
          <w:vertAlign w:val="superscript"/>
        </w:rPr>
        <w:t>+</w:t>
      </w:r>
      <w:r>
        <w:rPr>
          <w:color w:val="auto"/>
        </w:rPr>
        <w:t>）。具体步骤如下：</w:t>
      </w:r>
    </w:p>
    <w:p w14:paraId="2E781EA9">
      <w:pPr>
        <w:pStyle w:val="59"/>
        <w:ind w:firstLine="480"/>
        <w:rPr>
          <w:color w:val="auto"/>
        </w:rPr>
      </w:pPr>
      <w:r>
        <w:rPr>
          <w:color w:val="auto"/>
        </w:rPr>
        <w:t>第一步，根据水质分析结果，将6种主要离子中含量大于25</w:t>
      </w:r>
      <w:r>
        <w:rPr>
          <w:rFonts w:hint="eastAsia"/>
          <w:color w:val="auto"/>
        </w:rPr>
        <w:t>%</w:t>
      </w:r>
      <w:r>
        <w:rPr>
          <w:color w:val="auto"/>
        </w:rPr>
        <w:t>毫克当量的阴离子和阳离子进行组合，可组合出49型水，并将每型用一个阿拉伯数字作为代号。</w:t>
      </w:r>
    </w:p>
    <w:p w14:paraId="3618DA27">
      <w:pPr>
        <w:pStyle w:val="76"/>
        <w:rPr>
          <w:color w:val="auto"/>
        </w:rPr>
      </w:pPr>
      <w:r>
        <w:rPr>
          <w:color w:val="auto"/>
        </w:rPr>
        <w:t>表4-2-9舒卡列夫分类土表</w:t>
      </w:r>
    </w:p>
    <w:tbl>
      <w:tblPr>
        <w:tblStyle w:val="45"/>
        <w:tblW w:w="4942"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94"/>
        <w:gridCol w:w="822"/>
        <w:gridCol w:w="1189"/>
        <w:gridCol w:w="1162"/>
        <w:gridCol w:w="1051"/>
        <w:gridCol w:w="975"/>
        <w:gridCol w:w="1064"/>
        <w:gridCol w:w="1063"/>
      </w:tblGrid>
      <w:tr w14:paraId="416DA5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886" w:type="pct"/>
            <w:vAlign w:val="center"/>
          </w:tcPr>
          <w:p w14:paraId="637D8DCA">
            <w:pPr>
              <w:autoSpaceDE w:val="0"/>
              <w:autoSpaceDN w:val="0"/>
              <w:jc w:val="center"/>
              <w:rPr>
                <w:rFonts w:hAnsi="宋体"/>
                <w:color w:val="auto"/>
                <w:szCs w:val="21"/>
                <w:lang w:val="zh-CN"/>
              </w:rPr>
            </w:pPr>
            <w:r>
              <w:rPr>
                <w:rFonts w:hint="eastAsia" w:hAnsi="宋体"/>
                <w:color w:val="auto"/>
                <w:szCs w:val="21"/>
                <w:lang w:val="zh-CN"/>
              </w:rPr>
              <w:t>超过</w:t>
            </w:r>
            <w:r>
              <w:rPr>
                <w:rFonts w:hAnsi="宋体"/>
                <w:color w:val="auto"/>
                <w:szCs w:val="21"/>
                <w:lang w:val="zh-CN"/>
              </w:rPr>
              <w:t>25%</w:t>
            </w:r>
            <w:r>
              <w:rPr>
                <w:rFonts w:hint="eastAsia" w:hAnsi="宋体"/>
                <w:color w:val="auto"/>
                <w:szCs w:val="21"/>
                <w:lang w:val="zh-CN"/>
              </w:rPr>
              <w:t>毫克当量的离子</w:t>
            </w:r>
          </w:p>
        </w:tc>
        <w:tc>
          <w:tcPr>
            <w:tcW w:w="457" w:type="pct"/>
            <w:vAlign w:val="center"/>
          </w:tcPr>
          <w:p w14:paraId="48DDCBA7">
            <w:pPr>
              <w:autoSpaceDE w:val="0"/>
              <w:autoSpaceDN w:val="0"/>
              <w:jc w:val="center"/>
              <w:rPr>
                <w:rFonts w:hAnsi="宋体"/>
                <w:color w:val="auto"/>
                <w:szCs w:val="21"/>
                <w:lang w:val="zh-CN"/>
              </w:rPr>
            </w:pPr>
            <w:r>
              <w:rPr>
                <w:rFonts w:hAnsi="宋体"/>
                <w:color w:val="auto"/>
                <w:szCs w:val="21"/>
                <w:lang w:val="zh-CN"/>
              </w:rPr>
              <w:t>HCO</w:t>
            </w:r>
            <w:r>
              <w:rPr>
                <w:rFonts w:hAnsi="宋体"/>
                <w:color w:val="auto"/>
                <w:szCs w:val="21"/>
                <w:vertAlign w:val="subscript"/>
                <w:lang w:val="zh-CN"/>
              </w:rPr>
              <w:t>3</w:t>
            </w:r>
            <w:r>
              <w:rPr>
                <w:rFonts w:hAnsi="宋体"/>
                <w:color w:val="auto"/>
                <w:szCs w:val="21"/>
                <w:vertAlign w:val="superscript"/>
                <w:lang w:val="zh-CN"/>
              </w:rPr>
              <w:t>-</w:t>
            </w:r>
          </w:p>
        </w:tc>
        <w:tc>
          <w:tcPr>
            <w:tcW w:w="661" w:type="pct"/>
            <w:vAlign w:val="center"/>
          </w:tcPr>
          <w:p w14:paraId="77794DB6">
            <w:pPr>
              <w:autoSpaceDE w:val="0"/>
              <w:autoSpaceDN w:val="0"/>
              <w:jc w:val="center"/>
              <w:rPr>
                <w:rFonts w:hAnsi="宋体"/>
                <w:color w:val="auto"/>
                <w:szCs w:val="21"/>
                <w:lang w:val="zh-CN"/>
              </w:rPr>
            </w:pPr>
            <w:r>
              <w:rPr>
                <w:rFonts w:hAnsi="宋体"/>
                <w:color w:val="auto"/>
                <w:szCs w:val="21"/>
                <w:lang w:val="zh-CN"/>
              </w:rPr>
              <w:t>HCO</w:t>
            </w:r>
            <w:r>
              <w:rPr>
                <w:rFonts w:hAnsi="宋体"/>
                <w:color w:val="auto"/>
                <w:szCs w:val="21"/>
                <w:vertAlign w:val="subscript"/>
                <w:lang w:val="zh-CN"/>
              </w:rPr>
              <w:t>3</w:t>
            </w:r>
            <w:r>
              <w:rPr>
                <w:rFonts w:hAnsi="宋体"/>
                <w:color w:val="auto"/>
                <w:szCs w:val="21"/>
                <w:vertAlign w:val="superscript"/>
                <w:lang w:val="zh-CN"/>
              </w:rPr>
              <w:t>-</w:t>
            </w:r>
            <w:r>
              <w:rPr>
                <w:rFonts w:hAnsi="宋体"/>
                <w:color w:val="auto"/>
                <w:szCs w:val="21"/>
                <w:lang w:val="zh-CN"/>
              </w:rPr>
              <w:t>- SO</w:t>
            </w:r>
            <w:r>
              <w:rPr>
                <w:rFonts w:hAnsi="宋体"/>
                <w:color w:val="auto"/>
                <w:szCs w:val="21"/>
                <w:vertAlign w:val="subscript"/>
                <w:lang w:val="zh-CN"/>
              </w:rPr>
              <w:t>4</w:t>
            </w:r>
            <w:r>
              <w:rPr>
                <w:rFonts w:hAnsi="宋体"/>
                <w:color w:val="auto"/>
                <w:szCs w:val="21"/>
                <w:vertAlign w:val="superscript"/>
                <w:lang w:val="zh-CN"/>
              </w:rPr>
              <w:t>2-</w:t>
            </w:r>
          </w:p>
        </w:tc>
        <w:tc>
          <w:tcPr>
            <w:tcW w:w="646" w:type="pct"/>
            <w:vAlign w:val="center"/>
          </w:tcPr>
          <w:p w14:paraId="0AC5268E">
            <w:pPr>
              <w:autoSpaceDE w:val="0"/>
              <w:autoSpaceDN w:val="0"/>
              <w:jc w:val="center"/>
              <w:rPr>
                <w:rFonts w:hAnsi="宋体"/>
                <w:color w:val="auto"/>
                <w:szCs w:val="21"/>
                <w:lang w:val="zh-CN"/>
              </w:rPr>
            </w:pPr>
            <w:r>
              <w:rPr>
                <w:rFonts w:hAnsi="宋体"/>
                <w:color w:val="auto"/>
                <w:szCs w:val="21"/>
                <w:lang w:val="zh-CN"/>
              </w:rPr>
              <w:t>HCO</w:t>
            </w:r>
            <w:r>
              <w:rPr>
                <w:rFonts w:hAnsi="宋体"/>
                <w:color w:val="auto"/>
                <w:szCs w:val="21"/>
                <w:vertAlign w:val="subscript"/>
                <w:lang w:val="zh-CN"/>
              </w:rPr>
              <w:t>3</w:t>
            </w:r>
            <w:r>
              <w:rPr>
                <w:rFonts w:hAnsi="宋体"/>
                <w:color w:val="auto"/>
                <w:szCs w:val="21"/>
                <w:vertAlign w:val="superscript"/>
                <w:lang w:val="zh-CN"/>
              </w:rPr>
              <w:t>-</w:t>
            </w:r>
            <w:r>
              <w:rPr>
                <w:rFonts w:hAnsi="宋体"/>
                <w:color w:val="auto"/>
                <w:szCs w:val="21"/>
                <w:lang w:val="zh-CN"/>
              </w:rPr>
              <w:t>- SO</w:t>
            </w:r>
            <w:r>
              <w:rPr>
                <w:rFonts w:hAnsi="宋体"/>
                <w:color w:val="auto"/>
                <w:szCs w:val="21"/>
                <w:vertAlign w:val="subscript"/>
                <w:lang w:val="zh-CN"/>
              </w:rPr>
              <w:t>4</w:t>
            </w:r>
            <w:r>
              <w:rPr>
                <w:rFonts w:hAnsi="宋体"/>
                <w:color w:val="auto"/>
                <w:szCs w:val="21"/>
                <w:vertAlign w:val="superscript"/>
                <w:lang w:val="zh-CN"/>
              </w:rPr>
              <w:t>2-</w:t>
            </w:r>
            <w:r>
              <w:rPr>
                <w:rFonts w:hAnsi="宋体"/>
                <w:color w:val="auto"/>
                <w:szCs w:val="21"/>
                <w:lang w:val="zh-CN"/>
              </w:rPr>
              <w:t>- Cl</w:t>
            </w:r>
            <w:r>
              <w:rPr>
                <w:rFonts w:hAnsi="宋体"/>
                <w:color w:val="auto"/>
                <w:szCs w:val="21"/>
                <w:vertAlign w:val="superscript"/>
                <w:lang w:val="zh-CN"/>
              </w:rPr>
              <w:t>-</w:t>
            </w:r>
          </w:p>
        </w:tc>
        <w:tc>
          <w:tcPr>
            <w:tcW w:w="584" w:type="pct"/>
            <w:vAlign w:val="center"/>
          </w:tcPr>
          <w:p w14:paraId="1E725440">
            <w:pPr>
              <w:autoSpaceDE w:val="0"/>
              <w:autoSpaceDN w:val="0"/>
              <w:jc w:val="center"/>
              <w:rPr>
                <w:rFonts w:hAnsi="宋体"/>
                <w:color w:val="auto"/>
                <w:szCs w:val="21"/>
                <w:lang w:val="zh-CN"/>
              </w:rPr>
            </w:pPr>
            <w:r>
              <w:rPr>
                <w:rFonts w:hAnsi="宋体"/>
                <w:color w:val="auto"/>
                <w:szCs w:val="21"/>
                <w:lang w:val="zh-CN"/>
              </w:rPr>
              <w:t>HCO</w:t>
            </w:r>
            <w:r>
              <w:rPr>
                <w:rFonts w:hAnsi="宋体"/>
                <w:color w:val="auto"/>
                <w:szCs w:val="21"/>
                <w:vertAlign w:val="subscript"/>
                <w:lang w:val="zh-CN"/>
              </w:rPr>
              <w:t>3</w:t>
            </w:r>
            <w:r>
              <w:rPr>
                <w:rFonts w:hAnsi="宋体"/>
                <w:color w:val="auto"/>
                <w:szCs w:val="21"/>
                <w:vertAlign w:val="superscript"/>
                <w:lang w:val="zh-CN"/>
              </w:rPr>
              <w:t>-</w:t>
            </w:r>
            <w:r>
              <w:rPr>
                <w:rFonts w:hAnsi="宋体"/>
                <w:color w:val="auto"/>
                <w:szCs w:val="21"/>
                <w:lang w:val="zh-CN"/>
              </w:rPr>
              <w:t>- Cl</w:t>
            </w:r>
            <w:r>
              <w:rPr>
                <w:rFonts w:hAnsi="宋体"/>
                <w:color w:val="auto"/>
                <w:szCs w:val="21"/>
                <w:vertAlign w:val="superscript"/>
                <w:lang w:val="zh-CN"/>
              </w:rPr>
              <w:t>-</w:t>
            </w:r>
          </w:p>
        </w:tc>
        <w:tc>
          <w:tcPr>
            <w:tcW w:w="542" w:type="pct"/>
            <w:vAlign w:val="center"/>
          </w:tcPr>
          <w:p w14:paraId="65F7E0F8">
            <w:pPr>
              <w:autoSpaceDE w:val="0"/>
              <w:autoSpaceDN w:val="0"/>
              <w:jc w:val="center"/>
              <w:rPr>
                <w:rFonts w:hAnsi="宋体"/>
                <w:color w:val="auto"/>
                <w:szCs w:val="21"/>
                <w:lang w:val="zh-CN"/>
              </w:rPr>
            </w:pPr>
            <w:r>
              <w:rPr>
                <w:rFonts w:hAnsi="宋体"/>
                <w:color w:val="auto"/>
                <w:szCs w:val="21"/>
                <w:lang w:val="zh-CN"/>
              </w:rPr>
              <w:t>SO</w:t>
            </w:r>
            <w:r>
              <w:rPr>
                <w:rFonts w:hAnsi="宋体"/>
                <w:color w:val="auto"/>
                <w:szCs w:val="21"/>
                <w:vertAlign w:val="subscript"/>
                <w:lang w:val="zh-CN"/>
              </w:rPr>
              <w:t>4</w:t>
            </w:r>
            <w:r>
              <w:rPr>
                <w:rFonts w:hAnsi="宋体"/>
                <w:color w:val="auto"/>
                <w:szCs w:val="21"/>
                <w:vertAlign w:val="superscript"/>
                <w:lang w:val="zh-CN"/>
              </w:rPr>
              <w:t>2-</w:t>
            </w:r>
          </w:p>
        </w:tc>
        <w:tc>
          <w:tcPr>
            <w:tcW w:w="591" w:type="pct"/>
            <w:vAlign w:val="center"/>
          </w:tcPr>
          <w:p w14:paraId="36F15A1C">
            <w:pPr>
              <w:autoSpaceDE w:val="0"/>
              <w:autoSpaceDN w:val="0"/>
              <w:jc w:val="center"/>
              <w:rPr>
                <w:rFonts w:hAnsi="宋体"/>
                <w:color w:val="auto"/>
                <w:szCs w:val="21"/>
                <w:lang w:val="zh-CN"/>
              </w:rPr>
            </w:pPr>
            <w:r>
              <w:rPr>
                <w:rFonts w:hAnsi="宋体"/>
                <w:color w:val="auto"/>
                <w:szCs w:val="21"/>
                <w:lang w:val="zh-CN"/>
              </w:rPr>
              <w:t>SO</w:t>
            </w:r>
            <w:r>
              <w:rPr>
                <w:rFonts w:hAnsi="宋体"/>
                <w:color w:val="auto"/>
                <w:szCs w:val="21"/>
                <w:vertAlign w:val="subscript"/>
                <w:lang w:val="zh-CN"/>
              </w:rPr>
              <w:t>4</w:t>
            </w:r>
            <w:r>
              <w:rPr>
                <w:rFonts w:hAnsi="宋体"/>
                <w:color w:val="auto"/>
                <w:szCs w:val="21"/>
                <w:vertAlign w:val="superscript"/>
                <w:lang w:val="zh-CN"/>
              </w:rPr>
              <w:t>2-</w:t>
            </w:r>
            <w:r>
              <w:rPr>
                <w:rFonts w:hAnsi="宋体"/>
                <w:color w:val="auto"/>
                <w:szCs w:val="21"/>
                <w:lang w:val="zh-CN"/>
              </w:rPr>
              <w:t>- Cl</w:t>
            </w:r>
            <w:r>
              <w:rPr>
                <w:rFonts w:hAnsi="宋体"/>
                <w:color w:val="auto"/>
                <w:szCs w:val="21"/>
                <w:vertAlign w:val="superscript"/>
                <w:lang w:val="zh-CN"/>
              </w:rPr>
              <w:t>-</w:t>
            </w:r>
          </w:p>
        </w:tc>
        <w:tc>
          <w:tcPr>
            <w:tcW w:w="590" w:type="pct"/>
            <w:vAlign w:val="center"/>
          </w:tcPr>
          <w:p w14:paraId="47D6BA5E">
            <w:pPr>
              <w:autoSpaceDE w:val="0"/>
              <w:autoSpaceDN w:val="0"/>
              <w:jc w:val="center"/>
              <w:rPr>
                <w:rFonts w:hAnsi="宋体"/>
                <w:color w:val="auto"/>
                <w:szCs w:val="21"/>
                <w:lang w:val="zh-CN"/>
              </w:rPr>
            </w:pPr>
            <w:r>
              <w:rPr>
                <w:rFonts w:hAnsi="宋体"/>
                <w:color w:val="auto"/>
                <w:szCs w:val="21"/>
                <w:lang w:val="zh-CN"/>
              </w:rPr>
              <w:t>Cl</w:t>
            </w:r>
            <w:r>
              <w:rPr>
                <w:rFonts w:hAnsi="宋体"/>
                <w:color w:val="auto"/>
                <w:szCs w:val="21"/>
                <w:vertAlign w:val="superscript"/>
                <w:lang w:val="zh-CN"/>
              </w:rPr>
              <w:t>-</w:t>
            </w:r>
          </w:p>
        </w:tc>
      </w:tr>
      <w:tr w14:paraId="2ABD1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4CDB5C8A">
            <w:pPr>
              <w:autoSpaceDE w:val="0"/>
              <w:autoSpaceDN w:val="0"/>
              <w:jc w:val="center"/>
              <w:rPr>
                <w:rFonts w:hAnsi="宋体"/>
                <w:color w:val="auto"/>
                <w:szCs w:val="21"/>
                <w:lang w:val="zh-CN"/>
              </w:rPr>
            </w:pPr>
            <w:r>
              <w:rPr>
                <w:rFonts w:hAnsi="宋体"/>
                <w:color w:val="auto"/>
                <w:szCs w:val="21"/>
                <w:lang w:val="zh-CN"/>
              </w:rPr>
              <w:t>Ca</w:t>
            </w:r>
            <w:r>
              <w:rPr>
                <w:rFonts w:hAnsi="宋体"/>
                <w:color w:val="auto"/>
                <w:szCs w:val="21"/>
                <w:vertAlign w:val="superscript"/>
                <w:lang w:val="zh-CN"/>
              </w:rPr>
              <w:t>2+</w:t>
            </w:r>
          </w:p>
        </w:tc>
        <w:tc>
          <w:tcPr>
            <w:tcW w:w="457" w:type="pct"/>
            <w:vAlign w:val="center"/>
          </w:tcPr>
          <w:p w14:paraId="6BDA7CBD">
            <w:pPr>
              <w:autoSpaceDE w:val="0"/>
              <w:autoSpaceDN w:val="0"/>
              <w:jc w:val="center"/>
              <w:rPr>
                <w:rFonts w:hAnsi="宋体"/>
                <w:color w:val="auto"/>
                <w:szCs w:val="21"/>
                <w:lang w:val="zh-CN"/>
              </w:rPr>
            </w:pPr>
            <w:r>
              <w:rPr>
                <w:rFonts w:hAnsi="宋体"/>
                <w:color w:val="auto"/>
                <w:szCs w:val="21"/>
                <w:lang w:val="zh-CN"/>
              </w:rPr>
              <w:t>1</w:t>
            </w:r>
          </w:p>
        </w:tc>
        <w:tc>
          <w:tcPr>
            <w:tcW w:w="661" w:type="pct"/>
            <w:vAlign w:val="center"/>
          </w:tcPr>
          <w:p w14:paraId="51E6E675">
            <w:pPr>
              <w:autoSpaceDE w:val="0"/>
              <w:autoSpaceDN w:val="0"/>
              <w:jc w:val="center"/>
              <w:rPr>
                <w:rFonts w:hAnsi="宋体"/>
                <w:color w:val="auto"/>
                <w:szCs w:val="21"/>
                <w:lang w:val="zh-CN"/>
              </w:rPr>
            </w:pPr>
            <w:r>
              <w:rPr>
                <w:rFonts w:hAnsi="宋体"/>
                <w:color w:val="auto"/>
                <w:szCs w:val="21"/>
                <w:lang w:val="zh-CN"/>
              </w:rPr>
              <w:t>8</w:t>
            </w:r>
          </w:p>
        </w:tc>
        <w:tc>
          <w:tcPr>
            <w:tcW w:w="646" w:type="pct"/>
            <w:vAlign w:val="center"/>
          </w:tcPr>
          <w:p w14:paraId="686B1674">
            <w:pPr>
              <w:autoSpaceDE w:val="0"/>
              <w:autoSpaceDN w:val="0"/>
              <w:jc w:val="center"/>
              <w:rPr>
                <w:rFonts w:hAnsi="宋体"/>
                <w:color w:val="auto"/>
                <w:szCs w:val="21"/>
                <w:lang w:val="zh-CN"/>
              </w:rPr>
            </w:pPr>
            <w:r>
              <w:rPr>
                <w:rFonts w:hAnsi="宋体"/>
                <w:color w:val="auto"/>
                <w:szCs w:val="21"/>
                <w:lang w:val="zh-CN"/>
              </w:rPr>
              <w:t>15</w:t>
            </w:r>
          </w:p>
        </w:tc>
        <w:tc>
          <w:tcPr>
            <w:tcW w:w="584" w:type="pct"/>
            <w:vAlign w:val="center"/>
          </w:tcPr>
          <w:p w14:paraId="0A0537BB">
            <w:pPr>
              <w:autoSpaceDE w:val="0"/>
              <w:autoSpaceDN w:val="0"/>
              <w:jc w:val="center"/>
              <w:rPr>
                <w:rFonts w:hAnsi="宋体"/>
                <w:color w:val="auto"/>
                <w:szCs w:val="21"/>
                <w:lang w:val="zh-CN"/>
              </w:rPr>
            </w:pPr>
            <w:r>
              <w:rPr>
                <w:rFonts w:hAnsi="宋体"/>
                <w:color w:val="auto"/>
                <w:szCs w:val="21"/>
                <w:lang w:val="zh-CN"/>
              </w:rPr>
              <w:t>22</w:t>
            </w:r>
          </w:p>
        </w:tc>
        <w:tc>
          <w:tcPr>
            <w:tcW w:w="542" w:type="pct"/>
            <w:vAlign w:val="center"/>
          </w:tcPr>
          <w:p w14:paraId="1D5F54CD">
            <w:pPr>
              <w:autoSpaceDE w:val="0"/>
              <w:autoSpaceDN w:val="0"/>
              <w:jc w:val="center"/>
              <w:rPr>
                <w:rFonts w:hAnsi="宋体"/>
                <w:color w:val="auto"/>
                <w:szCs w:val="21"/>
                <w:lang w:val="zh-CN"/>
              </w:rPr>
            </w:pPr>
            <w:r>
              <w:rPr>
                <w:rFonts w:hAnsi="宋体"/>
                <w:color w:val="auto"/>
                <w:szCs w:val="21"/>
                <w:lang w:val="zh-CN"/>
              </w:rPr>
              <w:t>29</w:t>
            </w:r>
          </w:p>
        </w:tc>
        <w:tc>
          <w:tcPr>
            <w:tcW w:w="591" w:type="pct"/>
            <w:vAlign w:val="center"/>
          </w:tcPr>
          <w:p w14:paraId="4D1CBAFD">
            <w:pPr>
              <w:autoSpaceDE w:val="0"/>
              <w:autoSpaceDN w:val="0"/>
              <w:jc w:val="center"/>
              <w:rPr>
                <w:rFonts w:hAnsi="宋体"/>
                <w:color w:val="auto"/>
                <w:szCs w:val="21"/>
                <w:lang w:val="zh-CN"/>
              </w:rPr>
            </w:pPr>
            <w:r>
              <w:rPr>
                <w:rFonts w:hAnsi="宋体"/>
                <w:color w:val="auto"/>
                <w:szCs w:val="21"/>
                <w:lang w:val="zh-CN"/>
              </w:rPr>
              <w:t>36</w:t>
            </w:r>
          </w:p>
        </w:tc>
        <w:tc>
          <w:tcPr>
            <w:tcW w:w="590" w:type="pct"/>
            <w:vAlign w:val="center"/>
          </w:tcPr>
          <w:p w14:paraId="0A8E0A60">
            <w:pPr>
              <w:autoSpaceDE w:val="0"/>
              <w:autoSpaceDN w:val="0"/>
              <w:jc w:val="center"/>
              <w:rPr>
                <w:rFonts w:hAnsi="宋体"/>
                <w:color w:val="auto"/>
                <w:szCs w:val="21"/>
                <w:lang w:val="zh-CN"/>
              </w:rPr>
            </w:pPr>
            <w:r>
              <w:rPr>
                <w:rFonts w:hAnsi="宋体"/>
                <w:color w:val="auto"/>
                <w:szCs w:val="21"/>
                <w:lang w:val="zh-CN"/>
              </w:rPr>
              <w:t>43</w:t>
            </w:r>
          </w:p>
        </w:tc>
      </w:tr>
      <w:tr w14:paraId="2816B9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366318F1">
            <w:pPr>
              <w:autoSpaceDE w:val="0"/>
              <w:autoSpaceDN w:val="0"/>
              <w:jc w:val="center"/>
              <w:rPr>
                <w:rFonts w:hAnsi="宋体"/>
                <w:color w:val="auto"/>
                <w:szCs w:val="21"/>
                <w:lang w:val="zh-CN"/>
              </w:rPr>
            </w:pPr>
            <w:r>
              <w:rPr>
                <w:rFonts w:hAnsi="宋体"/>
                <w:color w:val="auto"/>
                <w:szCs w:val="21"/>
                <w:lang w:val="zh-CN"/>
              </w:rPr>
              <w:t>Ca</w:t>
            </w:r>
            <w:r>
              <w:rPr>
                <w:rFonts w:hAnsi="宋体"/>
                <w:color w:val="auto"/>
                <w:szCs w:val="21"/>
                <w:vertAlign w:val="superscript"/>
                <w:lang w:val="zh-CN"/>
              </w:rPr>
              <w:t>2+</w:t>
            </w:r>
            <w:r>
              <w:rPr>
                <w:rFonts w:hAnsi="宋体"/>
                <w:color w:val="auto"/>
                <w:szCs w:val="21"/>
                <w:lang w:val="zh-CN"/>
              </w:rPr>
              <w:t>-Mg</w:t>
            </w:r>
            <w:r>
              <w:rPr>
                <w:rFonts w:hAnsi="宋体"/>
                <w:color w:val="auto"/>
                <w:szCs w:val="21"/>
                <w:vertAlign w:val="superscript"/>
                <w:lang w:val="zh-CN"/>
              </w:rPr>
              <w:t>2+</w:t>
            </w:r>
          </w:p>
        </w:tc>
        <w:tc>
          <w:tcPr>
            <w:tcW w:w="457" w:type="pct"/>
            <w:vAlign w:val="center"/>
          </w:tcPr>
          <w:p w14:paraId="17C51ACD">
            <w:pPr>
              <w:autoSpaceDE w:val="0"/>
              <w:autoSpaceDN w:val="0"/>
              <w:jc w:val="center"/>
              <w:rPr>
                <w:rFonts w:hAnsi="宋体"/>
                <w:color w:val="auto"/>
                <w:szCs w:val="21"/>
                <w:lang w:val="zh-CN"/>
              </w:rPr>
            </w:pPr>
            <w:r>
              <w:rPr>
                <w:rFonts w:hAnsi="宋体"/>
                <w:color w:val="auto"/>
                <w:szCs w:val="21"/>
                <w:lang w:val="zh-CN"/>
              </w:rPr>
              <w:t>2</w:t>
            </w:r>
          </w:p>
        </w:tc>
        <w:tc>
          <w:tcPr>
            <w:tcW w:w="661" w:type="pct"/>
            <w:vAlign w:val="center"/>
          </w:tcPr>
          <w:p w14:paraId="7F6A2DE2">
            <w:pPr>
              <w:autoSpaceDE w:val="0"/>
              <w:autoSpaceDN w:val="0"/>
              <w:jc w:val="center"/>
              <w:rPr>
                <w:rFonts w:hAnsi="宋体"/>
                <w:color w:val="auto"/>
                <w:szCs w:val="21"/>
                <w:lang w:val="zh-CN"/>
              </w:rPr>
            </w:pPr>
            <w:r>
              <w:rPr>
                <w:rFonts w:hAnsi="宋体"/>
                <w:color w:val="auto"/>
                <w:szCs w:val="21"/>
                <w:lang w:val="zh-CN"/>
              </w:rPr>
              <w:t>9</w:t>
            </w:r>
          </w:p>
        </w:tc>
        <w:tc>
          <w:tcPr>
            <w:tcW w:w="646" w:type="pct"/>
            <w:vAlign w:val="center"/>
          </w:tcPr>
          <w:p w14:paraId="292AEE39">
            <w:pPr>
              <w:autoSpaceDE w:val="0"/>
              <w:autoSpaceDN w:val="0"/>
              <w:jc w:val="center"/>
              <w:rPr>
                <w:rFonts w:hAnsi="宋体"/>
                <w:color w:val="auto"/>
                <w:szCs w:val="21"/>
                <w:lang w:val="zh-CN"/>
              </w:rPr>
            </w:pPr>
            <w:r>
              <w:rPr>
                <w:rFonts w:hAnsi="宋体"/>
                <w:color w:val="auto"/>
                <w:szCs w:val="21"/>
                <w:lang w:val="zh-CN"/>
              </w:rPr>
              <w:t>16</w:t>
            </w:r>
          </w:p>
        </w:tc>
        <w:tc>
          <w:tcPr>
            <w:tcW w:w="584" w:type="pct"/>
            <w:vAlign w:val="center"/>
          </w:tcPr>
          <w:p w14:paraId="454DD701">
            <w:pPr>
              <w:autoSpaceDE w:val="0"/>
              <w:autoSpaceDN w:val="0"/>
              <w:jc w:val="center"/>
              <w:rPr>
                <w:rFonts w:hAnsi="宋体"/>
                <w:color w:val="auto"/>
                <w:szCs w:val="21"/>
                <w:lang w:val="zh-CN"/>
              </w:rPr>
            </w:pPr>
            <w:r>
              <w:rPr>
                <w:rFonts w:hAnsi="宋体"/>
                <w:color w:val="auto"/>
                <w:szCs w:val="21"/>
                <w:lang w:val="zh-CN"/>
              </w:rPr>
              <w:t>23</w:t>
            </w:r>
          </w:p>
        </w:tc>
        <w:tc>
          <w:tcPr>
            <w:tcW w:w="542" w:type="pct"/>
            <w:vAlign w:val="center"/>
          </w:tcPr>
          <w:p w14:paraId="2304B7A2">
            <w:pPr>
              <w:autoSpaceDE w:val="0"/>
              <w:autoSpaceDN w:val="0"/>
              <w:jc w:val="center"/>
              <w:rPr>
                <w:rFonts w:hAnsi="宋体"/>
                <w:color w:val="auto"/>
                <w:szCs w:val="21"/>
                <w:lang w:val="zh-CN"/>
              </w:rPr>
            </w:pPr>
            <w:r>
              <w:rPr>
                <w:rFonts w:hAnsi="宋体"/>
                <w:color w:val="auto"/>
                <w:szCs w:val="21"/>
                <w:lang w:val="zh-CN"/>
              </w:rPr>
              <w:t>30</w:t>
            </w:r>
          </w:p>
        </w:tc>
        <w:tc>
          <w:tcPr>
            <w:tcW w:w="591" w:type="pct"/>
            <w:vAlign w:val="center"/>
          </w:tcPr>
          <w:p w14:paraId="1E2845B0">
            <w:pPr>
              <w:autoSpaceDE w:val="0"/>
              <w:autoSpaceDN w:val="0"/>
              <w:jc w:val="center"/>
              <w:rPr>
                <w:rFonts w:hAnsi="宋体"/>
                <w:color w:val="auto"/>
                <w:szCs w:val="21"/>
                <w:lang w:val="zh-CN"/>
              </w:rPr>
            </w:pPr>
            <w:r>
              <w:rPr>
                <w:rFonts w:hAnsi="宋体"/>
                <w:color w:val="auto"/>
                <w:szCs w:val="21"/>
                <w:lang w:val="zh-CN"/>
              </w:rPr>
              <w:t>37</w:t>
            </w:r>
          </w:p>
        </w:tc>
        <w:tc>
          <w:tcPr>
            <w:tcW w:w="590" w:type="pct"/>
            <w:vAlign w:val="center"/>
          </w:tcPr>
          <w:p w14:paraId="3FC7AD98">
            <w:pPr>
              <w:autoSpaceDE w:val="0"/>
              <w:autoSpaceDN w:val="0"/>
              <w:jc w:val="center"/>
              <w:rPr>
                <w:rFonts w:hAnsi="宋体"/>
                <w:color w:val="auto"/>
                <w:szCs w:val="21"/>
                <w:lang w:val="zh-CN"/>
              </w:rPr>
            </w:pPr>
            <w:r>
              <w:rPr>
                <w:rFonts w:hAnsi="宋体"/>
                <w:color w:val="auto"/>
                <w:szCs w:val="21"/>
                <w:lang w:val="zh-CN"/>
              </w:rPr>
              <w:t>44</w:t>
            </w:r>
          </w:p>
        </w:tc>
      </w:tr>
      <w:tr w14:paraId="44BA1A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74B73CB5">
            <w:pPr>
              <w:autoSpaceDE w:val="0"/>
              <w:autoSpaceDN w:val="0"/>
              <w:jc w:val="center"/>
              <w:rPr>
                <w:rFonts w:hAnsi="宋体"/>
                <w:color w:val="auto"/>
                <w:szCs w:val="21"/>
                <w:lang w:val="zh-CN"/>
              </w:rPr>
            </w:pPr>
            <w:r>
              <w:rPr>
                <w:rFonts w:hAnsi="宋体"/>
                <w:color w:val="auto"/>
                <w:szCs w:val="21"/>
                <w:lang w:val="zh-CN"/>
              </w:rPr>
              <w:t>Mg</w:t>
            </w:r>
            <w:r>
              <w:rPr>
                <w:rFonts w:hAnsi="宋体"/>
                <w:color w:val="auto"/>
                <w:szCs w:val="21"/>
                <w:vertAlign w:val="superscript"/>
                <w:lang w:val="zh-CN"/>
              </w:rPr>
              <w:t>2+</w:t>
            </w:r>
          </w:p>
        </w:tc>
        <w:tc>
          <w:tcPr>
            <w:tcW w:w="457" w:type="pct"/>
            <w:vAlign w:val="center"/>
          </w:tcPr>
          <w:p w14:paraId="1B3F4914">
            <w:pPr>
              <w:autoSpaceDE w:val="0"/>
              <w:autoSpaceDN w:val="0"/>
              <w:jc w:val="center"/>
              <w:rPr>
                <w:rFonts w:hAnsi="宋体"/>
                <w:color w:val="auto"/>
                <w:szCs w:val="21"/>
                <w:lang w:val="zh-CN"/>
              </w:rPr>
            </w:pPr>
            <w:r>
              <w:rPr>
                <w:rFonts w:hAnsi="宋体"/>
                <w:color w:val="auto"/>
                <w:szCs w:val="21"/>
                <w:lang w:val="zh-CN"/>
              </w:rPr>
              <w:t>3</w:t>
            </w:r>
          </w:p>
        </w:tc>
        <w:tc>
          <w:tcPr>
            <w:tcW w:w="661" w:type="pct"/>
            <w:vAlign w:val="center"/>
          </w:tcPr>
          <w:p w14:paraId="597635A8">
            <w:pPr>
              <w:autoSpaceDE w:val="0"/>
              <w:autoSpaceDN w:val="0"/>
              <w:jc w:val="center"/>
              <w:rPr>
                <w:rFonts w:hAnsi="宋体"/>
                <w:color w:val="auto"/>
                <w:szCs w:val="21"/>
                <w:lang w:val="zh-CN"/>
              </w:rPr>
            </w:pPr>
            <w:r>
              <w:rPr>
                <w:rFonts w:hAnsi="宋体"/>
                <w:color w:val="auto"/>
                <w:szCs w:val="21"/>
                <w:lang w:val="zh-CN"/>
              </w:rPr>
              <w:t>10</w:t>
            </w:r>
          </w:p>
        </w:tc>
        <w:tc>
          <w:tcPr>
            <w:tcW w:w="646" w:type="pct"/>
            <w:vAlign w:val="center"/>
          </w:tcPr>
          <w:p w14:paraId="67C1ACE1">
            <w:pPr>
              <w:autoSpaceDE w:val="0"/>
              <w:autoSpaceDN w:val="0"/>
              <w:jc w:val="center"/>
              <w:rPr>
                <w:rFonts w:hAnsi="宋体"/>
                <w:color w:val="auto"/>
                <w:szCs w:val="21"/>
                <w:lang w:val="zh-CN"/>
              </w:rPr>
            </w:pPr>
            <w:r>
              <w:rPr>
                <w:rFonts w:hAnsi="宋体"/>
                <w:color w:val="auto"/>
                <w:szCs w:val="21"/>
                <w:lang w:val="zh-CN"/>
              </w:rPr>
              <w:t>17</w:t>
            </w:r>
          </w:p>
        </w:tc>
        <w:tc>
          <w:tcPr>
            <w:tcW w:w="584" w:type="pct"/>
            <w:vAlign w:val="center"/>
          </w:tcPr>
          <w:p w14:paraId="660BD70F">
            <w:pPr>
              <w:autoSpaceDE w:val="0"/>
              <w:autoSpaceDN w:val="0"/>
              <w:jc w:val="center"/>
              <w:rPr>
                <w:rFonts w:hAnsi="宋体"/>
                <w:color w:val="auto"/>
                <w:szCs w:val="21"/>
                <w:lang w:val="zh-CN"/>
              </w:rPr>
            </w:pPr>
            <w:r>
              <w:rPr>
                <w:rFonts w:hAnsi="宋体"/>
                <w:color w:val="auto"/>
                <w:szCs w:val="21"/>
                <w:lang w:val="zh-CN"/>
              </w:rPr>
              <w:t>24</w:t>
            </w:r>
          </w:p>
        </w:tc>
        <w:tc>
          <w:tcPr>
            <w:tcW w:w="542" w:type="pct"/>
            <w:vAlign w:val="center"/>
          </w:tcPr>
          <w:p w14:paraId="03BAB8F6">
            <w:pPr>
              <w:autoSpaceDE w:val="0"/>
              <w:autoSpaceDN w:val="0"/>
              <w:jc w:val="center"/>
              <w:rPr>
                <w:rFonts w:hAnsi="宋体"/>
                <w:color w:val="auto"/>
                <w:szCs w:val="21"/>
                <w:lang w:val="zh-CN"/>
              </w:rPr>
            </w:pPr>
            <w:r>
              <w:rPr>
                <w:rFonts w:hAnsi="宋体"/>
                <w:color w:val="auto"/>
                <w:szCs w:val="21"/>
                <w:lang w:val="zh-CN"/>
              </w:rPr>
              <w:t>31</w:t>
            </w:r>
          </w:p>
        </w:tc>
        <w:tc>
          <w:tcPr>
            <w:tcW w:w="591" w:type="pct"/>
            <w:vAlign w:val="center"/>
          </w:tcPr>
          <w:p w14:paraId="13BA97B0">
            <w:pPr>
              <w:autoSpaceDE w:val="0"/>
              <w:autoSpaceDN w:val="0"/>
              <w:jc w:val="center"/>
              <w:rPr>
                <w:rFonts w:hAnsi="宋体"/>
                <w:color w:val="auto"/>
                <w:szCs w:val="21"/>
                <w:lang w:val="zh-CN"/>
              </w:rPr>
            </w:pPr>
            <w:r>
              <w:rPr>
                <w:rFonts w:hAnsi="宋体"/>
                <w:color w:val="auto"/>
                <w:szCs w:val="21"/>
                <w:lang w:val="zh-CN"/>
              </w:rPr>
              <w:t>38</w:t>
            </w:r>
          </w:p>
        </w:tc>
        <w:tc>
          <w:tcPr>
            <w:tcW w:w="590" w:type="pct"/>
            <w:vAlign w:val="center"/>
          </w:tcPr>
          <w:p w14:paraId="69240CA5">
            <w:pPr>
              <w:autoSpaceDE w:val="0"/>
              <w:autoSpaceDN w:val="0"/>
              <w:jc w:val="center"/>
              <w:rPr>
                <w:rFonts w:hAnsi="宋体"/>
                <w:color w:val="auto"/>
                <w:szCs w:val="21"/>
                <w:lang w:val="zh-CN"/>
              </w:rPr>
            </w:pPr>
            <w:r>
              <w:rPr>
                <w:rFonts w:hAnsi="宋体"/>
                <w:color w:val="auto"/>
                <w:szCs w:val="21"/>
                <w:lang w:val="zh-CN"/>
              </w:rPr>
              <w:t>45</w:t>
            </w:r>
          </w:p>
        </w:tc>
      </w:tr>
      <w:tr w14:paraId="746342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5478D59B">
            <w:pPr>
              <w:autoSpaceDE w:val="0"/>
              <w:autoSpaceDN w:val="0"/>
              <w:jc w:val="center"/>
              <w:rPr>
                <w:rFonts w:hAnsi="宋体"/>
                <w:color w:val="auto"/>
                <w:szCs w:val="21"/>
                <w:lang w:val="zh-CN"/>
              </w:rPr>
            </w:pPr>
            <w:r>
              <w:rPr>
                <w:rFonts w:hAnsi="宋体"/>
                <w:color w:val="auto"/>
                <w:szCs w:val="21"/>
                <w:lang w:val="zh-CN"/>
              </w:rPr>
              <w:t>Na</w:t>
            </w:r>
            <w:r>
              <w:rPr>
                <w:rFonts w:hAnsi="宋体"/>
                <w:color w:val="auto"/>
                <w:szCs w:val="21"/>
                <w:vertAlign w:val="superscript"/>
                <w:lang w:val="zh-CN"/>
              </w:rPr>
              <w:t>+</w:t>
            </w:r>
            <w:r>
              <w:rPr>
                <w:rFonts w:hAnsi="宋体"/>
                <w:color w:val="auto"/>
                <w:szCs w:val="21"/>
                <w:lang w:val="zh-CN"/>
              </w:rPr>
              <w:t>-Ca</w:t>
            </w:r>
            <w:r>
              <w:rPr>
                <w:rFonts w:hAnsi="宋体"/>
                <w:color w:val="auto"/>
                <w:szCs w:val="21"/>
                <w:vertAlign w:val="superscript"/>
                <w:lang w:val="zh-CN"/>
              </w:rPr>
              <w:t>2+</w:t>
            </w:r>
          </w:p>
        </w:tc>
        <w:tc>
          <w:tcPr>
            <w:tcW w:w="457" w:type="pct"/>
            <w:vAlign w:val="center"/>
          </w:tcPr>
          <w:p w14:paraId="2F6E3129">
            <w:pPr>
              <w:autoSpaceDE w:val="0"/>
              <w:autoSpaceDN w:val="0"/>
              <w:jc w:val="center"/>
              <w:rPr>
                <w:rFonts w:hAnsi="宋体"/>
                <w:color w:val="auto"/>
                <w:szCs w:val="21"/>
                <w:lang w:val="zh-CN"/>
              </w:rPr>
            </w:pPr>
            <w:r>
              <w:rPr>
                <w:rFonts w:hAnsi="宋体"/>
                <w:color w:val="auto"/>
                <w:szCs w:val="21"/>
                <w:lang w:val="zh-CN"/>
              </w:rPr>
              <w:t>4</w:t>
            </w:r>
          </w:p>
        </w:tc>
        <w:tc>
          <w:tcPr>
            <w:tcW w:w="661" w:type="pct"/>
            <w:vAlign w:val="center"/>
          </w:tcPr>
          <w:p w14:paraId="45890EDD">
            <w:pPr>
              <w:autoSpaceDE w:val="0"/>
              <w:autoSpaceDN w:val="0"/>
              <w:jc w:val="center"/>
              <w:rPr>
                <w:rFonts w:hAnsi="宋体"/>
                <w:color w:val="auto"/>
                <w:szCs w:val="21"/>
                <w:lang w:val="zh-CN"/>
              </w:rPr>
            </w:pPr>
            <w:r>
              <w:rPr>
                <w:rFonts w:hAnsi="宋体"/>
                <w:color w:val="auto"/>
                <w:szCs w:val="21"/>
                <w:lang w:val="zh-CN"/>
              </w:rPr>
              <w:t>11</w:t>
            </w:r>
          </w:p>
        </w:tc>
        <w:tc>
          <w:tcPr>
            <w:tcW w:w="646" w:type="pct"/>
            <w:vAlign w:val="center"/>
          </w:tcPr>
          <w:p w14:paraId="663710D2">
            <w:pPr>
              <w:autoSpaceDE w:val="0"/>
              <w:autoSpaceDN w:val="0"/>
              <w:jc w:val="center"/>
              <w:rPr>
                <w:rFonts w:hAnsi="宋体"/>
                <w:color w:val="auto"/>
                <w:szCs w:val="21"/>
                <w:lang w:val="zh-CN"/>
              </w:rPr>
            </w:pPr>
            <w:r>
              <w:rPr>
                <w:rFonts w:hAnsi="宋体"/>
                <w:color w:val="auto"/>
                <w:szCs w:val="21"/>
                <w:lang w:val="zh-CN"/>
              </w:rPr>
              <w:t>18</w:t>
            </w:r>
          </w:p>
        </w:tc>
        <w:tc>
          <w:tcPr>
            <w:tcW w:w="584" w:type="pct"/>
            <w:vAlign w:val="center"/>
          </w:tcPr>
          <w:p w14:paraId="5EDF86AA">
            <w:pPr>
              <w:autoSpaceDE w:val="0"/>
              <w:autoSpaceDN w:val="0"/>
              <w:jc w:val="center"/>
              <w:rPr>
                <w:rFonts w:hAnsi="宋体"/>
                <w:color w:val="auto"/>
                <w:szCs w:val="21"/>
                <w:lang w:val="zh-CN"/>
              </w:rPr>
            </w:pPr>
            <w:r>
              <w:rPr>
                <w:rFonts w:hAnsi="宋体"/>
                <w:color w:val="auto"/>
                <w:szCs w:val="21"/>
                <w:lang w:val="zh-CN"/>
              </w:rPr>
              <w:t>25</w:t>
            </w:r>
          </w:p>
        </w:tc>
        <w:tc>
          <w:tcPr>
            <w:tcW w:w="542" w:type="pct"/>
            <w:vAlign w:val="center"/>
          </w:tcPr>
          <w:p w14:paraId="29EFE026">
            <w:pPr>
              <w:autoSpaceDE w:val="0"/>
              <w:autoSpaceDN w:val="0"/>
              <w:jc w:val="center"/>
              <w:rPr>
                <w:rFonts w:hAnsi="宋体"/>
                <w:color w:val="auto"/>
                <w:szCs w:val="21"/>
                <w:lang w:val="zh-CN"/>
              </w:rPr>
            </w:pPr>
            <w:r>
              <w:rPr>
                <w:rFonts w:hAnsi="宋体"/>
                <w:color w:val="auto"/>
                <w:szCs w:val="21"/>
                <w:lang w:val="zh-CN"/>
              </w:rPr>
              <w:t>32</w:t>
            </w:r>
          </w:p>
        </w:tc>
        <w:tc>
          <w:tcPr>
            <w:tcW w:w="591" w:type="pct"/>
            <w:vAlign w:val="center"/>
          </w:tcPr>
          <w:p w14:paraId="3DFF066B">
            <w:pPr>
              <w:autoSpaceDE w:val="0"/>
              <w:autoSpaceDN w:val="0"/>
              <w:jc w:val="center"/>
              <w:rPr>
                <w:rFonts w:hAnsi="宋体"/>
                <w:color w:val="auto"/>
                <w:szCs w:val="21"/>
                <w:lang w:val="zh-CN"/>
              </w:rPr>
            </w:pPr>
            <w:r>
              <w:rPr>
                <w:rFonts w:hAnsi="宋体"/>
                <w:color w:val="auto"/>
                <w:szCs w:val="21"/>
                <w:lang w:val="zh-CN"/>
              </w:rPr>
              <w:t>39</w:t>
            </w:r>
          </w:p>
        </w:tc>
        <w:tc>
          <w:tcPr>
            <w:tcW w:w="590" w:type="pct"/>
            <w:vAlign w:val="center"/>
          </w:tcPr>
          <w:p w14:paraId="2D155849">
            <w:pPr>
              <w:autoSpaceDE w:val="0"/>
              <w:autoSpaceDN w:val="0"/>
              <w:jc w:val="center"/>
              <w:rPr>
                <w:rFonts w:hAnsi="宋体"/>
                <w:color w:val="auto"/>
                <w:szCs w:val="21"/>
                <w:lang w:val="zh-CN"/>
              </w:rPr>
            </w:pPr>
            <w:r>
              <w:rPr>
                <w:rFonts w:hAnsi="宋体"/>
                <w:color w:val="auto"/>
                <w:szCs w:val="21"/>
                <w:lang w:val="zh-CN"/>
              </w:rPr>
              <w:t>46</w:t>
            </w:r>
          </w:p>
        </w:tc>
      </w:tr>
      <w:tr w14:paraId="433A57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00FF8E5C">
            <w:pPr>
              <w:autoSpaceDE w:val="0"/>
              <w:autoSpaceDN w:val="0"/>
              <w:jc w:val="center"/>
              <w:rPr>
                <w:rFonts w:hAnsi="宋体"/>
                <w:color w:val="auto"/>
                <w:szCs w:val="21"/>
                <w:lang w:val="zh-CN"/>
              </w:rPr>
            </w:pPr>
            <w:r>
              <w:rPr>
                <w:rFonts w:hAnsi="宋体"/>
                <w:color w:val="auto"/>
                <w:szCs w:val="21"/>
                <w:lang w:val="zh-CN"/>
              </w:rPr>
              <w:t>Na</w:t>
            </w:r>
            <w:r>
              <w:rPr>
                <w:rFonts w:hAnsi="宋体"/>
                <w:color w:val="auto"/>
                <w:szCs w:val="21"/>
                <w:vertAlign w:val="superscript"/>
                <w:lang w:val="zh-CN"/>
              </w:rPr>
              <w:t>+</w:t>
            </w:r>
            <w:r>
              <w:rPr>
                <w:rFonts w:hAnsi="宋体"/>
                <w:color w:val="auto"/>
                <w:szCs w:val="21"/>
                <w:lang w:val="zh-CN"/>
              </w:rPr>
              <w:t>-Ca</w:t>
            </w:r>
            <w:r>
              <w:rPr>
                <w:rFonts w:hAnsi="宋体"/>
                <w:color w:val="auto"/>
                <w:szCs w:val="21"/>
                <w:vertAlign w:val="superscript"/>
                <w:lang w:val="zh-CN"/>
              </w:rPr>
              <w:t>2+</w:t>
            </w:r>
            <w:r>
              <w:rPr>
                <w:rFonts w:hAnsi="宋体"/>
                <w:color w:val="auto"/>
                <w:szCs w:val="21"/>
                <w:lang w:val="zh-CN"/>
              </w:rPr>
              <w:t>-Mg</w:t>
            </w:r>
            <w:r>
              <w:rPr>
                <w:rFonts w:hAnsi="宋体"/>
                <w:color w:val="auto"/>
                <w:szCs w:val="21"/>
                <w:vertAlign w:val="superscript"/>
                <w:lang w:val="zh-CN"/>
              </w:rPr>
              <w:t>2+</w:t>
            </w:r>
          </w:p>
        </w:tc>
        <w:tc>
          <w:tcPr>
            <w:tcW w:w="457" w:type="pct"/>
            <w:vAlign w:val="center"/>
          </w:tcPr>
          <w:p w14:paraId="5D377A3D">
            <w:pPr>
              <w:autoSpaceDE w:val="0"/>
              <w:autoSpaceDN w:val="0"/>
              <w:jc w:val="center"/>
              <w:rPr>
                <w:rFonts w:hAnsi="宋体"/>
                <w:color w:val="auto"/>
                <w:szCs w:val="21"/>
                <w:lang w:val="zh-CN"/>
              </w:rPr>
            </w:pPr>
            <w:r>
              <w:rPr>
                <w:rFonts w:hAnsi="宋体"/>
                <w:color w:val="auto"/>
                <w:szCs w:val="21"/>
                <w:lang w:val="zh-CN"/>
              </w:rPr>
              <w:t>5</w:t>
            </w:r>
          </w:p>
        </w:tc>
        <w:tc>
          <w:tcPr>
            <w:tcW w:w="661" w:type="pct"/>
            <w:vAlign w:val="center"/>
          </w:tcPr>
          <w:p w14:paraId="00FEA3EC">
            <w:pPr>
              <w:autoSpaceDE w:val="0"/>
              <w:autoSpaceDN w:val="0"/>
              <w:jc w:val="center"/>
              <w:rPr>
                <w:rFonts w:hAnsi="宋体"/>
                <w:color w:val="auto"/>
                <w:szCs w:val="21"/>
                <w:lang w:val="zh-CN"/>
              </w:rPr>
            </w:pPr>
            <w:r>
              <w:rPr>
                <w:rFonts w:hAnsi="宋体"/>
                <w:color w:val="auto"/>
                <w:szCs w:val="21"/>
                <w:lang w:val="zh-CN"/>
              </w:rPr>
              <w:t>12</w:t>
            </w:r>
          </w:p>
        </w:tc>
        <w:tc>
          <w:tcPr>
            <w:tcW w:w="646" w:type="pct"/>
            <w:vAlign w:val="center"/>
          </w:tcPr>
          <w:p w14:paraId="25976C31">
            <w:pPr>
              <w:autoSpaceDE w:val="0"/>
              <w:autoSpaceDN w:val="0"/>
              <w:jc w:val="center"/>
              <w:rPr>
                <w:rFonts w:hAnsi="宋体"/>
                <w:color w:val="auto"/>
                <w:szCs w:val="21"/>
                <w:lang w:val="zh-CN"/>
              </w:rPr>
            </w:pPr>
            <w:r>
              <w:rPr>
                <w:rFonts w:hAnsi="宋体"/>
                <w:color w:val="auto"/>
                <w:szCs w:val="21"/>
                <w:lang w:val="zh-CN"/>
              </w:rPr>
              <w:t>19</w:t>
            </w:r>
          </w:p>
        </w:tc>
        <w:tc>
          <w:tcPr>
            <w:tcW w:w="584" w:type="pct"/>
            <w:vAlign w:val="center"/>
          </w:tcPr>
          <w:p w14:paraId="4B945E1C">
            <w:pPr>
              <w:autoSpaceDE w:val="0"/>
              <w:autoSpaceDN w:val="0"/>
              <w:jc w:val="center"/>
              <w:rPr>
                <w:rFonts w:hAnsi="宋体"/>
                <w:color w:val="auto"/>
                <w:szCs w:val="21"/>
                <w:lang w:val="zh-CN"/>
              </w:rPr>
            </w:pPr>
            <w:r>
              <w:rPr>
                <w:rFonts w:hAnsi="宋体"/>
                <w:color w:val="auto"/>
                <w:szCs w:val="21"/>
                <w:lang w:val="zh-CN"/>
              </w:rPr>
              <w:t>26</w:t>
            </w:r>
          </w:p>
        </w:tc>
        <w:tc>
          <w:tcPr>
            <w:tcW w:w="542" w:type="pct"/>
            <w:vAlign w:val="center"/>
          </w:tcPr>
          <w:p w14:paraId="33C6CF96">
            <w:pPr>
              <w:autoSpaceDE w:val="0"/>
              <w:autoSpaceDN w:val="0"/>
              <w:jc w:val="center"/>
              <w:rPr>
                <w:rFonts w:hAnsi="宋体"/>
                <w:color w:val="auto"/>
                <w:szCs w:val="21"/>
                <w:lang w:val="zh-CN"/>
              </w:rPr>
            </w:pPr>
            <w:r>
              <w:rPr>
                <w:rFonts w:hAnsi="宋体"/>
                <w:color w:val="auto"/>
                <w:szCs w:val="21"/>
                <w:lang w:val="zh-CN"/>
              </w:rPr>
              <w:t>33</w:t>
            </w:r>
          </w:p>
        </w:tc>
        <w:tc>
          <w:tcPr>
            <w:tcW w:w="591" w:type="pct"/>
            <w:vAlign w:val="center"/>
          </w:tcPr>
          <w:p w14:paraId="5B70D4C4">
            <w:pPr>
              <w:autoSpaceDE w:val="0"/>
              <w:autoSpaceDN w:val="0"/>
              <w:jc w:val="center"/>
              <w:rPr>
                <w:rFonts w:hAnsi="宋体"/>
                <w:color w:val="auto"/>
                <w:szCs w:val="21"/>
                <w:lang w:val="zh-CN"/>
              </w:rPr>
            </w:pPr>
            <w:r>
              <w:rPr>
                <w:rFonts w:hAnsi="宋体"/>
                <w:color w:val="auto"/>
                <w:szCs w:val="21"/>
                <w:lang w:val="zh-CN"/>
              </w:rPr>
              <w:t>40</w:t>
            </w:r>
          </w:p>
        </w:tc>
        <w:tc>
          <w:tcPr>
            <w:tcW w:w="590" w:type="pct"/>
            <w:vAlign w:val="center"/>
          </w:tcPr>
          <w:p w14:paraId="60410163">
            <w:pPr>
              <w:autoSpaceDE w:val="0"/>
              <w:autoSpaceDN w:val="0"/>
              <w:jc w:val="center"/>
              <w:rPr>
                <w:rFonts w:hAnsi="宋体"/>
                <w:color w:val="auto"/>
                <w:szCs w:val="21"/>
                <w:lang w:val="zh-CN"/>
              </w:rPr>
            </w:pPr>
            <w:r>
              <w:rPr>
                <w:rFonts w:hAnsi="宋体"/>
                <w:color w:val="auto"/>
                <w:szCs w:val="21"/>
                <w:lang w:val="zh-CN"/>
              </w:rPr>
              <w:t>47</w:t>
            </w:r>
          </w:p>
        </w:tc>
      </w:tr>
      <w:tr w14:paraId="3F88AF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5C437351">
            <w:pPr>
              <w:autoSpaceDE w:val="0"/>
              <w:autoSpaceDN w:val="0"/>
              <w:jc w:val="center"/>
              <w:rPr>
                <w:rFonts w:hAnsi="宋体"/>
                <w:color w:val="auto"/>
                <w:szCs w:val="21"/>
                <w:lang w:val="zh-CN"/>
              </w:rPr>
            </w:pPr>
            <w:r>
              <w:rPr>
                <w:rFonts w:hAnsi="宋体"/>
                <w:color w:val="auto"/>
                <w:szCs w:val="21"/>
                <w:lang w:val="zh-CN"/>
              </w:rPr>
              <w:t>Na</w:t>
            </w:r>
            <w:r>
              <w:rPr>
                <w:rFonts w:hAnsi="宋体"/>
                <w:color w:val="auto"/>
                <w:szCs w:val="21"/>
                <w:vertAlign w:val="superscript"/>
                <w:lang w:val="zh-CN"/>
              </w:rPr>
              <w:t>+</w:t>
            </w:r>
            <w:r>
              <w:rPr>
                <w:rFonts w:hAnsi="宋体"/>
                <w:color w:val="auto"/>
                <w:szCs w:val="21"/>
                <w:lang w:val="zh-CN"/>
              </w:rPr>
              <w:t>-Mg</w:t>
            </w:r>
            <w:r>
              <w:rPr>
                <w:rFonts w:hAnsi="宋体"/>
                <w:color w:val="auto"/>
                <w:szCs w:val="21"/>
                <w:vertAlign w:val="superscript"/>
                <w:lang w:val="zh-CN"/>
              </w:rPr>
              <w:t>2</w:t>
            </w:r>
            <w:r>
              <w:rPr>
                <w:rFonts w:hint="eastAsia" w:hAnsi="宋体"/>
                <w:color w:val="auto"/>
                <w:szCs w:val="21"/>
                <w:vertAlign w:val="superscript"/>
                <w:lang w:val="zh-CN"/>
              </w:rPr>
              <w:t>+</w:t>
            </w:r>
          </w:p>
        </w:tc>
        <w:tc>
          <w:tcPr>
            <w:tcW w:w="457" w:type="pct"/>
            <w:vAlign w:val="center"/>
          </w:tcPr>
          <w:p w14:paraId="15D474B1">
            <w:pPr>
              <w:autoSpaceDE w:val="0"/>
              <w:autoSpaceDN w:val="0"/>
              <w:jc w:val="center"/>
              <w:rPr>
                <w:rFonts w:hAnsi="宋体"/>
                <w:color w:val="auto"/>
                <w:szCs w:val="21"/>
                <w:lang w:val="zh-CN"/>
              </w:rPr>
            </w:pPr>
            <w:r>
              <w:rPr>
                <w:rFonts w:hAnsi="宋体"/>
                <w:color w:val="auto"/>
                <w:szCs w:val="21"/>
                <w:lang w:val="zh-CN"/>
              </w:rPr>
              <w:t>6</w:t>
            </w:r>
          </w:p>
        </w:tc>
        <w:tc>
          <w:tcPr>
            <w:tcW w:w="661" w:type="pct"/>
            <w:vAlign w:val="center"/>
          </w:tcPr>
          <w:p w14:paraId="2C188823">
            <w:pPr>
              <w:autoSpaceDE w:val="0"/>
              <w:autoSpaceDN w:val="0"/>
              <w:jc w:val="center"/>
              <w:rPr>
                <w:rFonts w:hAnsi="宋体"/>
                <w:color w:val="auto"/>
                <w:szCs w:val="21"/>
                <w:lang w:val="zh-CN"/>
              </w:rPr>
            </w:pPr>
            <w:r>
              <w:rPr>
                <w:rFonts w:hAnsi="宋体"/>
                <w:color w:val="auto"/>
                <w:szCs w:val="21"/>
                <w:lang w:val="zh-CN"/>
              </w:rPr>
              <w:t>13</w:t>
            </w:r>
          </w:p>
        </w:tc>
        <w:tc>
          <w:tcPr>
            <w:tcW w:w="646" w:type="pct"/>
            <w:vAlign w:val="center"/>
          </w:tcPr>
          <w:p w14:paraId="0E11E479">
            <w:pPr>
              <w:autoSpaceDE w:val="0"/>
              <w:autoSpaceDN w:val="0"/>
              <w:jc w:val="center"/>
              <w:rPr>
                <w:rFonts w:hAnsi="宋体"/>
                <w:color w:val="auto"/>
                <w:szCs w:val="21"/>
                <w:lang w:val="zh-CN"/>
              </w:rPr>
            </w:pPr>
            <w:r>
              <w:rPr>
                <w:rFonts w:hAnsi="宋体"/>
                <w:color w:val="auto"/>
                <w:szCs w:val="21"/>
                <w:lang w:val="zh-CN"/>
              </w:rPr>
              <w:t>20</w:t>
            </w:r>
          </w:p>
        </w:tc>
        <w:tc>
          <w:tcPr>
            <w:tcW w:w="584" w:type="pct"/>
            <w:vAlign w:val="center"/>
          </w:tcPr>
          <w:p w14:paraId="21EBB389">
            <w:pPr>
              <w:autoSpaceDE w:val="0"/>
              <w:autoSpaceDN w:val="0"/>
              <w:jc w:val="center"/>
              <w:rPr>
                <w:rFonts w:hAnsi="宋体"/>
                <w:color w:val="auto"/>
                <w:szCs w:val="21"/>
                <w:lang w:val="zh-CN"/>
              </w:rPr>
            </w:pPr>
            <w:r>
              <w:rPr>
                <w:rFonts w:hAnsi="宋体"/>
                <w:color w:val="auto"/>
                <w:szCs w:val="21"/>
                <w:lang w:val="zh-CN"/>
              </w:rPr>
              <w:t>27</w:t>
            </w:r>
          </w:p>
        </w:tc>
        <w:tc>
          <w:tcPr>
            <w:tcW w:w="542" w:type="pct"/>
            <w:vAlign w:val="center"/>
          </w:tcPr>
          <w:p w14:paraId="56BB0A3D">
            <w:pPr>
              <w:autoSpaceDE w:val="0"/>
              <w:autoSpaceDN w:val="0"/>
              <w:jc w:val="center"/>
              <w:rPr>
                <w:rFonts w:hAnsi="宋体"/>
                <w:color w:val="auto"/>
                <w:szCs w:val="21"/>
                <w:lang w:val="zh-CN"/>
              </w:rPr>
            </w:pPr>
            <w:r>
              <w:rPr>
                <w:rFonts w:hAnsi="宋体"/>
                <w:color w:val="auto"/>
                <w:szCs w:val="21"/>
                <w:lang w:val="zh-CN"/>
              </w:rPr>
              <w:t>34</w:t>
            </w:r>
          </w:p>
        </w:tc>
        <w:tc>
          <w:tcPr>
            <w:tcW w:w="591" w:type="pct"/>
            <w:vAlign w:val="center"/>
          </w:tcPr>
          <w:p w14:paraId="29AB5528">
            <w:pPr>
              <w:autoSpaceDE w:val="0"/>
              <w:autoSpaceDN w:val="0"/>
              <w:jc w:val="center"/>
              <w:rPr>
                <w:rFonts w:hAnsi="宋体"/>
                <w:color w:val="auto"/>
                <w:szCs w:val="21"/>
                <w:lang w:val="zh-CN"/>
              </w:rPr>
            </w:pPr>
            <w:r>
              <w:rPr>
                <w:rFonts w:hAnsi="宋体"/>
                <w:color w:val="auto"/>
                <w:szCs w:val="21"/>
                <w:lang w:val="zh-CN"/>
              </w:rPr>
              <w:t>41</w:t>
            </w:r>
          </w:p>
        </w:tc>
        <w:tc>
          <w:tcPr>
            <w:tcW w:w="590" w:type="pct"/>
            <w:vAlign w:val="center"/>
          </w:tcPr>
          <w:p w14:paraId="36A1083F">
            <w:pPr>
              <w:autoSpaceDE w:val="0"/>
              <w:autoSpaceDN w:val="0"/>
              <w:jc w:val="center"/>
              <w:rPr>
                <w:rFonts w:hAnsi="宋体"/>
                <w:color w:val="auto"/>
                <w:szCs w:val="21"/>
                <w:lang w:val="zh-CN"/>
              </w:rPr>
            </w:pPr>
            <w:r>
              <w:rPr>
                <w:rFonts w:hAnsi="宋体"/>
                <w:color w:val="auto"/>
                <w:szCs w:val="21"/>
                <w:lang w:val="zh-CN"/>
              </w:rPr>
              <w:t>48</w:t>
            </w:r>
          </w:p>
        </w:tc>
      </w:tr>
      <w:tr w14:paraId="35653D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 w:hRule="atLeast"/>
        </w:trPr>
        <w:tc>
          <w:tcPr>
            <w:tcW w:w="886" w:type="pct"/>
            <w:vAlign w:val="center"/>
          </w:tcPr>
          <w:p w14:paraId="717D8708">
            <w:pPr>
              <w:autoSpaceDE w:val="0"/>
              <w:autoSpaceDN w:val="0"/>
              <w:jc w:val="center"/>
              <w:rPr>
                <w:rFonts w:hAnsi="宋体"/>
                <w:color w:val="auto"/>
                <w:szCs w:val="21"/>
                <w:lang w:val="zh-CN"/>
              </w:rPr>
            </w:pPr>
            <w:r>
              <w:rPr>
                <w:rFonts w:hAnsi="宋体"/>
                <w:color w:val="auto"/>
                <w:szCs w:val="21"/>
                <w:lang w:val="zh-CN"/>
              </w:rPr>
              <w:t>Na</w:t>
            </w:r>
            <w:r>
              <w:rPr>
                <w:rFonts w:hAnsi="宋体"/>
                <w:color w:val="auto"/>
                <w:szCs w:val="21"/>
                <w:vertAlign w:val="superscript"/>
                <w:lang w:val="zh-CN"/>
              </w:rPr>
              <w:t>+</w:t>
            </w:r>
          </w:p>
        </w:tc>
        <w:tc>
          <w:tcPr>
            <w:tcW w:w="457" w:type="pct"/>
            <w:vAlign w:val="center"/>
          </w:tcPr>
          <w:p w14:paraId="257605CE">
            <w:pPr>
              <w:autoSpaceDE w:val="0"/>
              <w:autoSpaceDN w:val="0"/>
              <w:jc w:val="center"/>
              <w:rPr>
                <w:rFonts w:hAnsi="宋体"/>
                <w:color w:val="auto"/>
                <w:szCs w:val="21"/>
                <w:lang w:val="zh-CN"/>
              </w:rPr>
            </w:pPr>
            <w:r>
              <w:rPr>
                <w:rFonts w:hAnsi="宋体"/>
                <w:color w:val="auto"/>
                <w:szCs w:val="21"/>
                <w:lang w:val="zh-CN"/>
              </w:rPr>
              <w:t>7</w:t>
            </w:r>
          </w:p>
        </w:tc>
        <w:tc>
          <w:tcPr>
            <w:tcW w:w="661" w:type="pct"/>
            <w:vAlign w:val="center"/>
          </w:tcPr>
          <w:p w14:paraId="3A5E1D17">
            <w:pPr>
              <w:autoSpaceDE w:val="0"/>
              <w:autoSpaceDN w:val="0"/>
              <w:jc w:val="center"/>
              <w:rPr>
                <w:rFonts w:hAnsi="宋体"/>
                <w:color w:val="auto"/>
                <w:szCs w:val="21"/>
                <w:lang w:val="zh-CN"/>
              </w:rPr>
            </w:pPr>
            <w:r>
              <w:rPr>
                <w:rFonts w:hAnsi="宋体"/>
                <w:color w:val="auto"/>
                <w:szCs w:val="21"/>
                <w:lang w:val="zh-CN"/>
              </w:rPr>
              <w:t>14</w:t>
            </w:r>
          </w:p>
        </w:tc>
        <w:tc>
          <w:tcPr>
            <w:tcW w:w="646" w:type="pct"/>
            <w:vAlign w:val="center"/>
          </w:tcPr>
          <w:p w14:paraId="333FAEE0">
            <w:pPr>
              <w:autoSpaceDE w:val="0"/>
              <w:autoSpaceDN w:val="0"/>
              <w:jc w:val="center"/>
              <w:rPr>
                <w:rFonts w:hAnsi="宋体"/>
                <w:color w:val="auto"/>
                <w:szCs w:val="21"/>
                <w:lang w:val="zh-CN"/>
              </w:rPr>
            </w:pPr>
            <w:r>
              <w:rPr>
                <w:rFonts w:hAnsi="宋体"/>
                <w:color w:val="auto"/>
                <w:szCs w:val="21"/>
                <w:lang w:val="zh-CN"/>
              </w:rPr>
              <w:t>21</w:t>
            </w:r>
          </w:p>
        </w:tc>
        <w:tc>
          <w:tcPr>
            <w:tcW w:w="584" w:type="pct"/>
            <w:vAlign w:val="center"/>
          </w:tcPr>
          <w:p w14:paraId="4D6EAC62">
            <w:pPr>
              <w:autoSpaceDE w:val="0"/>
              <w:autoSpaceDN w:val="0"/>
              <w:jc w:val="center"/>
              <w:rPr>
                <w:rFonts w:hAnsi="宋体"/>
                <w:color w:val="auto"/>
                <w:szCs w:val="21"/>
                <w:lang w:val="zh-CN"/>
              </w:rPr>
            </w:pPr>
            <w:r>
              <w:rPr>
                <w:rFonts w:hAnsi="宋体"/>
                <w:color w:val="auto"/>
                <w:szCs w:val="21"/>
                <w:lang w:val="zh-CN"/>
              </w:rPr>
              <w:t>28</w:t>
            </w:r>
          </w:p>
        </w:tc>
        <w:tc>
          <w:tcPr>
            <w:tcW w:w="542" w:type="pct"/>
            <w:vAlign w:val="center"/>
          </w:tcPr>
          <w:p w14:paraId="2BBE7CA8">
            <w:pPr>
              <w:autoSpaceDE w:val="0"/>
              <w:autoSpaceDN w:val="0"/>
              <w:jc w:val="center"/>
              <w:rPr>
                <w:rFonts w:hAnsi="宋体"/>
                <w:color w:val="auto"/>
                <w:szCs w:val="21"/>
                <w:lang w:val="zh-CN"/>
              </w:rPr>
            </w:pPr>
            <w:r>
              <w:rPr>
                <w:rFonts w:hAnsi="宋体"/>
                <w:color w:val="auto"/>
                <w:szCs w:val="21"/>
                <w:lang w:val="zh-CN"/>
              </w:rPr>
              <w:t>35</w:t>
            </w:r>
          </w:p>
        </w:tc>
        <w:tc>
          <w:tcPr>
            <w:tcW w:w="591" w:type="pct"/>
            <w:vAlign w:val="center"/>
          </w:tcPr>
          <w:p w14:paraId="6ECF49C9">
            <w:pPr>
              <w:autoSpaceDE w:val="0"/>
              <w:autoSpaceDN w:val="0"/>
              <w:jc w:val="center"/>
              <w:rPr>
                <w:rFonts w:hAnsi="宋体"/>
                <w:color w:val="auto"/>
                <w:szCs w:val="21"/>
                <w:lang w:val="zh-CN"/>
              </w:rPr>
            </w:pPr>
            <w:r>
              <w:rPr>
                <w:rFonts w:hAnsi="宋体"/>
                <w:color w:val="auto"/>
                <w:szCs w:val="21"/>
                <w:lang w:val="zh-CN"/>
              </w:rPr>
              <w:t>42</w:t>
            </w:r>
          </w:p>
        </w:tc>
        <w:tc>
          <w:tcPr>
            <w:tcW w:w="590" w:type="pct"/>
            <w:vAlign w:val="center"/>
          </w:tcPr>
          <w:p w14:paraId="7C1CC2D5">
            <w:pPr>
              <w:autoSpaceDE w:val="0"/>
              <w:autoSpaceDN w:val="0"/>
              <w:jc w:val="center"/>
              <w:rPr>
                <w:rFonts w:hAnsi="宋体"/>
                <w:color w:val="auto"/>
                <w:szCs w:val="21"/>
                <w:lang w:val="zh-CN"/>
              </w:rPr>
            </w:pPr>
            <w:r>
              <w:rPr>
                <w:rFonts w:hAnsi="宋体"/>
                <w:color w:val="auto"/>
                <w:szCs w:val="21"/>
                <w:lang w:val="zh-CN"/>
              </w:rPr>
              <w:t>49</w:t>
            </w:r>
          </w:p>
        </w:tc>
      </w:tr>
    </w:tbl>
    <w:p w14:paraId="3DC570AC">
      <w:pPr>
        <w:spacing w:line="360" w:lineRule="auto"/>
        <w:ind w:firstLine="480" w:firstLineChars="200"/>
        <w:rPr>
          <w:color w:val="auto"/>
          <w:sz w:val="24"/>
        </w:rPr>
      </w:pPr>
      <w:r>
        <w:rPr>
          <w:rFonts w:hint="eastAsia"/>
          <w:color w:val="auto"/>
          <w:sz w:val="24"/>
        </w:rPr>
        <w:t>第二步，对水文资料进行整理：</w:t>
      </w:r>
    </w:p>
    <w:p w14:paraId="5F13F83A">
      <w:pPr>
        <w:spacing w:line="360" w:lineRule="auto"/>
        <w:ind w:firstLine="480" w:firstLineChars="200"/>
        <w:rPr>
          <w:color w:val="auto"/>
          <w:sz w:val="24"/>
        </w:rPr>
      </w:pPr>
      <w:r>
        <w:rPr>
          <w:rFonts w:hint="eastAsia"/>
          <w:color w:val="auto"/>
          <w:sz w:val="24"/>
        </w:rPr>
        <w:t>换算毫克</w:t>
      </w:r>
      <w:r>
        <w:rPr>
          <w:color w:val="auto"/>
          <w:sz w:val="24"/>
        </w:rPr>
        <w:t>/</w:t>
      </w:r>
      <w:r>
        <w:rPr>
          <w:rFonts w:hint="eastAsia"/>
          <w:color w:val="auto"/>
          <w:sz w:val="24"/>
        </w:rPr>
        <w:t>升为毫克当量</w:t>
      </w:r>
      <w:r>
        <w:rPr>
          <w:color w:val="auto"/>
          <w:sz w:val="24"/>
        </w:rPr>
        <w:t>/</w:t>
      </w:r>
      <w:r>
        <w:rPr>
          <w:rFonts w:hint="eastAsia"/>
          <w:color w:val="auto"/>
          <w:sz w:val="24"/>
        </w:rPr>
        <w:t>升及毫克当量百分数</w:t>
      </w:r>
    </w:p>
    <w:p w14:paraId="223BE54E">
      <w:pPr>
        <w:spacing w:line="360" w:lineRule="auto"/>
        <w:ind w:firstLine="480" w:firstLineChars="200"/>
        <w:rPr>
          <w:color w:val="auto"/>
          <w:sz w:val="24"/>
        </w:rPr>
      </w:pPr>
      <w:r>
        <w:rPr>
          <w:rFonts w:hint="eastAsia"/>
          <w:color w:val="auto"/>
          <w:sz w:val="24"/>
        </w:rPr>
        <w:t>按照化学原理，毫克数与毫克当量数的关系如下式：</w:t>
      </w:r>
    </w:p>
    <w:p w14:paraId="3CF25096">
      <w:pPr>
        <w:spacing w:line="360" w:lineRule="auto"/>
        <w:ind w:firstLine="480" w:firstLineChars="200"/>
        <w:rPr>
          <w:color w:val="auto"/>
          <w:sz w:val="24"/>
        </w:rPr>
      </w:pPr>
      <w:r>
        <w:rPr>
          <w:rFonts w:hint="eastAsia"/>
          <w:color w:val="auto"/>
          <w:sz w:val="24"/>
        </w:rPr>
        <w:t>离子的毫克当量数</w:t>
      </w:r>
      <w:r>
        <w:rPr>
          <w:color w:val="auto"/>
          <w:sz w:val="24"/>
        </w:rPr>
        <w:t>=</w:t>
      </w:r>
      <m:oMath>
        <m:f>
          <m:fPr>
            <m:ctrlPr>
              <w:rPr>
                <w:rFonts w:ascii="Cambria Math" w:hAnsi="Cambria Math"/>
                <w:color w:val="auto"/>
                <w:sz w:val="24"/>
              </w:rPr>
            </m:ctrlPr>
          </m:fPr>
          <m:num>
            <m:r>
              <m:rPr>
                <m:sty m:val="p"/>
              </m:rPr>
              <w:rPr>
                <w:rFonts w:hint="eastAsia" w:ascii="Cambria Math" w:hAnsi="Cambria Math"/>
                <w:color w:val="auto"/>
                <w:sz w:val="24"/>
              </w:rPr>
              <m:t>离子的毫克数</m:t>
            </m:r>
            <m:ctrlPr>
              <w:rPr>
                <w:rFonts w:ascii="Cambria Math" w:hAnsi="Cambria Math"/>
                <w:color w:val="auto"/>
                <w:sz w:val="24"/>
              </w:rPr>
            </m:ctrlPr>
          </m:num>
          <m:den>
            <m:r>
              <m:rPr>
                <m:sty m:val="p"/>
              </m:rPr>
              <w:rPr>
                <w:rFonts w:hint="eastAsia" w:ascii="Cambria Math" w:hAnsi="Cambria Math"/>
                <w:color w:val="auto"/>
                <w:sz w:val="24"/>
              </w:rPr>
              <m:t>离子的当量</m:t>
            </m:r>
            <m:ctrlPr>
              <w:rPr>
                <w:rFonts w:ascii="Cambria Math" w:hAnsi="Cambria Math"/>
                <w:color w:val="auto"/>
                <w:sz w:val="24"/>
              </w:rPr>
            </m:ctrlPr>
          </m:den>
        </m:f>
      </m:oMath>
    </w:p>
    <w:p w14:paraId="015B86B3">
      <w:pPr>
        <w:spacing w:line="360" w:lineRule="auto"/>
        <w:ind w:firstLine="480" w:firstLineChars="200"/>
        <w:rPr>
          <w:color w:val="auto"/>
          <w:sz w:val="24"/>
        </w:rPr>
      </w:pPr>
      <w:r>
        <w:rPr>
          <w:rFonts w:hint="eastAsia"/>
          <w:color w:val="auto"/>
          <w:sz w:val="24"/>
        </w:rPr>
        <w:t>某阴离子的毫克当量百分数</w:t>
      </w:r>
      <w:r>
        <w:rPr>
          <w:color w:val="auto"/>
          <w:sz w:val="24"/>
        </w:rPr>
        <w:t>=</w:t>
      </w:r>
      <m:oMath>
        <m:f>
          <m:fPr>
            <m:ctrlPr>
              <w:rPr>
                <w:rFonts w:ascii="Cambria Math" w:hAnsi="Cambria Math"/>
                <w:color w:val="auto"/>
                <w:sz w:val="24"/>
              </w:rPr>
            </m:ctrlPr>
          </m:fPr>
          <m:num>
            <m:r>
              <m:rPr>
                <m:sty m:val="p"/>
              </m:rPr>
              <w:rPr>
                <w:rFonts w:hint="eastAsia" w:ascii="Cambria Math" w:hAnsi="Cambria Math"/>
                <w:color w:val="auto"/>
                <w:sz w:val="24"/>
              </w:rPr>
              <m:t>该离子毫克当量</m:t>
            </m:r>
            <m:r>
              <m:rPr>
                <m:sty m:val="p"/>
              </m:rPr>
              <w:rPr>
                <w:rFonts w:ascii="Cambria Math"/>
                <w:color w:val="auto"/>
                <w:sz w:val="24"/>
              </w:rPr>
              <m:t>/</m:t>
            </m:r>
            <m:r>
              <m:rPr>
                <m:sty m:val="p"/>
              </m:rPr>
              <w:rPr>
                <w:rFonts w:hint="eastAsia" w:ascii="Cambria Math" w:hAnsi="Cambria Math"/>
                <w:color w:val="auto"/>
                <w:sz w:val="24"/>
              </w:rPr>
              <m:t>升</m:t>
            </m:r>
            <m:ctrlPr>
              <w:rPr>
                <w:rFonts w:ascii="Cambria Math" w:hAnsi="Cambria Math"/>
                <w:color w:val="auto"/>
                <w:sz w:val="24"/>
              </w:rPr>
            </m:ctrlPr>
          </m:num>
          <m:den>
            <m:r>
              <m:rPr>
                <m:sty m:val="p"/>
              </m:rPr>
              <w:rPr>
                <w:rFonts w:hint="eastAsia" w:ascii="Cambria Math" w:hAnsi="Cambria Math"/>
                <w:color w:val="auto"/>
                <w:sz w:val="24"/>
              </w:rPr>
              <m:t>阴离子毫克当量总数</m:t>
            </m:r>
            <m:r>
              <m:rPr>
                <m:sty m:val="p"/>
              </m:rPr>
              <w:rPr>
                <w:rFonts w:ascii="Cambria Math"/>
                <w:color w:val="auto"/>
                <w:sz w:val="24"/>
              </w:rPr>
              <m:t>/</m:t>
            </m:r>
            <m:r>
              <m:rPr>
                <m:sty m:val="p"/>
              </m:rPr>
              <w:rPr>
                <w:rFonts w:hint="eastAsia" w:ascii="Cambria Math" w:hAnsi="Cambria Math"/>
                <w:color w:val="auto"/>
                <w:sz w:val="24"/>
              </w:rPr>
              <m:t>升</m:t>
            </m:r>
            <m:ctrlPr>
              <w:rPr>
                <w:rFonts w:ascii="Cambria Math" w:hAnsi="Cambria Math"/>
                <w:color w:val="auto"/>
                <w:sz w:val="24"/>
              </w:rPr>
            </m:ctrlPr>
          </m:den>
        </m:f>
      </m:oMath>
      <w:r>
        <w:rPr>
          <w:color w:val="auto"/>
          <w:sz w:val="24"/>
        </w:rPr>
        <w:t>×100%</w:t>
      </w:r>
    </w:p>
    <w:p w14:paraId="0124A456">
      <w:pPr>
        <w:spacing w:line="360" w:lineRule="auto"/>
        <w:ind w:firstLine="480" w:firstLineChars="200"/>
        <w:rPr>
          <w:color w:val="auto"/>
          <w:sz w:val="24"/>
        </w:rPr>
      </w:pPr>
      <w:r>
        <w:rPr>
          <w:rFonts w:hint="eastAsia"/>
          <w:color w:val="auto"/>
          <w:sz w:val="24"/>
        </w:rPr>
        <w:t>第三步，按矿化度（</w:t>
      </w:r>
      <w:r>
        <w:rPr>
          <w:color w:val="auto"/>
          <w:sz w:val="24"/>
        </w:rPr>
        <w:t>M</w:t>
      </w:r>
      <w:r>
        <w:rPr>
          <w:rFonts w:hint="eastAsia"/>
          <w:color w:val="auto"/>
          <w:sz w:val="24"/>
        </w:rPr>
        <w:t>）的大小划分为</w:t>
      </w:r>
      <w:r>
        <w:rPr>
          <w:color w:val="auto"/>
          <w:sz w:val="24"/>
        </w:rPr>
        <w:t>4</w:t>
      </w:r>
      <w:r>
        <w:rPr>
          <w:rFonts w:hint="eastAsia"/>
          <w:color w:val="auto"/>
          <w:sz w:val="24"/>
        </w:rPr>
        <w:t>组。</w:t>
      </w:r>
    </w:p>
    <w:p w14:paraId="79E80D7A">
      <w:pPr>
        <w:spacing w:line="360" w:lineRule="auto"/>
        <w:ind w:firstLine="480" w:firstLineChars="200"/>
        <w:rPr>
          <w:color w:val="auto"/>
          <w:sz w:val="24"/>
        </w:rPr>
      </w:pPr>
      <w:r>
        <w:rPr>
          <w:color w:val="auto"/>
          <w:sz w:val="24"/>
        </w:rPr>
        <w:t>A</w:t>
      </w:r>
      <w:r>
        <w:rPr>
          <w:rFonts w:hint="eastAsia"/>
          <w:color w:val="auto"/>
          <w:sz w:val="24"/>
        </w:rPr>
        <w:t>组</w:t>
      </w:r>
      <w:r>
        <w:rPr>
          <w:color w:val="auto"/>
          <w:sz w:val="24"/>
        </w:rPr>
        <w:t>——M≤1.5g/L</w:t>
      </w:r>
      <w:r>
        <w:rPr>
          <w:rFonts w:hint="eastAsia"/>
          <w:color w:val="auto"/>
          <w:sz w:val="24"/>
        </w:rPr>
        <w:t>；</w:t>
      </w:r>
      <w:r>
        <w:rPr>
          <w:color w:val="auto"/>
          <w:sz w:val="24"/>
        </w:rPr>
        <w:t>B</w:t>
      </w:r>
      <w:r>
        <w:rPr>
          <w:rFonts w:hint="eastAsia"/>
          <w:color w:val="auto"/>
          <w:sz w:val="24"/>
        </w:rPr>
        <w:t>组</w:t>
      </w:r>
      <w:r>
        <w:rPr>
          <w:color w:val="auto"/>
          <w:sz w:val="24"/>
        </w:rPr>
        <w:t>——1.5</w:t>
      </w:r>
      <w:r>
        <w:rPr>
          <w:rFonts w:hint="eastAsia"/>
          <w:color w:val="auto"/>
          <w:sz w:val="24"/>
        </w:rPr>
        <w:t>＜</w:t>
      </w:r>
      <w:r>
        <w:rPr>
          <w:color w:val="auto"/>
          <w:sz w:val="24"/>
        </w:rPr>
        <w:t>M≤10g/L</w:t>
      </w:r>
      <w:r>
        <w:rPr>
          <w:rFonts w:hint="eastAsia"/>
          <w:color w:val="auto"/>
          <w:sz w:val="24"/>
        </w:rPr>
        <w:t>；</w:t>
      </w:r>
    </w:p>
    <w:p w14:paraId="53A234A3">
      <w:pPr>
        <w:spacing w:line="360" w:lineRule="auto"/>
        <w:ind w:firstLine="480" w:firstLineChars="200"/>
        <w:rPr>
          <w:color w:val="auto"/>
          <w:sz w:val="24"/>
        </w:rPr>
      </w:pPr>
      <w:r>
        <w:rPr>
          <w:color w:val="auto"/>
          <w:sz w:val="24"/>
        </w:rPr>
        <w:t>C</w:t>
      </w:r>
      <w:r>
        <w:rPr>
          <w:rFonts w:hint="eastAsia"/>
          <w:color w:val="auto"/>
          <w:sz w:val="24"/>
        </w:rPr>
        <w:t>组</w:t>
      </w:r>
      <w:r>
        <w:rPr>
          <w:color w:val="auto"/>
          <w:sz w:val="24"/>
        </w:rPr>
        <w:t>——10</w:t>
      </w:r>
      <w:r>
        <w:rPr>
          <w:rFonts w:hint="eastAsia"/>
          <w:color w:val="auto"/>
          <w:sz w:val="24"/>
        </w:rPr>
        <w:t>＜</w:t>
      </w:r>
      <w:r>
        <w:rPr>
          <w:color w:val="auto"/>
          <w:sz w:val="24"/>
        </w:rPr>
        <w:t>M≤40g/L</w:t>
      </w:r>
      <w:r>
        <w:rPr>
          <w:rFonts w:hint="eastAsia"/>
          <w:color w:val="auto"/>
          <w:sz w:val="24"/>
        </w:rPr>
        <w:t>；</w:t>
      </w:r>
      <w:r>
        <w:rPr>
          <w:color w:val="auto"/>
          <w:sz w:val="24"/>
        </w:rPr>
        <w:t>D</w:t>
      </w:r>
      <w:r>
        <w:rPr>
          <w:rFonts w:hint="eastAsia"/>
          <w:color w:val="auto"/>
          <w:sz w:val="24"/>
        </w:rPr>
        <w:t>组</w:t>
      </w:r>
      <w:r>
        <w:rPr>
          <w:color w:val="auto"/>
          <w:sz w:val="24"/>
        </w:rPr>
        <w:t>——M</w:t>
      </w:r>
      <w:r>
        <w:rPr>
          <w:rFonts w:hint="eastAsia"/>
          <w:color w:val="auto"/>
          <w:sz w:val="24"/>
        </w:rPr>
        <w:t>＞</w:t>
      </w:r>
      <w:r>
        <w:rPr>
          <w:color w:val="auto"/>
          <w:sz w:val="24"/>
        </w:rPr>
        <w:t>40g/L</w:t>
      </w:r>
      <w:r>
        <w:rPr>
          <w:rFonts w:hint="eastAsia"/>
          <w:color w:val="auto"/>
          <w:sz w:val="24"/>
        </w:rPr>
        <w:t>。</w:t>
      </w:r>
    </w:p>
    <w:p w14:paraId="18819A69">
      <w:pPr>
        <w:spacing w:line="360" w:lineRule="auto"/>
        <w:ind w:firstLine="480" w:firstLineChars="200"/>
        <w:rPr>
          <w:color w:val="auto"/>
          <w:sz w:val="24"/>
        </w:rPr>
      </w:pPr>
      <w:r>
        <w:rPr>
          <w:rFonts w:hint="eastAsia"/>
          <w:color w:val="auto"/>
          <w:sz w:val="24"/>
        </w:rPr>
        <w:t>矿化度的计算采用《用主要阴离子含量计算水的矿化度》（高仁先</w:t>
      </w:r>
      <w:r>
        <w:rPr>
          <w:color w:val="auto"/>
          <w:sz w:val="24"/>
        </w:rPr>
        <w:t>.</w:t>
      </w:r>
      <w:r>
        <w:rPr>
          <w:rFonts w:hint="eastAsia"/>
          <w:color w:val="auto"/>
          <w:sz w:val="24"/>
        </w:rPr>
        <w:t>山东省水利科学研究院），计算方法如下：</w:t>
      </w:r>
    </w:p>
    <w:p w14:paraId="46C17AE0">
      <w:pPr>
        <w:spacing w:line="360" w:lineRule="auto"/>
        <w:ind w:firstLine="480" w:firstLineChars="200"/>
        <w:rPr>
          <w:color w:val="auto"/>
          <w:sz w:val="24"/>
          <w:vertAlign w:val="subscript"/>
        </w:rPr>
      </w:pPr>
      <w:r>
        <w:rPr>
          <w:rFonts w:hint="eastAsia"/>
          <w:color w:val="auto"/>
          <w:sz w:val="24"/>
        </w:rPr>
        <w:t>矿化度（</w:t>
      </w:r>
      <w:r>
        <w:rPr>
          <w:color w:val="auto"/>
          <w:sz w:val="24"/>
        </w:rPr>
        <w:t>g/L</w:t>
      </w:r>
      <w:r>
        <w:rPr>
          <w:rFonts w:hint="eastAsia"/>
          <w:color w:val="auto"/>
          <w:sz w:val="24"/>
        </w:rPr>
        <w:t>）</w:t>
      </w:r>
      <w:r>
        <w:rPr>
          <w:color w:val="auto"/>
          <w:sz w:val="24"/>
        </w:rPr>
        <w:t>=C</w:t>
      </w:r>
      <w:r>
        <w:rPr>
          <w:rFonts w:hint="eastAsia"/>
          <w:color w:val="auto"/>
          <w:sz w:val="24"/>
        </w:rPr>
        <w:t>（</w:t>
      </w:r>
      <w:r>
        <w:rPr>
          <w:color w:val="auto"/>
          <w:sz w:val="24"/>
        </w:rPr>
        <w:t>∑A</w:t>
      </w:r>
      <w:r>
        <w:rPr>
          <w:rFonts w:hint="eastAsia"/>
          <w:color w:val="auto"/>
          <w:sz w:val="24"/>
        </w:rPr>
        <w:t>）</w:t>
      </w:r>
      <w:r>
        <w:rPr>
          <w:color w:val="auto"/>
          <w:sz w:val="24"/>
        </w:rPr>
        <w:t>×M</w:t>
      </w:r>
      <w:r>
        <w:rPr>
          <w:color w:val="auto"/>
          <w:sz w:val="24"/>
          <w:vertAlign w:val="subscript"/>
        </w:rPr>
        <w:t>S</w:t>
      </w:r>
    </w:p>
    <w:p w14:paraId="54D03A94">
      <w:pPr>
        <w:spacing w:line="360" w:lineRule="auto"/>
        <w:ind w:firstLine="480" w:firstLineChars="200"/>
        <w:jc w:val="center"/>
        <w:rPr>
          <w:color w:val="auto"/>
          <w:sz w:val="24"/>
        </w:rPr>
      </w:pPr>
      <w:r>
        <w:rPr>
          <w:color w:val="auto"/>
          <w:sz w:val="24"/>
        </w:rPr>
        <w:t>SB=</w:t>
      </w:r>
      <m:oMath>
        <m:f>
          <m:fPr>
            <m:ctrlPr>
              <w:rPr>
                <w:rFonts w:ascii="Cambria Math" w:hAnsi="Cambria Math"/>
                <w:color w:val="auto"/>
                <w:sz w:val="24"/>
              </w:rPr>
            </m:ctrlPr>
          </m:fPr>
          <m:num>
            <m:r>
              <m:rPr>
                <m:sty m:val="p"/>
              </m:rPr>
              <w:rPr>
                <w:rFonts w:ascii="Cambria Math"/>
                <w:color w:val="auto"/>
                <w:sz w:val="24"/>
              </w:rPr>
              <m:t>C</m:t>
            </m:r>
            <m:r>
              <m:rPr>
                <m:sty m:val="p"/>
              </m:rPr>
              <w:rPr>
                <w:rFonts w:hint="eastAsia" w:ascii="Cambria Math" w:hAnsi="Cambria Math"/>
                <w:color w:val="auto"/>
                <w:sz w:val="24"/>
              </w:rPr>
              <m:t>（</m:t>
            </m:r>
            <m:f>
              <m:fPr>
                <m:type m:val="skw"/>
                <m:ctrlPr>
                  <w:rPr>
                    <w:rFonts w:ascii="Cambria Math" w:hAnsi="Cambria Math"/>
                    <w:color w:val="auto"/>
                    <w:sz w:val="24"/>
                  </w:rPr>
                </m:ctrlPr>
              </m:fPr>
              <m:num>
                <m:r>
                  <m:rPr>
                    <m:sty m:val="p"/>
                  </m:rPr>
                  <w:rPr>
                    <w:rFonts w:ascii="Cambria Math"/>
                    <w:color w:val="auto"/>
                    <w:sz w:val="24"/>
                  </w:rPr>
                  <m:t>1</m:t>
                </m:r>
                <m:ctrlPr>
                  <w:rPr>
                    <w:rFonts w:ascii="Cambria Math" w:hAnsi="Cambria Math"/>
                    <w:color w:val="auto"/>
                    <w:sz w:val="24"/>
                  </w:rPr>
                </m:ctrlPr>
              </m:num>
              <m:den>
                <m:r>
                  <m:rPr>
                    <m:sty m:val="p"/>
                  </m:rPr>
                  <w:rPr>
                    <w:rFonts w:ascii="Cambria Math"/>
                    <w:color w:val="auto"/>
                    <w:sz w:val="24"/>
                  </w:rPr>
                  <m:t>2</m:t>
                </m:r>
                <m:ctrlPr>
                  <w:rPr>
                    <w:rFonts w:ascii="Cambria Math" w:hAnsi="Cambria Math"/>
                    <w:color w:val="auto"/>
                    <w:sz w:val="24"/>
                  </w:rPr>
                </m:ctrlPr>
              </m:den>
            </m:f>
            <m:sSubSup>
              <m:sSubSupPr>
                <m:ctrlPr>
                  <w:rPr>
                    <w:rFonts w:ascii="Cambria Math" w:hAnsi="Cambria Math"/>
                    <w:color w:val="auto"/>
                    <w:sz w:val="24"/>
                  </w:rPr>
                </m:ctrlPr>
              </m:sSubSupPr>
              <m:e>
                <m:r>
                  <m:rPr>
                    <m:sty m:val="p"/>
                  </m:rPr>
                  <w:rPr>
                    <w:rFonts w:ascii="Cambria Math"/>
                    <w:color w:val="auto"/>
                    <w:sz w:val="24"/>
                  </w:rPr>
                  <m:t>SO</m:t>
                </m:r>
                <m:ctrlPr>
                  <w:rPr>
                    <w:rFonts w:ascii="Cambria Math" w:hAnsi="Cambria Math"/>
                    <w:color w:val="auto"/>
                    <w:sz w:val="24"/>
                  </w:rPr>
                </m:ctrlPr>
              </m:e>
              <m:sub>
                <m:r>
                  <m:rPr>
                    <m:sty m:val="p"/>
                  </m:rPr>
                  <w:rPr>
                    <w:rFonts w:ascii="Cambria Math"/>
                    <w:color w:val="auto"/>
                    <w:sz w:val="24"/>
                  </w:rPr>
                  <m:t>4</m:t>
                </m:r>
                <m:ctrlPr>
                  <w:rPr>
                    <w:rFonts w:ascii="Cambria Math" w:hAnsi="Cambria Math"/>
                    <w:color w:val="auto"/>
                    <w:sz w:val="24"/>
                  </w:rPr>
                </m:ctrlPr>
              </m:sub>
              <m:sup>
                <m:r>
                  <m:rPr>
                    <m:sty m:val="p"/>
                  </m:rPr>
                  <w:rPr>
                    <w:rFonts w:ascii="Cambria Math"/>
                    <w:color w:val="auto"/>
                    <w:sz w:val="24"/>
                  </w:rPr>
                  <m:t>2−</m:t>
                </m:r>
                <m:ctrlPr>
                  <w:rPr>
                    <w:rFonts w:ascii="Cambria Math" w:hAnsi="Cambria Math"/>
                    <w:color w:val="auto"/>
                    <w:sz w:val="24"/>
                  </w:rPr>
                </m:ctrlPr>
              </m:sup>
            </m:sSubSup>
            <m:r>
              <m:rPr>
                <m:sty m:val="p"/>
              </m:rPr>
              <w:rPr>
                <w:rFonts w:hint="eastAsia" w:ascii="Cambria Math" w:hAnsi="Cambria Math"/>
                <w:color w:val="auto"/>
                <w:sz w:val="24"/>
              </w:rPr>
              <m:t>）</m:t>
            </m:r>
            <m:ctrlPr>
              <w:rPr>
                <w:rFonts w:ascii="Cambria Math" w:hAnsi="Cambria Math"/>
                <w:color w:val="auto"/>
                <w:sz w:val="24"/>
              </w:rPr>
            </m:ctrlPr>
          </m:num>
          <m:den>
            <m:r>
              <m:rPr>
                <m:sty m:val="p"/>
              </m:rPr>
              <w:rPr>
                <w:rFonts w:ascii="Cambria Math"/>
                <w:color w:val="auto"/>
                <w:sz w:val="24"/>
              </w:rPr>
              <m:t>C(</m:t>
            </m:r>
            <m:r>
              <m:rPr>
                <m:sty m:val="p"/>
              </m:rPr>
              <w:rPr>
                <w:rFonts w:ascii="Cambria Math" w:hAnsi="Cambria Math"/>
                <w:color w:val="auto"/>
                <w:sz w:val="24"/>
              </w:rPr>
              <m:t>∑</m:t>
            </m:r>
            <m:r>
              <m:rPr>
                <m:sty m:val="p"/>
              </m:rPr>
              <w:rPr>
                <w:rFonts w:ascii="Cambria Math"/>
                <w:color w:val="auto"/>
                <w:sz w:val="24"/>
              </w:rPr>
              <m:t>A)</m:t>
            </m:r>
            <m:ctrlPr>
              <w:rPr>
                <w:rFonts w:ascii="Cambria Math" w:hAnsi="Cambria Math"/>
                <w:color w:val="auto"/>
                <w:sz w:val="24"/>
              </w:rPr>
            </m:ctrlPr>
          </m:den>
        </m:f>
      </m:oMath>
      <w:r>
        <w:rPr>
          <w:rFonts w:hint="eastAsia"/>
          <w:color w:val="auto"/>
          <w:sz w:val="24"/>
        </w:rPr>
        <w:t>或</w:t>
      </w:r>
      <m:oMath>
        <m:f>
          <m:fPr>
            <m:ctrlPr>
              <w:rPr>
                <w:rFonts w:ascii="Cambria Math" w:hAnsi="Cambria Math"/>
                <w:color w:val="auto"/>
                <w:sz w:val="24"/>
              </w:rPr>
            </m:ctrlPr>
          </m:fPr>
          <m:num>
            <m:r>
              <m:rPr>
                <m:sty m:val="p"/>
              </m:rPr>
              <w:rPr>
                <w:rFonts w:ascii="Cambria Math"/>
                <w:color w:val="auto"/>
                <w:sz w:val="24"/>
              </w:rPr>
              <m:t>C</m:t>
            </m:r>
            <m:d>
              <m:dPr>
                <m:ctrlPr>
                  <w:rPr>
                    <w:rFonts w:ascii="Cambria Math" w:hAnsi="Cambria Math"/>
                    <w:color w:val="auto"/>
                    <w:sz w:val="24"/>
                  </w:rPr>
                </m:ctrlPr>
              </m:dPr>
              <m:e>
                <m:r>
                  <m:rPr>
                    <m:sty m:val="p"/>
                  </m:rPr>
                  <w:rPr>
                    <w:rFonts w:ascii="Cambria Math" w:hAnsi="Cambria Math"/>
                    <w:color w:val="auto"/>
                    <w:sz w:val="24"/>
                  </w:rPr>
                  <m:t>∑</m:t>
                </m:r>
                <m:r>
                  <m:rPr>
                    <m:sty m:val="p"/>
                  </m:rPr>
                  <w:rPr>
                    <w:rFonts w:ascii="Cambria Math"/>
                    <w:color w:val="auto"/>
                    <w:sz w:val="24"/>
                  </w:rPr>
                  <m:t>H</m:t>
                </m:r>
                <m:ctrlPr>
                  <w:rPr>
                    <w:rFonts w:ascii="Cambria Math" w:hAnsi="Cambria Math"/>
                    <w:color w:val="auto"/>
                    <w:sz w:val="24"/>
                  </w:rPr>
                </m:ctrlPr>
              </m:e>
            </m:d>
            <m:r>
              <m:rPr>
                <m:sty m:val="p"/>
              </m:rPr>
              <w:rPr>
                <w:rFonts w:ascii="Cambria Math" w:hAnsi="Cambria Math"/>
                <w:color w:val="auto"/>
                <w:sz w:val="24"/>
              </w:rPr>
              <m:t>−</m:t>
            </m:r>
            <m:r>
              <m:rPr>
                <m:sty m:val="p"/>
              </m:rPr>
              <w:rPr>
                <w:rFonts w:ascii="Cambria Math"/>
                <w:color w:val="auto"/>
                <w:sz w:val="24"/>
              </w:rPr>
              <m:t>C(</m:t>
            </m:r>
            <m:sSup>
              <m:sSupPr>
                <m:ctrlPr>
                  <w:rPr>
                    <w:rFonts w:ascii="Cambria Math" w:hAnsi="Cambria Math"/>
                    <w:color w:val="auto"/>
                    <w:sz w:val="24"/>
                  </w:rPr>
                </m:ctrlPr>
              </m:sSupPr>
              <m:e>
                <m:r>
                  <m:rPr>
                    <m:sty m:val="p"/>
                  </m:rPr>
                  <w:rPr>
                    <w:rFonts w:ascii="Cambria Math"/>
                    <w:color w:val="auto"/>
                    <w:sz w:val="24"/>
                  </w:rPr>
                  <m:t>Cl</m:t>
                </m:r>
                <m:ctrlPr>
                  <w:rPr>
                    <w:rFonts w:ascii="Cambria Math" w:hAnsi="Cambria Math"/>
                    <w:color w:val="auto"/>
                    <w:sz w:val="24"/>
                  </w:rPr>
                </m:ctrlPr>
              </m:e>
              <m:sup>
                <m:r>
                  <m:rPr>
                    <m:sty m:val="p"/>
                  </m:rPr>
                  <w:rPr>
                    <w:rFonts w:ascii="Cambria Math" w:hAnsi="Cambria Math"/>
                    <w:color w:val="auto"/>
                    <w:sz w:val="24"/>
                  </w:rPr>
                  <m:t>−</m:t>
                </m:r>
                <m:ctrlPr>
                  <w:rPr>
                    <w:rFonts w:ascii="Cambria Math" w:hAnsi="Cambria Math"/>
                    <w:color w:val="auto"/>
                    <w:sz w:val="24"/>
                  </w:rPr>
                </m:ctrlPr>
              </m:sup>
            </m:sSup>
            <m:r>
              <m:rPr>
                <m:sty m:val="p"/>
              </m:rPr>
              <w:rPr>
                <w:rFonts w:ascii="Cambria Math"/>
                <w:color w:val="auto"/>
                <w:sz w:val="24"/>
              </w:rPr>
              <m:t>)</m:t>
            </m:r>
            <m:ctrlPr>
              <w:rPr>
                <w:rFonts w:ascii="Cambria Math" w:hAnsi="Cambria Math"/>
                <w:color w:val="auto"/>
                <w:sz w:val="24"/>
              </w:rPr>
            </m:ctrlPr>
          </m:num>
          <m:den>
            <m:r>
              <m:rPr>
                <m:sty m:val="p"/>
              </m:rPr>
              <w:rPr>
                <w:rFonts w:ascii="Cambria Math"/>
                <w:color w:val="auto"/>
                <w:sz w:val="24"/>
              </w:rPr>
              <m:t>C(</m:t>
            </m:r>
            <m:r>
              <m:rPr>
                <m:sty m:val="p"/>
              </m:rPr>
              <w:rPr>
                <w:rFonts w:ascii="Cambria Math" w:hAnsi="Cambria Math"/>
                <w:color w:val="auto"/>
                <w:sz w:val="24"/>
              </w:rPr>
              <m:t>∑</m:t>
            </m:r>
            <m:r>
              <m:rPr>
                <m:sty m:val="p"/>
              </m:rPr>
              <w:rPr>
                <w:rFonts w:ascii="Cambria Math"/>
                <w:color w:val="auto"/>
                <w:sz w:val="24"/>
              </w:rPr>
              <m:t>A)</m:t>
            </m:r>
            <m:ctrlPr>
              <w:rPr>
                <w:rFonts w:ascii="Cambria Math" w:hAnsi="Cambria Math"/>
                <w:color w:val="auto"/>
                <w:sz w:val="24"/>
              </w:rPr>
            </m:ctrlPr>
          </m:den>
        </m:f>
      </m:oMath>
    </w:p>
    <w:p w14:paraId="48EBCB79">
      <w:pPr>
        <w:spacing w:line="360" w:lineRule="auto"/>
        <w:ind w:firstLine="480" w:firstLineChars="200"/>
        <w:jc w:val="center"/>
        <w:rPr>
          <w:color w:val="auto"/>
          <w:sz w:val="24"/>
        </w:rPr>
      </w:pPr>
      <w:r>
        <w:rPr>
          <w:color w:val="auto"/>
          <w:sz w:val="24"/>
        </w:rPr>
        <w:t>HCB=</w:t>
      </w:r>
      <m:oMath>
        <m:f>
          <m:fPr>
            <m:ctrlPr>
              <w:rPr>
                <w:rFonts w:ascii="Cambria Math" w:hAnsi="Cambria Math"/>
                <w:color w:val="auto"/>
                <w:sz w:val="24"/>
              </w:rPr>
            </m:ctrlPr>
          </m:fPr>
          <m:num>
            <m:r>
              <m:rPr>
                <m:sty m:val="p"/>
              </m:rPr>
              <w:rPr>
                <w:rFonts w:ascii="Cambria Math"/>
                <w:color w:val="auto"/>
                <w:sz w:val="24"/>
              </w:rPr>
              <m:t>C(</m:t>
            </m:r>
            <m:sSubSup>
              <m:sSubSupPr>
                <m:ctrlPr>
                  <w:rPr>
                    <w:rFonts w:ascii="Cambria Math" w:hAnsi="Cambria Math"/>
                    <w:color w:val="auto"/>
                    <w:sz w:val="24"/>
                  </w:rPr>
                </m:ctrlPr>
              </m:sSubSupPr>
              <m:e>
                <m:r>
                  <m:rPr>
                    <m:sty m:val="p"/>
                  </m:rPr>
                  <w:rPr>
                    <w:rFonts w:ascii="Cambria Math"/>
                    <w:color w:val="auto"/>
                    <w:sz w:val="24"/>
                  </w:rPr>
                  <m:t>HCO</m:t>
                </m:r>
                <m:ctrlPr>
                  <w:rPr>
                    <w:rFonts w:ascii="Cambria Math" w:hAnsi="Cambria Math"/>
                    <w:color w:val="auto"/>
                    <w:sz w:val="24"/>
                  </w:rPr>
                </m:ctrlPr>
              </m:e>
              <m:sub>
                <m:r>
                  <m:rPr>
                    <m:sty m:val="p"/>
                  </m:rPr>
                  <w:rPr>
                    <w:rFonts w:ascii="Cambria Math"/>
                    <w:color w:val="auto"/>
                    <w:sz w:val="24"/>
                  </w:rPr>
                  <m:t>3</m:t>
                </m:r>
                <m:ctrlPr>
                  <w:rPr>
                    <w:rFonts w:ascii="Cambria Math" w:hAnsi="Cambria Math"/>
                    <w:color w:val="auto"/>
                    <w:sz w:val="24"/>
                  </w:rPr>
                </m:ctrlPr>
              </m:sub>
              <m:sup>
                <m:r>
                  <m:rPr>
                    <m:sty m:val="p"/>
                  </m:rPr>
                  <w:rPr>
                    <w:rFonts w:ascii="Cambria Math" w:hAnsi="Cambria Math"/>
                    <w:color w:val="auto"/>
                    <w:sz w:val="24"/>
                  </w:rPr>
                  <m:t>−</m:t>
                </m:r>
                <m:ctrlPr>
                  <w:rPr>
                    <w:rFonts w:ascii="Cambria Math" w:hAnsi="Cambria Math"/>
                    <w:color w:val="auto"/>
                    <w:sz w:val="24"/>
                  </w:rPr>
                </m:ctrlPr>
              </m:sup>
            </m:sSubSup>
            <m:r>
              <m:rPr>
                <m:sty m:val="p"/>
              </m:rPr>
              <w:rPr>
                <w:rFonts w:ascii="Cambria Math"/>
                <w:color w:val="auto"/>
                <w:sz w:val="24"/>
              </w:rPr>
              <m:t>)</m:t>
            </m:r>
            <m:ctrlPr>
              <w:rPr>
                <w:rFonts w:ascii="Cambria Math" w:hAnsi="Cambria Math"/>
                <w:color w:val="auto"/>
                <w:sz w:val="24"/>
              </w:rPr>
            </m:ctrlPr>
          </m:num>
          <m:den>
            <m:r>
              <m:rPr>
                <m:sty m:val="p"/>
              </m:rPr>
              <w:rPr>
                <w:rFonts w:ascii="Cambria Math"/>
                <w:color w:val="auto"/>
                <w:sz w:val="24"/>
              </w:rPr>
              <m:t>C</m:t>
            </m:r>
            <m:d>
              <m:dPr>
                <m:ctrlPr>
                  <w:rPr>
                    <w:rFonts w:ascii="Cambria Math" w:hAnsi="Cambria Math"/>
                    <w:color w:val="auto"/>
                    <w:sz w:val="24"/>
                  </w:rPr>
                </m:ctrlPr>
              </m:dPr>
              <m:e>
                <m:f>
                  <m:fPr>
                    <m:type m:val="skw"/>
                    <m:ctrlPr>
                      <w:rPr>
                        <w:rFonts w:ascii="Cambria Math" w:hAnsi="Cambria Math"/>
                        <w:color w:val="auto"/>
                        <w:sz w:val="24"/>
                      </w:rPr>
                    </m:ctrlPr>
                  </m:fPr>
                  <m:num>
                    <m:r>
                      <m:rPr>
                        <m:sty m:val="p"/>
                      </m:rPr>
                      <w:rPr>
                        <w:rFonts w:ascii="Cambria Math"/>
                        <w:color w:val="auto"/>
                        <w:sz w:val="24"/>
                      </w:rPr>
                      <m:t>1</m:t>
                    </m:r>
                    <m:ctrlPr>
                      <w:rPr>
                        <w:rFonts w:ascii="Cambria Math" w:hAnsi="Cambria Math"/>
                        <w:color w:val="auto"/>
                        <w:sz w:val="24"/>
                      </w:rPr>
                    </m:ctrlPr>
                  </m:num>
                  <m:den>
                    <m:r>
                      <m:rPr>
                        <m:sty m:val="p"/>
                      </m:rPr>
                      <w:rPr>
                        <w:rFonts w:ascii="Cambria Math"/>
                        <w:color w:val="auto"/>
                        <w:sz w:val="24"/>
                      </w:rPr>
                      <m:t>2</m:t>
                    </m:r>
                    <m:ctrlPr>
                      <w:rPr>
                        <w:rFonts w:ascii="Cambria Math" w:hAnsi="Cambria Math"/>
                        <w:color w:val="auto"/>
                        <w:sz w:val="24"/>
                      </w:rPr>
                    </m:ctrlPr>
                  </m:den>
                </m:f>
                <m:sSubSup>
                  <m:sSubSupPr>
                    <m:ctrlPr>
                      <w:rPr>
                        <w:rFonts w:ascii="Cambria Math" w:hAnsi="Cambria Math"/>
                        <w:color w:val="auto"/>
                        <w:sz w:val="24"/>
                      </w:rPr>
                    </m:ctrlPr>
                  </m:sSubSupPr>
                  <m:e>
                    <m:r>
                      <m:rPr>
                        <m:sty m:val="p"/>
                      </m:rPr>
                      <w:rPr>
                        <w:rFonts w:ascii="Cambria Math"/>
                        <w:color w:val="auto"/>
                        <w:sz w:val="24"/>
                      </w:rPr>
                      <m:t>CO</m:t>
                    </m:r>
                    <m:ctrlPr>
                      <w:rPr>
                        <w:rFonts w:ascii="Cambria Math" w:hAnsi="Cambria Math"/>
                        <w:color w:val="auto"/>
                        <w:sz w:val="24"/>
                      </w:rPr>
                    </m:ctrlPr>
                  </m:e>
                  <m:sub>
                    <m:r>
                      <m:rPr>
                        <m:sty m:val="p"/>
                      </m:rPr>
                      <w:rPr>
                        <w:rFonts w:ascii="Cambria Math"/>
                        <w:color w:val="auto"/>
                        <w:sz w:val="24"/>
                      </w:rPr>
                      <m:t>3</m:t>
                    </m:r>
                    <m:ctrlPr>
                      <w:rPr>
                        <w:rFonts w:ascii="Cambria Math" w:hAnsi="Cambria Math"/>
                        <w:color w:val="auto"/>
                        <w:sz w:val="24"/>
                      </w:rPr>
                    </m:ctrlPr>
                  </m:sub>
                  <m:sup>
                    <m:r>
                      <m:rPr>
                        <m:sty m:val="p"/>
                      </m:rPr>
                      <w:rPr>
                        <w:rFonts w:ascii="Cambria Math"/>
                        <w:color w:val="auto"/>
                        <w:sz w:val="24"/>
                      </w:rPr>
                      <m:t>2−</m:t>
                    </m:r>
                    <m:ctrlPr>
                      <w:rPr>
                        <w:rFonts w:ascii="Cambria Math" w:hAnsi="Cambria Math"/>
                        <w:color w:val="auto"/>
                        <w:sz w:val="24"/>
                      </w:rPr>
                    </m:ctrlPr>
                  </m:sup>
                </m:sSubSup>
                <m:ctrlPr>
                  <w:rPr>
                    <w:rFonts w:ascii="Cambria Math" w:hAnsi="Cambria Math"/>
                    <w:color w:val="auto"/>
                    <w:sz w:val="24"/>
                  </w:rPr>
                </m:ctrlPr>
              </m:e>
            </m:d>
            <m:r>
              <m:rPr>
                <m:sty m:val="p"/>
              </m:rPr>
              <w:rPr>
                <w:rFonts w:ascii="Cambria Math"/>
                <w:color w:val="auto"/>
                <w:sz w:val="24"/>
              </w:rPr>
              <m:t>+C(</m:t>
            </m:r>
            <m:sSup>
              <m:sSupPr>
                <m:ctrlPr>
                  <w:rPr>
                    <w:rFonts w:ascii="Cambria Math" w:hAnsi="Cambria Math"/>
                    <w:color w:val="auto"/>
                    <w:sz w:val="24"/>
                  </w:rPr>
                </m:ctrlPr>
              </m:sSupPr>
              <m:e>
                <m:r>
                  <m:rPr>
                    <m:sty m:val="p"/>
                  </m:rPr>
                  <w:rPr>
                    <w:rFonts w:ascii="Cambria Math"/>
                    <w:color w:val="auto"/>
                    <w:sz w:val="24"/>
                  </w:rPr>
                  <m:t>Cl</m:t>
                </m:r>
                <m:ctrlPr>
                  <w:rPr>
                    <w:rFonts w:ascii="Cambria Math" w:hAnsi="Cambria Math"/>
                    <w:color w:val="auto"/>
                    <w:sz w:val="24"/>
                  </w:rPr>
                </m:ctrlPr>
              </m:e>
              <m:sup>
                <m:r>
                  <m:rPr>
                    <m:sty m:val="p"/>
                  </m:rPr>
                  <w:rPr>
                    <w:rFonts w:ascii="Cambria Math" w:hAnsi="Cambria Math"/>
                    <w:color w:val="auto"/>
                    <w:sz w:val="24"/>
                  </w:rPr>
                  <m:t>−</m:t>
                </m:r>
                <m:ctrlPr>
                  <w:rPr>
                    <w:rFonts w:ascii="Cambria Math" w:hAnsi="Cambria Math"/>
                    <w:color w:val="auto"/>
                    <w:sz w:val="24"/>
                  </w:rPr>
                </m:ctrlPr>
              </m:sup>
            </m:sSup>
            <m:r>
              <m:rPr>
                <m:sty m:val="p"/>
              </m:rPr>
              <w:rPr>
                <w:rFonts w:ascii="Cambria Math"/>
                <w:color w:val="auto"/>
                <w:sz w:val="24"/>
              </w:rPr>
              <m:t>)</m:t>
            </m:r>
            <m:ctrlPr>
              <w:rPr>
                <w:rFonts w:ascii="Cambria Math" w:hAnsi="Cambria Math"/>
                <w:color w:val="auto"/>
                <w:sz w:val="24"/>
              </w:rPr>
            </m:ctrlPr>
          </m:den>
        </m:f>
      </m:oMath>
    </w:p>
    <w:p w14:paraId="2A2F12AD">
      <w:pPr>
        <w:spacing w:line="360" w:lineRule="auto"/>
        <w:ind w:firstLine="480" w:firstLineChars="200"/>
        <w:rPr>
          <w:color w:val="auto"/>
          <w:sz w:val="24"/>
        </w:rPr>
      </w:pPr>
      <w:r>
        <w:rPr>
          <w:rFonts w:hint="eastAsia"/>
          <w:color w:val="auto"/>
          <w:sz w:val="24"/>
        </w:rPr>
        <w:t>注：</w:t>
      </w:r>
      <w:r>
        <w:rPr>
          <w:color w:val="auto"/>
          <w:sz w:val="24"/>
        </w:rPr>
        <w:t>Ms</w:t>
      </w:r>
      <w:r>
        <w:rPr>
          <w:rFonts w:hint="eastAsia"/>
          <w:color w:val="auto"/>
          <w:sz w:val="24"/>
        </w:rPr>
        <w:t>是在计算出</w:t>
      </w:r>
      <w:r>
        <w:rPr>
          <w:color w:val="auto"/>
          <w:sz w:val="24"/>
        </w:rPr>
        <w:t>SB</w:t>
      </w:r>
      <w:r>
        <w:rPr>
          <w:rFonts w:hint="eastAsia"/>
          <w:color w:val="auto"/>
          <w:sz w:val="24"/>
        </w:rPr>
        <w:t>值和</w:t>
      </w:r>
      <w:r>
        <w:rPr>
          <w:color w:val="auto"/>
          <w:sz w:val="24"/>
        </w:rPr>
        <w:t>HCB</w:t>
      </w:r>
      <w:r>
        <w:rPr>
          <w:rFonts w:hint="eastAsia"/>
          <w:color w:val="auto"/>
          <w:sz w:val="24"/>
        </w:rPr>
        <w:t>值后查表4-2-</w:t>
      </w:r>
      <w:r>
        <w:rPr>
          <w:color w:val="auto"/>
          <w:sz w:val="24"/>
        </w:rPr>
        <w:t>10</w:t>
      </w:r>
      <w:r>
        <w:rPr>
          <w:rFonts w:hint="eastAsia"/>
          <w:color w:val="auto"/>
          <w:sz w:val="24"/>
        </w:rPr>
        <w:t>中查得。</w:t>
      </w:r>
    </w:p>
    <w:p w14:paraId="6151DDAE">
      <w:pPr>
        <w:pStyle w:val="76"/>
        <w:rPr>
          <w:snapToGrid w:val="0"/>
          <w:color w:val="auto"/>
        </w:rPr>
      </w:pPr>
      <w:r>
        <w:rPr>
          <w:rFonts w:hint="eastAsia"/>
          <w:snapToGrid w:val="0"/>
          <w:color w:val="auto"/>
        </w:rPr>
        <w:t>表4-2-</w:t>
      </w:r>
      <w:r>
        <w:rPr>
          <w:snapToGrid w:val="0"/>
          <w:color w:val="auto"/>
        </w:rPr>
        <w:t>10</w:t>
      </w:r>
      <w:r>
        <w:rPr>
          <w:rFonts w:hint="eastAsia"/>
          <w:snapToGrid w:val="0"/>
          <w:color w:val="auto"/>
        </w:rPr>
        <w:t xml:space="preserve">  </w:t>
      </w:r>
      <w:r>
        <w:rPr>
          <w:snapToGrid w:val="0"/>
          <w:color w:val="auto"/>
        </w:rPr>
        <w:t>SB</w:t>
      </w:r>
      <w:r>
        <w:rPr>
          <w:rFonts w:hint="eastAsia"/>
          <w:snapToGrid w:val="0"/>
          <w:color w:val="auto"/>
        </w:rPr>
        <w:t>、</w:t>
      </w:r>
      <w:r>
        <w:rPr>
          <w:snapToGrid w:val="0"/>
          <w:color w:val="auto"/>
        </w:rPr>
        <w:t>HCB</w:t>
      </w:r>
      <w:r>
        <w:rPr>
          <w:rFonts w:hint="eastAsia"/>
          <w:snapToGrid w:val="0"/>
          <w:color w:val="auto"/>
        </w:rPr>
        <w:t>、</w:t>
      </w:r>
      <w:r>
        <w:rPr>
          <w:snapToGrid w:val="0"/>
          <w:color w:val="auto"/>
        </w:rPr>
        <w:t>Ms</w:t>
      </w:r>
      <w:r>
        <w:rPr>
          <w:rFonts w:hint="eastAsia"/>
          <w:snapToGrid w:val="0"/>
          <w:color w:val="auto"/>
        </w:rPr>
        <w:t>关系表</w:t>
      </w:r>
    </w:p>
    <w:p w14:paraId="17E5840B">
      <w:pPr>
        <w:spacing w:line="360" w:lineRule="auto"/>
        <w:jc w:val="center"/>
        <w:rPr>
          <w:color w:val="auto"/>
        </w:rPr>
      </w:pPr>
      <w:r>
        <w:rPr>
          <w:color w:val="auto"/>
        </w:rPr>
        <w:drawing>
          <wp:inline distT="0" distB="0" distL="0" distR="0">
            <wp:extent cx="5274310" cy="2978785"/>
            <wp:effectExtent l="19050" t="0" r="2540" b="0"/>
            <wp:docPr id="1089" name="图片 1"/>
            <wp:cNvGraphicFramePr/>
            <a:graphic xmlns:a="http://schemas.openxmlformats.org/drawingml/2006/main">
              <a:graphicData uri="http://schemas.openxmlformats.org/drawingml/2006/picture">
                <pic:pic xmlns:pic="http://schemas.openxmlformats.org/drawingml/2006/picture">
                  <pic:nvPicPr>
                    <pic:cNvPr id="1089" name="图片 1"/>
                    <pic:cNvPicPr/>
                  </pic:nvPicPr>
                  <pic:blipFill>
                    <a:blip r:embed="rId43" cstate="print"/>
                    <a:srcRect/>
                    <a:stretch>
                      <a:fillRect/>
                    </a:stretch>
                  </pic:blipFill>
                  <pic:spPr>
                    <a:xfrm>
                      <a:off x="0" y="0"/>
                      <a:ext cx="5274310" cy="2979294"/>
                    </a:xfrm>
                    <a:prstGeom prst="rect">
                      <a:avLst/>
                    </a:prstGeom>
                    <a:ln>
                      <a:noFill/>
                    </a:ln>
                  </pic:spPr>
                </pic:pic>
              </a:graphicData>
            </a:graphic>
          </wp:inline>
        </w:drawing>
      </w:r>
    </w:p>
    <w:p w14:paraId="59D7DEB4">
      <w:pPr>
        <w:spacing w:line="360" w:lineRule="auto"/>
        <w:ind w:firstLine="480" w:firstLineChars="200"/>
        <w:rPr>
          <w:color w:val="auto"/>
          <w:sz w:val="24"/>
        </w:rPr>
      </w:pPr>
      <w:r>
        <w:rPr>
          <w:rFonts w:hint="eastAsia"/>
          <w:color w:val="auto"/>
          <w:sz w:val="24"/>
        </w:rPr>
        <w:t>第四步，将地下水化学类型用阿拉伯数字（</w:t>
      </w:r>
      <w:r>
        <w:rPr>
          <w:color w:val="auto"/>
          <w:sz w:val="24"/>
        </w:rPr>
        <w:t>1</w:t>
      </w:r>
      <w:r>
        <w:rPr>
          <w:rFonts w:hint="eastAsia"/>
          <w:color w:val="auto"/>
          <w:sz w:val="24"/>
        </w:rPr>
        <w:t>～</w:t>
      </w:r>
      <w:r>
        <w:rPr>
          <w:color w:val="auto"/>
          <w:sz w:val="24"/>
        </w:rPr>
        <w:t>49</w:t>
      </w:r>
      <w:r>
        <w:rPr>
          <w:rFonts w:hint="eastAsia"/>
          <w:color w:val="auto"/>
          <w:sz w:val="24"/>
        </w:rPr>
        <w:t>）与字母（</w:t>
      </w:r>
      <w:r>
        <w:rPr>
          <w:color w:val="auto"/>
          <w:sz w:val="24"/>
        </w:rPr>
        <w:t>A</w:t>
      </w:r>
      <w:r>
        <w:rPr>
          <w:rFonts w:hint="eastAsia"/>
          <w:color w:val="auto"/>
          <w:sz w:val="24"/>
        </w:rPr>
        <w:t>、</w:t>
      </w:r>
      <w:r>
        <w:rPr>
          <w:color w:val="auto"/>
          <w:sz w:val="24"/>
        </w:rPr>
        <w:t>B</w:t>
      </w:r>
      <w:r>
        <w:rPr>
          <w:rFonts w:hint="eastAsia"/>
          <w:color w:val="auto"/>
          <w:sz w:val="24"/>
        </w:rPr>
        <w:t>、</w:t>
      </w:r>
      <w:r>
        <w:rPr>
          <w:color w:val="auto"/>
          <w:sz w:val="24"/>
        </w:rPr>
        <w:t>C</w:t>
      </w:r>
      <w:r>
        <w:rPr>
          <w:rFonts w:hint="eastAsia"/>
          <w:color w:val="auto"/>
          <w:sz w:val="24"/>
        </w:rPr>
        <w:t>或</w:t>
      </w:r>
      <w:r>
        <w:rPr>
          <w:color w:val="auto"/>
          <w:sz w:val="24"/>
        </w:rPr>
        <w:t>D</w:t>
      </w:r>
      <w:r>
        <w:rPr>
          <w:rFonts w:hint="eastAsia"/>
          <w:color w:val="auto"/>
          <w:sz w:val="24"/>
        </w:rPr>
        <w:t>）组合在一起的表达式表示</w:t>
      </w:r>
    </w:p>
    <w:p w14:paraId="03A06832">
      <w:pPr>
        <w:spacing w:line="360" w:lineRule="auto"/>
        <w:ind w:firstLine="480" w:firstLineChars="200"/>
        <w:rPr>
          <w:b/>
          <w:snapToGrid w:val="0"/>
          <w:color w:val="auto"/>
          <w:sz w:val="24"/>
        </w:rPr>
      </w:pPr>
      <w:r>
        <w:rPr>
          <w:rFonts w:hint="eastAsia"/>
          <w:color w:val="auto"/>
          <w:sz w:val="24"/>
        </w:rPr>
        <w:t>本次监测换算结果见下表。</w:t>
      </w:r>
    </w:p>
    <w:p w14:paraId="18515D5A">
      <w:pPr>
        <w:pStyle w:val="76"/>
        <w:rPr>
          <w:color w:val="auto"/>
          <w:highlight w:val="none"/>
        </w:rPr>
      </w:pPr>
      <w:r>
        <w:rPr>
          <w:color w:val="auto"/>
          <w:highlight w:val="none"/>
        </w:rPr>
        <w:t>表</w:t>
      </w:r>
      <w:r>
        <w:rPr>
          <w:rFonts w:hint="eastAsia"/>
          <w:color w:val="auto"/>
          <w:highlight w:val="none"/>
        </w:rPr>
        <w:t>4-2-1</w:t>
      </w:r>
      <w:r>
        <w:rPr>
          <w:color w:val="auto"/>
          <w:highlight w:val="none"/>
        </w:rPr>
        <w:t>1八大离子的检测结果统计表</w:t>
      </w:r>
    </w:p>
    <w:tbl>
      <w:tblPr>
        <w:tblStyle w:val="770"/>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63"/>
        <w:gridCol w:w="1726"/>
        <w:gridCol w:w="1701"/>
        <w:gridCol w:w="1715"/>
        <w:gridCol w:w="1717"/>
      </w:tblGrid>
      <w:tr w14:paraId="7FBF7E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23" w:hRule="atLeast"/>
        </w:trPr>
        <w:tc>
          <w:tcPr>
            <w:tcW w:w="3389" w:type="dxa"/>
            <w:gridSpan w:val="2"/>
            <w:vAlign w:val="center"/>
          </w:tcPr>
          <w:p w14:paraId="0843A343">
            <w:pPr>
              <w:spacing w:line="0" w:lineRule="atLeast"/>
              <w:jc w:val="center"/>
              <w:rPr>
                <w:rFonts w:ascii="Times New Roman" w:hAnsi="Times New Roman"/>
                <w:b/>
                <w:color w:val="auto"/>
                <w:kern w:val="0"/>
                <w:highlight w:val="none"/>
              </w:rPr>
            </w:pPr>
            <w:r>
              <w:rPr>
                <w:rFonts w:ascii="Segoe UI Symbol" w:hAnsi="Segoe UI Symbol" w:cs="Segoe UI Symbol"/>
                <w:b/>
                <w:color w:val="auto"/>
                <w:kern w:val="0"/>
                <w:highlight w:val="none"/>
              </w:rPr>
              <w:t>☆</w:t>
            </w:r>
            <w:r>
              <w:rPr>
                <w:rFonts w:ascii="Times New Roman" w:hAnsi="Times New Roman"/>
                <w:b/>
                <w:color w:val="auto"/>
                <w:kern w:val="0"/>
                <w:highlight w:val="none"/>
              </w:rPr>
              <w:t>01离子</w:t>
            </w:r>
          </w:p>
        </w:tc>
        <w:tc>
          <w:tcPr>
            <w:tcW w:w="1701" w:type="dxa"/>
            <w:vAlign w:val="center"/>
          </w:tcPr>
          <w:p w14:paraId="51C4720A">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mg/L</w:t>
            </w:r>
          </w:p>
        </w:tc>
        <w:tc>
          <w:tcPr>
            <w:tcW w:w="1715" w:type="dxa"/>
            <w:vAlign w:val="center"/>
          </w:tcPr>
          <w:p w14:paraId="1A184AE0">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meq/L</w:t>
            </w:r>
          </w:p>
        </w:tc>
        <w:tc>
          <w:tcPr>
            <w:tcW w:w="1717" w:type="dxa"/>
            <w:vAlign w:val="center"/>
          </w:tcPr>
          <w:p w14:paraId="12908A60">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meq%</w:t>
            </w:r>
          </w:p>
        </w:tc>
      </w:tr>
      <w:tr w14:paraId="3538FB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663" w:type="dxa"/>
            <w:vMerge w:val="restart"/>
            <w:vAlign w:val="center"/>
          </w:tcPr>
          <w:p w14:paraId="25730567">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阳</w:t>
            </w:r>
          </w:p>
          <w:p w14:paraId="15C0A11F">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离</w:t>
            </w:r>
          </w:p>
          <w:p w14:paraId="7550ECFF">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子</w:t>
            </w:r>
          </w:p>
        </w:tc>
        <w:tc>
          <w:tcPr>
            <w:tcW w:w="1726" w:type="dxa"/>
            <w:vAlign w:val="center"/>
          </w:tcPr>
          <w:p w14:paraId="26572096">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K</w:t>
            </w:r>
            <w:r>
              <w:rPr>
                <w:rFonts w:ascii="Times New Roman" w:hAnsi="Times New Roman"/>
                <w:color w:val="auto"/>
                <w:kern w:val="0"/>
                <w:highlight w:val="none"/>
                <w:vertAlign w:val="superscript"/>
              </w:rPr>
              <w:t>+</w:t>
            </w:r>
            <w:r>
              <w:rPr>
                <w:rFonts w:ascii="Times New Roman" w:hAnsi="Times New Roman"/>
                <w:color w:val="auto"/>
                <w:kern w:val="0"/>
                <w:highlight w:val="none"/>
              </w:rPr>
              <w:t>+Na</w:t>
            </w:r>
            <w:r>
              <w:rPr>
                <w:rFonts w:ascii="Times New Roman" w:hAnsi="Times New Roman"/>
                <w:color w:val="auto"/>
                <w:kern w:val="0"/>
                <w:highlight w:val="none"/>
                <w:vertAlign w:val="superscript"/>
              </w:rPr>
              <w:t>+</w:t>
            </w:r>
          </w:p>
        </w:tc>
        <w:tc>
          <w:tcPr>
            <w:tcW w:w="1701" w:type="dxa"/>
            <w:vAlign w:val="center"/>
          </w:tcPr>
          <w:p w14:paraId="09974E9D">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32.4</w:t>
            </w:r>
          </w:p>
        </w:tc>
        <w:tc>
          <w:tcPr>
            <w:tcW w:w="1715" w:type="dxa"/>
            <w:vAlign w:val="center"/>
          </w:tcPr>
          <w:p w14:paraId="07F2248C">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1.14</w:t>
            </w:r>
          </w:p>
        </w:tc>
        <w:tc>
          <w:tcPr>
            <w:tcW w:w="1717" w:type="dxa"/>
            <w:vAlign w:val="center"/>
          </w:tcPr>
          <w:p w14:paraId="3CE0F529">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16.41</w:t>
            </w:r>
          </w:p>
        </w:tc>
      </w:tr>
      <w:tr w14:paraId="66AAC9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663" w:type="dxa"/>
            <w:vMerge w:val="continue"/>
            <w:vAlign w:val="center"/>
          </w:tcPr>
          <w:p w14:paraId="30712B97">
            <w:pPr>
              <w:spacing w:line="0" w:lineRule="atLeast"/>
              <w:jc w:val="center"/>
              <w:rPr>
                <w:rFonts w:ascii="Times New Roman" w:hAnsi="Times New Roman"/>
                <w:b/>
                <w:color w:val="auto"/>
                <w:kern w:val="0"/>
                <w:highlight w:val="none"/>
              </w:rPr>
            </w:pPr>
          </w:p>
        </w:tc>
        <w:tc>
          <w:tcPr>
            <w:tcW w:w="1726" w:type="dxa"/>
            <w:vAlign w:val="center"/>
          </w:tcPr>
          <w:p w14:paraId="53881400">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Ca</w:t>
            </w:r>
            <w:r>
              <w:rPr>
                <w:rFonts w:ascii="Times New Roman" w:hAnsi="Times New Roman"/>
                <w:color w:val="auto"/>
                <w:kern w:val="0"/>
                <w:highlight w:val="none"/>
                <w:vertAlign w:val="superscript"/>
              </w:rPr>
              <w:t>2+</w:t>
            </w:r>
          </w:p>
        </w:tc>
        <w:tc>
          <w:tcPr>
            <w:tcW w:w="1701" w:type="dxa"/>
            <w:vAlign w:val="center"/>
          </w:tcPr>
          <w:p w14:paraId="717CB5B6">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79.4</w:t>
            </w:r>
          </w:p>
        </w:tc>
        <w:tc>
          <w:tcPr>
            <w:tcW w:w="1715" w:type="dxa"/>
            <w:vAlign w:val="center"/>
          </w:tcPr>
          <w:p w14:paraId="0E42E063">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3.96</w:t>
            </w:r>
          </w:p>
        </w:tc>
        <w:tc>
          <w:tcPr>
            <w:tcW w:w="1717" w:type="dxa"/>
            <w:vAlign w:val="center"/>
          </w:tcPr>
          <w:p w14:paraId="7F3C79ED">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56.81</w:t>
            </w:r>
          </w:p>
        </w:tc>
      </w:tr>
      <w:tr w14:paraId="307FD8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663" w:type="dxa"/>
            <w:vMerge w:val="continue"/>
            <w:vAlign w:val="center"/>
          </w:tcPr>
          <w:p w14:paraId="68B4DA01">
            <w:pPr>
              <w:spacing w:line="0" w:lineRule="atLeast"/>
              <w:jc w:val="center"/>
              <w:rPr>
                <w:rFonts w:ascii="Times New Roman" w:hAnsi="Times New Roman"/>
                <w:b/>
                <w:color w:val="auto"/>
                <w:kern w:val="0"/>
                <w:highlight w:val="none"/>
              </w:rPr>
            </w:pPr>
          </w:p>
        </w:tc>
        <w:tc>
          <w:tcPr>
            <w:tcW w:w="1726" w:type="dxa"/>
            <w:vAlign w:val="center"/>
          </w:tcPr>
          <w:p w14:paraId="2F6B98EC">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Mg</w:t>
            </w:r>
            <w:r>
              <w:rPr>
                <w:rFonts w:ascii="Times New Roman" w:hAnsi="Times New Roman"/>
                <w:color w:val="auto"/>
                <w:kern w:val="0"/>
                <w:highlight w:val="none"/>
                <w:vertAlign w:val="superscript"/>
              </w:rPr>
              <w:t>2+</w:t>
            </w:r>
          </w:p>
        </w:tc>
        <w:tc>
          <w:tcPr>
            <w:tcW w:w="1701" w:type="dxa"/>
            <w:vAlign w:val="center"/>
          </w:tcPr>
          <w:p w14:paraId="2093D308">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22.7</w:t>
            </w:r>
          </w:p>
        </w:tc>
        <w:tc>
          <w:tcPr>
            <w:tcW w:w="1715" w:type="dxa"/>
            <w:vAlign w:val="center"/>
          </w:tcPr>
          <w:p w14:paraId="1B6D1BAE">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1.87</w:t>
            </w:r>
          </w:p>
        </w:tc>
        <w:tc>
          <w:tcPr>
            <w:tcW w:w="1717" w:type="dxa"/>
            <w:vAlign w:val="center"/>
          </w:tcPr>
          <w:p w14:paraId="35A844E2">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26.78</w:t>
            </w:r>
          </w:p>
        </w:tc>
      </w:tr>
      <w:tr w14:paraId="5581C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3" w:type="dxa"/>
            <w:vMerge w:val="continue"/>
            <w:vAlign w:val="center"/>
          </w:tcPr>
          <w:p w14:paraId="5EE88A10">
            <w:pPr>
              <w:spacing w:line="0" w:lineRule="atLeast"/>
              <w:jc w:val="center"/>
              <w:rPr>
                <w:rFonts w:ascii="Times New Roman" w:hAnsi="Times New Roman"/>
                <w:b/>
                <w:color w:val="auto"/>
                <w:kern w:val="0"/>
                <w:highlight w:val="none"/>
              </w:rPr>
            </w:pPr>
          </w:p>
        </w:tc>
        <w:tc>
          <w:tcPr>
            <w:tcW w:w="1726" w:type="dxa"/>
            <w:vAlign w:val="center"/>
          </w:tcPr>
          <w:p w14:paraId="32B25102">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总计</w:t>
            </w:r>
          </w:p>
        </w:tc>
        <w:tc>
          <w:tcPr>
            <w:tcW w:w="1701" w:type="dxa"/>
            <w:vAlign w:val="center"/>
          </w:tcPr>
          <w:p w14:paraId="0DDD98DA">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134.5</w:t>
            </w:r>
          </w:p>
        </w:tc>
        <w:tc>
          <w:tcPr>
            <w:tcW w:w="1715" w:type="dxa"/>
            <w:vAlign w:val="center"/>
          </w:tcPr>
          <w:p w14:paraId="501548C2">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6.97</w:t>
            </w:r>
          </w:p>
        </w:tc>
        <w:tc>
          <w:tcPr>
            <w:tcW w:w="1717" w:type="dxa"/>
            <w:vAlign w:val="center"/>
          </w:tcPr>
          <w:p w14:paraId="5DA0C7E8">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100.00 </w:t>
            </w:r>
          </w:p>
        </w:tc>
      </w:tr>
      <w:tr w14:paraId="257FDB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663" w:type="dxa"/>
            <w:vMerge w:val="restart"/>
            <w:vAlign w:val="center"/>
          </w:tcPr>
          <w:p w14:paraId="5B7071FC">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阴</w:t>
            </w:r>
          </w:p>
          <w:p w14:paraId="58EB0F4D">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离</w:t>
            </w:r>
          </w:p>
          <w:p w14:paraId="03786D1C">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子</w:t>
            </w:r>
          </w:p>
        </w:tc>
        <w:tc>
          <w:tcPr>
            <w:tcW w:w="1726" w:type="dxa"/>
            <w:vAlign w:val="center"/>
          </w:tcPr>
          <w:p w14:paraId="52D8209C">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HCO</w:t>
            </w:r>
            <w:r>
              <w:rPr>
                <w:rFonts w:ascii="Times New Roman" w:hAnsi="Times New Roman"/>
                <w:color w:val="auto"/>
                <w:kern w:val="0"/>
                <w:highlight w:val="none"/>
                <w:vertAlign w:val="subscript"/>
              </w:rPr>
              <w:t>3</w:t>
            </w:r>
            <w:r>
              <w:rPr>
                <w:rFonts w:ascii="Times New Roman" w:hAnsi="Times New Roman"/>
                <w:color w:val="auto"/>
                <w:kern w:val="0"/>
                <w:highlight w:val="none"/>
                <w:vertAlign w:val="superscript"/>
              </w:rPr>
              <w:t>-</w:t>
            </w:r>
          </w:p>
        </w:tc>
        <w:tc>
          <w:tcPr>
            <w:tcW w:w="1701" w:type="dxa"/>
            <w:vAlign w:val="center"/>
          </w:tcPr>
          <w:p w14:paraId="30753E24">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214</w:t>
            </w:r>
          </w:p>
        </w:tc>
        <w:tc>
          <w:tcPr>
            <w:tcW w:w="1715" w:type="dxa"/>
            <w:vAlign w:val="center"/>
          </w:tcPr>
          <w:p w14:paraId="040D76D9">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3.51</w:t>
            </w:r>
          </w:p>
        </w:tc>
        <w:tc>
          <w:tcPr>
            <w:tcW w:w="1717" w:type="dxa"/>
            <w:vAlign w:val="center"/>
          </w:tcPr>
          <w:p w14:paraId="4364A48A">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79.55 </w:t>
            </w:r>
          </w:p>
        </w:tc>
      </w:tr>
      <w:tr w14:paraId="6B47F8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1663" w:type="dxa"/>
            <w:vMerge w:val="continue"/>
            <w:vAlign w:val="center"/>
          </w:tcPr>
          <w:p w14:paraId="5F4DE03C">
            <w:pPr>
              <w:spacing w:line="0" w:lineRule="atLeast"/>
              <w:jc w:val="center"/>
              <w:rPr>
                <w:rFonts w:ascii="Times New Roman" w:hAnsi="Times New Roman"/>
                <w:b/>
                <w:color w:val="auto"/>
                <w:kern w:val="0"/>
                <w:highlight w:val="none"/>
              </w:rPr>
            </w:pPr>
          </w:p>
        </w:tc>
        <w:tc>
          <w:tcPr>
            <w:tcW w:w="1726" w:type="dxa"/>
            <w:vAlign w:val="center"/>
          </w:tcPr>
          <w:p w14:paraId="4E4ADB82">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Cl</w:t>
            </w:r>
            <w:r>
              <w:rPr>
                <w:rFonts w:ascii="Times New Roman" w:hAnsi="Times New Roman"/>
                <w:color w:val="auto"/>
                <w:kern w:val="0"/>
                <w:highlight w:val="none"/>
                <w:vertAlign w:val="superscript"/>
              </w:rPr>
              <w:t>-</w:t>
            </w:r>
          </w:p>
        </w:tc>
        <w:tc>
          <w:tcPr>
            <w:tcW w:w="1701" w:type="dxa"/>
            <w:vAlign w:val="center"/>
          </w:tcPr>
          <w:p w14:paraId="34E271B8">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31</w:t>
            </w:r>
          </w:p>
        </w:tc>
        <w:tc>
          <w:tcPr>
            <w:tcW w:w="1715" w:type="dxa"/>
            <w:vAlign w:val="center"/>
          </w:tcPr>
          <w:p w14:paraId="42C2B650">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0.87</w:t>
            </w:r>
          </w:p>
        </w:tc>
        <w:tc>
          <w:tcPr>
            <w:tcW w:w="1717" w:type="dxa"/>
            <w:vAlign w:val="center"/>
          </w:tcPr>
          <w:p w14:paraId="58232B7A">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12.11 </w:t>
            </w:r>
          </w:p>
        </w:tc>
      </w:tr>
      <w:tr w14:paraId="693106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1663" w:type="dxa"/>
            <w:vMerge w:val="continue"/>
            <w:vAlign w:val="center"/>
          </w:tcPr>
          <w:p w14:paraId="1325A30D">
            <w:pPr>
              <w:spacing w:line="0" w:lineRule="atLeast"/>
              <w:jc w:val="center"/>
              <w:rPr>
                <w:rFonts w:ascii="Times New Roman" w:hAnsi="Times New Roman"/>
                <w:b/>
                <w:color w:val="auto"/>
                <w:kern w:val="0"/>
                <w:highlight w:val="none"/>
              </w:rPr>
            </w:pPr>
          </w:p>
        </w:tc>
        <w:tc>
          <w:tcPr>
            <w:tcW w:w="1726" w:type="dxa"/>
            <w:vAlign w:val="center"/>
          </w:tcPr>
          <w:p w14:paraId="46338846">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SO</w:t>
            </w:r>
            <w:r>
              <w:rPr>
                <w:rFonts w:ascii="Times New Roman" w:hAnsi="Times New Roman"/>
                <w:color w:val="auto"/>
                <w:kern w:val="0"/>
                <w:highlight w:val="none"/>
                <w:vertAlign w:val="subscript"/>
              </w:rPr>
              <w:t>4</w:t>
            </w:r>
            <w:r>
              <w:rPr>
                <w:rFonts w:ascii="Times New Roman" w:hAnsi="Times New Roman"/>
                <w:color w:val="auto"/>
                <w:kern w:val="0"/>
                <w:highlight w:val="none"/>
                <w:vertAlign w:val="superscript"/>
              </w:rPr>
              <w:t>2-</w:t>
            </w:r>
          </w:p>
        </w:tc>
        <w:tc>
          <w:tcPr>
            <w:tcW w:w="1701" w:type="dxa"/>
            <w:vAlign w:val="center"/>
          </w:tcPr>
          <w:p w14:paraId="60648B64">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128</w:t>
            </w:r>
          </w:p>
        </w:tc>
        <w:tc>
          <w:tcPr>
            <w:tcW w:w="1715" w:type="dxa"/>
            <w:vAlign w:val="center"/>
          </w:tcPr>
          <w:p w14:paraId="20B8C5FF">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2.67</w:t>
            </w:r>
            <w:r>
              <w:rPr>
                <w:rFonts w:ascii="Times New Roman" w:hAnsi="Times New Roman" w:eastAsia="等线"/>
                <w:color w:val="auto"/>
                <w:kern w:val="0"/>
                <w:szCs w:val="21"/>
                <w:highlight w:val="none"/>
                <w:lang w:bidi="ar"/>
              </w:rPr>
              <w:t xml:space="preserve"> </w:t>
            </w:r>
          </w:p>
        </w:tc>
        <w:tc>
          <w:tcPr>
            <w:tcW w:w="1717" w:type="dxa"/>
            <w:vAlign w:val="center"/>
          </w:tcPr>
          <w:p w14:paraId="6B22376A">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8.34 </w:t>
            </w:r>
          </w:p>
        </w:tc>
      </w:tr>
      <w:tr w14:paraId="73B3DE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663" w:type="dxa"/>
            <w:vMerge w:val="continue"/>
            <w:vAlign w:val="center"/>
          </w:tcPr>
          <w:p w14:paraId="2A291F05">
            <w:pPr>
              <w:spacing w:line="0" w:lineRule="atLeast"/>
              <w:jc w:val="center"/>
              <w:rPr>
                <w:rFonts w:ascii="Times New Roman" w:hAnsi="Times New Roman"/>
                <w:b/>
                <w:color w:val="auto"/>
                <w:kern w:val="0"/>
                <w:highlight w:val="none"/>
              </w:rPr>
            </w:pPr>
          </w:p>
        </w:tc>
        <w:tc>
          <w:tcPr>
            <w:tcW w:w="1726" w:type="dxa"/>
            <w:vAlign w:val="center"/>
          </w:tcPr>
          <w:p w14:paraId="29083EAA">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总计</w:t>
            </w:r>
          </w:p>
        </w:tc>
        <w:tc>
          <w:tcPr>
            <w:tcW w:w="1701" w:type="dxa"/>
            <w:vAlign w:val="center"/>
          </w:tcPr>
          <w:p w14:paraId="2C4D477B">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373</w:t>
            </w:r>
          </w:p>
        </w:tc>
        <w:tc>
          <w:tcPr>
            <w:tcW w:w="1715" w:type="dxa"/>
            <w:vAlign w:val="center"/>
          </w:tcPr>
          <w:p w14:paraId="095C2606">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7.05</w:t>
            </w:r>
          </w:p>
        </w:tc>
        <w:tc>
          <w:tcPr>
            <w:tcW w:w="1717" w:type="dxa"/>
            <w:vAlign w:val="center"/>
          </w:tcPr>
          <w:p w14:paraId="7616594B">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100.00 </w:t>
            </w:r>
          </w:p>
        </w:tc>
      </w:tr>
      <w:tr w14:paraId="340201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389" w:type="dxa"/>
            <w:gridSpan w:val="2"/>
            <w:vAlign w:val="center"/>
          </w:tcPr>
          <w:p w14:paraId="22CD5D98">
            <w:pPr>
              <w:spacing w:line="0" w:lineRule="atLeast"/>
              <w:jc w:val="center"/>
              <w:rPr>
                <w:rFonts w:ascii="Times New Roman" w:hAnsi="Times New Roman"/>
                <w:b/>
                <w:color w:val="auto"/>
                <w:kern w:val="0"/>
                <w:highlight w:val="none"/>
              </w:rPr>
            </w:pPr>
            <w:r>
              <w:rPr>
                <w:rFonts w:ascii="Segoe UI Symbol" w:hAnsi="Segoe UI Symbol" w:cs="Segoe UI Symbol"/>
                <w:b/>
                <w:color w:val="auto"/>
                <w:kern w:val="0"/>
                <w:highlight w:val="none"/>
              </w:rPr>
              <w:t>☆</w:t>
            </w:r>
            <w:r>
              <w:rPr>
                <w:rFonts w:ascii="Times New Roman" w:hAnsi="Times New Roman"/>
                <w:b/>
                <w:color w:val="auto"/>
                <w:kern w:val="0"/>
                <w:highlight w:val="none"/>
              </w:rPr>
              <w:t>02离子</w:t>
            </w:r>
          </w:p>
        </w:tc>
        <w:tc>
          <w:tcPr>
            <w:tcW w:w="1701" w:type="dxa"/>
            <w:vAlign w:val="center"/>
          </w:tcPr>
          <w:p w14:paraId="391DA69F">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mg/L</w:t>
            </w:r>
          </w:p>
        </w:tc>
        <w:tc>
          <w:tcPr>
            <w:tcW w:w="1715" w:type="dxa"/>
            <w:vAlign w:val="center"/>
          </w:tcPr>
          <w:p w14:paraId="3A527979">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meq/L</w:t>
            </w:r>
          </w:p>
        </w:tc>
        <w:tc>
          <w:tcPr>
            <w:tcW w:w="1717" w:type="dxa"/>
            <w:vAlign w:val="center"/>
          </w:tcPr>
          <w:p w14:paraId="418B363D">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meq%</w:t>
            </w:r>
          </w:p>
        </w:tc>
      </w:tr>
      <w:tr w14:paraId="47EBB5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1663" w:type="dxa"/>
            <w:vMerge w:val="restart"/>
            <w:vAlign w:val="center"/>
          </w:tcPr>
          <w:p w14:paraId="56F22C7A">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阳</w:t>
            </w:r>
          </w:p>
          <w:p w14:paraId="225B0AFE">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离</w:t>
            </w:r>
          </w:p>
          <w:p w14:paraId="4AD29F61">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子</w:t>
            </w:r>
          </w:p>
        </w:tc>
        <w:tc>
          <w:tcPr>
            <w:tcW w:w="1726" w:type="dxa"/>
            <w:vAlign w:val="center"/>
          </w:tcPr>
          <w:p w14:paraId="12E87A4F">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K</w:t>
            </w:r>
            <w:r>
              <w:rPr>
                <w:rFonts w:ascii="Times New Roman" w:hAnsi="Times New Roman"/>
                <w:color w:val="auto"/>
                <w:kern w:val="0"/>
                <w:highlight w:val="none"/>
                <w:vertAlign w:val="superscript"/>
              </w:rPr>
              <w:t>+</w:t>
            </w:r>
            <w:r>
              <w:rPr>
                <w:rFonts w:ascii="Times New Roman" w:hAnsi="Times New Roman"/>
                <w:color w:val="auto"/>
                <w:kern w:val="0"/>
                <w:highlight w:val="none"/>
              </w:rPr>
              <w:t>+Na</w:t>
            </w:r>
            <w:r>
              <w:rPr>
                <w:rFonts w:ascii="Times New Roman" w:hAnsi="Times New Roman"/>
                <w:color w:val="auto"/>
                <w:kern w:val="0"/>
                <w:highlight w:val="none"/>
                <w:vertAlign w:val="superscript"/>
              </w:rPr>
              <w:t>+</w:t>
            </w:r>
          </w:p>
        </w:tc>
        <w:tc>
          <w:tcPr>
            <w:tcW w:w="1701" w:type="dxa"/>
            <w:vAlign w:val="center"/>
          </w:tcPr>
          <w:p w14:paraId="2F21ED4D">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30</w:t>
            </w:r>
            <w:r>
              <w:rPr>
                <w:rFonts w:ascii="Times New Roman" w:hAnsi="Times New Roman" w:eastAsia="等线"/>
                <w:color w:val="auto"/>
                <w:kern w:val="0"/>
                <w:szCs w:val="21"/>
                <w:highlight w:val="none"/>
                <w:lang w:bidi="ar"/>
              </w:rPr>
              <w:t xml:space="preserve"> </w:t>
            </w:r>
          </w:p>
        </w:tc>
        <w:tc>
          <w:tcPr>
            <w:tcW w:w="1715" w:type="dxa"/>
            <w:vAlign w:val="center"/>
          </w:tcPr>
          <w:p w14:paraId="40911680">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1.03</w:t>
            </w:r>
          </w:p>
        </w:tc>
        <w:tc>
          <w:tcPr>
            <w:tcW w:w="1717" w:type="dxa"/>
            <w:vAlign w:val="center"/>
          </w:tcPr>
          <w:p w14:paraId="1B2057EA">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16.62</w:t>
            </w:r>
          </w:p>
        </w:tc>
      </w:tr>
      <w:tr w14:paraId="5B6AC5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 w:hRule="atLeast"/>
        </w:trPr>
        <w:tc>
          <w:tcPr>
            <w:tcW w:w="1663" w:type="dxa"/>
            <w:vMerge w:val="continue"/>
            <w:vAlign w:val="center"/>
          </w:tcPr>
          <w:p w14:paraId="2C6701B7">
            <w:pPr>
              <w:spacing w:line="0" w:lineRule="atLeast"/>
              <w:jc w:val="center"/>
              <w:rPr>
                <w:rFonts w:ascii="Times New Roman" w:hAnsi="Times New Roman"/>
                <w:b/>
                <w:color w:val="auto"/>
                <w:kern w:val="0"/>
                <w:sz w:val="20"/>
                <w:highlight w:val="none"/>
              </w:rPr>
            </w:pPr>
          </w:p>
        </w:tc>
        <w:tc>
          <w:tcPr>
            <w:tcW w:w="1726" w:type="dxa"/>
            <w:vAlign w:val="center"/>
          </w:tcPr>
          <w:p w14:paraId="6264B81B">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Ca</w:t>
            </w:r>
            <w:r>
              <w:rPr>
                <w:rFonts w:ascii="Times New Roman" w:hAnsi="Times New Roman"/>
                <w:color w:val="auto"/>
                <w:kern w:val="0"/>
                <w:highlight w:val="none"/>
                <w:vertAlign w:val="superscript"/>
              </w:rPr>
              <w:t>2+</w:t>
            </w:r>
          </w:p>
        </w:tc>
        <w:tc>
          <w:tcPr>
            <w:tcW w:w="1701" w:type="dxa"/>
            <w:vAlign w:val="center"/>
          </w:tcPr>
          <w:p w14:paraId="46B8AB85">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78.4</w:t>
            </w:r>
          </w:p>
        </w:tc>
        <w:tc>
          <w:tcPr>
            <w:tcW w:w="1715" w:type="dxa"/>
            <w:vAlign w:val="center"/>
          </w:tcPr>
          <w:p w14:paraId="3DBE8938">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3.91</w:t>
            </w:r>
            <w:r>
              <w:rPr>
                <w:rFonts w:ascii="Times New Roman" w:hAnsi="Times New Roman" w:eastAsia="等线"/>
                <w:color w:val="auto"/>
                <w:kern w:val="0"/>
                <w:szCs w:val="21"/>
                <w:highlight w:val="none"/>
                <w:lang w:bidi="ar"/>
              </w:rPr>
              <w:t xml:space="preserve"> </w:t>
            </w:r>
          </w:p>
        </w:tc>
        <w:tc>
          <w:tcPr>
            <w:tcW w:w="1717" w:type="dxa"/>
            <w:vAlign w:val="center"/>
          </w:tcPr>
          <w:p w14:paraId="297C3382">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62.88</w:t>
            </w:r>
            <w:r>
              <w:rPr>
                <w:rFonts w:ascii="Times New Roman" w:hAnsi="Times New Roman" w:eastAsia="等线"/>
                <w:color w:val="auto"/>
                <w:kern w:val="0"/>
                <w:szCs w:val="21"/>
                <w:highlight w:val="none"/>
                <w:lang w:bidi="ar"/>
              </w:rPr>
              <w:t xml:space="preserve"> </w:t>
            </w:r>
          </w:p>
        </w:tc>
      </w:tr>
      <w:tr w14:paraId="3F6CCD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663" w:type="dxa"/>
            <w:vMerge w:val="continue"/>
            <w:vAlign w:val="center"/>
          </w:tcPr>
          <w:p w14:paraId="67644CAB">
            <w:pPr>
              <w:spacing w:line="0" w:lineRule="atLeast"/>
              <w:jc w:val="center"/>
              <w:rPr>
                <w:rFonts w:ascii="Times New Roman" w:hAnsi="Times New Roman"/>
                <w:b/>
                <w:color w:val="auto"/>
                <w:kern w:val="0"/>
                <w:sz w:val="20"/>
                <w:highlight w:val="none"/>
              </w:rPr>
            </w:pPr>
          </w:p>
        </w:tc>
        <w:tc>
          <w:tcPr>
            <w:tcW w:w="1726" w:type="dxa"/>
            <w:vAlign w:val="center"/>
          </w:tcPr>
          <w:p w14:paraId="331E97BA">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Mg</w:t>
            </w:r>
            <w:r>
              <w:rPr>
                <w:rFonts w:ascii="Times New Roman" w:hAnsi="Times New Roman"/>
                <w:color w:val="auto"/>
                <w:kern w:val="0"/>
                <w:highlight w:val="none"/>
                <w:vertAlign w:val="superscript"/>
              </w:rPr>
              <w:t>2+</w:t>
            </w:r>
          </w:p>
        </w:tc>
        <w:tc>
          <w:tcPr>
            <w:tcW w:w="1701" w:type="dxa"/>
            <w:vAlign w:val="center"/>
          </w:tcPr>
          <w:p w14:paraId="0BA6440E">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15.5</w:t>
            </w:r>
          </w:p>
        </w:tc>
        <w:tc>
          <w:tcPr>
            <w:tcW w:w="1715" w:type="dxa"/>
            <w:vAlign w:val="center"/>
          </w:tcPr>
          <w:p w14:paraId="6F4054B1">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1.28</w:t>
            </w:r>
            <w:r>
              <w:rPr>
                <w:rFonts w:ascii="Times New Roman" w:hAnsi="Times New Roman" w:eastAsia="等线"/>
                <w:color w:val="auto"/>
                <w:kern w:val="0"/>
                <w:szCs w:val="21"/>
                <w:highlight w:val="none"/>
                <w:lang w:bidi="ar"/>
              </w:rPr>
              <w:t xml:space="preserve"> </w:t>
            </w:r>
          </w:p>
        </w:tc>
        <w:tc>
          <w:tcPr>
            <w:tcW w:w="1717" w:type="dxa"/>
            <w:vAlign w:val="center"/>
          </w:tcPr>
          <w:p w14:paraId="2402B766">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20.5</w:t>
            </w:r>
            <w:r>
              <w:rPr>
                <w:rFonts w:ascii="Times New Roman" w:hAnsi="Times New Roman" w:eastAsia="等线"/>
                <w:color w:val="auto"/>
                <w:kern w:val="0"/>
                <w:szCs w:val="21"/>
                <w:highlight w:val="none"/>
                <w:lang w:bidi="ar"/>
              </w:rPr>
              <w:t xml:space="preserve"> </w:t>
            </w:r>
          </w:p>
        </w:tc>
      </w:tr>
      <w:tr w14:paraId="3C2A2A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42C641A5">
            <w:pPr>
              <w:spacing w:line="0" w:lineRule="atLeast"/>
              <w:jc w:val="center"/>
              <w:rPr>
                <w:rFonts w:ascii="Times New Roman" w:hAnsi="Times New Roman"/>
                <w:b/>
                <w:color w:val="auto"/>
                <w:kern w:val="0"/>
                <w:sz w:val="20"/>
                <w:highlight w:val="none"/>
              </w:rPr>
            </w:pPr>
          </w:p>
        </w:tc>
        <w:tc>
          <w:tcPr>
            <w:tcW w:w="1726" w:type="dxa"/>
            <w:vAlign w:val="center"/>
          </w:tcPr>
          <w:p w14:paraId="51C1B0B3">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总计</w:t>
            </w:r>
          </w:p>
        </w:tc>
        <w:tc>
          <w:tcPr>
            <w:tcW w:w="1701" w:type="dxa"/>
            <w:vAlign w:val="center"/>
          </w:tcPr>
          <w:p w14:paraId="6A858DC9">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1</w:t>
            </w:r>
            <w:r>
              <w:rPr>
                <w:rFonts w:hint="eastAsia" w:eastAsia="等线"/>
                <w:color w:val="auto"/>
                <w:kern w:val="0"/>
                <w:szCs w:val="21"/>
                <w:highlight w:val="none"/>
                <w:lang w:val="en-US" w:eastAsia="zh-CN" w:bidi="ar"/>
              </w:rPr>
              <w:t>23.9</w:t>
            </w:r>
            <w:r>
              <w:rPr>
                <w:rFonts w:ascii="Times New Roman" w:hAnsi="Times New Roman" w:eastAsia="等线"/>
                <w:color w:val="auto"/>
                <w:kern w:val="0"/>
                <w:szCs w:val="21"/>
                <w:highlight w:val="none"/>
                <w:lang w:bidi="ar"/>
              </w:rPr>
              <w:t xml:space="preserve"> </w:t>
            </w:r>
          </w:p>
        </w:tc>
        <w:tc>
          <w:tcPr>
            <w:tcW w:w="1715" w:type="dxa"/>
            <w:vAlign w:val="center"/>
          </w:tcPr>
          <w:p w14:paraId="581219CB">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6.22</w:t>
            </w:r>
          </w:p>
        </w:tc>
        <w:tc>
          <w:tcPr>
            <w:tcW w:w="1717" w:type="dxa"/>
            <w:vAlign w:val="center"/>
          </w:tcPr>
          <w:p w14:paraId="0B81B3D1">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100.00 </w:t>
            </w:r>
          </w:p>
        </w:tc>
      </w:tr>
      <w:tr w14:paraId="5CEE93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restart"/>
            <w:vAlign w:val="center"/>
          </w:tcPr>
          <w:p w14:paraId="3747B228">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阴</w:t>
            </w:r>
          </w:p>
          <w:p w14:paraId="722836A9">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离</w:t>
            </w:r>
          </w:p>
          <w:p w14:paraId="0FBE7BC2">
            <w:pPr>
              <w:spacing w:line="0" w:lineRule="atLeast"/>
              <w:jc w:val="center"/>
              <w:rPr>
                <w:rFonts w:ascii="Times New Roman" w:hAnsi="Times New Roman"/>
                <w:b/>
                <w:color w:val="auto"/>
                <w:kern w:val="0"/>
                <w:sz w:val="20"/>
                <w:highlight w:val="none"/>
              </w:rPr>
            </w:pPr>
            <w:r>
              <w:rPr>
                <w:rFonts w:ascii="Times New Roman" w:hAnsi="Times New Roman"/>
                <w:b/>
                <w:color w:val="auto"/>
                <w:kern w:val="0"/>
                <w:highlight w:val="none"/>
              </w:rPr>
              <w:t>子</w:t>
            </w:r>
          </w:p>
        </w:tc>
        <w:tc>
          <w:tcPr>
            <w:tcW w:w="1726" w:type="dxa"/>
            <w:vAlign w:val="center"/>
          </w:tcPr>
          <w:p w14:paraId="08B4FC0E">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HCO</w:t>
            </w:r>
            <w:r>
              <w:rPr>
                <w:rFonts w:ascii="Times New Roman" w:hAnsi="Times New Roman"/>
                <w:color w:val="auto"/>
                <w:kern w:val="0"/>
                <w:highlight w:val="none"/>
                <w:vertAlign w:val="subscript"/>
              </w:rPr>
              <w:t>3</w:t>
            </w:r>
            <w:r>
              <w:rPr>
                <w:rFonts w:ascii="Times New Roman" w:hAnsi="Times New Roman"/>
                <w:color w:val="auto"/>
                <w:kern w:val="0"/>
                <w:highlight w:val="none"/>
                <w:vertAlign w:val="superscript"/>
              </w:rPr>
              <w:t>-</w:t>
            </w:r>
          </w:p>
        </w:tc>
        <w:tc>
          <w:tcPr>
            <w:tcW w:w="1701" w:type="dxa"/>
            <w:vAlign w:val="center"/>
          </w:tcPr>
          <w:p w14:paraId="23265DCE">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214</w:t>
            </w:r>
          </w:p>
        </w:tc>
        <w:tc>
          <w:tcPr>
            <w:tcW w:w="1715" w:type="dxa"/>
            <w:vAlign w:val="center"/>
          </w:tcPr>
          <w:p w14:paraId="24C32AAB">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3.51</w:t>
            </w:r>
            <w:r>
              <w:rPr>
                <w:rFonts w:ascii="Times New Roman" w:hAnsi="Times New Roman" w:eastAsia="等线"/>
                <w:color w:val="auto"/>
                <w:kern w:val="0"/>
                <w:szCs w:val="21"/>
                <w:highlight w:val="none"/>
                <w:lang w:bidi="ar"/>
              </w:rPr>
              <w:t xml:space="preserve"> </w:t>
            </w:r>
          </w:p>
        </w:tc>
        <w:tc>
          <w:tcPr>
            <w:tcW w:w="1717" w:type="dxa"/>
            <w:vAlign w:val="center"/>
          </w:tcPr>
          <w:p w14:paraId="0E3FF41B">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58.41</w:t>
            </w:r>
          </w:p>
        </w:tc>
      </w:tr>
      <w:tr w14:paraId="2E5EFF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5CF51471">
            <w:pPr>
              <w:spacing w:line="0" w:lineRule="atLeast"/>
              <w:jc w:val="center"/>
              <w:rPr>
                <w:rFonts w:ascii="Times New Roman" w:hAnsi="Times New Roman"/>
                <w:b/>
                <w:color w:val="auto"/>
                <w:kern w:val="0"/>
                <w:sz w:val="20"/>
                <w:highlight w:val="none"/>
              </w:rPr>
            </w:pPr>
          </w:p>
        </w:tc>
        <w:tc>
          <w:tcPr>
            <w:tcW w:w="1726" w:type="dxa"/>
            <w:vAlign w:val="center"/>
          </w:tcPr>
          <w:p w14:paraId="42C02BEB">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Cl</w:t>
            </w:r>
            <w:r>
              <w:rPr>
                <w:rFonts w:ascii="Times New Roman" w:hAnsi="Times New Roman"/>
                <w:color w:val="auto"/>
                <w:kern w:val="0"/>
                <w:highlight w:val="none"/>
                <w:vertAlign w:val="superscript"/>
              </w:rPr>
              <w:t>-</w:t>
            </w:r>
          </w:p>
        </w:tc>
        <w:tc>
          <w:tcPr>
            <w:tcW w:w="1701" w:type="dxa"/>
            <w:vAlign w:val="center"/>
          </w:tcPr>
          <w:p w14:paraId="06498D8E">
            <w:pPr>
              <w:widowControl/>
              <w:jc w:val="center"/>
              <w:textAlignment w:val="bottom"/>
              <w:rPr>
                <w:rFonts w:hint="eastAsia" w:ascii="Times New Roman" w:hAnsi="Times New Roman" w:eastAsia="等线"/>
                <w:color w:val="auto"/>
                <w:kern w:val="0"/>
                <w:szCs w:val="21"/>
                <w:highlight w:val="none"/>
                <w:lang w:val="en-US" w:eastAsia="zh-CN" w:bidi="ar"/>
              </w:rPr>
            </w:pPr>
            <w:r>
              <w:rPr>
                <w:rFonts w:ascii="Times New Roman" w:hAnsi="Times New Roman" w:eastAsia="等线"/>
                <w:color w:val="auto"/>
                <w:kern w:val="0"/>
                <w:szCs w:val="21"/>
                <w:highlight w:val="none"/>
                <w:lang w:bidi="ar"/>
              </w:rPr>
              <w:t>2</w:t>
            </w:r>
            <w:r>
              <w:rPr>
                <w:rFonts w:hint="eastAsia" w:eastAsia="等线"/>
                <w:color w:val="auto"/>
                <w:kern w:val="0"/>
                <w:szCs w:val="21"/>
                <w:highlight w:val="none"/>
                <w:lang w:val="en-US" w:eastAsia="zh-CN" w:bidi="ar"/>
              </w:rPr>
              <w:t>8</w:t>
            </w:r>
          </w:p>
        </w:tc>
        <w:tc>
          <w:tcPr>
            <w:tcW w:w="1715" w:type="dxa"/>
            <w:vAlign w:val="center"/>
          </w:tcPr>
          <w:p w14:paraId="5095D395">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0.79</w:t>
            </w:r>
            <w:r>
              <w:rPr>
                <w:rFonts w:ascii="Times New Roman" w:hAnsi="Times New Roman" w:eastAsia="等线"/>
                <w:color w:val="auto"/>
                <w:kern w:val="0"/>
                <w:szCs w:val="21"/>
                <w:highlight w:val="none"/>
                <w:lang w:bidi="ar"/>
              </w:rPr>
              <w:t xml:space="preserve"> </w:t>
            </w:r>
          </w:p>
        </w:tc>
        <w:tc>
          <w:tcPr>
            <w:tcW w:w="1717" w:type="dxa"/>
            <w:vAlign w:val="center"/>
          </w:tcPr>
          <w:p w14:paraId="74328AC0">
            <w:pPr>
              <w:widowControl/>
              <w:jc w:val="center"/>
              <w:textAlignment w:val="bottom"/>
              <w:rPr>
                <w:rFonts w:hint="default" w:ascii="Times New Roman" w:hAnsi="Times New Roman" w:eastAsia="等线"/>
                <w:color w:val="auto"/>
                <w:kern w:val="0"/>
                <w:szCs w:val="21"/>
                <w:highlight w:val="none"/>
                <w:lang w:val="en-US" w:bidi="ar"/>
              </w:rPr>
            </w:pPr>
            <w:r>
              <w:rPr>
                <w:rFonts w:hint="eastAsia" w:eastAsia="等线"/>
                <w:color w:val="auto"/>
                <w:kern w:val="0"/>
                <w:szCs w:val="21"/>
                <w:highlight w:val="none"/>
                <w:lang w:val="en-US" w:eastAsia="zh-CN" w:bidi="ar"/>
              </w:rPr>
              <w:t>13.16</w:t>
            </w:r>
          </w:p>
        </w:tc>
      </w:tr>
      <w:tr w14:paraId="1799DAB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74CFDFB9">
            <w:pPr>
              <w:spacing w:line="0" w:lineRule="atLeast"/>
              <w:jc w:val="center"/>
              <w:rPr>
                <w:rFonts w:ascii="Times New Roman" w:hAnsi="Times New Roman"/>
                <w:b/>
                <w:color w:val="auto"/>
                <w:kern w:val="0"/>
                <w:sz w:val="20"/>
                <w:highlight w:val="none"/>
              </w:rPr>
            </w:pPr>
          </w:p>
        </w:tc>
        <w:tc>
          <w:tcPr>
            <w:tcW w:w="1726" w:type="dxa"/>
            <w:vAlign w:val="center"/>
          </w:tcPr>
          <w:p w14:paraId="12303D43">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SO</w:t>
            </w:r>
            <w:r>
              <w:rPr>
                <w:rFonts w:ascii="Times New Roman" w:hAnsi="Times New Roman"/>
                <w:color w:val="auto"/>
                <w:kern w:val="0"/>
                <w:highlight w:val="none"/>
                <w:vertAlign w:val="subscript"/>
              </w:rPr>
              <w:t>4</w:t>
            </w:r>
            <w:r>
              <w:rPr>
                <w:rFonts w:ascii="Times New Roman" w:hAnsi="Times New Roman"/>
                <w:color w:val="auto"/>
                <w:kern w:val="0"/>
                <w:highlight w:val="none"/>
                <w:vertAlign w:val="superscript"/>
              </w:rPr>
              <w:t>2-</w:t>
            </w:r>
          </w:p>
        </w:tc>
        <w:tc>
          <w:tcPr>
            <w:tcW w:w="1701" w:type="dxa"/>
            <w:vAlign w:val="center"/>
          </w:tcPr>
          <w:p w14:paraId="63D020D9">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82</w:t>
            </w:r>
          </w:p>
        </w:tc>
        <w:tc>
          <w:tcPr>
            <w:tcW w:w="1715" w:type="dxa"/>
            <w:vAlign w:val="center"/>
          </w:tcPr>
          <w:p w14:paraId="746E08CE">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1.71</w:t>
            </w:r>
            <w:r>
              <w:rPr>
                <w:rFonts w:ascii="Times New Roman" w:hAnsi="Times New Roman" w:eastAsia="等线"/>
                <w:color w:val="auto"/>
                <w:kern w:val="0"/>
                <w:szCs w:val="21"/>
                <w:highlight w:val="none"/>
                <w:lang w:bidi="ar"/>
              </w:rPr>
              <w:t xml:space="preserve"> </w:t>
            </w:r>
          </w:p>
        </w:tc>
        <w:tc>
          <w:tcPr>
            <w:tcW w:w="1717" w:type="dxa"/>
            <w:vAlign w:val="center"/>
          </w:tcPr>
          <w:p w14:paraId="7C97C0CE">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28.43</w:t>
            </w:r>
          </w:p>
        </w:tc>
      </w:tr>
      <w:tr w14:paraId="5C6CD0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24D2ADBD">
            <w:pPr>
              <w:spacing w:line="0" w:lineRule="atLeast"/>
              <w:jc w:val="center"/>
              <w:rPr>
                <w:rFonts w:ascii="Times New Roman" w:hAnsi="Times New Roman"/>
                <w:b/>
                <w:color w:val="auto"/>
                <w:kern w:val="0"/>
                <w:sz w:val="20"/>
                <w:highlight w:val="none"/>
              </w:rPr>
            </w:pPr>
          </w:p>
        </w:tc>
        <w:tc>
          <w:tcPr>
            <w:tcW w:w="1726" w:type="dxa"/>
            <w:vAlign w:val="center"/>
          </w:tcPr>
          <w:p w14:paraId="24C28C0A">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总计</w:t>
            </w:r>
          </w:p>
        </w:tc>
        <w:tc>
          <w:tcPr>
            <w:tcW w:w="1701" w:type="dxa"/>
            <w:vAlign w:val="center"/>
          </w:tcPr>
          <w:p w14:paraId="3049FE4D">
            <w:pPr>
              <w:widowControl/>
              <w:jc w:val="center"/>
              <w:textAlignment w:val="bottom"/>
              <w:rPr>
                <w:rFonts w:hint="default" w:ascii="Times New Roman" w:hAnsi="Times New Roman" w:eastAsia="等线"/>
                <w:color w:val="auto"/>
                <w:kern w:val="0"/>
                <w:szCs w:val="21"/>
                <w:highlight w:val="none"/>
                <w:lang w:val="en-US" w:eastAsia="zh-CN" w:bidi="ar"/>
              </w:rPr>
            </w:pPr>
            <w:r>
              <w:rPr>
                <w:rFonts w:ascii="Times New Roman" w:hAnsi="Times New Roman" w:eastAsia="等线"/>
                <w:color w:val="auto"/>
                <w:kern w:val="0"/>
                <w:szCs w:val="21"/>
                <w:highlight w:val="none"/>
                <w:lang w:bidi="ar"/>
              </w:rPr>
              <w:t>3</w:t>
            </w:r>
            <w:r>
              <w:rPr>
                <w:rFonts w:hint="eastAsia" w:eastAsia="等线"/>
                <w:color w:val="auto"/>
                <w:kern w:val="0"/>
                <w:szCs w:val="21"/>
                <w:highlight w:val="none"/>
                <w:lang w:val="en-US" w:eastAsia="zh-CN" w:bidi="ar"/>
              </w:rPr>
              <w:t>24</w:t>
            </w:r>
          </w:p>
        </w:tc>
        <w:tc>
          <w:tcPr>
            <w:tcW w:w="1715" w:type="dxa"/>
            <w:vAlign w:val="center"/>
          </w:tcPr>
          <w:p w14:paraId="26ABEB79">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6</w:t>
            </w:r>
          </w:p>
        </w:tc>
        <w:tc>
          <w:tcPr>
            <w:tcW w:w="1717" w:type="dxa"/>
            <w:vAlign w:val="center"/>
          </w:tcPr>
          <w:p w14:paraId="6EFFA372">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100.00 </w:t>
            </w:r>
          </w:p>
        </w:tc>
      </w:tr>
      <w:tr w14:paraId="6380BA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3389" w:type="dxa"/>
            <w:gridSpan w:val="2"/>
            <w:vAlign w:val="center"/>
          </w:tcPr>
          <w:p w14:paraId="4667BD7D">
            <w:pPr>
              <w:spacing w:line="0" w:lineRule="atLeast"/>
              <w:jc w:val="center"/>
              <w:rPr>
                <w:rFonts w:ascii="Times New Roman" w:hAnsi="Times New Roman"/>
                <w:color w:val="auto"/>
                <w:kern w:val="0"/>
                <w:highlight w:val="none"/>
              </w:rPr>
            </w:pPr>
            <w:r>
              <w:rPr>
                <w:rFonts w:ascii="Segoe UI Symbol" w:hAnsi="Segoe UI Symbol" w:cs="Segoe UI Symbol"/>
                <w:b/>
                <w:color w:val="auto"/>
                <w:kern w:val="0"/>
                <w:highlight w:val="none"/>
              </w:rPr>
              <w:t>☆</w:t>
            </w:r>
            <w:r>
              <w:rPr>
                <w:rFonts w:ascii="Times New Roman" w:hAnsi="Times New Roman"/>
                <w:b/>
                <w:color w:val="auto"/>
                <w:kern w:val="0"/>
                <w:highlight w:val="none"/>
              </w:rPr>
              <w:t>03离子</w:t>
            </w:r>
          </w:p>
        </w:tc>
        <w:tc>
          <w:tcPr>
            <w:tcW w:w="1701" w:type="dxa"/>
            <w:vAlign w:val="center"/>
          </w:tcPr>
          <w:p w14:paraId="57FDC17A">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mg/L</w:t>
            </w:r>
          </w:p>
        </w:tc>
        <w:tc>
          <w:tcPr>
            <w:tcW w:w="1715" w:type="dxa"/>
            <w:vAlign w:val="center"/>
          </w:tcPr>
          <w:p w14:paraId="73F174E9">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meq/L</w:t>
            </w:r>
          </w:p>
        </w:tc>
        <w:tc>
          <w:tcPr>
            <w:tcW w:w="1717" w:type="dxa"/>
            <w:vAlign w:val="center"/>
          </w:tcPr>
          <w:p w14:paraId="2539D2CD">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meq%</w:t>
            </w:r>
          </w:p>
        </w:tc>
      </w:tr>
      <w:tr w14:paraId="3DF428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restart"/>
            <w:vAlign w:val="center"/>
          </w:tcPr>
          <w:p w14:paraId="3ADBA1BE">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阳</w:t>
            </w:r>
          </w:p>
          <w:p w14:paraId="224C1F6E">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离</w:t>
            </w:r>
          </w:p>
          <w:p w14:paraId="24CEF2B4">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子</w:t>
            </w:r>
          </w:p>
          <w:p w14:paraId="13291138">
            <w:pPr>
              <w:spacing w:line="0" w:lineRule="atLeast"/>
              <w:jc w:val="center"/>
              <w:rPr>
                <w:rFonts w:ascii="Times New Roman" w:hAnsi="Times New Roman"/>
                <w:b/>
                <w:color w:val="auto"/>
                <w:kern w:val="0"/>
                <w:sz w:val="20"/>
                <w:highlight w:val="none"/>
              </w:rPr>
            </w:pPr>
          </w:p>
        </w:tc>
        <w:tc>
          <w:tcPr>
            <w:tcW w:w="1726" w:type="dxa"/>
            <w:vAlign w:val="center"/>
          </w:tcPr>
          <w:p w14:paraId="5EC30394">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K</w:t>
            </w:r>
            <w:r>
              <w:rPr>
                <w:rFonts w:ascii="Times New Roman" w:hAnsi="Times New Roman"/>
                <w:color w:val="auto"/>
                <w:kern w:val="0"/>
                <w:highlight w:val="none"/>
                <w:vertAlign w:val="superscript"/>
              </w:rPr>
              <w:t>+</w:t>
            </w:r>
            <w:r>
              <w:rPr>
                <w:rFonts w:ascii="Times New Roman" w:hAnsi="Times New Roman"/>
                <w:color w:val="auto"/>
                <w:kern w:val="0"/>
                <w:highlight w:val="none"/>
              </w:rPr>
              <w:t>+Na</w:t>
            </w:r>
            <w:r>
              <w:rPr>
                <w:rFonts w:ascii="Times New Roman" w:hAnsi="Times New Roman"/>
                <w:color w:val="auto"/>
                <w:kern w:val="0"/>
                <w:highlight w:val="none"/>
                <w:vertAlign w:val="superscript"/>
              </w:rPr>
              <w:t>+</w:t>
            </w:r>
          </w:p>
        </w:tc>
        <w:tc>
          <w:tcPr>
            <w:tcW w:w="1701" w:type="dxa"/>
            <w:vAlign w:val="center"/>
          </w:tcPr>
          <w:p w14:paraId="1382609E">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77.7</w:t>
            </w:r>
          </w:p>
        </w:tc>
        <w:tc>
          <w:tcPr>
            <w:tcW w:w="1715" w:type="dxa"/>
            <w:vAlign w:val="center"/>
          </w:tcPr>
          <w:p w14:paraId="5D009F7B">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3.07</w:t>
            </w:r>
          </w:p>
        </w:tc>
        <w:tc>
          <w:tcPr>
            <w:tcW w:w="1717" w:type="dxa"/>
            <w:vAlign w:val="center"/>
          </w:tcPr>
          <w:p w14:paraId="37EEE8D4">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30.89</w:t>
            </w:r>
          </w:p>
        </w:tc>
      </w:tr>
      <w:tr w14:paraId="5E0EA5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71D79C80">
            <w:pPr>
              <w:spacing w:line="0" w:lineRule="atLeast"/>
              <w:jc w:val="center"/>
              <w:rPr>
                <w:rFonts w:ascii="Times New Roman" w:hAnsi="Times New Roman"/>
                <w:b/>
                <w:color w:val="auto"/>
                <w:kern w:val="0"/>
                <w:sz w:val="20"/>
                <w:highlight w:val="none"/>
              </w:rPr>
            </w:pPr>
          </w:p>
        </w:tc>
        <w:tc>
          <w:tcPr>
            <w:tcW w:w="1726" w:type="dxa"/>
            <w:vAlign w:val="center"/>
          </w:tcPr>
          <w:p w14:paraId="5027270F">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Ca</w:t>
            </w:r>
            <w:r>
              <w:rPr>
                <w:rFonts w:ascii="Times New Roman" w:hAnsi="Times New Roman"/>
                <w:color w:val="auto"/>
                <w:kern w:val="0"/>
                <w:highlight w:val="none"/>
                <w:vertAlign w:val="superscript"/>
              </w:rPr>
              <w:t>2+</w:t>
            </w:r>
          </w:p>
        </w:tc>
        <w:tc>
          <w:tcPr>
            <w:tcW w:w="1701" w:type="dxa"/>
            <w:vAlign w:val="center"/>
          </w:tcPr>
          <w:p w14:paraId="35DFBBB4">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91</w:t>
            </w:r>
          </w:p>
        </w:tc>
        <w:tc>
          <w:tcPr>
            <w:tcW w:w="1715" w:type="dxa"/>
            <w:vAlign w:val="center"/>
          </w:tcPr>
          <w:p w14:paraId="44ADFCEE">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4.54</w:t>
            </w:r>
            <w:r>
              <w:rPr>
                <w:rFonts w:ascii="Times New Roman" w:hAnsi="Times New Roman" w:eastAsia="等线"/>
                <w:color w:val="auto"/>
                <w:kern w:val="0"/>
                <w:szCs w:val="21"/>
                <w:highlight w:val="none"/>
                <w:lang w:bidi="ar"/>
              </w:rPr>
              <w:t xml:space="preserve"> </w:t>
            </w:r>
          </w:p>
        </w:tc>
        <w:tc>
          <w:tcPr>
            <w:tcW w:w="1717" w:type="dxa"/>
            <w:vAlign w:val="center"/>
          </w:tcPr>
          <w:p w14:paraId="2E7FBE22">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45.74</w:t>
            </w:r>
            <w:r>
              <w:rPr>
                <w:rFonts w:ascii="Times New Roman" w:hAnsi="Times New Roman" w:eastAsia="等线"/>
                <w:color w:val="auto"/>
                <w:kern w:val="0"/>
                <w:szCs w:val="21"/>
                <w:highlight w:val="none"/>
                <w:lang w:bidi="ar"/>
              </w:rPr>
              <w:t xml:space="preserve"> </w:t>
            </w:r>
          </w:p>
        </w:tc>
      </w:tr>
      <w:tr w14:paraId="78F215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1DCD438C">
            <w:pPr>
              <w:spacing w:line="0" w:lineRule="atLeast"/>
              <w:jc w:val="center"/>
              <w:rPr>
                <w:rFonts w:ascii="Times New Roman" w:hAnsi="Times New Roman"/>
                <w:b/>
                <w:color w:val="auto"/>
                <w:kern w:val="0"/>
                <w:sz w:val="20"/>
                <w:highlight w:val="none"/>
              </w:rPr>
            </w:pPr>
          </w:p>
        </w:tc>
        <w:tc>
          <w:tcPr>
            <w:tcW w:w="1726" w:type="dxa"/>
            <w:vAlign w:val="center"/>
          </w:tcPr>
          <w:p w14:paraId="192F1B73">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Mg</w:t>
            </w:r>
            <w:r>
              <w:rPr>
                <w:rFonts w:ascii="Times New Roman" w:hAnsi="Times New Roman"/>
                <w:color w:val="auto"/>
                <w:kern w:val="0"/>
                <w:highlight w:val="none"/>
                <w:vertAlign w:val="superscript"/>
              </w:rPr>
              <w:t>2+</w:t>
            </w:r>
          </w:p>
        </w:tc>
        <w:tc>
          <w:tcPr>
            <w:tcW w:w="1701" w:type="dxa"/>
            <w:vAlign w:val="center"/>
          </w:tcPr>
          <w:p w14:paraId="45F31C90">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28.2</w:t>
            </w:r>
          </w:p>
        </w:tc>
        <w:tc>
          <w:tcPr>
            <w:tcW w:w="1715" w:type="dxa"/>
            <w:vAlign w:val="center"/>
          </w:tcPr>
          <w:p w14:paraId="05D662DF">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2.32</w:t>
            </w:r>
            <w:r>
              <w:rPr>
                <w:rFonts w:ascii="Times New Roman" w:hAnsi="Times New Roman" w:eastAsia="等线"/>
                <w:color w:val="auto"/>
                <w:kern w:val="0"/>
                <w:szCs w:val="21"/>
                <w:highlight w:val="none"/>
                <w:lang w:bidi="ar"/>
              </w:rPr>
              <w:t xml:space="preserve"> </w:t>
            </w:r>
          </w:p>
        </w:tc>
        <w:tc>
          <w:tcPr>
            <w:tcW w:w="1717" w:type="dxa"/>
            <w:vAlign w:val="center"/>
          </w:tcPr>
          <w:p w14:paraId="687B36C3">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23.37</w:t>
            </w:r>
            <w:r>
              <w:rPr>
                <w:rFonts w:ascii="Times New Roman" w:hAnsi="Times New Roman" w:eastAsia="等线"/>
                <w:color w:val="auto"/>
                <w:kern w:val="0"/>
                <w:szCs w:val="21"/>
                <w:highlight w:val="none"/>
                <w:lang w:bidi="ar"/>
              </w:rPr>
              <w:t xml:space="preserve"> </w:t>
            </w:r>
          </w:p>
        </w:tc>
      </w:tr>
      <w:tr w14:paraId="107554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62E824EF">
            <w:pPr>
              <w:spacing w:line="0" w:lineRule="atLeast"/>
              <w:jc w:val="center"/>
              <w:rPr>
                <w:rFonts w:ascii="Times New Roman" w:hAnsi="Times New Roman"/>
                <w:b/>
                <w:color w:val="auto"/>
                <w:kern w:val="0"/>
                <w:sz w:val="20"/>
                <w:highlight w:val="none"/>
              </w:rPr>
            </w:pPr>
          </w:p>
        </w:tc>
        <w:tc>
          <w:tcPr>
            <w:tcW w:w="1726" w:type="dxa"/>
            <w:vAlign w:val="center"/>
          </w:tcPr>
          <w:p w14:paraId="79B93B93">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总计</w:t>
            </w:r>
          </w:p>
        </w:tc>
        <w:tc>
          <w:tcPr>
            <w:tcW w:w="1701" w:type="dxa"/>
            <w:vAlign w:val="center"/>
          </w:tcPr>
          <w:p w14:paraId="2B6E98E8">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196.9</w:t>
            </w:r>
          </w:p>
        </w:tc>
        <w:tc>
          <w:tcPr>
            <w:tcW w:w="1715" w:type="dxa"/>
            <w:vAlign w:val="center"/>
          </w:tcPr>
          <w:p w14:paraId="6AF054FD">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9.93</w:t>
            </w:r>
            <w:r>
              <w:rPr>
                <w:rFonts w:ascii="Times New Roman" w:hAnsi="Times New Roman" w:eastAsia="等线"/>
                <w:color w:val="auto"/>
                <w:kern w:val="0"/>
                <w:szCs w:val="21"/>
                <w:highlight w:val="none"/>
                <w:lang w:bidi="ar"/>
              </w:rPr>
              <w:t xml:space="preserve"> </w:t>
            </w:r>
          </w:p>
        </w:tc>
        <w:tc>
          <w:tcPr>
            <w:tcW w:w="1717" w:type="dxa"/>
            <w:vAlign w:val="center"/>
          </w:tcPr>
          <w:p w14:paraId="3A7EC648">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100.00 </w:t>
            </w:r>
          </w:p>
        </w:tc>
      </w:tr>
      <w:tr w14:paraId="5CDFC1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restart"/>
            <w:vAlign w:val="center"/>
          </w:tcPr>
          <w:p w14:paraId="3191343E">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阴</w:t>
            </w:r>
          </w:p>
          <w:p w14:paraId="3A8DB26E">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离</w:t>
            </w:r>
          </w:p>
          <w:p w14:paraId="5439F64F">
            <w:pPr>
              <w:spacing w:line="0" w:lineRule="atLeast"/>
              <w:jc w:val="center"/>
              <w:rPr>
                <w:rFonts w:ascii="Times New Roman" w:hAnsi="Times New Roman"/>
                <w:b/>
                <w:color w:val="auto"/>
                <w:kern w:val="0"/>
                <w:highlight w:val="none"/>
              </w:rPr>
            </w:pPr>
            <w:r>
              <w:rPr>
                <w:rFonts w:ascii="Times New Roman" w:hAnsi="Times New Roman"/>
                <w:b/>
                <w:color w:val="auto"/>
                <w:kern w:val="0"/>
                <w:highlight w:val="none"/>
              </w:rPr>
              <w:t>子</w:t>
            </w:r>
          </w:p>
          <w:p w14:paraId="428AA072">
            <w:pPr>
              <w:spacing w:line="0" w:lineRule="atLeast"/>
              <w:jc w:val="center"/>
              <w:rPr>
                <w:rFonts w:ascii="Times New Roman" w:hAnsi="Times New Roman"/>
                <w:b/>
                <w:color w:val="auto"/>
                <w:kern w:val="0"/>
                <w:sz w:val="20"/>
                <w:highlight w:val="none"/>
              </w:rPr>
            </w:pPr>
          </w:p>
        </w:tc>
        <w:tc>
          <w:tcPr>
            <w:tcW w:w="1726" w:type="dxa"/>
            <w:vAlign w:val="center"/>
          </w:tcPr>
          <w:p w14:paraId="6BEFABD7">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HCO</w:t>
            </w:r>
            <w:r>
              <w:rPr>
                <w:rFonts w:ascii="Times New Roman" w:hAnsi="Times New Roman"/>
                <w:color w:val="auto"/>
                <w:kern w:val="0"/>
                <w:highlight w:val="none"/>
                <w:vertAlign w:val="subscript"/>
              </w:rPr>
              <w:t>3</w:t>
            </w:r>
            <w:r>
              <w:rPr>
                <w:rFonts w:ascii="Times New Roman" w:hAnsi="Times New Roman"/>
                <w:color w:val="auto"/>
                <w:kern w:val="0"/>
                <w:highlight w:val="none"/>
                <w:vertAlign w:val="superscript"/>
              </w:rPr>
              <w:t>-</w:t>
            </w:r>
          </w:p>
        </w:tc>
        <w:tc>
          <w:tcPr>
            <w:tcW w:w="1701" w:type="dxa"/>
            <w:vAlign w:val="center"/>
          </w:tcPr>
          <w:p w14:paraId="79F34CC4">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153</w:t>
            </w:r>
          </w:p>
        </w:tc>
        <w:tc>
          <w:tcPr>
            <w:tcW w:w="1715" w:type="dxa"/>
            <w:vAlign w:val="center"/>
          </w:tcPr>
          <w:p w14:paraId="7C3963FF">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2.51</w:t>
            </w:r>
          </w:p>
        </w:tc>
        <w:tc>
          <w:tcPr>
            <w:tcW w:w="1717" w:type="dxa"/>
            <w:vAlign w:val="center"/>
          </w:tcPr>
          <w:p w14:paraId="288596F7">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25.94</w:t>
            </w:r>
            <w:r>
              <w:rPr>
                <w:rFonts w:ascii="Times New Roman" w:hAnsi="Times New Roman" w:eastAsia="等线"/>
                <w:color w:val="auto"/>
                <w:kern w:val="0"/>
                <w:szCs w:val="21"/>
                <w:highlight w:val="none"/>
                <w:lang w:bidi="ar"/>
              </w:rPr>
              <w:t xml:space="preserve"> </w:t>
            </w:r>
          </w:p>
        </w:tc>
      </w:tr>
      <w:tr w14:paraId="547E5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2E3AA4AC">
            <w:pPr>
              <w:spacing w:line="0" w:lineRule="atLeast"/>
              <w:jc w:val="center"/>
              <w:rPr>
                <w:rFonts w:ascii="Times New Roman" w:hAnsi="Times New Roman"/>
                <w:b/>
                <w:color w:val="auto"/>
                <w:kern w:val="0"/>
                <w:sz w:val="20"/>
                <w:highlight w:val="none"/>
              </w:rPr>
            </w:pPr>
          </w:p>
        </w:tc>
        <w:tc>
          <w:tcPr>
            <w:tcW w:w="1726" w:type="dxa"/>
            <w:vAlign w:val="center"/>
          </w:tcPr>
          <w:p w14:paraId="292C8E64">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Cl</w:t>
            </w:r>
            <w:r>
              <w:rPr>
                <w:rFonts w:ascii="Times New Roman" w:hAnsi="Times New Roman"/>
                <w:color w:val="auto"/>
                <w:kern w:val="0"/>
                <w:highlight w:val="none"/>
                <w:vertAlign w:val="superscript"/>
              </w:rPr>
              <w:t>-</w:t>
            </w:r>
          </w:p>
        </w:tc>
        <w:tc>
          <w:tcPr>
            <w:tcW w:w="1701" w:type="dxa"/>
            <w:vAlign w:val="center"/>
          </w:tcPr>
          <w:p w14:paraId="3AE4ED81">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166</w:t>
            </w:r>
          </w:p>
        </w:tc>
        <w:tc>
          <w:tcPr>
            <w:tcW w:w="1715" w:type="dxa"/>
            <w:vAlign w:val="center"/>
          </w:tcPr>
          <w:p w14:paraId="664DAA04">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4.68</w:t>
            </w:r>
            <w:r>
              <w:rPr>
                <w:rFonts w:ascii="Times New Roman" w:hAnsi="Times New Roman" w:eastAsia="等线"/>
                <w:color w:val="auto"/>
                <w:kern w:val="0"/>
                <w:szCs w:val="21"/>
                <w:highlight w:val="none"/>
                <w:lang w:bidi="ar"/>
              </w:rPr>
              <w:t xml:space="preserve"> </w:t>
            </w:r>
          </w:p>
        </w:tc>
        <w:tc>
          <w:tcPr>
            <w:tcW w:w="1717" w:type="dxa"/>
            <w:vAlign w:val="center"/>
          </w:tcPr>
          <w:p w14:paraId="660785D7">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48.44</w:t>
            </w:r>
            <w:r>
              <w:rPr>
                <w:rFonts w:ascii="Times New Roman" w:hAnsi="Times New Roman" w:eastAsia="等线"/>
                <w:color w:val="auto"/>
                <w:kern w:val="0"/>
                <w:szCs w:val="21"/>
                <w:highlight w:val="none"/>
                <w:lang w:bidi="ar"/>
              </w:rPr>
              <w:t xml:space="preserve"> </w:t>
            </w:r>
          </w:p>
        </w:tc>
      </w:tr>
      <w:tr w14:paraId="0BF5FC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598CCA28">
            <w:pPr>
              <w:spacing w:line="0" w:lineRule="atLeast"/>
              <w:jc w:val="center"/>
              <w:rPr>
                <w:rFonts w:ascii="Times New Roman" w:hAnsi="Times New Roman"/>
                <w:b/>
                <w:color w:val="auto"/>
                <w:kern w:val="0"/>
                <w:sz w:val="20"/>
                <w:highlight w:val="none"/>
              </w:rPr>
            </w:pPr>
          </w:p>
        </w:tc>
        <w:tc>
          <w:tcPr>
            <w:tcW w:w="1726" w:type="dxa"/>
            <w:vAlign w:val="center"/>
          </w:tcPr>
          <w:p w14:paraId="1C3AA592">
            <w:pPr>
              <w:spacing w:line="0" w:lineRule="atLeast"/>
              <w:jc w:val="center"/>
              <w:rPr>
                <w:rFonts w:ascii="Times New Roman" w:hAnsi="Times New Roman"/>
                <w:color w:val="auto"/>
                <w:kern w:val="0"/>
                <w:highlight w:val="none"/>
                <w:vertAlign w:val="superscript"/>
              </w:rPr>
            </w:pPr>
            <w:r>
              <w:rPr>
                <w:rFonts w:ascii="Times New Roman" w:hAnsi="Times New Roman"/>
                <w:color w:val="auto"/>
                <w:kern w:val="0"/>
                <w:highlight w:val="none"/>
              </w:rPr>
              <w:t>SO</w:t>
            </w:r>
            <w:r>
              <w:rPr>
                <w:rFonts w:ascii="Times New Roman" w:hAnsi="Times New Roman"/>
                <w:color w:val="auto"/>
                <w:kern w:val="0"/>
                <w:highlight w:val="none"/>
                <w:vertAlign w:val="subscript"/>
              </w:rPr>
              <w:t>4</w:t>
            </w:r>
            <w:r>
              <w:rPr>
                <w:rFonts w:ascii="Times New Roman" w:hAnsi="Times New Roman"/>
                <w:color w:val="auto"/>
                <w:kern w:val="0"/>
                <w:highlight w:val="none"/>
                <w:vertAlign w:val="superscript"/>
              </w:rPr>
              <w:t>2-</w:t>
            </w:r>
          </w:p>
        </w:tc>
        <w:tc>
          <w:tcPr>
            <w:tcW w:w="1701" w:type="dxa"/>
            <w:vAlign w:val="center"/>
          </w:tcPr>
          <w:p w14:paraId="4658C383">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119</w:t>
            </w:r>
          </w:p>
        </w:tc>
        <w:tc>
          <w:tcPr>
            <w:tcW w:w="1715" w:type="dxa"/>
            <w:vAlign w:val="center"/>
          </w:tcPr>
          <w:p w14:paraId="157A571D">
            <w:pPr>
              <w:widowControl/>
              <w:jc w:val="center"/>
              <w:textAlignment w:val="bottom"/>
              <w:rPr>
                <w:rFonts w:ascii="Times New Roman" w:hAnsi="Times New Roman" w:eastAsia="等线"/>
                <w:color w:val="auto"/>
                <w:kern w:val="0"/>
                <w:szCs w:val="21"/>
                <w:highlight w:val="none"/>
                <w:lang w:bidi="ar"/>
              </w:rPr>
            </w:pPr>
            <w:r>
              <w:rPr>
                <w:rFonts w:hint="eastAsia" w:eastAsia="等线"/>
                <w:color w:val="auto"/>
                <w:kern w:val="0"/>
                <w:szCs w:val="21"/>
                <w:highlight w:val="none"/>
                <w:lang w:val="en-US" w:eastAsia="zh-CN" w:bidi="ar"/>
              </w:rPr>
              <w:t>2.48</w:t>
            </w:r>
            <w:r>
              <w:rPr>
                <w:rFonts w:ascii="Times New Roman" w:hAnsi="Times New Roman" w:eastAsia="等线"/>
                <w:color w:val="auto"/>
                <w:kern w:val="0"/>
                <w:szCs w:val="21"/>
                <w:highlight w:val="none"/>
                <w:lang w:bidi="ar"/>
              </w:rPr>
              <w:t xml:space="preserve"> </w:t>
            </w:r>
          </w:p>
        </w:tc>
        <w:tc>
          <w:tcPr>
            <w:tcW w:w="1717" w:type="dxa"/>
            <w:vAlign w:val="center"/>
          </w:tcPr>
          <w:p w14:paraId="2D4B40A8">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25.63</w:t>
            </w:r>
          </w:p>
        </w:tc>
      </w:tr>
      <w:tr w14:paraId="58D8C1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1663" w:type="dxa"/>
            <w:vMerge w:val="continue"/>
            <w:vAlign w:val="center"/>
          </w:tcPr>
          <w:p w14:paraId="51911285">
            <w:pPr>
              <w:spacing w:line="0" w:lineRule="atLeast"/>
              <w:jc w:val="center"/>
              <w:rPr>
                <w:rFonts w:ascii="Times New Roman" w:hAnsi="Times New Roman"/>
                <w:b/>
                <w:color w:val="auto"/>
                <w:kern w:val="0"/>
                <w:sz w:val="20"/>
                <w:highlight w:val="none"/>
              </w:rPr>
            </w:pPr>
          </w:p>
        </w:tc>
        <w:tc>
          <w:tcPr>
            <w:tcW w:w="1726" w:type="dxa"/>
            <w:vAlign w:val="center"/>
          </w:tcPr>
          <w:p w14:paraId="7FD1EFF7">
            <w:pPr>
              <w:spacing w:line="0" w:lineRule="atLeast"/>
              <w:jc w:val="center"/>
              <w:rPr>
                <w:rFonts w:ascii="Times New Roman" w:hAnsi="Times New Roman"/>
                <w:color w:val="auto"/>
                <w:kern w:val="0"/>
                <w:highlight w:val="none"/>
              </w:rPr>
            </w:pPr>
            <w:r>
              <w:rPr>
                <w:rFonts w:ascii="Times New Roman" w:hAnsi="Times New Roman"/>
                <w:color w:val="auto"/>
                <w:kern w:val="0"/>
                <w:highlight w:val="none"/>
              </w:rPr>
              <w:t>总计</w:t>
            </w:r>
          </w:p>
        </w:tc>
        <w:tc>
          <w:tcPr>
            <w:tcW w:w="1701" w:type="dxa"/>
            <w:vAlign w:val="center"/>
          </w:tcPr>
          <w:p w14:paraId="277F4D62">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438</w:t>
            </w:r>
          </w:p>
        </w:tc>
        <w:tc>
          <w:tcPr>
            <w:tcW w:w="1715" w:type="dxa"/>
            <w:vAlign w:val="center"/>
          </w:tcPr>
          <w:p w14:paraId="6C602BC2">
            <w:pPr>
              <w:widowControl/>
              <w:jc w:val="center"/>
              <w:textAlignment w:val="bottom"/>
              <w:rPr>
                <w:rFonts w:hint="default" w:ascii="Times New Roman" w:hAnsi="Times New Roman" w:eastAsia="等线"/>
                <w:color w:val="auto"/>
                <w:kern w:val="0"/>
                <w:szCs w:val="21"/>
                <w:highlight w:val="none"/>
                <w:lang w:val="en-US" w:eastAsia="zh-CN" w:bidi="ar"/>
              </w:rPr>
            </w:pPr>
            <w:r>
              <w:rPr>
                <w:rFonts w:hint="eastAsia" w:eastAsia="等线"/>
                <w:color w:val="auto"/>
                <w:kern w:val="0"/>
                <w:szCs w:val="21"/>
                <w:highlight w:val="none"/>
                <w:lang w:val="en-US" w:eastAsia="zh-CN" w:bidi="ar"/>
              </w:rPr>
              <w:t>9.67</w:t>
            </w:r>
          </w:p>
        </w:tc>
        <w:tc>
          <w:tcPr>
            <w:tcW w:w="1717" w:type="dxa"/>
            <w:vAlign w:val="center"/>
          </w:tcPr>
          <w:p w14:paraId="407C48B2">
            <w:pPr>
              <w:widowControl/>
              <w:jc w:val="center"/>
              <w:textAlignment w:val="bottom"/>
              <w:rPr>
                <w:rFonts w:ascii="Times New Roman" w:hAnsi="Times New Roman" w:eastAsia="等线"/>
                <w:color w:val="auto"/>
                <w:kern w:val="0"/>
                <w:szCs w:val="21"/>
                <w:highlight w:val="none"/>
                <w:lang w:bidi="ar"/>
              </w:rPr>
            </w:pPr>
            <w:r>
              <w:rPr>
                <w:rFonts w:ascii="Times New Roman" w:hAnsi="Times New Roman" w:eastAsia="等线"/>
                <w:color w:val="auto"/>
                <w:kern w:val="0"/>
                <w:szCs w:val="21"/>
                <w:highlight w:val="none"/>
                <w:lang w:bidi="ar"/>
              </w:rPr>
              <w:t xml:space="preserve">100.00 </w:t>
            </w:r>
          </w:p>
        </w:tc>
      </w:tr>
    </w:tbl>
    <w:p w14:paraId="4C707F14">
      <w:pPr>
        <w:spacing w:line="360" w:lineRule="auto"/>
        <w:ind w:firstLine="480" w:firstLineChars="200"/>
        <w:rPr>
          <w:color w:val="auto"/>
          <w:sz w:val="24"/>
          <w:highlight w:val="none"/>
        </w:rPr>
      </w:pPr>
      <w:r>
        <w:rPr>
          <w:rFonts w:hint="eastAsia"/>
          <w:color w:val="auto"/>
          <w:sz w:val="24"/>
          <w:highlight w:val="none"/>
        </w:rPr>
        <w:t>然后计算水质矿化度</w:t>
      </w:r>
      <w:r>
        <w:rPr>
          <w:color w:val="auto"/>
          <w:sz w:val="24"/>
          <w:highlight w:val="none"/>
        </w:rPr>
        <w:t>M</w:t>
      </w:r>
      <w:r>
        <w:rPr>
          <w:rFonts w:hint="eastAsia"/>
          <w:color w:val="auto"/>
          <w:sz w:val="24"/>
          <w:highlight w:val="none"/>
        </w:rPr>
        <w:t>。</w:t>
      </w:r>
    </w:p>
    <w:p w14:paraId="0A0B7C75">
      <w:pPr>
        <w:spacing w:line="360" w:lineRule="auto"/>
        <w:ind w:firstLine="480" w:firstLineChars="200"/>
        <w:rPr>
          <w:bCs/>
          <w:color w:val="auto"/>
          <w:sz w:val="24"/>
          <w:highlight w:val="none"/>
        </w:rPr>
      </w:pPr>
      <w:r>
        <w:rPr>
          <w:rFonts w:hint="eastAsia"/>
          <w:bCs/>
          <w:color w:val="auto"/>
          <w:sz w:val="24"/>
          <w:highlight w:val="none"/>
        </w:rPr>
        <w:t>★01</w:t>
      </w:r>
      <w:r>
        <w:rPr>
          <w:bCs/>
          <w:color w:val="auto"/>
          <w:sz w:val="24"/>
          <w:highlight w:val="none"/>
        </w:rPr>
        <w:t>水质矿化度计算过程：</w:t>
      </w:r>
    </w:p>
    <w:p w14:paraId="2EDD9EE1">
      <w:pPr>
        <w:spacing w:line="360" w:lineRule="auto"/>
        <w:ind w:firstLine="480" w:firstLineChars="200"/>
        <w:rPr>
          <w:bCs/>
          <w:color w:val="auto"/>
          <w:sz w:val="24"/>
          <w:highlight w:val="none"/>
        </w:rPr>
      </w:pPr>
      <w:r>
        <w:rPr>
          <w:bCs/>
          <w:color w:val="auto"/>
          <w:sz w:val="24"/>
          <w:highlight w:val="none"/>
        </w:rPr>
        <w:t>应先将表4-2-11中1</w:t>
      </w:r>
      <w:r>
        <w:rPr>
          <w:rFonts w:hint="eastAsia"/>
          <w:bCs/>
          <w:color w:val="auto"/>
          <w:sz w:val="24"/>
          <w:highlight w:val="none"/>
        </w:rPr>
        <w:t>#</w:t>
      </w:r>
      <w:r>
        <w:rPr>
          <w:bCs/>
          <w:color w:val="auto"/>
          <w:sz w:val="24"/>
          <w:highlight w:val="none"/>
        </w:rPr>
        <w:t>的阴离子的mg/L数换算成mmol/L数。它们的摩尔质量—mg/mmol数分别采用：M（</w:t>
      </w:r>
      <m:oMath>
        <m:f>
          <m:fPr>
            <m:type m:val="skw"/>
            <m:ctrlPr>
              <w:rPr>
                <w:rFonts w:ascii="Cambria Math" w:hAnsi="Cambria Math"/>
                <w:bCs/>
                <w:color w:val="auto"/>
                <w:sz w:val="24"/>
                <w:highlight w:val="none"/>
              </w:rPr>
            </m:ctrlPr>
          </m:fPr>
          <m:num>
            <m:r>
              <m:rPr>
                <m:sty m:val="p"/>
              </m:rPr>
              <w:rPr>
                <w:rFonts w:ascii="Cambria Math"/>
                <w:color w:val="auto"/>
                <w:sz w:val="24"/>
                <w:highlight w:val="none"/>
              </w:rPr>
              <m:t>1</m:t>
            </m:r>
            <m:ctrlPr>
              <w:rPr>
                <w:rFonts w:ascii="Cambria Math" w:hAnsi="Cambria Math"/>
                <w:bCs/>
                <w:color w:val="auto"/>
                <w:sz w:val="24"/>
                <w:highlight w:val="none"/>
              </w:rPr>
            </m:ctrlPr>
          </m:num>
          <m:den>
            <m:r>
              <m:rPr>
                <m:sty m:val="p"/>
              </m:rPr>
              <w:rPr>
                <w:rFonts w:ascii="Cambria Math"/>
                <w:color w:val="auto"/>
                <w:sz w:val="24"/>
                <w:highlight w:val="none"/>
              </w:rPr>
              <m:t>2</m:t>
            </m:r>
            <m:ctrlPr>
              <w:rPr>
                <w:rFonts w:ascii="Cambria Math" w:hAnsi="Cambria Math"/>
                <w:bCs/>
                <w:color w:val="auto"/>
                <w:sz w:val="24"/>
                <w:highlight w:val="none"/>
              </w:rPr>
            </m:ctrlPr>
          </m:den>
        </m:f>
        <m:sSubSup>
          <m:sSubSupPr>
            <m:ctrlPr>
              <w:rPr>
                <w:rFonts w:ascii="Cambria Math" w:hAnsi="Cambria Math"/>
                <w:bCs/>
                <w:color w:val="auto"/>
                <w:sz w:val="24"/>
                <w:highlight w:val="none"/>
              </w:rPr>
            </m:ctrlPr>
          </m:sSubSupPr>
          <m:e>
            <m:r>
              <m:rPr>
                <m:sty m:val="p"/>
              </m:rPr>
              <w:rPr>
                <w:rFonts w:ascii="Cambria Math"/>
                <w:color w:val="auto"/>
                <w:sz w:val="24"/>
                <w:highlight w:val="none"/>
              </w:rPr>
              <m:t>CO</m:t>
            </m:r>
            <m:ctrlPr>
              <w:rPr>
                <w:rFonts w:ascii="Cambria Math" w:hAnsi="Cambria Math"/>
                <w:bCs/>
                <w:color w:val="auto"/>
                <w:sz w:val="24"/>
                <w:highlight w:val="none"/>
              </w:rPr>
            </m:ctrlPr>
          </m:e>
          <m:sub>
            <m:r>
              <m:rPr>
                <m:sty m:val="p"/>
              </m:rPr>
              <w:rPr>
                <w:rFonts w:ascii="Cambria Math"/>
                <w:color w:val="auto"/>
                <w:sz w:val="24"/>
                <w:highlight w:val="none"/>
              </w:rPr>
              <m:t>3</m:t>
            </m:r>
            <m:ctrlPr>
              <w:rPr>
                <w:rFonts w:ascii="Cambria Math" w:hAnsi="Cambria Math"/>
                <w:bCs/>
                <w:color w:val="auto"/>
                <w:sz w:val="24"/>
                <w:highlight w:val="none"/>
              </w:rPr>
            </m:ctrlPr>
          </m:sub>
          <m:sup>
            <m:r>
              <m:rPr>
                <m:sty m:val="p"/>
              </m:rPr>
              <w:rPr>
                <w:rFonts w:ascii="Cambria Math"/>
                <w:color w:val="auto"/>
                <w:sz w:val="24"/>
                <w:highlight w:val="none"/>
              </w:rPr>
              <m:t>2</m:t>
            </m:r>
            <m:r>
              <m:rPr>
                <m:sty m:val="p"/>
              </m:rPr>
              <w:rPr>
                <w:rFonts w:ascii="Cambria Math" w:hAnsi="Cambria Math"/>
                <w:color w:val="auto"/>
                <w:sz w:val="24"/>
                <w:highlight w:val="none"/>
              </w:rPr>
              <m:t>−</m:t>
            </m:r>
            <m:ctrlPr>
              <w:rPr>
                <w:rFonts w:ascii="Cambria Math" w:hAnsi="Cambria Math"/>
                <w:bCs/>
                <w:color w:val="auto"/>
                <w:sz w:val="24"/>
                <w:highlight w:val="none"/>
              </w:rPr>
            </m:ctrlPr>
          </m:sup>
        </m:sSubSup>
      </m:oMath>
      <w:r>
        <w:rPr>
          <w:bCs/>
          <w:color w:val="auto"/>
          <w:sz w:val="24"/>
          <w:highlight w:val="none"/>
        </w:rPr>
        <w:t>）是30，M（</w:t>
      </w:r>
      <m:oMath>
        <m:r>
          <m:rPr>
            <m:sty m:val="p"/>
          </m:rPr>
          <w:rPr>
            <w:rFonts w:ascii="Cambria Math"/>
            <w:color w:val="auto"/>
            <w:sz w:val="24"/>
            <w:highlight w:val="none"/>
          </w:rPr>
          <m:t>H</m:t>
        </m:r>
        <m:sSubSup>
          <m:sSubSupPr>
            <m:ctrlPr>
              <w:rPr>
                <w:rFonts w:ascii="Cambria Math" w:hAnsi="Cambria Math"/>
                <w:bCs/>
                <w:color w:val="auto"/>
                <w:sz w:val="24"/>
                <w:highlight w:val="none"/>
              </w:rPr>
            </m:ctrlPr>
          </m:sSubSupPr>
          <m:e>
            <m:r>
              <m:rPr>
                <m:sty m:val="p"/>
              </m:rPr>
              <w:rPr>
                <w:rFonts w:ascii="Cambria Math"/>
                <w:color w:val="auto"/>
                <w:sz w:val="24"/>
                <w:highlight w:val="none"/>
              </w:rPr>
              <m:t>CO</m:t>
            </m:r>
            <m:ctrlPr>
              <w:rPr>
                <w:rFonts w:ascii="Cambria Math" w:hAnsi="Cambria Math"/>
                <w:bCs/>
                <w:color w:val="auto"/>
                <w:sz w:val="24"/>
                <w:highlight w:val="none"/>
              </w:rPr>
            </m:ctrlPr>
          </m:e>
          <m:sub>
            <m:r>
              <m:rPr>
                <m:sty m:val="p"/>
              </m:rPr>
              <w:rPr>
                <w:rFonts w:ascii="Cambria Math"/>
                <w:color w:val="auto"/>
                <w:sz w:val="24"/>
                <w:highlight w:val="none"/>
              </w:rPr>
              <m:t>3</m:t>
            </m:r>
            <m:ctrlPr>
              <w:rPr>
                <w:rFonts w:ascii="Cambria Math" w:hAnsi="Cambria Math"/>
                <w:bCs/>
                <w:color w:val="auto"/>
                <w:sz w:val="24"/>
                <w:highlight w:val="none"/>
              </w:rPr>
            </m:ctrlPr>
          </m:sub>
          <m:sup>
            <m:r>
              <m:rPr>
                <m:sty m:val="p"/>
              </m:rPr>
              <w:rPr>
                <w:rFonts w:ascii="Cambria Math" w:hAnsi="Cambria Math"/>
                <w:color w:val="auto"/>
                <w:sz w:val="24"/>
                <w:highlight w:val="none"/>
              </w:rPr>
              <m:t>−</m:t>
            </m:r>
            <m:ctrlPr>
              <w:rPr>
                <w:rFonts w:ascii="Cambria Math" w:hAnsi="Cambria Math"/>
                <w:bCs/>
                <w:color w:val="auto"/>
                <w:sz w:val="24"/>
                <w:highlight w:val="none"/>
              </w:rPr>
            </m:ctrlPr>
          </m:sup>
        </m:sSubSup>
      </m:oMath>
      <w:r>
        <w:rPr>
          <w:bCs/>
          <w:color w:val="auto"/>
          <w:sz w:val="24"/>
          <w:highlight w:val="none"/>
        </w:rPr>
        <w:t>）是61，M（Cl</w:t>
      </w:r>
      <w:r>
        <w:rPr>
          <w:bCs/>
          <w:color w:val="auto"/>
          <w:sz w:val="24"/>
          <w:highlight w:val="none"/>
          <w:vertAlign w:val="superscript"/>
        </w:rPr>
        <w:t>-</w:t>
      </w:r>
      <w:r>
        <w:rPr>
          <w:bCs/>
          <w:color w:val="auto"/>
          <w:sz w:val="24"/>
          <w:highlight w:val="none"/>
        </w:rPr>
        <w:t>）是35.5，M（</w:t>
      </w:r>
      <m:oMath>
        <m:f>
          <m:fPr>
            <m:type m:val="skw"/>
            <m:ctrlPr>
              <w:rPr>
                <w:rFonts w:ascii="Cambria Math" w:hAnsi="Cambria Math"/>
                <w:bCs/>
                <w:color w:val="auto"/>
                <w:sz w:val="24"/>
                <w:highlight w:val="none"/>
              </w:rPr>
            </m:ctrlPr>
          </m:fPr>
          <m:num>
            <m:r>
              <m:rPr>
                <m:sty m:val="p"/>
              </m:rPr>
              <w:rPr>
                <w:rFonts w:ascii="Cambria Math"/>
                <w:color w:val="auto"/>
                <w:sz w:val="24"/>
                <w:highlight w:val="none"/>
              </w:rPr>
              <m:t>1</m:t>
            </m:r>
            <m:ctrlPr>
              <w:rPr>
                <w:rFonts w:ascii="Cambria Math" w:hAnsi="Cambria Math"/>
                <w:bCs/>
                <w:color w:val="auto"/>
                <w:sz w:val="24"/>
                <w:highlight w:val="none"/>
              </w:rPr>
            </m:ctrlPr>
          </m:num>
          <m:den>
            <m:r>
              <m:rPr>
                <m:sty m:val="p"/>
              </m:rPr>
              <w:rPr>
                <w:rFonts w:ascii="Cambria Math"/>
                <w:color w:val="auto"/>
                <w:sz w:val="24"/>
                <w:highlight w:val="none"/>
              </w:rPr>
              <m:t>2</m:t>
            </m:r>
            <m:ctrlPr>
              <w:rPr>
                <w:rFonts w:ascii="Cambria Math" w:hAnsi="Cambria Math"/>
                <w:bCs/>
                <w:color w:val="auto"/>
                <w:sz w:val="24"/>
                <w:highlight w:val="none"/>
              </w:rPr>
            </m:ctrlPr>
          </m:den>
        </m:f>
        <m:sSubSup>
          <m:sSubSupPr>
            <m:ctrlPr>
              <w:rPr>
                <w:rFonts w:ascii="Cambria Math" w:hAnsi="Cambria Math"/>
                <w:bCs/>
                <w:color w:val="auto"/>
                <w:sz w:val="24"/>
                <w:highlight w:val="none"/>
              </w:rPr>
            </m:ctrlPr>
          </m:sSubSupPr>
          <m:e>
            <m:r>
              <m:rPr>
                <m:sty m:val="p"/>
              </m:rPr>
              <w:rPr>
                <w:rFonts w:ascii="Cambria Math"/>
                <w:color w:val="auto"/>
                <w:sz w:val="24"/>
                <w:highlight w:val="none"/>
              </w:rPr>
              <m:t>SO</m:t>
            </m:r>
            <m:ctrlPr>
              <w:rPr>
                <w:rFonts w:ascii="Cambria Math" w:hAnsi="Cambria Math"/>
                <w:bCs/>
                <w:color w:val="auto"/>
                <w:sz w:val="24"/>
                <w:highlight w:val="none"/>
              </w:rPr>
            </m:ctrlPr>
          </m:e>
          <m:sub>
            <m:r>
              <m:rPr>
                <m:sty m:val="p"/>
              </m:rPr>
              <w:rPr>
                <w:rFonts w:ascii="Cambria Math"/>
                <w:color w:val="auto"/>
                <w:sz w:val="24"/>
                <w:highlight w:val="none"/>
              </w:rPr>
              <m:t>4</m:t>
            </m:r>
            <m:ctrlPr>
              <w:rPr>
                <w:rFonts w:ascii="Cambria Math" w:hAnsi="Cambria Math"/>
                <w:bCs/>
                <w:color w:val="auto"/>
                <w:sz w:val="24"/>
                <w:highlight w:val="none"/>
              </w:rPr>
            </m:ctrlPr>
          </m:sub>
          <m:sup>
            <m:r>
              <m:rPr>
                <m:sty m:val="p"/>
              </m:rPr>
              <w:rPr>
                <w:rFonts w:ascii="Cambria Math"/>
                <w:color w:val="auto"/>
                <w:sz w:val="24"/>
                <w:highlight w:val="none"/>
              </w:rPr>
              <m:t>2</m:t>
            </m:r>
            <m:r>
              <m:rPr>
                <m:sty m:val="p"/>
              </m:rPr>
              <w:rPr>
                <w:rFonts w:ascii="Cambria Math" w:hAnsi="Cambria Math"/>
                <w:color w:val="auto"/>
                <w:sz w:val="24"/>
                <w:highlight w:val="none"/>
              </w:rPr>
              <m:t>−</m:t>
            </m:r>
            <m:ctrlPr>
              <w:rPr>
                <w:rFonts w:ascii="Cambria Math" w:hAnsi="Cambria Math"/>
                <w:bCs/>
                <w:color w:val="auto"/>
                <w:sz w:val="24"/>
                <w:highlight w:val="none"/>
              </w:rPr>
            </m:ctrlPr>
          </m:sup>
        </m:sSubSup>
      </m:oMath>
      <w:r>
        <w:rPr>
          <w:bCs/>
          <w:color w:val="auto"/>
          <w:sz w:val="24"/>
          <w:highlight w:val="none"/>
        </w:rPr>
        <w:t>）是48。</w:t>
      </w:r>
    </w:p>
    <w:p w14:paraId="2E5F2D32">
      <w:pPr>
        <w:spacing w:line="360" w:lineRule="auto"/>
        <w:ind w:firstLine="480" w:firstLineChars="200"/>
        <w:rPr>
          <w:rFonts w:hint="default" w:eastAsia="宋体"/>
          <w:bCs/>
          <w:color w:val="auto"/>
          <w:sz w:val="24"/>
          <w:highlight w:val="none"/>
          <w:lang w:val="en-US" w:eastAsia="zh-CN"/>
        </w:rPr>
      </w:pPr>
      <w:r>
        <w:rPr>
          <w:bCs/>
          <w:color w:val="auto"/>
          <w:sz w:val="24"/>
          <w:highlight w:val="none"/>
        </w:rPr>
        <w:t>所以，C（</w:t>
      </w:r>
      <m:oMath>
        <m:r>
          <m:rPr>
            <m:sty m:val="p"/>
          </m:rPr>
          <w:rPr>
            <w:rFonts w:ascii="Cambria Math"/>
            <w:color w:val="auto"/>
            <w:sz w:val="24"/>
            <w:highlight w:val="none"/>
          </w:rPr>
          <m:t>H</m:t>
        </m:r>
        <m:sSubSup>
          <m:sSubSupPr>
            <m:ctrlPr>
              <w:rPr>
                <w:rFonts w:ascii="Cambria Math" w:hAnsi="Cambria Math"/>
                <w:bCs/>
                <w:color w:val="auto"/>
                <w:sz w:val="24"/>
                <w:highlight w:val="none"/>
              </w:rPr>
            </m:ctrlPr>
          </m:sSubSupPr>
          <m:e>
            <m:r>
              <m:rPr>
                <m:sty m:val="p"/>
              </m:rPr>
              <w:rPr>
                <w:rFonts w:ascii="Cambria Math"/>
                <w:color w:val="auto"/>
                <w:sz w:val="24"/>
                <w:highlight w:val="none"/>
              </w:rPr>
              <m:t>CO</m:t>
            </m:r>
            <m:ctrlPr>
              <w:rPr>
                <w:rFonts w:ascii="Cambria Math" w:hAnsi="Cambria Math"/>
                <w:bCs/>
                <w:color w:val="auto"/>
                <w:sz w:val="24"/>
                <w:highlight w:val="none"/>
              </w:rPr>
            </m:ctrlPr>
          </m:e>
          <m:sub>
            <m:r>
              <m:rPr>
                <m:sty m:val="p"/>
              </m:rPr>
              <w:rPr>
                <w:rFonts w:ascii="Cambria Math"/>
                <w:color w:val="auto"/>
                <w:sz w:val="24"/>
                <w:highlight w:val="none"/>
              </w:rPr>
              <m:t>3</m:t>
            </m:r>
            <m:ctrlPr>
              <w:rPr>
                <w:rFonts w:ascii="Cambria Math" w:hAnsi="Cambria Math"/>
                <w:bCs/>
                <w:color w:val="auto"/>
                <w:sz w:val="24"/>
                <w:highlight w:val="none"/>
              </w:rPr>
            </m:ctrlPr>
          </m:sub>
          <m:sup>
            <m:r>
              <m:rPr>
                <m:sty m:val="p"/>
              </m:rPr>
              <w:rPr>
                <w:rFonts w:ascii="Cambria Math" w:hAnsi="Cambria Math"/>
                <w:color w:val="auto"/>
                <w:sz w:val="24"/>
                <w:highlight w:val="none"/>
              </w:rPr>
              <m:t>−</m:t>
            </m:r>
            <m:ctrlPr>
              <w:rPr>
                <w:rFonts w:ascii="Cambria Math" w:hAnsi="Cambria Math"/>
                <w:bCs/>
                <w:color w:val="auto"/>
                <w:sz w:val="24"/>
                <w:highlight w:val="none"/>
              </w:rPr>
            </m:ctrlPr>
          </m:sup>
        </m:sSubSup>
      </m:oMath>
      <w:r>
        <w:rPr>
          <w:bCs/>
          <w:color w:val="auto"/>
          <w:sz w:val="24"/>
          <w:highlight w:val="none"/>
        </w:rPr>
        <w:t>）=</w:t>
      </w:r>
      <m:oMath>
        <m:f>
          <m:fPr>
            <m:ctrlPr>
              <w:rPr>
                <w:rFonts w:ascii="Cambria Math" w:hAnsi="Cambria Math"/>
                <w:bCs/>
                <w:color w:val="auto"/>
                <w:sz w:val="24"/>
                <w:highlight w:val="none"/>
              </w:rPr>
            </m:ctrlPr>
          </m:fPr>
          <m:num>
            <m:r>
              <m:rPr>
                <m:sty m:val="p"/>
              </m:rPr>
              <w:rPr>
                <w:rFonts w:hint="default" w:ascii="Cambria Math"/>
                <w:color w:val="auto"/>
                <w:sz w:val="24"/>
                <w:highlight w:val="none"/>
                <w:lang w:val="en-US" w:eastAsia="zh-CN"/>
              </w:rPr>
              <m:t>214</m:t>
            </m:r>
            <m:ctrlPr>
              <w:rPr>
                <w:rFonts w:ascii="Cambria Math" w:hAnsi="Cambria Math"/>
                <w:bCs/>
                <w:color w:val="auto"/>
                <w:sz w:val="24"/>
                <w:highlight w:val="none"/>
              </w:rPr>
            </m:ctrlPr>
          </m:num>
          <m:den>
            <m:r>
              <m:rPr>
                <m:sty m:val="p"/>
              </m:rPr>
              <w:rPr>
                <w:rFonts w:hint="default" w:ascii="Cambria Math" w:hAnsi="Cambria Math"/>
                <w:color w:val="auto"/>
                <w:sz w:val="24"/>
                <w:highlight w:val="none"/>
                <w:lang w:val="en-US" w:eastAsia="zh-CN"/>
              </w:rPr>
              <m:t>61</m:t>
            </m:r>
            <m:ctrlPr>
              <w:rPr>
                <w:rFonts w:ascii="Cambria Math" w:hAnsi="Cambria Math"/>
                <w:bCs/>
                <w:color w:val="auto"/>
                <w:sz w:val="24"/>
                <w:highlight w:val="none"/>
              </w:rPr>
            </m:ctrlPr>
          </m:den>
        </m:f>
      </m:oMath>
      <w:r>
        <w:rPr>
          <w:bCs/>
          <w:color w:val="auto"/>
          <w:sz w:val="24"/>
          <w:highlight w:val="none"/>
        </w:rPr>
        <w:t>=</w:t>
      </w:r>
      <w:r>
        <w:rPr>
          <w:rFonts w:hint="eastAsia"/>
          <w:bCs/>
          <w:color w:val="auto"/>
          <w:sz w:val="24"/>
          <w:highlight w:val="none"/>
          <w:lang w:val="en-US" w:eastAsia="zh-CN"/>
        </w:rPr>
        <w:t>3.51</w:t>
      </w:r>
    </w:p>
    <w:p w14:paraId="31CE7DE8">
      <w:pPr>
        <w:spacing w:line="360" w:lineRule="auto"/>
        <w:ind w:firstLine="480" w:firstLineChars="200"/>
        <w:rPr>
          <w:rFonts w:hint="default" w:eastAsia="宋体"/>
          <w:bCs/>
          <w:color w:val="auto"/>
          <w:sz w:val="24"/>
          <w:highlight w:val="none"/>
          <w:lang w:val="en-US" w:eastAsia="zh-CN"/>
        </w:rPr>
      </w:pPr>
      <w:r>
        <w:rPr>
          <w:bCs/>
          <w:color w:val="auto"/>
          <w:sz w:val="24"/>
          <w:highlight w:val="none"/>
        </w:rPr>
        <w:t xml:space="preserve">      C（Cl</w:t>
      </w:r>
      <w:r>
        <w:rPr>
          <w:bCs/>
          <w:color w:val="auto"/>
          <w:sz w:val="24"/>
          <w:highlight w:val="none"/>
          <w:vertAlign w:val="superscript"/>
        </w:rPr>
        <w:t>-</w:t>
      </w:r>
      <w:r>
        <w:rPr>
          <w:bCs/>
          <w:color w:val="auto"/>
          <w:sz w:val="24"/>
          <w:highlight w:val="none"/>
        </w:rPr>
        <w:t>）=</w:t>
      </w:r>
      <m:oMath>
        <m:f>
          <m:fPr>
            <m:ctrlPr>
              <w:rPr>
                <w:rFonts w:ascii="Cambria Math" w:hAnsi="Cambria Math"/>
                <w:bCs/>
                <w:color w:val="auto"/>
                <w:sz w:val="24"/>
                <w:highlight w:val="none"/>
              </w:rPr>
            </m:ctrlPr>
          </m:fPr>
          <m:num>
            <m:r>
              <m:rPr>
                <m:sty m:val="p"/>
              </m:rPr>
              <w:rPr>
                <w:rFonts w:hint="default" w:ascii="Cambria Math"/>
                <w:color w:val="auto"/>
                <w:sz w:val="24"/>
                <w:highlight w:val="none"/>
                <w:lang w:val="en-US" w:eastAsia="zh-CN"/>
              </w:rPr>
              <m:t>31</m:t>
            </m:r>
            <m:ctrlPr>
              <w:rPr>
                <w:rFonts w:ascii="Cambria Math" w:hAnsi="Cambria Math"/>
                <w:bCs/>
                <w:color w:val="auto"/>
                <w:sz w:val="24"/>
                <w:highlight w:val="none"/>
              </w:rPr>
            </m:ctrlPr>
          </m:num>
          <m:den>
            <m:r>
              <m:rPr>
                <m:sty m:val="p"/>
              </m:rPr>
              <w:rPr>
                <w:rFonts w:ascii="Cambria Math"/>
                <w:color w:val="auto"/>
                <w:sz w:val="24"/>
                <w:highlight w:val="none"/>
              </w:rPr>
              <m:t>35.5</m:t>
            </m:r>
            <m:ctrlPr>
              <w:rPr>
                <w:rFonts w:ascii="Cambria Math" w:hAnsi="Cambria Math"/>
                <w:bCs/>
                <w:color w:val="auto"/>
                <w:sz w:val="24"/>
                <w:highlight w:val="none"/>
              </w:rPr>
            </m:ctrlPr>
          </m:den>
        </m:f>
      </m:oMath>
      <w:r>
        <w:rPr>
          <w:bCs/>
          <w:color w:val="auto"/>
          <w:sz w:val="24"/>
          <w:highlight w:val="none"/>
        </w:rPr>
        <w:t>=</w:t>
      </w:r>
      <w:r>
        <w:rPr>
          <w:rFonts w:hint="eastAsia"/>
          <w:bCs/>
          <w:color w:val="auto"/>
          <w:sz w:val="24"/>
          <w:highlight w:val="none"/>
        </w:rPr>
        <w:t>0.8</w:t>
      </w:r>
      <w:r>
        <w:rPr>
          <w:rFonts w:hint="eastAsia"/>
          <w:bCs/>
          <w:color w:val="auto"/>
          <w:sz w:val="24"/>
          <w:highlight w:val="none"/>
          <w:lang w:val="en-US" w:eastAsia="zh-CN"/>
        </w:rPr>
        <w:t>73</w:t>
      </w:r>
    </w:p>
    <w:p w14:paraId="5F1C22CD">
      <w:pPr>
        <w:spacing w:line="360" w:lineRule="auto"/>
        <w:ind w:firstLine="480" w:firstLineChars="200"/>
        <w:rPr>
          <w:rFonts w:hint="default" w:eastAsia="宋体"/>
          <w:bCs/>
          <w:color w:val="auto"/>
          <w:sz w:val="24"/>
          <w:highlight w:val="none"/>
          <w:lang w:val="en-US" w:eastAsia="zh-CN"/>
        </w:rPr>
      </w:pPr>
      <w:r>
        <w:rPr>
          <w:bCs/>
          <w:color w:val="auto"/>
          <w:sz w:val="24"/>
          <w:highlight w:val="none"/>
        </w:rPr>
        <w:t xml:space="preserve">      C（</w:t>
      </w:r>
      <m:oMath>
        <m:f>
          <m:fPr>
            <m:type m:val="skw"/>
            <m:ctrlPr>
              <w:rPr>
                <w:rFonts w:ascii="Cambria Math" w:hAnsi="Cambria Math"/>
                <w:bCs/>
                <w:color w:val="auto"/>
                <w:sz w:val="24"/>
                <w:highlight w:val="none"/>
              </w:rPr>
            </m:ctrlPr>
          </m:fPr>
          <m:num>
            <m:r>
              <m:rPr>
                <m:sty m:val="p"/>
              </m:rPr>
              <w:rPr>
                <w:rFonts w:ascii="Cambria Math"/>
                <w:color w:val="auto"/>
                <w:sz w:val="24"/>
                <w:highlight w:val="none"/>
              </w:rPr>
              <m:t>1</m:t>
            </m:r>
            <m:ctrlPr>
              <w:rPr>
                <w:rFonts w:ascii="Cambria Math" w:hAnsi="Cambria Math"/>
                <w:bCs/>
                <w:color w:val="auto"/>
                <w:sz w:val="24"/>
                <w:highlight w:val="none"/>
              </w:rPr>
            </m:ctrlPr>
          </m:num>
          <m:den>
            <m:r>
              <m:rPr>
                <m:sty m:val="p"/>
              </m:rPr>
              <w:rPr>
                <w:rFonts w:ascii="Cambria Math"/>
                <w:color w:val="auto"/>
                <w:sz w:val="24"/>
                <w:highlight w:val="none"/>
              </w:rPr>
              <m:t>2</m:t>
            </m:r>
            <m:ctrlPr>
              <w:rPr>
                <w:rFonts w:ascii="Cambria Math" w:hAnsi="Cambria Math"/>
                <w:bCs/>
                <w:color w:val="auto"/>
                <w:sz w:val="24"/>
                <w:highlight w:val="none"/>
              </w:rPr>
            </m:ctrlPr>
          </m:den>
        </m:f>
        <m:sSubSup>
          <m:sSubSupPr>
            <m:ctrlPr>
              <w:rPr>
                <w:rFonts w:ascii="Cambria Math" w:hAnsi="Cambria Math"/>
                <w:bCs/>
                <w:color w:val="auto"/>
                <w:sz w:val="24"/>
                <w:highlight w:val="none"/>
              </w:rPr>
            </m:ctrlPr>
          </m:sSubSupPr>
          <m:e>
            <m:r>
              <m:rPr>
                <m:sty m:val="p"/>
              </m:rPr>
              <w:rPr>
                <w:rFonts w:ascii="Cambria Math"/>
                <w:color w:val="auto"/>
                <w:sz w:val="24"/>
                <w:highlight w:val="none"/>
              </w:rPr>
              <m:t>SO</m:t>
            </m:r>
            <m:ctrlPr>
              <w:rPr>
                <w:rFonts w:ascii="Cambria Math" w:hAnsi="Cambria Math"/>
                <w:bCs/>
                <w:color w:val="auto"/>
                <w:sz w:val="24"/>
                <w:highlight w:val="none"/>
              </w:rPr>
            </m:ctrlPr>
          </m:e>
          <m:sub>
            <m:r>
              <m:rPr>
                <m:sty m:val="p"/>
              </m:rPr>
              <w:rPr>
                <w:rFonts w:ascii="Cambria Math"/>
                <w:color w:val="auto"/>
                <w:sz w:val="24"/>
                <w:highlight w:val="none"/>
              </w:rPr>
              <m:t>4</m:t>
            </m:r>
            <m:ctrlPr>
              <w:rPr>
                <w:rFonts w:ascii="Cambria Math" w:hAnsi="Cambria Math"/>
                <w:bCs/>
                <w:color w:val="auto"/>
                <w:sz w:val="24"/>
                <w:highlight w:val="none"/>
              </w:rPr>
            </m:ctrlPr>
          </m:sub>
          <m:sup>
            <m:r>
              <m:rPr>
                <m:sty m:val="p"/>
              </m:rPr>
              <w:rPr>
                <w:rFonts w:ascii="Cambria Math"/>
                <w:color w:val="auto"/>
                <w:sz w:val="24"/>
                <w:highlight w:val="none"/>
              </w:rPr>
              <m:t>2−</m:t>
            </m:r>
            <m:ctrlPr>
              <w:rPr>
                <w:rFonts w:ascii="Cambria Math" w:hAnsi="Cambria Math"/>
                <w:bCs/>
                <w:color w:val="auto"/>
                <w:sz w:val="24"/>
                <w:highlight w:val="none"/>
              </w:rPr>
            </m:ctrlPr>
          </m:sup>
        </m:sSubSup>
      </m:oMath>
      <w:r>
        <w:rPr>
          <w:bCs/>
          <w:color w:val="auto"/>
          <w:sz w:val="24"/>
          <w:highlight w:val="none"/>
        </w:rPr>
        <w:t>）=</w:t>
      </w:r>
      <m:oMath>
        <m:f>
          <m:fPr>
            <m:ctrlPr>
              <w:rPr>
                <w:rFonts w:ascii="Cambria Math" w:hAnsi="Cambria Math"/>
                <w:bCs/>
                <w:color w:val="auto"/>
                <w:sz w:val="24"/>
                <w:highlight w:val="none"/>
              </w:rPr>
            </m:ctrlPr>
          </m:fPr>
          <m:num>
            <m:r>
              <m:rPr>
                <m:sty m:val="p"/>
              </m:rPr>
              <w:rPr>
                <w:rFonts w:hint="default" w:ascii="Cambria Math" w:hAnsi="Cambria Math"/>
                <w:color w:val="auto"/>
                <w:sz w:val="24"/>
                <w:highlight w:val="none"/>
                <w:lang w:val="en-US" w:eastAsia="zh-CN"/>
              </w:rPr>
              <m:t>128</m:t>
            </m:r>
            <m:ctrlPr>
              <w:rPr>
                <w:rFonts w:ascii="Cambria Math" w:hAnsi="Cambria Math"/>
                <w:bCs/>
                <w:color w:val="auto"/>
                <w:sz w:val="24"/>
                <w:highlight w:val="none"/>
              </w:rPr>
            </m:ctrlPr>
          </m:num>
          <m:den>
            <m:r>
              <m:rPr>
                <m:sty m:val="p"/>
              </m:rPr>
              <w:rPr>
                <w:rFonts w:ascii="Cambria Math"/>
                <w:color w:val="auto"/>
                <w:sz w:val="24"/>
                <w:highlight w:val="none"/>
              </w:rPr>
              <m:t>48</m:t>
            </m:r>
            <m:ctrlPr>
              <w:rPr>
                <w:rFonts w:ascii="Cambria Math" w:hAnsi="Cambria Math"/>
                <w:bCs/>
                <w:color w:val="auto"/>
                <w:sz w:val="24"/>
                <w:highlight w:val="none"/>
              </w:rPr>
            </m:ctrlPr>
          </m:den>
        </m:f>
      </m:oMath>
      <w:r>
        <w:rPr>
          <w:bCs/>
          <w:color w:val="auto"/>
          <w:sz w:val="24"/>
          <w:highlight w:val="none"/>
        </w:rPr>
        <w:t>=</w:t>
      </w:r>
      <w:r>
        <w:rPr>
          <w:rFonts w:hint="eastAsia"/>
          <w:bCs/>
          <w:color w:val="auto"/>
          <w:sz w:val="24"/>
          <w:highlight w:val="none"/>
          <w:lang w:val="en-US" w:eastAsia="zh-CN"/>
        </w:rPr>
        <w:t>2.667</w:t>
      </w:r>
    </w:p>
    <w:p w14:paraId="78C32A5E">
      <w:pPr>
        <w:spacing w:line="360" w:lineRule="auto"/>
        <w:ind w:firstLine="480" w:firstLineChars="200"/>
        <w:rPr>
          <w:rFonts w:hint="default" w:eastAsia="宋体"/>
          <w:bCs/>
          <w:color w:val="auto"/>
          <w:sz w:val="24"/>
          <w:highlight w:val="none"/>
          <w:lang w:val="en-US" w:eastAsia="zh-CN"/>
        </w:rPr>
      </w:pPr>
      <w:r>
        <w:rPr>
          <w:bCs/>
          <w:color w:val="auto"/>
          <w:sz w:val="24"/>
          <w:highlight w:val="none"/>
        </w:rPr>
        <w:t>则：C（∑A）=</w:t>
      </w:r>
      <w:r>
        <w:rPr>
          <w:rFonts w:hint="eastAsia"/>
          <w:bCs/>
          <w:color w:val="auto"/>
          <w:sz w:val="24"/>
          <w:highlight w:val="none"/>
          <w:lang w:val="en-US" w:eastAsia="zh-CN"/>
        </w:rPr>
        <w:t>3.51</w:t>
      </w:r>
      <w:r>
        <w:rPr>
          <w:bCs/>
          <w:color w:val="auto"/>
          <w:sz w:val="24"/>
          <w:highlight w:val="none"/>
        </w:rPr>
        <w:t>+</w:t>
      </w:r>
      <w:r>
        <w:rPr>
          <w:rFonts w:hint="eastAsia"/>
          <w:bCs/>
          <w:color w:val="auto"/>
          <w:sz w:val="24"/>
          <w:highlight w:val="none"/>
        </w:rPr>
        <w:t>0.8</w:t>
      </w:r>
      <w:r>
        <w:rPr>
          <w:rFonts w:hint="eastAsia"/>
          <w:bCs/>
          <w:color w:val="auto"/>
          <w:sz w:val="24"/>
          <w:highlight w:val="none"/>
          <w:lang w:val="en-US" w:eastAsia="zh-CN"/>
        </w:rPr>
        <w:t>7</w:t>
      </w:r>
      <w:r>
        <w:rPr>
          <w:bCs/>
          <w:color w:val="auto"/>
          <w:sz w:val="24"/>
          <w:highlight w:val="none"/>
        </w:rPr>
        <w:t>+</w:t>
      </w:r>
      <w:r>
        <w:rPr>
          <w:rFonts w:hint="eastAsia"/>
          <w:bCs/>
          <w:color w:val="auto"/>
          <w:sz w:val="24"/>
          <w:highlight w:val="none"/>
          <w:lang w:val="en-US" w:eastAsia="zh-CN"/>
        </w:rPr>
        <w:t>2.67</w:t>
      </w:r>
      <w:r>
        <w:rPr>
          <w:bCs/>
          <w:color w:val="auto"/>
          <w:sz w:val="24"/>
          <w:highlight w:val="none"/>
        </w:rPr>
        <w:t>=</w:t>
      </w:r>
      <w:r>
        <w:rPr>
          <w:rFonts w:hint="eastAsia"/>
          <w:bCs/>
          <w:color w:val="auto"/>
          <w:sz w:val="24"/>
          <w:highlight w:val="none"/>
          <w:lang w:val="en-US" w:eastAsia="zh-CN"/>
        </w:rPr>
        <w:t>7.05</w:t>
      </w:r>
    </w:p>
    <w:p w14:paraId="1F47E216">
      <w:pPr>
        <w:spacing w:line="360" w:lineRule="auto"/>
        <w:ind w:firstLine="960" w:firstLineChars="400"/>
        <w:rPr>
          <w:rFonts w:hint="default" w:eastAsia="宋体"/>
          <w:bCs/>
          <w:color w:val="auto"/>
          <w:sz w:val="24"/>
          <w:highlight w:val="none"/>
          <w:lang w:val="en-US" w:eastAsia="zh-CN"/>
        </w:rPr>
      </w:pPr>
      <w:r>
        <w:rPr>
          <w:bCs/>
          <w:color w:val="auto"/>
          <w:sz w:val="24"/>
          <w:highlight w:val="none"/>
        </w:rPr>
        <w:t>SB=</w:t>
      </w:r>
      <m:oMath>
        <m:f>
          <m:fPr>
            <m:ctrlPr>
              <w:rPr>
                <w:rFonts w:ascii="Cambria Math" w:hAnsi="Cambria Math"/>
                <w:bCs/>
                <w:color w:val="auto"/>
                <w:sz w:val="24"/>
                <w:highlight w:val="none"/>
              </w:rPr>
            </m:ctrlPr>
          </m:fPr>
          <m:num>
            <m:r>
              <m:rPr>
                <m:sty m:val="p"/>
              </m:rPr>
              <w:rPr>
                <w:rFonts w:hint="default" w:ascii="Cambria Math"/>
                <w:color w:val="auto"/>
                <w:sz w:val="24"/>
                <w:highlight w:val="none"/>
                <w:lang w:val="en-US" w:eastAsia="zh-CN"/>
              </w:rPr>
              <m:t>2.667</m:t>
            </m:r>
            <m:ctrlPr>
              <w:rPr>
                <w:rFonts w:ascii="Cambria Math" w:hAnsi="Cambria Math"/>
                <w:bCs/>
                <w:color w:val="auto"/>
                <w:sz w:val="24"/>
                <w:highlight w:val="none"/>
              </w:rPr>
            </m:ctrlPr>
          </m:num>
          <m:den>
            <m:r>
              <m:rPr>
                <m:sty m:val="p"/>
              </m:rPr>
              <w:rPr>
                <w:rFonts w:hint="default" w:ascii="Cambria Math" w:hAnsi="Cambria Math"/>
                <w:color w:val="auto"/>
                <w:sz w:val="24"/>
                <w:highlight w:val="none"/>
                <w:lang w:val="en-US" w:eastAsia="zh-CN"/>
              </w:rPr>
              <m:t>7.05</m:t>
            </m:r>
            <m:ctrlPr>
              <w:rPr>
                <w:rFonts w:ascii="Cambria Math" w:hAnsi="Cambria Math"/>
                <w:bCs/>
                <w:color w:val="auto"/>
                <w:sz w:val="24"/>
                <w:highlight w:val="none"/>
              </w:rPr>
            </m:ctrlPr>
          </m:den>
        </m:f>
      </m:oMath>
      <w:r>
        <w:rPr>
          <w:bCs/>
          <w:color w:val="auto"/>
          <w:sz w:val="24"/>
          <w:highlight w:val="none"/>
        </w:rPr>
        <w:t>=</w:t>
      </w:r>
      <w:r>
        <w:rPr>
          <w:rFonts w:hint="eastAsia"/>
          <w:bCs/>
          <w:color w:val="auto"/>
          <w:sz w:val="24"/>
          <w:highlight w:val="none"/>
        </w:rPr>
        <w:t>0.</w:t>
      </w:r>
      <w:r>
        <w:rPr>
          <w:rFonts w:hint="eastAsia"/>
          <w:bCs/>
          <w:color w:val="auto"/>
          <w:sz w:val="24"/>
          <w:highlight w:val="none"/>
          <w:lang w:val="en-US" w:eastAsia="zh-CN"/>
        </w:rPr>
        <w:t>378</w:t>
      </w:r>
    </w:p>
    <w:p w14:paraId="433A3AE4">
      <w:pPr>
        <w:spacing w:line="360" w:lineRule="auto"/>
        <w:ind w:firstLine="960" w:firstLineChars="400"/>
        <w:rPr>
          <w:rFonts w:hint="default" w:eastAsia="宋体"/>
          <w:bCs/>
          <w:color w:val="auto"/>
          <w:sz w:val="24"/>
          <w:highlight w:val="none"/>
          <w:lang w:val="en-US" w:eastAsia="zh-CN"/>
        </w:rPr>
      </w:pPr>
      <w:r>
        <w:rPr>
          <w:bCs/>
          <w:color w:val="auto"/>
          <w:sz w:val="24"/>
          <w:highlight w:val="none"/>
        </w:rPr>
        <w:t>HCB=</w:t>
      </w:r>
      <m:oMath>
        <m:f>
          <m:fPr>
            <m:ctrlPr>
              <w:rPr>
                <w:rFonts w:ascii="Cambria Math" w:hAnsi="Cambria Math"/>
                <w:bCs/>
                <w:color w:val="auto"/>
                <w:sz w:val="24"/>
                <w:highlight w:val="none"/>
              </w:rPr>
            </m:ctrlPr>
          </m:fPr>
          <m:num>
            <m:r>
              <m:rPr>
                <m:sty m:val="p"/>
              </m:rPr>
              <w:rPr>
                <w:rFonts w:hint="default" w:ascii="Cambria Math"/>
                <w:color w:val="auto"/>
                <w:sz w:val="24"/>
                <w:highlight w:val="none"/>
                <w:lang w:val="en-US" w:eastAsia="zh-CN"/>
              </w:rPr>
              <m:t>3.51</m:t>
            </m:r>
            <m:ctrlPr>
              <w:rPr>
                <w:rFonts w:ascii="Cambria Math" w:hAnsi="Cambria Math"/>
                <w:bCs/>
                <w:color w:val="auto"/>
                <w:sz w:val="24"/>
                <w:highlight w:val="none"/>
              </w:rPr>
            </m:ctrlPr>
          </m:num>
          <m:den>
            <m:r>
              <m:rPr>
                <m:sty m:val="p"/>
              </m:rPr>
              <w:rPr>
                <w:rFonts w:ascii="Cambria Math"/>
                <w:color w:val="auto"/>
                <w:sz w:val="24"/>
                <w:highlight w:val="none"/>
              </w:rPr>
              <m:t>0</m:t>
            </m:r>
            <m:r>
              <m:rPr>
                <m:sty m:val="p"/>
              </m:rPr>
              <w:rPr>
                <w:rFonts w:hint="default" w:ascii="Cambria Math"/>
                <w:color w:val="auto"/>
                <w:sz w:val="24"/>
                <w:highlight w:val="none"/>
                <w:lang w:val="en-US" w:eastAsia="zh-CN"/>
              </w:rPr>
              <m:t>.</m:t>
            </m:r>
            <m:r>
              <m:rPr>
                <m:sty m:val="p"/>
              </m:rPr>
              <w:rPr>
                <w:rFonts w:ascii="Cambria Math"/>
                <w:color w:val="auto"/>
                <w:sz w:val="24"/>
                <w:highlight w:val="none"/>
              </w:rPr>
              <m:t>8</m:t>
            </m:r>
            <m:r>
              <m:rPr>
                <m:sty m:val="p"/>
              </m:rPr>
              <w:rPr>
                <w:rFonts w:hint="default" w:ascii="Cambria Math"/>
                <w:color w:val="auto"/>
                <w:sz w:val="24"/>
                <w:highlight w:val="none"/>
                <w:lang w:val="en-US" w:eastAsia="zh-CN"/>
              </w:rPr>
              <m:t>73</m:t>
            </m:r>
            <m:ctrlPr>
              <w:rPr>
                <w:rFonts w:ascii="Cambria Math" w:hAnsi="Cambria Math"/>
                <w:bCs/>
                <w:color w:val="auto"/>
                <w:sz w:val="24"/>
                <w:highlight w:val="none"/>
              </w:rPr>
            </m:ctrlPr>
          </m:den>
        </m:f>
      </m:oMath>
      <w:r>
        <w:rPr>
          <w:bCs/>
          <w:color w:val="auto"/>
          <w:sz w:val="24"/>
          <w:highlight w:val="none"/>
        </w:rPr>
        <w:t>=</w:t>
      </w:r>
      <w:r>
        <w:rPr>
          <w:rFonts w:hint="eastAsia"/>
          <w:bCs/>
          <w:color w:val="auto"/>
          <w:sz w:val="24"/>
          <w:highlight w:val="none"/>
          <w:lang w:val="en-US" w:eastAsia="zh-CN"/>
        </w:rPr>
        <w:t>4.108</w:t>
      </w:r>
    </w:p>
    <w:p w14:paraId="2DC3CB7A">
      <w:pPr>
        <w:spacing w:line="360" w:lineRule="auto"/>
        <w:ind w:firstLine="480" w:firstLineChars="200"/>
        <w:rPr>
          <w:bCs/>
          <w:color w:val="auto"/>
          <w:sz w:val="24"/>
          <w:highlight w:val="none"/>
        </w:rPr>
      </w:pPr>
      <w:r>
        <w:rPr>
          <w:bCs/>
          <w:color w:val="auto"/>
          <w:sz w:val="24"/>
          <w:highlight w:val="none"/>
        </w:rPr>
        <w:t>经查表</w:t>
      </w:r>
      <w:r>
        <w:rPr>
          <w:rFonts w:hint="eastAsia"/>
          <w:bCs/>
          <w:color w:val="auto"/>
          <w:sz w:val="24"/>
          <w:highlight w:val="none"/>
        </w:rPr>
        <w:t>4-2-</w:t>
      </w:r>
      <w:r>
        <w:rPr>
          <w:bCs/>
          <w:color w:val="auto"/>
          <w:sz w:val="24"/>
          <w:highlight w:val="none"/>
        </w:rPr>
        <w:t>10得Ms为0.0</w:t>
      </w:r>
      <w:r>
        <w:rPr>
          <w:rFonts w:hint="eastAsia"/>
          <w:bCs/>
          <w:color w:val="auto"/>
          <w:sz w:val="24"/>
          <w:highlight w:val="none"/>
          <w:lang w:val="en-US" w:eastAsia="zh-CN"/>
        </w:rPr>
        <w:t>73</w:t>
      </w:r>
      <w:r>
        <w:rPr>
          <w:rFonts w:hint="eastAsia"/>
          <w:bCs/>
          <w:color w:val="auto"/>
          <w:sz w:val="24"/>
          <w:highlight w:val="none"/>
        </w:rPr>
        <w:t>。</w:t>
      </w:r>
    </w:p>
    <w:p w14:paraId="724DA33F">
      <w:pPr>
        <w:spacing w:line="360" w:lineRule="auto"/>
        <w:ind w:firstLine="480" w:firstLineChars="200"/>
        <w:rPr>
          <w:color w:val="auto"/>
          <w:sz w:val="24"/>
          <w:highlight w:val="none"/>
        </w:rPr>
      </w:pPr>
      <w:r>
        <w:rPr>
          <w:bCs/>
          <w:color w:val="auto"/>
          <w:sz w:val="24"/>
          <w:highlight w:val="none"/>
        </w:rPr>
        <w:t>矿化度（g/L）=</w:t>
      </w:r>
      <w:r>
        <w:rPr>
          <w:rFonts w:hint="eastAsia"/>
          <w:bCs/>
          <w:color w:val="auto"/>
          <w:sz w:val="24"/>
          <w:highlight w:val="none"/>
          <w:lang w:val="en-US" w:eastAsia="zh-CN"/>
        </w:rPr>
        <w:t>7.05</w:t>
      </w:r>
      <w:r>
        <w:rPr>
          <w:bCs/>
          <w:color w:val="auto"/>
          <w:sz w:val="24"/>
          <w:highlight w:val="none"/>
        </w:rPr>
        <w:t>×0.07</w:t>
      </w:r>
      <w:r>
        <w:rPr>
          <w:rFonts w:hint="eastAsia"/>
          <w:bCs/>
          <w:color w:val="auto"/>
          <w:sz w:val="24"/>
          <w:highlight w:val="none"/>
          <w:lang w:val="en-US" w:eastAsia="zh-CN"/>
        </w:rPr>
        <w:t>3</w:t>
      </w:r>
      <w:r>
        <w:rPr>
          <w:bCs/>
          <w:color w:val="auto"/>
          <w:sz w:val="24"/>
          <w:highlight w:val="none"/>
        </w:rPr>
        <w:t>=0.</w:t>
      </w:r>
      <w:r>
        <w:rPr>
          <w:rFonts w:hint="eastAsia"/>
          <w:bCs/>
          <w:color w:val="auto"/>
          <w:sz w:val="24"/>
          <w:highlight w:val="none"/>
        </w:rPr>
        <w:t>51</w:t>
      </w:r>
      <w:r>
        <w:rPr>
          <w:rFonts w:hint="eastAsia"/>
          <w:bCs/>
          <w:color w:val="auto"/>
          <w:sz w:val="24"/>
          <w:highlight w:val="none"/>
          <w:lang w:val="en-US" w:eastAsia="zh-CN"/>
        </w:rPr>
        <w:t>4</w:t>
      </w:r>
      <w:r>
        <w:rPr>
          <w:bCs/>
          <w:color w:val="auto"/>
          <w:sz w:val="24"/>
          <w:highlight w:val="none"/>
        </w:rPr>
        <w:t>，所以矿化度处于A组，</w:t>
      </w:r>
      <w:r>
        <w:rPr>
          <w:rFonts w:hint="eastAsia" w:hAnsi="宋体"/>
          <w:b/>
          <w:bCs/>
          <w:color w:val="auto"/>
          <w:sz w:val="24"/>
          <w:highlight w:val="none"/>
        </w:rPr>
        <w:t>☆</w:t>
      </w:r>
      <w:r>
        <w:rPr>
          <w:rFonts w:hint="eastAsia" w:hAnsi="宋体"/>
          <w:bCs/>
          <w:color w:val="auto"/>
          <w:sz w:val="24"/>
          <w:highlight w:val="none"/>
        </w:rPr>
        <w:t>01</w:t>
      </w:r>
      <w:r>
        <w:rPr>
          <w:bCs/>
          <w:color w:val="auto"/>
          <w:sz w:val="24"/>
          <w:highlight w:val="none"/>
        </w:rPr>
        <w:t>处地下水为</w:t>
      </w:r>
      <w:r>
        <w:rPr>
          <w:rFonts w:hint="eastAsia"/>
          <w:bCs/>
          <w:color w:val="auto"/>
          <w:sz w:val="24"/>
          <w:highlight w:val="none"/>
        </w:rPr>
        <w:t>1</w:t>
      </w:r>
      <w:r>
        <w:rPr>
          <w:bCs/>
          <w:color w:val="auto"/>
          <w:sz w:val="24"/>
          <w:highlight w:val="none"/>
        </w:rPr>
        <w:t>-A型，表示矿化度小于1.5g/L的HCO</w:t>
      </w:r>
      <w:r>
        <w:rPr>
          <w:bCs/>
          <w:color w:val="auto"/>
          <w:sz w:val="24"/>
          <w:highlight w:val="none"/>
          <w:vertAlign w:val="subscript"/>
        </w:rPr>
        <w:t>3</w:t>
      </w:r>
      <w:r>
        <w:rPr>
          <w:rFonts w:hint="eastAsia"/>
          <w:bCs/>
          <w:color w:val="auto"/>
          <w:sz w:val="24"/>
          <w:highlight w:val="none"/>
          <w:vertAlign w:val="superscript"/>
        </w:rPr>
        <w:t>-</w:t>
      </w:r>
      <w:r>
        <w:rPr>
          <w:bCs/>
          <w:color w:val="auto"/>
          <w:sz w:val="24"/>
          <w:highlight w:val="none"/>
          <w:vertAlign w:val="superscript"/>
        </w:rPr>
        <w:t>—</w:t>
      </w:r>
      <w:r>
        <w:rPr>
          <w:color w:val="auto"/>
          <w:sz w:val="24"/>
          <w:highlight w:val="none"/>
        </w:rPr>
        <w:t>Ca</w:t>
      </w:r>
      <w:r>
        <w:rPr>
          <w:color w:val="auto"/>
          <w:sz w:val="24"/>
          <w:highlight w:val="none"/>
          <w:vertAlign w:val="superscript"/>
        </w:rPr>
        <w:t>2+</w:t>
      </w:r>
      <w:r>
        <w:rPr>
          <w:bCs/>
          <w:color w:val="auto"/>
          <w:sz w:val="24"/>
          <w:highlight w:val="none"/>
        </w:rPr>
        <w:t>型水</w:t>
      </w:r>
      <w:r>
        <w:rPr>
          <w:color w:val="auto"/>
          <w:sz w:val="24"/>
          <w:highlight w:val="none"/>
        </w:rPr>
        <w:t>。</w:t>
      </w:r>
    </w:p>
    <w:p w14:paraId="236B48F4">
      <w:pPr>
        <w:spacing w:line="360" w:lineRule="auto"/>
        <w:ind w:firstLine="480" w:firstLineChars="200"/>
        <w:rPr>
          <w:color w:val="auto"/>
          <w:sz w:val="24"/>
          <w:highlight w:val="none"/>
        </w:rPr>
      </w:pPr>
      <w:r>
        <w:rPr>
          <w:rFonts w:hint="eastAsia"/>
          <w:color w:val="auto"/>
          <w:sz w:val="24"/>
          <w:highlight w:val="none"/>
        </w:rPr>
        <w:t>其它点位计算过程同上。</w:t>
      </w:r>
    </w:p>
    <w:p w14:paraId="638C517D">
      <w:pPr>
        <w:spacing w:line="360" w:lineRule="auto"/>
        <w:ind w:firstLine="480" w:firstLineChars="200"/>
        <w:rPr>
          <w:color w:val="auto"/>
          <w:sz w:val="24"/>
          <w:highlight w:val="none"/>
        </w:rPr>
      </w:pPr>
      <w:r>
        <w:rPr>
          <w:rFonts w:hint="eastAsia"/>
          <w:color w:val="auto"/>
          <w:sz w:val="24"/>
          <w:highlight w:val="none"/>
        </w:rPr>
        <w:t>水质矿化度计算结果见下表。</w:t>
      </w:r>
    </w:p>
    <w:p w14:paraId="4A9BF7B6">
      <w:pPr>
        <w:pStyle w:val="76"/>
        <w:rPr>
          <w:color w:val="auto"/>
          <w:highlight w:val="none"/>
        </w:rPr>
      </w:pPr>
      <w:r>
        <w:rPr>
          <w:rFonts w:hint="eastAsia"/>
          <w:color w:val="auto"/>
          <w:highlight w:val="none"/>
        </w:rPr>
        <w:t>表4-2-1</w:t>
      </w:r>
      <w:r>
        <w:rPr>
          <w:color w:val="auto"/>
          <w:highlight w:val="none"/>
        </w:rPr>
        <w:t>2</w:t>
      </w:r>
      <w:r>
        <w:rPr>
          <w:rFonts w:hint="eastAsia"/>
          <w:color w:val="auto"/>
          <w:highlight w:val="none"/>
        </w:rPr>
        <w:t>水质矿化度</w:t>
      </w:r>
    </w:p>
    <w:tbl>
      <w:tblPr>
        <w:tblStyle w:val="46"/>
        <w:tblW w:w="4755"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850"/>
        <w:gridCol w:w="1914"/>
        <w:gridCol w:w="1914"/>
        <w:gridCol w:w="1905"/>
      </w:tblGrid>
      <w:tr w14:paraId="6A1356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5" w:hRule="atLeast"/>
          <w:jc w:val="center"/>
        </w:trPr>
        <w:tc>
          <w:tcPr>
            <w:tcW w:w="1660" w:type="pct"/>
            <w:vAlign w:val="center"/>
          </w:tcPr>
          <w:p w14:paraId="764883B7">
            <w:pPr>
              <w:autoSpaceDE w:val="0"/>
              <w:autoSpaceDN w:val="0"/>
              <w:jc w:val="center"/>
              <w:rPr>
                <w:rFonts w:hAnsi="宋体"/>
                <w:color w:val="auto"/>
                <w:kern w:val="0"/>
                <w:szCs w:val="21"/>
                <w:highlight w:val="none"/>
                <w:lang w:val="zh-CN"/>
              </w:rPr>
            </w:pPr>
            <w:r>
              <w:rPr>
                <w:rFonts w:hint="eastAsia" w:hAnsi="宋体"/>
                <w:color w:val="auto"/>
                <w:kern w:val="0"/>
                <w:szCs w:val="21"/>
                <w:highlight w:val="none"/>
                <w:lang w:val="zh-CN"/>
              </w:rPr>
              <w:t>编号项目</w:t>
            </w:r>
          </w:p>
        </w:tc>
        <w:tc>
          <w:tcPr>
            <w:tcW w:w="1115" w:type="pct"/>
            <w:vAlign w:val="center"/>
          </w:tcPr>
          <w:p w14:paraId="12F4470D">
            <w:pPr>
              <w:jc w:val="center"/>
              <w:rPr>
                <w:color w:val="auto"/>
                <w:kern w:val="0"/>
                <w:szCs w:val="21"/>
                <w:highlight w:val="none"/>
              </w:rPr>
            </w:pPr>
            <w:r>
              <w:rPr>
                <w:rFonts w:hint="eastAsia"/>
                <w:b/>
                <w:color w:val="auto"/>
                <w:kern w:val="0"/>
                <w:szCs w:val="21"/>
                <w:highlight w:val="none"/>
              </w:rPr>
              <w:t>☆</w:t>
            </w:r>
            <w:r>
              <w:rPr>
                <w:rFonts w:hint="eastAsia"/>
                <w:color w:val="auto"/>
                <w:kern w:val="0"/>
                <w:szCs w:val="21"/>
                <w:highlight w:val="none"/>
              </w:rPr>
              <w:t>01</w:t>
            </w:r>
          </w:p>
        </w:tc>
        <w:tc>
          <w:tcPr>
            <w:tcW w:w="1115" w:type="pct"/>
            <w:vAlign w:val="center"/>
          </w:tcPr>
          <w:p w14:paraId="6DBB0EDC">
            <w:pPr>
              <w:jc w:val="center"/>
              <w:rPr>
                <w:color w:val="auto"/>
                <w:kern w:val="0"/>
                <w:szCs w:val="21"/>
                <w:highlight w:val="none"/>
              </w:rPr>
            </w:pPr>
            <w:r>
              <w:rPr>
                <w:rFonts w:hint="eastAsia"/>
                <w:b/>
                <w:color w:val="auto"/>
                <w:kern w:val="0"/>
                <w:szCs w:val="21"/>
                <w:highlight w:val="none"/>
              </w:rPr>
              <w:t>☆</w:t>
            </w:r>
            <w:r>
              <w:rPr>
                <w:rFonts w:hint="eastAsia"/>
                <w:color w:val="auto"/>
                <w:kern w:val="0"/>
                <w:szCs w:val="21"/>
                <w:highlight w:val="none"/>
              </w:rPr>
              <w:t>02</w:t>
            </w:r>
          </w:p>
        </w:tc>
        <w:tc>
          <w:tcPr>
            <w:tcW w:w="1110" w:type="pct"/>
            <w:vAlign w:val="center"/>
          </w:tcPr>
          <w:p w14:paraId="27B5AB5F">
            <w:pPr>
              <w:jc w:val="center"/>
              <w:rPr>
                <w:color w:val="auto"/>
                <w:kern w:val="0"/>
                <w:szCs w:val="21"/>
                <w:highlight w:val="none"/>
              </w:rPr>
            </w:pPr>
            <w:r>
              <w:rPr>
                <w:rFonts w:hint="eastAsia"/>
                <w:b/>
                <w:color w:val="auto"/>
                <w:kern w:val="0"/>
                <w:szCs w:val="21"/>
                <w:highlight w:val="none"/>
              </w:rPr>
              <w:t>☆</w:t>
            </w:r>
            <w:r>
              <w:rPr>
                <w:rFonts w:hint="eastAsia"/>
                <w:color w:val="auto"/>
                <w:kern w:val="0"/>
                <w:szCs w:val="21"/>
                <w:highlight w:val="none"/>
              </w:rPr>
              <w:t>03</w:t>
            </w:r>
          </w:p>
        </w:tc>
      </w:tr>
      <w:tr w14:paraId="683710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1660" w:type="pct"/>
            <w:vAlign w:val="center"/>
          </w:tcPr>
          <w:p w14:paraId="31A3D0AB">
            <w:pPr>
              <w:autoSpaceDE w:val="0"/>
              <w:autoSpaceDN w:val="0"/>
              <w:jc w:val="center"/>
              <w:rPr>
                <w:rFonts w:hAnsi="宋体"/>
                <w:color w:val="auto"/>
                <w:kern w:val="0"/>
                <w:szCs w:val="21"/>
                <w:highlight w:val="none"/>
                <w:lang w:val="zh-CN"/>
              </w:rPr>
            </w:pPr>
            <w:r>
              <w:rPr>
                <w:rFonts w:hint="eastAsia" w:hAnsi="宋体"/>
                <w:color w:val="auto"/>
                <w:kern w:val="0"/>
                <w:szCs w:val="21"/>
                <w:highlight w:val="none"/>
                <w:lang w:val="zh-CN"/>
              </w:rPr>
              <w:t>矿化度（</w:t>
            </w:r>
            <w:r>
              <w:rPr>
                <w:rFonts w:hAnsi="宋体"/>
                <w:color w:val="auto"/>
                <w:kern w:val="0"/>
                <w:szCs w:val="21"/>
                <w:highlight w:val="none"/>
                <w:lang w:val="zh-CN"/>
              </w:rPr>
              <w:t>M</w:t>
            </w:r>
            <w:r>
              <w:rPr>
                <w:rFonts w:hint="eastAsia" w:hAnsi="宋体"/>
                <w:color w:val="auto"/>
                <w:kern w:val="0"/>
                <w:szCs w:val="21"/>
                <w:highlight w:val="none"/>
                <w:lang w:val="zh-CN"/>
              </w:rPr>
              <w:t>）</w:t>
            </w:r>
          </w:p>
        </w:tc>
        <w:tc>
          <w:tcPr>
            <w:tcW w:w="1115" w:type="pct"/>
            <w:vAlign w:val="center"/>
          </w:tcPr>
          <w:p w14:paraId="7964C17B">
            <w:pPr>
              <w:jc w:val="center"/>
              <w:rPr>
                <w:rFonts w:hint="eastAsia" w:eastAsia="宋体"/>
                <w:color w:val="auto"/>
                <w:kern w:val="0"/>
                <w:szCs w:val="21"/>
                <w:highlight w:val="none"/>
                <w:lang w:eastAsia="zh-CN"/>
              </w:rPr>
            </w:pPr>
            <w:r>
              <w:rPr>
                <w:rFonts w:hint="eastAsia"/>
                <w:color w:val="auto"/>
                <w:kern w:val="0"/>
                <w:szCs w:val="21"/>
                <w:highlight w:val="none"/>
              </w:rPr>
              <w:t>0.51</w:t>
            </w:r>
            <w:r>
              <w:rPr>
                <w:rFonts w:hint="eastAsia"/>
                <w:color w:val="auto"/>
                <w:kern w:val="0"/>
                <w:szCs w:val="21"/>
                <w:highlight w:val="none"/>
                <w:lang w:val="en-US" w:eastAsia="zh-CN"/>
              </w:rPr>
              <w:t>4</w:t>
            </w:r>
          </w:p>
        </w:tc>
        <w:tc>
          <w:tcPr>
            <w:tcW w:w="1115" w:type="pct"/>
            <w:vAlign w:val="center"/>
          </w:tcPr>
          <w:p w14:paraId="0FF69E1B">
            <w:pPr>
              <w:jc w:val="center"/>
              <w:rPr>
                <w:rFonts w:hint="default" w:eastAsia="宋体"/>
                <w:color w:val="auto"/>
                <w:kern w:val="0"/>
                <w:szCs w:val="21"/>
                <w:highlight w:val="none"/>
                <w:lang w:val="en-US" w:eastAsia="zh-CN"/>
              </w:rPr>
            </w:pPr>
            <w:r>
              <w:rPr>
                <w:rFonts w:hint="eastAsia"/>
                <w:color w:val="auto"/>
                <w:kern w:val="0"/>
                <w:szCs w:val="21"/>
                <w:highlight w:val="none"/>
              </w:rPr>
              <w:t>0.4</w:t>
            </w:r>
            <w:r>
              <w:rPr>
                <w:rFonts w:hint="eastAsia"/>
                <w:color w:val="auto"/>
                <w:kern w:val="0"/>
                <w:szCs w:val="21"/>
                <w:highlight w:val="none"/>
                <w:lang w:val="en-US" w:eastAsia="zh-CN"/>
              </w:rPr>
              <w:t>08</w:t>
            </w:r>
          </w:p>
        </w:tc>
        <w:tc>
          <w:tcPr>
            <w:tcW w:w="1110" w:type="pct"/>
            <w:vAlign w:val="center"/>
          </w:tcPr>
          <w:p w14:paraId="6B0D6AD1">
            <w:pPr>
              <w:jc w:val="center"/>
              <w:rPr>
                <w:rFonts w:hint="eastAsia" w:eastAsia="宋体"/>
                <w:color w:val="auto"/>
                <w:kern w:val="0"/>
                <w:szCs w:val="21"/>
                <w:highlight w:val="none"/>
                <w:lang w:eastAsia="zh-CN"/>
              </w:rPr>
            </w:pPr>
            <w:r>
              <w:rPr>
                <w:rFonts w:hint="eastAsia"/>
                <w:color w:val="auto"/>
                <w:kern w:val="0"/>
                <w:szCs w:val="21"/>
                <w:highlight w:val="none"/>
              </w:rPr>
              <w:t>0.43</w:t>
            </w:r>
            <w:r>
              <w:rPr>
                <w:rFonts w:hint="eastAsia"/>
                <w:color w:val="auto"/>
                <w:kern w:val="0"/>
                <w:szCs w:val="21"/>
                <w:highlight w:val="none"/>
                <w:lang w:val="en-US" w:eastAsia="zh-CN"/>
              </w:rPr>
              <w:t>5</w:t>
            </w:r>
          </w:p>
        </w:tc>
      </w:tr>
      <w:tr w14:paraId="4367EA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7" w:hRule="atLeast"/>
          <w:jc w:val="center"/>
        </w:trPr>
        <w:tc>
          <w:tcPr>
            <w:tcW w:w="1660" w:type="pct"/>
            <w:vAlign w:val="center"/>
          </w:tcPr>
          <w:p w14:paraId="48718ABD">
            <w:pPr>
              <w:autoSpaceDE w:val="0"/>
              <w:autoSpaceDN w:val="0"/>
              <w:jc w:val="center"/>
              <w:rPr>
                <w:rFonts w:hAnsi="宋体"/>
                <w:color w:val="auto"/>
                <w:kern w:val="0"/>
                <w:szCs w:val="21"/>
                <w:highlight w:val="none"/>
                <w:lang w:val="zh-CN"/>
              </w:rPr>
            </w:pPr>
            <w:r>
              <w:rPr>
                <w:rFonts w:hint="eastAsia" w:hAnsi="宋体"/>
                <w:color w:val="auto"/>
                <w:kern w:val="0"/>
                <w:szCs w:val="21"/>
                <w:highlight w:val="none"/>
                <w:lang w:val="zh-CN"/>
              </w:rPr>
              <w:t>矿化度分组</w:t>
            </w:r>
          </w:p>
        </w:tc>
        <w:tc>
          <w:tcPr>
            <w:tcW w:w="1115" w:type="pct"/>
            <w:vAlign w:val="center"/>
          </w:tcPr>
          <w:p w14:paraId="69FE3E57">
            <w:pPr>
              <w:jc w:val="center"/>
              <w:rPr>
                <w:color w:val="auto"/>
                <w:kern w:val="0"/>
                <w:szCs w:val="21"/>
                <w:highlight w:val="none"/>
              </w:rPr>
            </w:pPr>
            <w:r>
              <w:rPr>
                <w:color w:val="auto"/>
                <w:kern w:val="0"/>
                <w:szCs w:val="21"/>
                <w:highlight w:val="none"/>
              </w:rPr>
              <w:t>A</w:t>
            </w:r>
          </w:p>
        </w:tc>
        <w:tc>
          <w:tcPr>
            <w:tcW w:w="1115" w:type="pct"/>
            <w:vAlign w:val="center"/>
          </w:tcPr>
          <w:p w14:paraId="524FC164">
            <w:pPr>
              <w:jc w:val="center"/>
              <w:rPr>
                <w:color w:val="auto"/>
                <w:kern w:val="0"/>
                <w:szCs w:val="21"/>
                <w:highlight w:val="none"/>
              </w:rPr>
            </w:pPr>
            <w:r>
              <w:rPr>
                <w:color w:val="auto"/>
                <w:kern w:val="0"/>
                <w:szCs w:val="21"/>
                <w:highlight w:val="none"/>
              </w:rPr>
              <w:t>A</w:t>
            </w:r>
          </w:p>
        </w:tc>
        <w:tc>
          <w:tcPr>
            <w:tcW w:w="1110" w:type="pct"/>
            <w:vAlign w:val="center"/>
          </w:tcPr>
          <w:p w14:paraId="02E51C01">
            <w:pPr>
              <w:jc w:val="center"/>
              <w:rPr>
                <w:color w:val="auto"/>
                <w:kern w:val="0"/>
                <w:szCs w:val="21"/>
                <w:highlight w:val="none"/>
              </w:rPr>
            </w:pPr>
            <w:r>
              <w:rPr>
                <w:color w:val="auto"/>
                <w:kern w:val="0"/>
                <w:szCs w:val="21"/>
                <w:highlight w:val="none"/>
              </w:rPr>
              <w:t>A</w:t>
            </w:r>
          </w:p>
        </w:tc>
      </w:tr>
    </w:tbl>
    <w:p w14:paraId="62DD6639">
      <w:pPr>
        <w:spacing w:line="360" w:lineRule="auto"/>
        <w:ind w:firstLine="480" w:firstLineChars="200"/>
        <w:rPr>
          <w:color w:val="auto"/>
          <w:sz w:val="24"/>
          <w:highlight w:val="none"/>
        </w:rPr>
      </w:pPr>
      <w:r>
        <w:rPr>
          <w:rFonts w:hint="eastAsia"/>
          <w:color w:val="auto"/>
          <w:sz w:val="24"/>
          <w:highlight w:val="none"/>
        </w:rPr>
        <w:t>综上所述，</w:t>
      </w:r>
      <w:r>
        <w:rPr>
          <w:rFonts w:hint="eastAsia"/>
          <w:b/>
          <w:color w:val="auto"/>
          <w:sz w:val="24"/>
          <w:highlight w:val="none"/>
        </w:rPr>
        <w:t>☆</w:t>
      </w:r>
      <w:r>
        <w:rPr>
          <w:rFonts w:hint="eastAsia"/>
          <w:color w:val="auto"/>
          <w:sz w:val="24"/>
          <w:highlight w:val="none"/>
        </w:rPr>
        <w:t>01、</w:t>
      </w:r>
      <w:r>
        <w:rPr>
          <w:rFonts w:hint="eastAsia"/>
          <w:b/>
          <w:color w:val="auto"/>
          <w:sz w:val="24"/>
          <w:highlight w:val="none"/>
        </w:rPr>
        <w:t>☆</w:t>
      </w:r>
      <w:r>
        <w:rPr>
          <w:rFonts w:hint="eastAsia" w:eastAsiaTheme="minorEastAsia"/>
          <w:color w:val="auto"/>
          <w:sz w:val="24"/>
          <w:highlight w:val="none"/>
        </w:rPr>
        <w:t>02、</w:t>
      </w:r>
      <w:r>
        <w:rPr>
          <w:rFonts w:hint="eastAsia"/>
          <w:b/>
          <w:color w:val="auto"/>
          <w:sz w:val="24"/>
          <w:highlight w:val="none"/>
        </w:rPr>
        <w:t>☆</w:t>
      </w:r>
      <w:r>
        <w:rPr>
          <w:rFonts w:hint="eastAsia" w:eastAsiaTheme="minorEastAsia"/>
          <w:color w:val="auto"/>
          <w:sz w:val="24"/>
          <w:highlight w:val="none"/>
        </w:rPr>
        <w:t>03</w:t>
      </w:r>
      <w:r>
        <w:rPr>
          <w:color w:val="auto"/>
          <w:sz w:val="24"/>
          <w:highlight w:val="none"/>
        </w:rPr>
        <w:t>处地下水均为1-A型，表示矿化度小于1.5g/L的</w:t>
      </w:r>
      <w:r>
        <w:rPr>
          <w:bCs/>
          <w:color w:val="auto"/>
          <w:sz w:val="24"/>
          <w:highlight w:val="none"/>
        </w:rPr>
        <w:t>HCO</w:t>
      </w:r>
      <w:r>
        <w:rPr>
          <w:bCs/>
          <w:color w:val="auto"/>
          <w:sz w:val="24"/>
          <w:highlight w:val="none"/>
          <w:vertAlign w:val="subscript"/>
        </w:rPr>
        <w:t>3</w:t>
      </w:r>
      <w:r>
        <w:rPr>
          <w:rFonts w:hint="eastAsia"/>
          <w:bCs/>
          <w:color w:val="auto"/>
          <w:sz w:val="24"/>
          <w:highlight w:val="none"/>
          <w:vertAlign w:val="superscript"/>
        </w:rPr>
        <w:t>-</w:t>
      </w:r>
      <w:r>
        <w:rPr>
          <w:bCs/>
          <w:color w:val="auto"/>
          <w:sz w:val="24"/>
          <w:highlight w:val="none"/>
          <w:vertAlign w:val="superscript"/>
        </w:rPr>
        <w:t>—</w:t>
      </w:r>
      <w:r>
        <w:rPr>
          <w:color w:val="auto"/>
          <w:sz w:val="24"/>
          <w:highlight w:val="none"/>
        </w:rPr>
        <w:t>Ca</w:t>
      </w:r>
      <w:r>
        <w:rPr>
          <w:color w:val="auto"/>
          <w:sz w:val="24"/>
          <w:highlight w:val="none"/>
          <w:vertAlign w:val="superscript"/>
        </w:rPr>
        <w:t>2+</w:t>
      </w:r>
      <w:r>
        <w:rPr>
          <w:color w:val="auto"/>
          <w:sz w:val="24"/>
          <w:highlight w:val="none"/>
        </w:rPr>
        <w:t>型水</w:t>
      </w:r>
      <w:r>
        <w:rPr>
          <w:rFonts w:hint="eastAsia"/>
          <w:color w:val="auto"/>
          <w:sz w:val="24"/>
          <w:highlight w:val="none"/>
        </w:rPr>
        <w:t>。</w:t>
      </w:r>
    </w:p>
    <w:p w14:paraId="2C65C9E8">
      <w:pPr>
        <w:pStyle w:val="137"/>
        <w:rPr>
          <w:color w:val="auto"/>
        </w:rPr>
      </w:pPr>
      <w:bookmarkStart w:id="125" w:name="_Toc477954567"/>
      <w:r>
        <w:rPr>
          <w:color w:val="auto"/>
        </w:rPr>
        <w:t>4.</w:t>
      </w:r>
      <w:r>
        <w:rPr>
          <w:rFonts w:hint="eastAsia"/>
          <w:color w:val="auto"/>
        </w:rPr>
        <w:t>2</w:t>
      </w:r>
      <w:r>
        <w:rPr>
          <w:color w:val="auto"/>
        </w:rPr>
        <w:t>.4声环境质量现状评价</w:t>
      </w:r>
      <w:bookmarkEnd w:id="125"/>
    </w:p>
    <w:p w14:paraId="26ED67E1">
      <w:pPr>
        <w:pStyle w:val="135"/>
        <w:rPr>
          <w:color w:val="auto"/>
        </w:rPr>
      </w:pPr>
      <w:r>
        <w:rPr>
          <w:color w:val="auto"/>
        </w:rPr>
        <w:t>4.</w:t>
      </w:r>
      <w:r>
        <w:rPr>
          <w:rFonts w:hint="eastAsia"/>
          <w:color w:val="auto"/>
        </w:rPr>
        <w:t>2</w:t>
      </w:r>
      <w:r>
        <w:rPr>
          <w:color w:val="auto"/>
        </w:rPr>
        <w:t>.4.1声环境现状监测</w:t>
      </w:r>
    </w:p>
    <w:p w14:paraId="341BFFD7">
      <w:pPr>
        <w:pStyle w:val="59"/>
        <w:ind w:firstLine="480"/>
        <w:rPr>
          <w:color w:val="auto"/>
          <w:lang w:val="zh-CN"/>
        </w:rPr>
      </w:pPr>
      <w:r>
        <w:rPr>
          <w:color w:val="auto"/>
          <w:lang w:val="zh-CN"/>
        </w:rPr>
        <w:t>（1）数据来源</w:t>
      </w:r>
    </w:p>
    <w:p w14:paraId="7B4BE3CD">
      <w:pPr>
        <w:pStyle w:val="59"/>
        <w:ind w:firstLine="480"/>
        <w:rPr>
          <w:color w:val="auto"/>
        </w:rPr>
      </w:pPr>
      <w:r>
        <w:rPr>
          <w:color w:val="auto"/>
          <w:lang w:val="zh-CN"/>
        </w:rPr>
        <w:t>本项目声环境质量现状监测数据来自</w:t>
      </w:r>
      <w:r>
        <w:rPr>
          <w:rFonts w:hint="eastAsia"/>
          <w:color w:val="auto"/>
          <w:szCs w:val="22"/>
          <w:lang w:eastAsia="zh-CN"/>
        </w:rPr>
        <w:t>鸡西晟源环境监测有限公司</w:t>
      </w:r>
      <w:r>
        <w:rPr>
          <w:color w:val="auto"/>
        </w:rPr>
        <w:t>，详细情况见附件。</w:t>
      </w:r>
    </w:p>
    <w:p w14:paraId="09869247">
      <w:pPr>
        <w:pStyle w:val="59"/>
        <w:ind w:firstLine="480"/>
        <w:rPr>
          <w:color w:val="auto"/>
          <w:lang w:val="zh-CN"/>
        </w:rPr>
      </w:pPr>
      <w:r>
        <w:rPr>
          <w:color w:val="auto"/>
          <w:lang w:val="zh-CN"/>
        </w:rPr>
        <w:t>（2）监测点位</w:t>
      </w:r>
    </w:p>
    <w:p w14:paraId="17F5F8E0">
      <w:pPr>
        <w:pStyle w:val="59"/>
        <w:ind w:firstLine="480"/>
        <w:rPr>
          <w:color w:val="auto"/>
        </w:rPr>
      </w:pPr>
      <w:r>
        <w:rPr>
          <w:color w:val="auto"/>
        </w:rPr>
        <w:t>本项目声环境现状监测点位布置具体见</w:t>
      </w:r>
      <w:r>
        <w:rPr>
          <w:rFonts w:hint="eastAsia"/>
          <w:color w:val="auto"/>
        </w:rPr>
        <w:t>下表</w:t>
      </w:r>
      <w:r>
        <w:rPr>
          <w:color w:val="auto"/>
        </w:rPr>
        <w:t>和</w:t>
      </w:r>
      <w:r>
        <w:rPr>
          <w:rFonts w:hint="eastAsia"/>
          <w:color w:val="auto"/>
        </w:rPr>
        <w:t>下图</w:t>
      </w:r>
      <w:r>
        <w:rPr>
          <w:color w:val="auto"/>
        </w:rPr>
        <w:t>。</w:t>
      </w:r>
    </w:p>
    <w:p w14:paraId="74BD57CE">
      <w:pPr>
        <w:pStyle w:val="76"/>
        <w:rPr>
          <w:color w:val="auto"/>
        </w:rPr>
      </w:pPr>
      <w:r>
        <w:rPr>
          <w:color w:val="auto"/>
        </w:rPr>
        <w:t>表4-</w:t>
      </w:r>
      <w:r>
        <w:rPr>
          <w:rFonts w:hint="eastAsia"/>
          <w:color w:val="auto"/>
        </w:rPr>
        <w:t>2</w:t>
      </w:r>
      <w:r>
        <w:rPr>
          <w:color w:val="auto"/>
        </w:rPr>
        <w:t>-</w:t>
      </w:r>
      <w:r>
        <w:rPr>
          <w:rFonts w:hint="eastAsia"/>
          <w:color w:val="auto"/>
        </w:rPr>
        <w:t>1</w:t>
      </w:r>
      <w:r>
        <w:rPr>
          <w:color w:val="auto"/>
        </w:rPr>
        <w:t>3声环境现状监测点位表</w:t>
      </w:r>
    </w:p>
    <w:tbl>
      <w:tblPr>
        <w:tblStyle w:val="45"/>
        <w:tblW w:w="0" w:type="auto"/>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2698"/>
        <w:gridCol w:w="5222"/>
      </w:tblGrid>
      <w:tr w14:paraId="76DF31E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698" w:type="dxa"/>
            <w:vAlign w:val="center"/>
          </w:tcPr>
          <w:p w14:paraId="10F09F18">
            <w:pPr>
              <w:jc w:val="center"/>
              <w:rPr>
                <w:color w:val="auto"/>
                <w:szCs w:val="21"/>
              </w:rPr>
            </w:pPr>
            <w:r>
              <w:rPr>
                <w:color w:val="auto"/>
                <w:szCs w:val="21"/>
              </w:rPr>
              <w:t>序号</w:t>
            </w:r>
          </w:p>
        </w:tc>
        <w:tc>
          <w:tcPr>
            <w:tcW w:w="5222" w:type="dxa"/>
            <w:vAlign w:val="center"/>
          </w:tcPr>
          <w:p w14:paraId="09EEDB5B">
            <w:pPr>
              <w:jc w:val="center"/>
              <w:rPr>
                <w:color w:val="auto"/>
                <w:szCs w:val="21"/>
              </w:rPr>
            </w:pPr>
            <w:r>
              <w:rPr>
                <w:color w:val="auto"/>
                <w:szCs w:val="21"/>
              </w:rPr>
              <w:t>监测点名称</w:t>
            </w:r>
          </w:p>
        </w:tc>
      </w:tr>
      <w:tr w14:paraId="54C0870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698" w:type="dxa"/>
            <w:vAlign w:val="center"/>
          </w:tcPr>
          <w:p w14:paraId="45C14496">
            <w:pPr>
              <w:jc w:val="center"/>
              <w:rPr>
                <w:color w:val="auto"/>
                <w:szCs w:val="21"/>
              </w:rPr>
            </w:pPr>
            <w:r>
              <w:rPr>
                <w:rFonts w:hint="eastAsia"/>
                <w:color w:val="auto"/>
                <w:szCs w:val="21"/>
              </w:rPr>
              <w:t>▲</w:t>
            </w:r>
            <w:r>
              <w:rPr>
                <w:color w:val="auto"/>
                <w:szCs w:val="21"/>
              </w:rPr>
              <w:t>1</w:t>
            </w:r>
          </w:p>
        </w:tc>
        <w:tc>
          <w:tcPr>
            <w:tcW w:w="5222" w:type="dxa"/>
            <w:vAlign w:val="center"/>
          </w:tcPr>
          <w:p w14:paraId="5722F015">
            <w:pPr>
              <w:jc w:val="center"/>
              <w:rPr>
                <w:color w:val="auto"/>
                <w:szCs w:val="21"/>
              </w:rPr>
            </w:pPr>
            <w:r>
              <w:rPr>
                <w:color w:val="auto"/>
                <w:szCs w:val="21"/>
              </w:rPr>
              <w:t>厂区东侧厂界外1m处</w:t>
            </w:r>
          </w:p>
        </w:tc>
      </w:tr>
      <w:tr w14:paraId="5EFC305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94" w:hRule="atLeast"/>
          <w:jc w:val="center"/>
        </w:trPr>
        <w:tc>
          <w:tcPr>
            <w:tcW w:w="2698" w:type="dxa"/>
            <w:vAlign w:val="center"/>
          </w:tcPr>
          <w:p w14:paraId="126F7AB6">
            <w:pPr>
              <w:jc w:val="center"/>
              <w:rPr>
                <w:color w:val="auto"/>
                <w:szCs w:val="21"/>
              </w:rPr>
            </w:pPr>
            <w:r>
              <w:rPr>
                <w:rFonts w:hint="eastAsia"/>
                <w:color w:val="auto"/>
                <w:szCs w:val="21"/>
              </w:rPr>
              <w:t>▲</w:t>
            </w:r>
            <w:r>
              <w:rPr>
                <w:color w:val="auto"/>
                <w:szCs w:val="21"/>
              </w:rPr>
              <w:t>2</w:t>
            </w:r>
          </w:p>
        </w:tc>
        <w:tc>
          <w:tcPr>
            <w:tcW w:w="5222" w:type="dxa"/>
          </w:tcPr>
          <w:p w14:paraId="2279148E">
            <w:pPr>
              <w:jc w:val="center"/>
              <w:rPr>
                <w:color w:val="auto"/>
                <w:szCs w:val="21"/>
              </w:rPr>
            </w:pPr>
            <w:r>
              <w:rPr>
                <w:color w:val="auto"/>
                <w:szCs w:val="21"/>
              </w:rPr>
              <w:t>厂区南侧厂界外1m处</w:t>
            </w:r>
          </w:p>
        </w:tc>
      </w:tr>
      <w:tr w14:paraId="75EB9BA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2698" w:type="dxa"/>
            <w:vAlign w:val="center"/>
          </w:tcPr>
          <w:p w14:paraId="5CE4228F">
            <w:pPr>
              <w:jc w:val="center"/>
              <w:rPr>
                <w:color w:val="auto"/>
                <w:szCs w:val="21"/>
              </w:rPr>
            </w:pPr>
            <w:r>
              <w:rPr>
                <w:rFonts w:hint="eastAsia"/>
                <w:color w:val="auto"/>
                <w:szCs w:val="21"/>
              </w:rPr>
              <w:t>▲</w:t>
            </w:r>
            <w:r>
              <w:rPr>
                <w:color w:val="auto"/>
                <w:szCs w:val="21"/>
              </w:rPr>
              <w:t>3</w:t>
            </w:r>
          </w:p>
        </w:tc>
        <w:tc>
          <w:tcPr>
            <w:tcW w:w="5222" w:type="dxa"/>
          </w:tcPr>
          <w:p w14:paraId="206A683C">
            <w:pPr>
              <w:jc w:val="center"/>
              <w:rPr>
                <w:color w:val="auto"/>
                <w:szCs w:val="21"/>
              </w:rPr>
            </w:pPr>
            <w:r>
              <w:rPr>
                <w:color w:val="auto"/>
                <w:szCs w:val="21"/>
              </w:rPr>
              <w:t>厂区西侧厂界外1m处</w:t>
            </w:r>
          </w:p>
        </w:tc>
      </w:tr>
      <w:tr w14:paraId="56F1387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186" w:hRule="atLeast"/>
          <w:jc w:val="center"/>
        </w:trPr>
        <w:tc>
          <w:tcPr>
            <w:tcW w:w="2698" w:type="dxa"/>
            <w:vAlign w:val="center"/>
          </w:tcPr>
          <w:p w14:paraId="4710DE07">
            <w:pPr>
              <w:jc w:val="center"/>
              <w:rPr>
                <w:color w:val="auto"/>
                <w:szCs w:val="21"/>
              </w:rPr>
            </w:pPr>
            <w:r>
              <w:rPr>
                <w:rFonts w:hint="eastAsia"/>
                <w:color w:val="auto"/>
                <w:szCs w:val="21"/>
              </w:rPr>
              <w:t>▲</w:t>
            </w:r>
            <w:r>
              <w:rPr>
                <w:color w:val="auto"/>
                <w:szCs w:val="21"/>
              </w:rPr>
              <w:t>4</w:t>
            </w:r>
          </w:p>
        </w:tc>
        <w:tc>
          <w:tcPr>
            <w:tcW w:w="5222" w:type="dxa"/>
          </w:tcPr>
          <w:p w14:paraId="2A6AB230">
            <w:pPr>
              <w:jc w:val="center"/>
              <w:rPr>
                <w:color w:val="auto"/>
                <w:szCs w:val="21"/>
              </w:rPr>
            </w:pPr>
            <w:r>
              <w:rPr>
                <w:color w:val="auto"/>
                <w:szCs w:val="21"/>
              </w:rPr>
              <w:t>厂区北侧厂界外1m处</w:t>
            </w:r>
          </w:p>
        </w:tc>
      </w:tr>
    </w:tbl>
    <w:p w14:paraId="41AC1C42">
      <w:pPr>
        <w:jc w:val="center"/>
        <w:rPr>
          <w:b/>
          <w:color w:val="auto"/>
          <w:sz w:val="24"/>
          <w:lang w:val="zh-CN"/>
        </w:rPr>
      </w:pPr>
      <w:r>
        <w:rPr>
          <w:b/>
          <w:color w:val="auto"/>
          <w:sz w:val="24"/>
        </w:rPr>
        <w:drawing>
          <wp:anchor distT="0" distB="0" distL="114300" distR="114300" simplePos="0" relativeHeight="251660288" behindDoc="0" locked="0" layoutInCell="1" allowOverlap="1">
            <wp:simplePos x="0" y="0"/>
            <wp:positionH relativeFrom="column">
              <wp:posOffset>5010785</wp:posOffset>
            </wp:positionH>
            <wp:positionV relativeFrom="paragraph">
              <wp:posOffset>116205</wp:posOffset>
            </wp:positionV>
            <wp:extent cx="704215" cy="622300"/>
            <wp:effectExtent l="0" t="0" r="635" b="6350"/>
            <wp:wrapNone/>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图片 68"/>
                    <pic:cNvPicPr>
                      <a:picLocks noChangeAspect="1" noChangeArrowheads="1"/>
                    </pic:cNvPicPr>
                  </pic:nvPicPr>
                  <pic:blipFill>
                    <a:blip r:embed="rId44" cstate="print"/>
                    <a:srcRect/>
                    <a:stretch>
                      <a:fillRect/>
                    </a:stretch>
                  </pic:blipFill>
                  <pic:spPr>
                    <a:xfrm>
                      <a:off x="0" y="0"/>
                      <a:ext cx="704215" cy="622300"/>
                    </a:xfrm>
                    <a:prstGeom prst="rect">
                      <a:avLst/>
                    </a:prstGeom>
                    <a:noFill/>
                    <a:ln w="9525">
                      <a:noFill/>
                      <a:miter lim="800000"/>
                      <a:headEnd/>
                      <a:tailEnd/>
                    </a:ln>
                  </pic:spPr>
                </pic:pic>
              </a:graphicData>
            </a:graphic>
          </wp:anchor>
        </w:drawing>
      </w:r>
      <w:r>
        <w:rPr>
          <w:color w:val="auto"/>
        </w:rPr>
        <w:drawing>
          <wp:inline distT="0" distB="0" distL="114300" distR="114300">
            <wp:extent cx="5727065" cy="2355215"/>
            <wp:effectExtent l="0" t="0" r="6985" b="6985"/>
            <wp:docPr id="18"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4"/>
                    <pic:cNvPicPr>
                      <a:picLocks noChangeAspect="1"/>
                    </pic:cNvPicPr>
                  </pic:nvPicPr>
                  <pic:blipFill>
                    <a:blip r:embed="rId45"/>
                    <a:stretch>
                      <a:fillRect/>
                    </a:stretch>
                  </pic:blipFill>
                  <pic:spPr>
                    <a:xfrm>
                      <a:off x="0" y="0"/>
                      <a:ext cx="5727065" cy="2355215"/>
                    </a:xfrm>
                    <a:prstGeom prst="rect">
                      <a:avLst/>
                    </a:prstGeom>
                    <a:noFill/>
                    <a:ln>
                      <a:noFill/>
                    </a:ln>
                  </pic:spPr>
                </pic:pic>
              </a:graphicData>
            </a:graphic>
          </wp:inline>
        </w:drawing>
      </w:r>
    </w:p>
    <w:p w14:paraId="54F1E3CE">
      <w:pPr>
        <w:pStyle w:val="76"/>
        <w:rPr>
          <w:color w:val="auto"/>
          <w:highlight w:val="none"/>
        </w:rPr>
      </w:pPr>
      <w:r>
        <w:rPr>
          <w:color w:val="auto"/>
          <w:highlight w:val="none"/>
        </w:rPr>
        <w:t>图4-2-</w:t>
      </w:r>
      <w:r>
        <w:rPr>
          <w:rFonts w:hint="eastAsia"/>
          <w:color w:val="auto"/>
          <w:highlight w:val="none"/>
          <w:lang w:val="en-US" w:eastAsia="zh-CN"/>
        </w:rPr>
        <w:t>4</w:t>
      </w:r>
      <w:r>
        <w:rPr>
          <w:color w:val="auto"/>
          <w:highlight w:val="none"/>
        </w:rPr>
        <w:t>厂界声环境监测点位</w:t>
      </w:r>
    </w:p>
    <w:p w14:paraId="03BF23E6">
      <w:pPr>
        <w:pStyle w:val="59"/>
        <w:ind w:firstLine="480"/>
        <w:rPr>
          <w:color w:val="auto"/>
          <w:lang w:val="zh-CN"/>
        </w:rPr>
      </w:pPr>
      <w:r>
        <w:rPr>
          <w:color w:val="auto"/>
          <w:lang w:val="zh-CN"/>
        </w:rPr>
        <w:t>（3）监测时间</w:t>
      </w:r>
    </w:p>
    <w:p w14:paraId="4140F226">
      <w:pPr>
        <w:pStyle w:val="59"/>
        <w:ind w:firstLine="480"/>
        <w:rPr>
          <w:color w:val="auto"/>
          <w:lang w:val="zh-CN"/>
        </w:rPr>
      </w:pPr>
      <w:r>
        <w:rPr>
          <w:color w:val="auto"/>
          <w:lang w:val="zh-CN"/>
        </w:rPr>
        <w:t>202</w:t>
      </w:r>
      <w:r>
        <w:rPr>
          <w:rFonts w:hint="eastAsia"/>
          <w:color w:val="auto"/>
          <w:lang w:val="en-US" w:eastAsia="zh-CN"/>
        </w:rPr>
        <w:t>6</w:t>
      </w:r>
      <w:r>
        <w:rPr>
          <w:color w:val="auto"/>
          <w:lang w:val="zh-CN"/>
        </w:rPr>
        <w:t>年</w:t>
      </w:r>
      <w:r>
        <w:rPr>
          <w:rFonts w:hint="eastAsia"/>
          <w:color w:val="auto"/>
          <w:lang w:val="en-US" w:eastAsia="zh-CN"/>
        </w:rPr>
        <w:t>7</w:t>
      </w:r>
      <w:r>
        <w:rPr>
          <w:color w:val="auto"/>
          <w:lang w:val="zh-CN"/>
        </w:rPr>
        <w:t>月</w:t>
      </w:r>
      <w:r>
        <w:rPr>
          <w:rFonts w:hint="eastAsia"/>
          <w:color w:val="auto"/>
          <w:lang w:val="en-US" w:eastAsia="zh-CN"/>
        </w:rPr>
        <w:t>3</w:t>
      </w:r>
      <w:r>
        <w:rPr>
          <w:color w:val="auto"/>
          <w:lang w:val="zh-CN"/>
        </w:rPr>
        <w:t>日~</w:t>
      </w:r>
      <w:r>
        <w:rPr>
          <w:rFonts w:hint="eastAsia"/>
          <w:color w:val="auto"/>
          <w:lang w:val="en-US" w:eastAsia="zh-CN"/>
        </w:rPr>
        <w:t>4</w:t>
      </w:r>
      <w:r>
        <w:rPr>
          <w:color w:val="auto"/>
          <w:lang w:val="zh-CN"/>
        </w:rPr>
        <w:t>日，连续两天。</w:t>
      </w:r>
    </w:p>
    <w:p w14:paraId="3AE343E2">
      <w:pPr>
        <w:pStyle w:val="59"/>
        <w:ind w:firstLine="480"/>
        <w:rPr>
          <w:color w:val="auto"/>
          <w:lang w:val="zh-CN"/>
        </w:rPr>
      </w:pPr>
      <w:r>
        <w:rPr>
          <w:color w:val="auto"/>
          <w:lang w:val="zh-CN"/>
        </w:rPr>
        <w:t>（4）监测结果</w:t>
      </w:r>
    </w:p>
    <w:p w14:paraId="4C3759D9">
      <w:pPr>
        <w:pStyle w:val="59"/>
        <w:ind w:firstLine="480"/>
        <w:rPr>
          <w:color w:val="auto"/>
          <w:lang w:val="zh-CN"/>
        </w:rPr>
      </w:pPr>
      <w:r>
        <w:rPr>
          <w:color w:val="auto"/>
          <w:lang w:val="zh-CN"/>
        </w:rPr>
        <w:t>监测结果见</w:t>
      </w:r>
      <w:r>
        <w:rPr>
          <w:rFonts w:hint="eastAsia"/>
          <w:color w:val="auto"/>
          <w:lang w:val="zh-CN"/>
        </w:rPr>
        <w:t>下表</w:t>
      </w:r>
      <w:r>
        <w:rPr>
          <w:color w:val="auto"/>
          <w:lang w:val="zh-CN"/>
        </w:rPr>
        <w:t>。</w:t>
      </w:r>
    </w:p>
    <w:p w14:paraId="6231A619">
      <w:pPr>
        <w:pStyle w:val="76"/>
        <w:rPr>
          <w:color w:val="auto"/>
        </w:rPr>
      </w:pPr>
      <w:r>
        <w:rPr>
          <w:color w:val="auto"/>
        </w:rPr>
        <w:t>表4-</w:t>
      </w:r>
      <w:r>
        <w:rPr>
          <w:rFonts w:hint="eastAsia"/>
          <w:color w:val="auto"/>
        </w:rPr>
        <w:t>2</w:t>
      </w:r>
      <w:r>
        <w:rPr>
          <w:color w:val="auto"/>
        </w:rPr>
        <w:t>-</w:t>
      </w:r>
      <w:r>
        <w:rPr>
          <w:rFonts w:hint="eastAsia"/>
          <w:color w:val="auto"/>
        </w:rPr>
        <w:t>1</w:t>
      </w:r>
      <w:r>
        <w:rPr>
          <w:color w:val="auto"/>
        </w:rPr>
        <w:t>4声环境现状监测结果</w:t>
      </w:r>
    </w:p>
    <w:tbl>
      <w:tblPr>
        <w:tblStyle w:val="45"/>
        <w:tblW w:w="8048"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80"/>
        <w:gridCol w:w="1466"/>
        <w:gridCol w:w="1473"/>
        <w:gridCol w:w="1397"/>
        <w:gridCol w:w="1276"/>
        <w:gridCol w:w="1156"/>
      </w:tblGrid>
      <w:tr w14:paraId="5D9A19B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280" w:type="dxa"/>
            <w:vMerge w:val="restart"/>
            <w:tcBorders>
              <w:top w:val="single" w:color="auto" w:sz="12" w:space="0"/>
              <w:left w:val="nil"/>
              <w:bottom w:val="single" w:color="auto" w:sz="8" w:space="0"/>
              <w:right w:val="single" w:color="auto" w:sz="8" w:space="0"/>
            </w:tcBorders>
            <w:vAlign w:val="center"/>
          </w:tcPr>
          <w:p w14:paraId="4635C187">
            <w:pPr>
              <w:jc w:val="center"/>
              <w:rPr>
                <w:color w:val="auto"/>
                <w:szCs w:val="21"/>
              </w:rPr>
            </w:pPr>
            <w:r>
              <w:rPr>
                <w:color w:val="auto"/>
                <w:szCs w:val="21"/>
              </w:rPr>
              <w:t>监测点位</w:t>
            </w:r>
          </w:p>
        </w:tc>
        <w:tc>
          <w:tcPr>
            <w:tcW w:w="2939" w:type="dxa"/>
            <w:gridSpan w:val="2"/>
            <w:tcBorders>
              <w:top w:val="single" w:color="auto" w:sz="12" w:space="0"/>
              <w:left w:val="single" w:color="auto" w:sz="8" w:space="0"/>
              <w:bottom w:val="single" w:color="auto" w:sz="8" w:space="0"/>
              <w:right w:val="single" w:color="auto" w:sz="8" w:space="0"/>
            </w:tcBorders>
            <w:vAlign w:val="center"/>
          </w:tcPr>
          <w:p w14:paraId="1EAE9467">
            <w:pPr>
              <w:widowControl/>
              <w:jc w:val="center"/>
              <w:rPr>
                <w:rFonts w:hint="default" w:eastAsia="宋体"/>
                <w:color w:val="auto"/>
                <w:szCs w:val="21"/>
                <w:lang w:val="en-US" w:eastAsia="zh-CN"/>
              </w:rPr>
            </w:pPr>
            <w:r>
              <w:rPr>
                <w:rFonts w:hint="eastAsia"/>
                <w:color w:val="auto"/>
                <w:szCs w:val="21"/>
                <w:lang w:val="en-US" w:eastAsia="zh-CN"/>
              </w:rPr>
              <w:t>2026.7.3</w:t>
            </w:r>
          </w:p>
        </w:tc>
        <w:tc>
          <w:tcPr>
            <w:tcW w:w="2673" w:type="dxa"/>
            <w:gridSpan w:val="2"/>
            <w:tcBorders>
              <w:top w:val="single" w:color="auto" w:sz="12" w:space="0"/>
              <w:left w:val="single" w:color="auto" w:sz="8" w:space="0"/>
              <w:bottom w:val="single" w:color="auto" w:sz="8" w:space="0"/>
              <w:right w:val="single" w:color="auto" w:sz="8" w:space="0"/>
            </w:tcBorders>
            <w:vAlign w:val="center"/>
          </w:tcPr>
          <w:p w14:paraId="74FF5817">
            <w:pPr>
              <w:widowControl/>
              <w:jc w:val="center"/>
              <w:rPr>
                <w:rFonts w:hint="default" w:eastAsia="宋体"/>
                <w:color w:val="auto"/>
                <w:szCs w:val="21"/>
                <w:lang w:val="en-US" w:eastAsia="zh-CN"/>
              </w:rPr>
            </w:pPr>
            <w:r>
              <w:rPr>
                <w:rFonts w:hint="eastAsia"/>
                <w:color w:val="auto"/>
                <w:szCs w:val="21"/>
                <w:lang w:val="en-US" w:eastAsia="zh-CN"/>
              </w:rPr>
              <w:t>2026.7.4</w:t>
            </w:r>
          </w:p>
        </w:tc>
        <w:tc>
          <w:tcPr>
            <w:tcW w:w="1156" w:type="dxa"/>
            <w:vMerge w:val="restart"/>
            <w:tcBorders>
              <w:top w:val="single" w:color="auto" w:sz="12" w:space="0"/>
              <w:left w:val="single" w:color="auto" w:sz="8" w:space="0"/>
              <w:bottom w:val="single" w:color="auto" w:sz="8" w:space="0"/>
              <w:right w:val="nil"/>
            </w:tcBorders>
            <w:vAlign w:val="center"/>
          </w:tcPr>
          <w:p w14:paraId="5BAE1644">
            <w:pPr>
              <w:widowControl/>
              <w:jc w:val="center"/>
              <w:rPr>
                <w:color w:val="auto"/>
                <w:szCs w:val="21"/>
              </w:rPr>
            </w:pPr>
            <w:r>
              <w:rPr>
                <w:color w:val="auto"/>
                <w:szCs w:val="21"/>
              </w:rPr>
              <w:t>单位</w:t>
            </w:r>
          </w:p>
        </w:tc>
      </w:tr>
      <w:tr w14:paraId="41E2574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280" w:type="dxa"/>
            <w:vMerge w:val="continue"/>
            <w:tcBorders>
              <w:top w:val="single" w:color="auto" w:sz="8" w:space="0"/>
              <w:left w:val="nil"/>
              <w:bottom w:val="single" w:color="auto" w:sz="8" w:space="0"/>
              <w:right w:val="single" w:color="auto" w:sz="8" w:space="0"/>
            </w:tcBorders>
            <w:vAlign w:val="center"/>
          </w:tcPr>
          <w:p w14:paraId="0F6C324D">
            <w:pPr>
              <w:widowControl/>
              <w:jc w:val="left"/>
              <w:rPr>
                <w:color w:val="auto"/>
                <w:szCs w:val="21"/>
              </w:rPr>
            </w:pPr>
          </w:p>
        </w:tc>
        <w:tc>
          <w:tcPr>
            <w:tcW w:w="1466" w:type="dxa"/>
            <w:tcBorders>
              <w:top w:val="single" w:color="auto" w:sz="8" w:space="0"/>
              <w:left w:val="single" w:color="auto" w:sz="8" w:space="0"/>
              <w:bottom w:val="single" w:color="auto" w:sz="8" w:space="0"/>
              <w:right w:val="single" w:color="auto" w:sz="8" w:space="0"/>
            </w:tcBorders>
            <w:vAlign w:val="center"/>
          </w:tcPr>
          <w:p w14:paraId="65BBF437">
            <w:pPr>
              <w:jc w:val="center"/>
              <w:rPr>
                <w:color w:val="auto"/>
                <w:szCs w:val="21"/>
              </w:rPr>
            </w:pPr>
            <w:r>
              <w:rPr>
                <w:color w:val="auto"/>
                <w:szCs w:val="21"/>
              </w:rPr>
              <w:t>昼间</w:t>
            </w:r>
          </w:p>
        </w:tc>
        <w:tc>
          <w:tcPr>
            <w:tcW w:w="1473" w:type="dxa"/>
            <w:tcBorders>
              <w:top w:val="single" w:color="auto" w:sz="8" w:space="0"/>
              <w:left w:val="single" w:color="auto" w:sz="8" w:space="0"/>
              <w:bottom w:val="single" w:color="auto" w:sz="8" w:space="0"/>
              <w:right w:val="single" w:color="auto" w:sz="8" w:space="0"/>
            </w:tcBorders>
            <w:vAlign w:val="center"/>
          </w:tcPr>
          <w:p w14:paraId="25599F28">
            <w:pPr>
              <w:jc w:val="center"/>
              <w:rPr>
                <w:color w:val="auto"/>
                <w:szCs w:val="21"/>
              </w:rPr>
            </w:pPr>
            <w:r>
              <w:rPr>
                <w:color w:val="auto"/>
                <w:szCs w:val="21"/>
              </w:rPr>
              <w:t>夜间</w:t>
            </w:r>
          </w:p>
        </w:tc>
        <w:tc>
          <w:tcPr>
            <w:tcW w:w="1397" w:type="dxa"/>
            <w:tcBorders>
              <w:top w:val="single" w:color="auto" w:sz="8" w:space="0"/>
              <w:left w:val="single" w:color="auto" w:sz="8" w:space="0"/>
              <w:bottom w:val="single" w:color="auto" w:sz="8" w:space="0"/>
              <w:right w:val="single" w:color="auto" w:sz="8" w:space="0"/>
            </w:tcBorders>
            <w:vAlign w:val="center"/>
          </w:tcPr>
          <w:p w14:paraId="176BA862">
            <w:pPr>
              <w:jc w:val="center"/>
              <w:rPr>
                <w:color w:val="auto"/>
                <w:szCs w:val="21"/>
              </w:rPr>
            </w:pPr>
            <w:r>
              <w:rPr>
                <w:color w:val="auto"/>
                <w:szCs w:val="21"/>
              </w:rPr>
              <w:t>昼间</w:t>
            </w:r>
          </w:p>
        </w:tc>
        <w:tc>
          <w:tcPr>
            <w:tcW w:w="1276" w:type="dxa"/>
            <w:tcBorders>
              <w:top w:val="single" w:color="auto" w:sz="8" w:space="0"/>
              <w:left w:val="single" w:color="auto" w:sz="8" w:space="0"/>
              <w:bottom w:val="single" w:color="auto" w:sz="8" w:space="0"/>
              <w:right w:val="single" w:color="auto" w:sz="8" w:space="0"/>
            </w:tcBorders>
            <w:vAlign w:val="center"/>
          </w:tcPr>
          <w:p w14:paraId="67E80346">
            <w:pPr>
              <w:jc w:val="center"/>
              <w:rPr>
                <w:color w:val="auto"/>
                <w:szCs w:val="21"/>
              </w:rPr>
            </w:pPr>
            <w:r>
              <w:rPr>
                <w:color w:val="auto"/>
                <w:szCs w:val="21"/>
              </w:rPr>
              <w:t>夜间</w:t>
            </w:r>
          </w:p>
        </w:tc>
        <w:tc>
          <w:tcPr>
            <w:tcW w:w="1156" w:type="dxa"/>
            <w:vMerge w:val="continue"/>
            <w:tcBorders>
              <w:top w:val="single" w:color="auto" w:sz="8" w:space="0"/>
              <w:left w:val="single" w:color="auto" w:sz="8" w:space="0"/>
              <w:bottom w:val="single" w:color="auto" w:sz="8" w:space="0"/>
              <w:right w:val="nil"/>
            </w:tcBorders>
            <w:vAlign w:val="center"/>
          </w:tcPr>
          <w:p w14:paraId="5DA77582">
            <w:pPr>
              <w:widowControl/>
              <w:jc w:val="left"/>
              <w:rPr>
                <w:color w:val="auto"/>
                <w:szCs w:val="21"/>
              </w:rPr>
            </w:pPr>
          </w:p>
        </w:tc>
      </w:tr>
      <w:tr w14:paraId="4BCABF5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280" w:type="dxa"/>
            <w:tcBorders>
              <w:top w:val="single" w:color="auto" w:sz="8" w:space="0"/>
              <w:left w:val="nil"/>
              <w:bottom w:val="single" w:color="auto" w:sz="8" w:space="0"/>
              <w:right w:val="single" w:color="auto" w:sz="8" w:space="0"/>
            </w:tcBorders>
            <w:vAlign w:val="center"/>
          </w:tcPr>
          <w:p w14:paraId="635AA9FB">
            <w:pPr>
              <w:jc w:val="center"/>
              <w:rPr>
                <w:color w:val="auto"/>
                <w:szCs w:val="21"/>
              </w:rPr>
            </w:pPr>
            <w:r>
              <w:rPr>
                <w:rFonts w:hint="eastAsia"/>
                <w:color w:val="auto"/>
                <w:szCs w:val="21"/>
              </w:rPr>
              <w:t>▲</w:t>
            </w:r>
            <w:r>
              <w:rPr>
                <w:color w:val="auto"/>
                <w:szCs w:val="21"/>
              </w:rPr>
              <w:t>1</w:t>
            </w:r>
          </w:p>
        </w:tc>
        <w:tc>
          <w:tcPr>
            <w:tcW w:w="1466" w:type="dxa"/>
            <w:tcBorders>
              <w:top w:val="single" w:color="auto" w:sz="8" w:space="0"/>
              <w:left w:val="single" w:color="auto" w:sz="8" w:space="0"/>
              <w:bottom w:val="single" w:color="auto" w:sz="8" w:space="0"/>
              <w:right w:val="single" w:color="auto" w:sz="8" w:space="0"/>
            </w:tcBorders>
            <w:vAlign w:val="center"/>
          </w:tcPr>
          <w:p w14:paraId="35286BE2">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54</w:t>
            </w:r>
          </w:p>
        </w:tc>
        <w:tc>
          <w:tcPr>
            <w:tcW w:w="1473" w:type="dxa"/>
            <w:tcBorders>
              <w:top w:val="single" w:color="auto" w:sz="8" w:space="0"/>
              <w:left w:val="single" w:color="auto" w:sz="8" w:space="0"/>
              <w:bottom w:val="single" w:color="auto" w:sz="8" w:space="0"/>
              <w:right w:val="single" w:color="auto" w:sz="8" w:space="0"/>
            </w:tcBorders>
            <w:vAlign w:val="center"/>
          </w:tcPr>
          <w:p w14:paraId="63304A15">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41</w:t>
            </w:r>
          </w:p>
        </w:tc>
        <w:tc>
          <w:tcPr>
            <w:tcW w:w="1397" w:type="dxa"/>
            <w:tcBorders>
              <w:top w:val="single" w:color="auto" w:sz="8" w:space="0"/>
              <w:left w:val="single" w:color="auto" w:sz="8" w:space="0"/>
              <w:bottom w:val="single" w:color="auto" w:sz="8" w:space="0"/>
              <w:right w:val="single" w:color="auto" w:sz="8" w:space="0"/>
            </w:tcBorders>
            <w:vAlign w:val="center"/>
          </w:tcPr>
          <w:p w14:paraId="13C6E0C8">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53</w:t>
            </w:r>
          </w:p>
        </w:tc>
        <w:tc>
          <w:tcPr>
            <w:tcW w:w="1276" w:type="dxa"/>
            <w:tcBorders>
              <w:top w:val="single" w:color="auto" w:sz="8" w:space="0"/>
              <w:left w:val="single" w:color="auto" w:sz="8" w:space="0"/>
              <w:bottom w:val="single" w:color="auto" w:sz="8" w:space="0"/>
              <w:right w:val="single" w:color="auto" w:sz="8" w:space="0"/>
            </w:tcBorders>
            <w:vAlign w:val="center"/>
          </w:tcPr>
          <w:p w14:paraId="3EDFE3A5">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44</w:t>
            </w:r>
          </w:p>
        </w:tc>
        <w:tc>
          <w:tcPr>
            <w:tcW w:w="1156" w:type="dxa"/>
            <w:vMerge w:val="restart"/>
            <w:tcBorders>
              <w:top w:val="single" w:color="auto" w:sz="8" w:space="0"/>
              <w:left w:val="single" w:color="auto" w:sz="8" w:space="0"/>
              <w:bottom w:val="single" w:color="auto" w:sz="8" w:space="0"/>
              <w:right w:val="nil"/>
            </w:tcBorders>
            <w:vAlign w:val="center"/>
          </w:tcPr>
          <w:p w14:paraId="7BC241EC">
            <w:pPr>
              <w:widowControl/>
              <w:jc w:val="center"/>
              <w:rPr>
                <w:color w:val="auto"/>
                <w:szCs w:val="21"/>
              </w:rPr>
            </w:pPr>
            <w:r>
              <w:rPr>
                <w:color w:val="auto"/>
                <w:szCs w:val="21"/>
              </w:rPr>
              <w:t>dB(A)</w:t>
            </w:r>
          </w:p>
        </w:tc>
      </w:tr>
      <w:tr w14:paraId="2FC33A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280" w:type="dxa"/>
            <w:tcBorders>
              <w:top w:val="single" w:color="auto" w:sz="8" w:space="0"/>
              <w:left w:val="nil"/>
              <w:bottom w:val="single" w:color="auto" w:sz="8" w:space="0"/>
              <w:right w:val="single" w:color="auto" w:sz="8" w:space="0"/>
            </w:tcBorders>
            <w:vAlign w:val="center"/>
          </w:tcPr>
          <w:p w14:paraId="5A0E9EE4">
            <w:pPr>
              <w:jc w:val="center"/>
              <w:rPr>
                <w:color w:val="auto"/>
                <w:szCs w:val="21"/>
              </w:rPr>
            </w:pPr>
            <w:r>
              <w:rPr>
                <w:rFonts w:hint="eastAsia"/>
                <w:color w:val="auto"/>
                <w:szCs w:val="21"/>
              </w:rPr>
              <w:t>▲</w:t>
            </w:r>
            <w:r>
              <w:rPr>
                <w:color w:val="auto"/>
                <w:szCs w:val="21"/>
              </w:rPr>
              <w:t>2</w:t>
            </w:r>
          </w:p>
        </w:tc>
        <w:tc>
          <w:tcPr>
            <w:tcW w:w="1466" w:type="dxa"/>
            <w:tcBorders>
              <w:top w:val="single" w:color="auto" w:sz="8" w:space="0"/>
              <w:left w:val="single" w:color="auto" w:sz="8" w:space="0"/>
              <w:bottom w:val="single" w:color="auto" w:sz="8" w:space="0"/>
              <w:right w:val="single" w:color="auto" w:sz="8" w:space="0"/>
            </w:tcBorders>
            <w:vAlign w:val="center"/>
          </w:tcPr>
          <w:p w14:paraId="7CD9E736">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56</w:t>
            </w:r>
          </w:p>
        </w:tc>
        <w:tc>
          <w:tcPr>
            <w:tcW w:w="1473" w:type="dxa"/>
            <w:tcBorders>
              <w:top w:val="single" w:color="auto" w:sz="8" w:space="0"/>
              <w:left w:val="single" w:color="auto" w:sz="8" w:space="0"/>
              <w:bottom w:val="single" w:color="auto" w:sz="8" w:space="0"/>
              <w:right w:val="single" w:color="auto" w:sz="8" w:space="0"/>
            </w:tcBorders>
            <w:vAlign w:val="center"/>
          </w:tcPr>
          <w:p w14:paraId="64E0AC3A">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42</w:t>
            </w:r>
          </w:p>
        </w:tc>
        <w:tc>
          <w:tcPr>
            <w:tcW w:w="1397" w:type="dxa"/>
            <w:tcBorders>
              <w:top w:val="single" w:color="auto" w:sz="8" w:space="0"/>
              <w:left w:val="single" w:color="auto" w:sz="8" w:space="0"/>
              <w:bottom w:val="single" w:color="auto" w:sz="8" w:space="0"/>
              <w:right w:val="single" w:color="auto" w:sz="8" w:space="0"/>
            </w:tcBorders>
            <w:vAlign w:val="center"/>
          </w:tcPr>
          <w:p w14:paraId="5453DB5C">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54</w:t>
            </w:r>
          </w:p>
        </w:tc>
        <w:tc>
          <w:tcPr>
            <w:tcW w:w="1276" w:type="dxa"/>
            <w:tcBorders>
              <w:top w:val="single" w:color="auto" w:sz="8" w:space="0"/>
              <w:left w:val="single" w:color="auto" w:sz="8" w:space="0"/>
              <w:bottom w:val="single" w:color="auto" w:sz="8" w:space="0"/>
              <w:right w:val="single" w:color="auto" w:sz="8" w:space="0"/>
            </w:tcBorders>
            <w:vAlign w:val="center"/>
          </w:tcPr>
          <w:p w14:paraId="07355ADA">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43</w:t>
            </w:r>
          </w:p>
        </w:tc>
        <w:tc>
          <w:tcPr>
            <w:tcW w:w="1156" w:type="dxa"/>
            <w:vMerge w:val="continue"/>
            <w:tcBorders>
              <w:top w:val="single" w:color="auto" w:sz="8" w:space="0"/>
              <w:left w:val="single" w:color="auto" w:sz="8" w:space="0"/>
              <w:bottom w:val="single" w:color="auto" w:sz="8" w:space="0"/>
              <w:right w:val="nil"/>
            </w:tcBorders>
            <w:vAlign w:val="center"/>
          </w:tcPr>
          <w:p w14:paraId="4753F710">
            <w:pPr>
              <w:widowControl/>
              <w:jc w:val="left"/>
              <w:rPr>
                <w:color w:val="auto"/>
                <w:szCs w:val="21"/>
              </w:rPr>
            </w:pPr>
          </w:p>
        </w:tc>
      </w:tr>
      <w:tr w14:paraId="2B4808D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280" w:type="dxa"/>
            <w:tcBorders>
              <w:top w:val="single" w:color="auto" w:sz="8" w:space="0"/>
              <w:left w:val="nil"/>
              <w:bottom w:val="single" w:color="auto" w:sz="8" w:space="0"/>
              <w:right w:val="single" w:color="auto" w:sz="8" w:space="0"/>
            </w:tcBorders>
            <w:vAlign w:val="center"/>
          </w:tcPr>
          <w:p w14:paraId="6C283042">
            <w:pPr>
              <w:jc w:val="center"/>
              <w:rPr>
                <w:color w:val="auto"/>
                <w:szCs w:val="21"/>
              </w:rPr>
            </w:pPr>
            <w:r>
              <w:rPr>
                <w:rFonts w:hint="eastAsia"/>
                <w:color w:val="auto"/>
                <w:szCs w:val="21"/>
              </w:rPr>
              <w:t>▲</w:t>
            </w:r>
            <w:r>
              <w:rPr>
                <w:color w:val="auto"/>
                <w:szCs w:val="21"/>
              </w:rPr>
              <w:t>3</w:t>
            </w:r>
          </w:p>
        </w:tc>
        <w:tc>
          <w:tcPr>
            <w:tcW w:w="1466" w:type="dxa"/>
            <w:tcBorders>
              <w:top w:val="single" w:color="auto" w:sz="8" w:space="0"/>
              <w:left w:val="single" w:color="auto" w:sz="8" w:space="0"/>
              <w:bottom w:val="single" w:color="auto" w:sz="8" w:space="0"/>
              <w:right w:val="single" w:color="auto" w:sz="8" w:space="0"/>
            </w:tcBorders>
            <w:vAlign w:val="center"/>
          </w:tcPr>
          <w:p w14:paraId="2CEC69B2">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54</w:t>
            </w:r>
          </w:p>
        </w:tc>
        <w:tc>
          <w:tcPr>
            <w:tcW w:w="1473" w:type="dxa"/>
            <w:tcBorders>
              <w:top w:val="single" w:color="auto" w:sz="8" w:space="0"/>
              <w:left w:val="single" w:color="auto" w:sz="8" w:space="0"/>
              <w:bottom w:val="single" w:color="auto" w:sz="8" w:space="0"/>
              <w:right w:val="single" w:color="auto" w:sz="8" w:space="0"/>
            </w:tcBorders>
            <w:vAlign w:val="center"/>
          </w:tcPr>
          <w:p w14:paraId="1F847A42">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46</w:t>
            </w:r>
          </w:p>
        </w:tc>
        <w:tc>
          <w:tcPr>
            <w:tcW w:w="1397" w:type="dxa"/>
            <w:tcBorders>
              <w:top w:val="single" w:color="auto" w:sz="8" w:space="0"/>
              <w:left w:val="single" w:color="auto" w:sz="8" w:space="0"/>
              <w:bottom w:val="single" w:color="auto" w:sz="8" w:space="0"/>
              <w:right w:val="single" w:color="auto" w:sz="8" w:space="0"/>
            </w:tcBorders>
            <w:vAlign w:val="center"/>
          </w:tcPr>
          <w:p w14:paraId="7059B351">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52</w:t>
            </w:r>
          </w:p>
        </w:tc>
        <w:tc>
          <w:tcPr>
            <w:tcW w:w="1276" w:type="dxa"/>
            <w:tcBorders>
              <w:top w:val="single" w:color="auto" w:sz="8" w:space="0"/>
              <w:left w:val="single" w:color="auto" w:sz="8" w:space="0"/>
              <w:bottom w:val="single" w:color="auto" w:sz="8" w:space="0"/>
              <w:right w:val="single" w:color="auto" w:sz="8" w:space="0"/>
            </w:tcBorders>
            <w:vAlign w:val="center"/>
          </w:tcPr>
          <w:p w14:paraId="13220E22">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49</w:t>
            </w:r>
          </w:p>
        </w:tc>
        <w:tc>
          <w:tcPr>
            <w:tcW w:w="1156" w:type="dxa"/>
            <w:vMerge w:val="continue"/>
            <w:tcBorders>
              <w:top w:val="single" w:color="auto" w:sz="8" w:space="0"/>
              <w:left w:val="single" w:color="auto" w:sz="8" w:space="0"/>
              <w:bottom w:val="single" w:color="auto" w:sz="8" w:space="0"/>
              <w:right w:val="nil"/>
            </w:tcBorders>
            <w:vAlign w:val="center"/>
          </w:tcPr>
          <w:p w14:paraId="4DAF57BA">
            <w:pPr>
              <w:widowControl/>
              <w:jc w:val="left"/>
              <w:rPr>
                <w:color w:val="auto"/>
                <w:szCs w:val="21"/>
              </w:rPr>
            </w:pPr>
          </w:p>
        </w:tc>
      </w:tr>
      <w:tr w14:paraId="2A2BB153">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1280" w:type="dxa"/>
            <w:tcBorders>
              <w:top w:val="single" w:color="auto" w:sz="8" w:space="0"/>
              <w:left w:val="nil"/>
              <w:bottom w:val="single" w:color="auto" w:sz="12" w:space="0"/>
              <w:right w:val="single" w:color="auto" w:sz="8" w:space="0"/>
            </w:tcBorders>
            <w:vAlign w:val="center"/>
          </w:tcPr>
          <w:p w14:paraId="4B51A7DD">
            <w:pPr>
              <w:jc w:val="center"/>
              <w:rPr>
                <w:color w:val="auto"/>
                <w:szCs w:val="21"/>
              </w:rPr>
            </w:pPr>
            <w:r>
              <w:rPr>
                <w:rFonts w:hint="eastAsia"/>
                <w:color w:val="auto"/>
                <w:szCs w:val="21"/>
              </w:rPr>
              <w:t>▲</w:t>
            </w:r>
            <w:r>
              <w:rPr>
                <w:color w:val="auto"/>
                <w:szCs w:val="21"/>
              </w:rPr>
              <w:t>4</w:t>
            </w:r>
          </w:p>
        </w:tc>
        <w:tc>
          <w:tcPr>
            <w:tcW w:w="1466" w:type="dxa"/>
            <w:tcBorders>
              <w:top w:val="single" w:color="auto" w:sz="8" w:space="0"/>
              <w:left w:val="single" w:color="auto" w:sz="8" w:space="0"/>
              <w:bottom w:val="single" w:color="auto" w:sz="12" w:space="0"/>
              <w:right w:val="single" w:color="auto" w:sz="8" w:space="0"/>
            </w:tcBorders>
            <w:vAlign w:val="center"/>
          </w:tcPr>
          <w:p w14:paraId="39B82D9B">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54</w:t>
            </w:r>
          </w:p>
        </w:tc>
        <w:tc>
          <w:tcPr>
            <w:tcW w:w="1473" w:type="dxa"/>
            <w:tcBorders>
              <w:top w:val="single" w:color="auto" w:sz="8" w:space="0"/>
              <w:left w:val="single" w:color="auto" w:sz="8" w:space="0"/>
              <w:bottom w:val="single" w:color="auto" w:sz="12" w:space="0"/>
              <w:right w:val="single" w:color="auto" w:sz="8" w:space="0"/>
            </w:tcBorders>
            <w:vAlign w:val="center"/>
          </w:tcPr>
          <w:p w14:paraId="0A8F9E21">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48</w:t>
            </w:r>
          </w:p>
        </w:tc>
        <w:tc>
          <w:tcPr>
            <w:tcW w:w="1397" w:type="dxa"/>
            <w:tcBorders>
              <w:top w:val="single" w:color="auto" w:sz="8" w:space="0"/>
              <w:left w:val="single" w:color="auto" w:sz="8" w:space="0"/>
              <w:bottom w:val="single" w:color="auto" w:sz="12" w:space="0"/>
              <w:right w:val="single" w:color="auto" w:sz="8" w:space="0"/>
            </w:tcBorders>
            <w:vAlign w:val="center"/>
          </w:tcPr>
          <w:p w14:paraId="60EF4EAA">
            <w:pPr>
              <w:jc w:val="center"/>
              <w:rPr>
                <w:color w:val="auto"/>
                <w:kern w:val="0"/>
                <w:sz w:val="21"/>
                <w:szCs w:val="21"/>
              </w:rPr>
            </w:pPr>
            <w:r>
              <w:rPr>
                <w:rFonts w:hint="eastAsia" w:ascii="Times New Roman" w:hAnsi="Times New Roman" w:eastAsia="宋体" w:cs="Times New Roman"/>
                <w:color w:val="auto"/>
                <w:kern w:val="0"/>
                <w:sz w:val="21"/>
                <w:szCs w:val="21"/>
                <w:lang w:val="en-US" w:eastAsia="zh-CN" w:bidi="ar"/>
              </w:rPr>
              <w:t>53</w:t>
            </w:r>
          </w:p>
        </w:tc>
        <w:tc>
          <w:tcPr>
            <w:tcW w:w="1276" w:type="dxa"/>
            <w:tcBorders>
              <w:top w:val="single" w:color="auto" w:sz="8" w:space="0"/>
              <w:left w:val="single" w:color="auto" w:sz="8" w:space="0"/>
              <w:bottom w:val="single" w:color="auto" w:sz="12" w:space="0"/>
              <w:right w:val="single" w:color="auto" w:sz="8" w:space="0"/>
            </w:tcBorders>
            <w:vAlign w:val="center"/>
          </w:tcPr>
          <w:p w14:paraId="726B406D">
            <w:pPr>
              <w:jc w:val="center"/>
              <w:rPr>
                <w:color w:val="auto"/>
                <w:sz w:val="21"/>
                <w:szCs w:val="21"/>
              </w:rPr>
            </w:pPr>
            <w:r>
              <w:rPr>
                <w:rFonts w:hint="eastAsia" w:ascii="Times New Roman" w:hAnsi="Times New Roman" w:eastAsia="宋体" w:cs="Times New Roman"/>
                <w:color w:val="auto"/>
                <w:kern w:val="0"/>
                <w:sz w:val="21"/>
                <w:szCs w:val="21"/>
                <w:lang w:val="en-US" w:eastAsia="zh-CN" w:bidi="ar"/>
              </w:rPr>
              <w:t>44</w:t>
            </w:r>
          </w:p>
        </w:tc>
        <w:tc>
          <w:tcPr>
            <w:tcW w:w="1156" w:type="dxa"/>
            <w:vMerge w:val="continue"/>
            <w:tcBorders>
              <w:top w:val="single" w:color="auto" w:sz="8" w:space="0"/>
              <w:left w:val="single" w:color="auto" w:sz="8" w:space="0"/>
              <w:bottom w:val="single" w:color="auto" w:sz="12" w:space="0"/>
              <w:right w:val="nil"/>
            </w:tcBorders>
            <w:vAlign w:val="center"/>
          </w:tcPr>
          <w:p w14:paraId="585DC7AB">
            <w:pPr>
              <w:widowControl/>
              <w:jc w:val="left"/>
              <w:rPr>
                <w:color w:val="auto"/>
                <w:szCs w:val="21"/>
              </w:rPr>
            </w:pPr>
          </w:p>
        </w:tc>
      </w:tr>
    </w:tbl>
    <w:p w14:paraId="10F1B7C2">
      <w:pPr>
        <w:pStyle w:val="135"/>
        <w:rPr>
          <w:color w:val="auto"/>
        </w:rPr>
      </w:pPr>
      <w:r>
        <w:rPr>
          <w:color w:val="auto"/>
        </w:rPr>
        <w:t>4.</w:t>
      </w:r>
      <w:r>
        <w:rPr>
          <w:rFonts w:hint="eastAsia"/>
          <w:color w:val="auto"/>
        </w:rPr>
        <w:t>2</w:t>
      </w:r>
      <w:r>
        <w:rPr>
          <w:color w:val="auto"/>
        </w:rPr>
        <w:t>.4.2声环境质量现状评价</w:t>
      </w:r>
    </w:p>
    <w:p w14:paraId="034049AD">
      <w:pPr>
        <w:pStyle w:val="59"/>
        <w:ind w:firstLine="480"/>
        <w:rPr>
          <w:color w:val="auto"/>
          <w:lang w:val="zh-CN"/>
        </w:rPr>
      </w:pPr>
      <w:r>
        <w:rPr>
          <w:color w:val="auto"/>
          <w:lang w:val="zh-CN"/>
        </w:rPr>
        <w:t>（1）评价因子</w:t>
      </w:r>
    </w:p>
    <w:p w14:paraId="3039CA3C">
      <w:pPr>
        <w:pStyle w:val="59"/>
        <w:ind w:firstLine="480"/>
        <w:rPr>
          <w:color w:val="auto"/>
          <w:lang w:val="zh-CN"/>
        </w:rPr>
      </w:pPr>
      <w:r>
        <w:rPr>
          <w:color w:val="auto"/>
          <w:lang w:val="zh-CN"/>
        </w:rPr>
        <w:t>选择等效连续A声级Leq（A）为本项目环境噪声的评价因子。</w:t>
      </w:r>
    </w:p>
    <w:p w14:paraId="6CFBA335">
      <w:pPr>
        <w:pStyle w:val="59"/>
        <w:ind w:firstLine="480"/>
        <w:rPr>
          <w:color w:val="auto"/>
          <w:lang w:val="zh-CN"/>
        </w:rPr>
      </w:pPr>
      <w:r>
        <w:rPr>
          <w:color w:val="auto"/>
          <w:lang w:val="zh-CN"/>
        </w:rPr>
        <w:t>（2）评价方法</w:t>
      </w:r>
    </w:p>
    <w:p w14:paraId="1D49BF6E">
      <w:pPr>
        <w:pStyle w:val="59"/>
        <w:ind w:firstLine="480"/>
        <w:rPr>
          <w:color w:val="auto"/>
          <w:lang w:val="zh-CN"/>
        </w:rPr>
      </w:pPr>
      <w:r>
        <w:rPr>
          <w:color w:val="auto"/>
          <w:lang w:val="zh-CN"/>
        </w:rPr>
        <w:t>直接比较法。</w:t>
      </w:r>
    </w:p>
    <w:p w14:paraId="379F4368">
      <w:pPr>
        <w:pStyle w:val="59"/>
        <w:ind w:firstLine="480"/>
        <w:rPr>
          <w:color w:val="auto"/>
          <w:lang w:val="zh-CN"/>
        </w:rPr>
      </w:pPr>
      <w:r>
        <w:rPr>
          <w:color w:val="auto"/>
          <w:lang w:val="zh-CN"/>
        </w:rPr>
        <w:t>（3）评价标准</w:t>
      </w:r>
    </w:p>
    <w:p w14:paraId="68FCAA20">
      <w:pPr>
        <w:pStyle w:val="59"/>
        <w:ind w:firstLine="480"/>
        <w:rPr>
          <w:rFonts w:hint="eastAsia" w:eastAsia="宋体"/>
          <w:color w:val="auto"/>
          <w:highlight w:val="none"/>
          <w:lang w:val="zh-CN" w:eastAsia="zh-CN"/>
        </w:rPr>
      </w:pPr>
      <w:r>
        <w:rPr>
          <w:color w:val="auto"/>
          <w:highlight w:val="none"/>
          <w:lang w:val="zh-CN"/>
        </w:rPr>
        <w:t>评价标准</w:t>
      </w:r>
      <w:r>
        <w:rPr>
          <w:bCs/>
          <w:color w:val="auto"/>
          <w:highlight w:val="none"/>
        </w:rPr>
        <w:t>厂界</w:t>
      </w:r>
      <w:r>
        <w:rPr>
          <w:rFonts w:hint="eastAsia"/>
          <w:bCs/>
          <w:color w:val="auto"/>
          <w:highlight w:val="none"/>
        </w:rPr>
        <w:t>噪声执行</w:t>
      </w:r>
      <w:r>
        <w:rPr>
          <w:color w:val="auto"/>
          <w:highlight w:val="none"/>
          <w:lang w:val="zh-CN"/>
        </w:rPr>
        <w:t>《声环境质量标准》（GB3096-2008）中的</w:t>
      </w:r>
      <w:r>
        <w:rPr>
          <w:rFonts w:hint="eastAsia"/>
          <w:color w:val="auto"/>
          <w:highlight w:val="none"/>
          <w:lang w:val="en-US" w:eastAsia="zh-CN"/>
        </w:rPr>
        <w:t>2</w:t>
      </w:r>
      <w:r>
        <w:rPr>
          <w:color w:val="auto"/>
          <w:highlight w:val="none"/>
          <w:lang w:val="zh-CN"/>
        </w:rPr>
        <w:t>类标准（昼间</w:t>
      </w:r>
      <w:r>
        <w:rPr>
          <w:rFonts w:hint="eastAsia"/>
          <w:color w:val="auto"/>
          <w:highlight w:val="none"/>
          <w:lang w:val="en-US" w:eastAsia="zh-CN"/>
        </w:rPr>
        <w:t>60</w:t>
      </w:r>
      <w:r>
        <w:rPr>
          <w:color w:val="auto"/>
          <w:highlight w:val="none"/>
          <w:lang w:val="zh-CN"/>
        </w:rPr>
        <w:t>dB(A)，夜间</w:t>
      </w:r>
      <w:r>
        <w:rPr>
          <w:rFonts w:hint="eastAsia"/>
          <w:color w:val="auto"/>
          <w:highlight w:val="none"/>
          <w:lang w:val="en-US" w:eastAsia="zh-CN"/>
        </w:rPr>
        <w:t>50</w:t>
      </w:r>
      <w:r>
        <w:rPr>
          <w:color w:val="auto"/>
          <w:highlight w:val="none"/>
          <w:lang w:val="zh-CN"/>
        </w:rPr>
        <w:t>dB(A)）</w:t>
      </w:r>
    </w:p>
    <w:p w14:paraId="57C55043">
      <w:pPr>
        <w:pStyle w:val="59"/>
        <w:ind w:firstLine="480"/>
        <w:rPr>
          <w:color w:val="auto"/>
          <w:lang w:val="zh-CN"/>
        </w:rPr>
      </w:pPr>
      <w:r>
        <w:rPr>
          <w:color w:val="auto"/>
          <w:lang w:val="zh-CN"/>
        </w:rPr>
        <w:t>（4）评价结论</w:t>
      </w:r>
    </w:p>
    <w:p w14:paraId="5093CE87">
      <w:pPr>
        <w:pStyle w:val="59"/>
        <w:ind w:firstLine="480"/>
        <w:rPr>
          <w:rFonts w:hint="eastAsia" w:eastAsia="宋体"/>
          <w:color w:val="auto"/>
          <w:lang w:val="zh-CN" w:eastAsia="zh-CN"/>
        </w:rPr>
      </w:pPr>
      <w:r>
        <w:rPr>
          <w:color w:val="auto"/>
          <w:lang w:val="zh-CN"/>
        </w:rPr>
        <w:t>通过将环境噪声现状监测结果与标准比较，</w:t>
      </w:r>
      <w:r>
        <w:rPr>
          <w:bCs/>
          <w:color w:val="auto"/>
        </w:rPr>
        <w:t>厂界监测点</w:t>
      </w:r>
      <w:r>
        <w:rPr>
          <w:rFonts w:hint="eastAsia"/>
          <w:bCs/>
          <w:color w:val="auto"/>
        </w:rPr>
        <w:t>均</w:t>
      </w:r>
      <w:r>
        <w:rPr>
          <w:rFonts w:hint="eastAsia"/>
          <w:color w:val="auto"/>
          <w:lang w:val="zh-CN"/>
        </w:rPr>
        <w:t>满足</w:t>
      </w:r>
      <w:r>
        <w:rPr>
          <w:color w:val="auto"/>
          <w:lang w:val="zh-CN"/>
        </w:rPr>
        <w:t>《声环境质量标准》（GB3096-2008）中的</w:t>
      </w:r>
      <w:r>
        <w:rPr>
          <w:rFonts w:hint="eastAsia"/>
          <w:color w:val="auto"/>
          <w:lang w:val="en-US" w:eastAsia="zh-CN"/>
        </w:rPr>
        <w:t>2</w:t>
      </w:r>
      <w:r>
        <w:rPr>
          <w:color w:val="auto"/>
          <w:lang w:val="zh-CN"/>
        </w:rPr>
        <w:t>类标准</w:t>
      </w:r>
      <w:r>
        <w:rPr>
          <w:rFonts w:hint="eastAsia"/>
          <w:color w:val="auto"/>
          <w:lang w:val="zh-CN"/>
        </w:rPr>
        <w:t>。</w:t>
      </w:r>
    </w:p>
    <w:p w14:paraId="219E8946">
      <w:pPr>
        <w:pStyle w:val="137"/>
        <w:rPr>
          <w:color w:val="auto"/>
        </w:rPr>
      </w:pPr>
      <w:r>
        <w:rPr>
          <w:color w:val="auto"/>
        </w:rPr>
        <w:t>4.</w:t>
      </w:r>
      <w:r>
        <w:rPr>
          <w:rFonts w:hint="eastAsia"/>
          <w:color w:val="auto"/>
        </w:rPr>
        <w:t>2</w:t>
      </w:r>
      <w:r>
        <w:rPr>
          <w:color w:val="auto"/>
        </w:rPr>
        <w:t>.5土壤质量评价</w:t>
      </w:r>
    </w:p>
    <w:p w14:paraId="51772B11">
      <w:pPr>
        <w:pStyle w:val="135"/>
        <w:rPr>
          <w:rFonts w:hint="eastAsia"/>
          <w:color w:val="auto"/>
          <w:highlight w:val="none"/>
        </w:rPr>
      </w:pPr>
      <w:r>
        <w:rPr>
          <w:rFonts w:hint="eastAsia"/>
          <w:color w:val="auto"/>
          <w:highlight w:val="none"/>
        </w:rPr>
        <w:t>4.2.5.1监测点位</w:t>
      </w:r>
    </w:p>
    <w:p w14:paraId="74FFAFF6">
      <w:pPr>
        <w:pStyle w:val="779"/>
        <w:rPr>
          <w:color w:val="auto"/>
          <w:sz w:val="24"/>
          <w:szCs w:val="24"/>
        </w:rPr>
      </w:pPr>
      <w:r>
        <w:rPr>
          <w:color w:val="auto"/>
          <w:sz w:val="24"/>
          <w:szCs w:val="24"/>
        </w:rPr>
        <w:t>依据《环境影响评价技术导则 土壤环境（试行）》（HJ964-2018）中“7.4.2布点原则”要求，土壤环境现状监测点布设应根据建设项目土壤环境影响类型、评价工作等级和土地利用类型确定，采用均布性与代表性相结合的原则。调查评价范围内的每种土壤类型应至少设置1个表层样监测点，应尽量设置在未受人为污染或相对未受污染的区域。涉及大气沉降影响的，应在占地范围外主导风向的上、下风向各设置1个表层样监测点。</w:t>
      </w:r>
    </w:p>
    <w:p w14:paraId="7696E9D6">
      <w:pPr>
        <w:pStyle w:val="779"/>
        <w:rPr>
          <w:color w:val="auto"/>
          <w:sz w:val="24"/>
          <w:szCs w:val="24"/>
        </w:rPr>
      </w:pPr>
      <w:r>
        <w:rPr>
          <w:color w:val="auto"/>
          <w:sz w:val="24"/>
          <w:szCs w:val="24"/>
        </w:rPr>
        <w:t>本项目土壤环境影响类型为污染影响型，土壤评价等级为二级，根据</w:t>
      </w:r>
      <w:r>
        <w:rPr>
          <w:rFonts w:hint="eastAsia"/>
          <w:color w:val="auto"/>
          <w:sz w:val="24"/>
          <w:szCs w:val="24"/>
        </w:rPr>
        <w:t>国家土壤信息服务平台（</w:t>
      </w:r>
      <w:r>
        <w:rPr>
          <w:color w:val="auto"/>
          <w:sz w:val="24"/>
          <w:szCs w:val="24"/>
        </w:rPr>
        <w:t>http://www.soilinfo.cn/map/index.aspx</w:t>
      </w:r>
      <w:r>
        <w:rPr>
          <w:rFonts w:hint="eastAsia"/>
          <w:color w:val="auto"/>
          <w:sz w:val="24"/>
          <w:szCs w:val="24"/>
        </w:rPr>
        <w:t>）查询的</w:t>
      </w:r>
      <w:r>
        <w:rPr>
          <w:color w:val="auto"/>
          <w:sz w:val="24"/>
          <w:szCs w:val="24"/>
        </w:rPr>
        <w:t>土壤类型分布图（见图</w:t>
      </w:r>
      <w:r>
        <w:rPr>
          <w:rFonts w:hint="eastAsia"/>
          <w:color w:val="auto"/>
          <w:sz w:val="24"/>
          <w:szCs w:val="24"/>
        </w:rPr>
        <w:t>4-2-</w:t>
      </w:r>
      <w:r>
        <w:rPr>
          <w:color w:val="auto"/>
          <w:sz w:val="24"/>
          <w:szCs w:val="24"/>
        </w:rPr>
        <w:t>6），</w:t>
      </w:r>
      <w:r>
        <w:rPr>
          <w:rFonts w:hint="eastAsia"/>
          <w:color w:val="auto"/>
          <w:sz w:val="24"/>
          <w:szCs w:val="24"/>
        </w:rPr>
        <w:t>本</w:t>
      </w:r>
      <w:r>
        <w:rPr>
          <w:color w:val="auto"/>
          <w:sz w:val="24"/>
          <w:szCs w:val="24"/>
        </w:rPr>
        <w:t>项目评价范围内土壤类型为</w:t>
      </w:r>
      <w:r>
        <w:rPr>
          <w:rFonts w:hint="eastAsia"/>
          <w:color w:val="auto"/>
          <w:sz w:val="24"/>
          <w:szCs w:val="24"/>
        </w:rPr>
        <w:t>暗棕壤</w:t>
      </w:r>
      <w:r>
        <w:rPr>
          <w:color w:val="auto"/>
          <w:sz w:val="24"/>
          <w:szCs w:val="24"/>
        </w:rPr>
        <w:t>，同时项目涉及大气沉降影响。因此，本项目</w:t>
      </w:r>
      <w:r>
        <w:rPr>
          <w:rFonts w:hint="eastAsia"/>
          <w:color w:val="auto"/>
          <w:sz w:val="24"/>
          <w:szCs w:val="24"/>
        </w:rPr>
        <w:t>土壤环境质量监测点</w:t>
      </w:r>
      <w:r>
        <w:rPr>
          <w:color w:val="auto"/>
          <w:sz w:val="24"/>
          <w:szCs w:val="24"/>
        </w:rPr>
        <w:t>占地范围内</w:t>
      </w:r>
      <w:r>
        <w:rPr>
          <w:rFonts w:hint="eastAsia"/>
          <w:color w:val="auto"/>
          <w:sz w:val="24"/>
          <w:szCs w:val="24"/>
        </w:rPr>
        <w:t>应不少于</w:t>
      </w:r>
      <w:r>
        <w:rPr>
          <w:color w:val="auto"/>
          <w:sz w:val="24"/>
          <w:szCs w:val="24"/>
        </w:rPr>
        <w:t>布设3个柱状样点、1个表层样点，占地范围外</w:t>
      </w:r>
      <w:r>
        <w:rPr>
          <w:rFonts w:hint="eastAsia"/>
          <w:color w:val="auto"/>
          <w:sz w:val="24"/>
          <w:szCs w:val="24"/>
        </w:rPr>
        <w:t>不少于</w:t>
      </w:r>
      <w:r>
        <w:rPr>
          <w:color w:val="auto"/>
          <w:sz w:val="24"/>
          <w:szCs w:val="24"/>
        </w:rPr>
        <w:t>2个表层样点</w:t>
      </w:r>
      <w:r>
        <w:rPr>
          <w:rFonts w:hint="eastAsia"/>
          <w:color w:val="auto"/>
          <w:sz w:val="24"/>
          <w:szCs w:val="24"/>
        </w:rPr>
        <w:t>。本次评价引用该项目风险评估报告中的土壤监测数据，满足本项目评价要求。</w:t>
      </w:r>
    </w:p>
    <w:p w14:paraId="2640D2B6">
      <w:pPr>
        <w:pStyle w:val="779"/>
        <w:rPr>
          <w:color w:val="auto"/>
          <w:sz w:val="24"/>
          <w:szCs w:val="24"/>
        </w:rPr>
      </w:pPr>
      <w:r>
        <w:rPr>
          <w:color w:val="auto"/>
          <w:sz w:val="24"/>
          <w:szCs w:val="24"/>
        </w:rPr>
        <w:t>土壤监测点位情况见表</w:t>
      </w:r>
      <w:r>
        <w:rPr>
          <w:rFonts w:hint="eastAsia"/>
          <w:color w:val="auto"/>
          <w:sz w:val="24"/>
          <w:szCs w:val="24"/>
        </w:rPr>
        <w:t>4-2-</w:t>
      </w:r>
      <w:r>
        <w:rPr>
          <w:color w:val="auto"/>
          <w:sz w:val="24"/>
          <w:szCs w:val="24"/>
        </w:rPr>
        <w:t>1</w:t>
      </w:r>
      <w:r>
        <w:rPr>
          <w:rFonts w:hint="eastAsia"/>
          <w:color w:val="auto"/>
          <w:sz w:val="24"/>
          <w:szCs w:val="24"/>
          <w:lang w:val="en-US" w:eastAsia="zh-CN"/>
        </w:rPr>
        <w:t>5</w:t>
      </w:r>
      <w:r>
        <w:rPr>
          <w:color w:val="auto"/>
          <w:sz w:val="24"/>
          <w:szCs w:val="24"/>
        </w:rPr>
        <w:t>及图</w:t>
      </w:r>
      <w:r>
        <w:rPr>
          <w:rFonts w:hint="eastAsia"/>
          <w:color w:val="auto"/>
          <w:sz w:val="24"/>
          <w:szCs w:val="24"/>
        </w:rPr>
        <w:t>4-2-</w:t>
      </w:r>
      <w:r>
        <w:rPr>
          <w:rFonts w:hint="eastAsia"/>
          <w:color w:val="auto"/>
          <w:sz w:val="24"/>
          <w:szCs w:val="24"/>
          <w:lang w:val="en-US" w:eastAsia="zh-CN"/>
        </w:rPr>
        <w:t>6</w:t>
      </w:r>
      <w:r>
        <w:rPr>
          <w:color w:val="auto"/>
          <w:sz w:val="24"/>
          <w:szCs w:val="24"/>
        </w:rPr>
        <w:t>。</w:t>
      </w:r>
    </w:p>
    <w:p w14:paraId="1FE05E0B">
      <w:pPr>
        <w:spacing w:line="480" w:lineRule="exact"/>
        <w:ind w:firstLine="480"/>
        <w:jc w:val="center"/>
        <w:rPr>
          <w:rFonts w:eastAsia="黑体"/>
          <w:color w:val="auto"/>
          <w:spacing w:val="14"/>
          <w:sz w:val="24"/>
          <w:szCs w:val="24"/>
        </w:rPr>
      </w:pPr>
      <w:r>
        <w:rPr>
          <w:rFonts w:eastAsia="黑体"/>
          <w:color w:val="auto"/>
          <w:sz w:val="24"/>
          <w:szCs w:val="24"/>
        </w:rPr>
        <w:t>表</w:t>
      </w:r>
      <w:r>
        <w:rPr>
          <w:rFonts w:hint="eastAsia" w:eastAsia="黑体"/>
          <w:color w:val="auto"/>
          <w:sz w:val="24"/>
          <w:szCs w:val="24"/>
        </w:rPr>
        <w:t>4-2-</w:t>
      </w:r>
      <w:r>
        <w:rPr>
          <w:rFonts w:eastAsia="黑体"/>
          <w:color w:val="auto"/>
          <w:sz w:val="24"/>
          <w:szCs w:val="24"/>
        </w:rPr>
        <w:t>1</w:t>
      </w:r>
      <w:r>
        <w:rPr>
          <w:rFonts w:hint="eastAsia" w:eastAsia="黑体"/>
          <w:color w:val="auto"/>
          <w:sz w:val="24"/>
          <w:szCs w:val="24"/>
          <w:lang w:val="en-US" w:eastAsia="zh-CN"/>
        </w:rPr>
        <w:t>5</w:t>
      </w:r>
      <w:r>
        <w:rPr>
          <w:rFonts w:eastAsia="黑体"/>
          <w:color w:val="auto"/>
          <w:sz w:val="24"/>
          <w:szCs w:val="24"/>
        </w:rPr>
        <w:t xml:space="preserve">  </w:t>
      </w:r>
      <w:r>
        <w:rPr>
          <w:rFonts w:hint="eastAsia" w:eastAsia="黑体"/>
          <w:color w:val="auto"/>
          <w:sz w:val="24"/>
          <w:szCs w:val="24"/>
        </w:rPr>
        <w:t>本项目</w:t>
      </w:r>
      <w:r>
        <w:rPr>
          <w:rFonts w:eastAsia="黑体"/>
          <w:color w:val="auto"/>
          <w:spacing w:val="14"/>
          <w:sz w:val="24"/>
          <w:szCs w:val="24"/>
        </w:rPr>
        <w:t>土壤环境质量现状监测布点</w:t>
      </w:r>
    </w:p>
    <w:tbl>
      <w:tblPr>
        <w:tblStyle w:val="45"/>
        <w:tblW w:w="487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57" w:type="dxa"/>
          <w:bottom w:w="0" w:type="dxa"/>
          <w:right w:w="57" w:type="dxa"/>
        </w:tblCellMar>
      </w:tblPr>
      <w:tblGrid>
        <w:gridCol w:w="1006"/>
        <w:gridCol w:w="1718"/>
        <w:gridCol w:w="1033"/>
        <w:gridCol w:w="961"/>
        <w:gridCol w:w="1033"/>
        <w:gridCol w:w="996"/>
        <w:gridCol w:w="1005"/>
        <w:gridCol w:w="1044"/>
      </w:tblGrid>
      <w:tr w14:paraId="4C7D3E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548" w:type="pct"/>
            <w:gridSpan w:val="2"/>
            <w:vMerge w:val="restart"/>
            <w:vAlign w:val="center"/>
          </w:tcPr>
          <w:p w14:paraId="7D84A23C">
            <w:pPr>
              <w:pStyle w:val="780"/>
              <w:rPr>
                <w:color w:val="auto"/>
              </w:rPr>
            </w:pPr>
            <w:r>
              <w:rPr>
                <w:color w:val="auto"/>
              </w:rPr>
              <w:t>布点区域</w:t>
            </w:r>
          </w:p>
        </w:tc>
        <w:tc>
          <w:tcPr>
            <w:tcW w:w="587" w:type="pct"/>
            <w:vMerge w:val="restart"/>
            <w:vAlign w:val="center"/>
          </w:tcPr>
          <w:p w14:paraId="6450DA9F">
            <w:pPr>
              <w:pStyle w:val="780"/>
              <w:rPr>
                <w:color w:val="auto"/>
              </w:rPr>
            </w:pPr>
            <w:r>
              <w:rPr>
                <w:color w:val="auto"/>
              </w:rPr>
              <w:t>编号</w:t>
            </w:r>
          </w:p>
        </w:tc>
        <w:tc>
          <w:tcPr>
            <w:tcW w:w="2270" w:type="pct"/>
            <w:gridSpan w:val="4"/>
            <w:vAlign w:val="center"/>
          </w:tcPr>
          <w:p w14:paraId="0CDFE54C">
            <w:pPr>
              <w:pStyle w:val="780"/>
              <w:rPr>
                <w:color w:val="auto"/>
              </w:rPr>
            </w:pPr>
            <w:r>
              <w:rPr>
                <w:color w:val="auto"/>
              </w:rPr>
              <w:t>采样层次</w:t>
            </w:r>
          </w:p>
        </w:tc>
        <w:tc>
          <w:tcPr>
            <w:tcW w:w="593" w:type="pct"/>
            <w:vMerge w:val="restart"/>
            <w:vAlign w:val="center"/>
          </w:tcPr>
          <w:p w14:paraId="046C5ECB">
            <w:pPr>
              <w:pStyle w:val="780"/>
              <w:rPr>
                <w:color w:val="auto"/>
              </w:rPr>
            </w:pPr>
            <w:r>
              <w:rPr>
                <w:color w:val="auto"/>
              </w:rPr>
              <w:t>备注</w:t>
            </w:r>
          </w:p>
        </w:tc>
      </w:tr>
      <w:tr w14:paraId="6AC9DE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548" w:type="pct"/>
            <w:gridSpan w:val="2"/>
            <w:vMerge w:val="continue"/>
            <w:vAlign w:val="center"/>
          </w:tcPr>
          <w:p w14:paraId="7BD2B904">
            <w:pPr>
              <w:pStyle w:val="780"/>
              <w:rPr>
                <w:color w:val="auto"/>
              </w:rPr>
            </w:pPr>
          </w:p>
        </w:tc>
        <w:tc>
          <w:tcPr>
            <w:tcW w:w="587" w:type="pct"/>
            <w:vMerge w:val="continue"/>
            <w:vAlign w:val="center"/>
          </w:tcPr>
          <w:p w14:paraId="5E10C177">
            <w:pPr>
              <w:pStyle w:val="780"/>
              <w:rPr>
                <w:color w:val="auto"/>
              </w:rPr>
            </w:pPr>
          </w:p>
        </w:tc>
        <w:tc>
          <w:tcPr>
            <w:tcW w:w="546" w:type="pct"/>
            <w:vAlign w:val="center"/>
          </w:tcPr>
          <w:p w14:paraId="43DAEB8A">
            <w:pPr>
              <w:pStyle w:val="780"/>
              <w:rPr>
                <w:color w:val="auto"/>
              </w:rPr>
            </w:pPr>
            <w:r>
              <w:rPr>
                <w:color w:val="auto"/>
              </w:rPr>
              <w:t>第1层</w:t>
            </w:r>
          </w:p>
        </w:tc>
        <w:tc>
          <w:tcPr>
            <w:tcW w:w="587" w:type="pct"/>
            <w:vAlign w:val="center"/>
          </w:tcPr>
          <w:p w14:paraId="408AE9E5">
            <w:pPr>
              <w:pStyle w:val="780"/>
              <w:rPr>
                <w:color w:val="auto"/>
              </w:rPr>
            </w:pPr>
            <w:r>
              <w:rPr>
                <w:color w:val="auto"/>
              </w:rPr>
              <w:t>第2层</w:t>
            </w:r>
          </w:p>
        </w:tc>
        <w:tc>
          <w:tcPr>
            <w:tcW w:w="566" w:type="pct"/>
            <w:tcMar>
              <w:top w:w="0" w:type="dxa"/>
              <w:left w:w="85" w:type="dxa"/>
              <w:bottom w:w="0" w:type="dxa"/>
              <w:right w:w="85" w:type="dxa"/>
            </w:tcMar>
            <w:vAlign w:val="center"/>
          </w:tcPr>
          <w:p w14:paraId="2C3BCB16">
            <w:pPr>
              <w:pStyle w:val="780"/>
              <w:rPr>
                <w:color w:val="auto"/>
              </w:rPr>
            </w:pPr>
            <w:r>
              <w:rPr>
                <w:color w:val="auto"/>
              </w:rPr>
              <w:t>第3层</w:t>
            </w:r>
          </w:p>
        </w:tc>
        <w:tc>
          <w:tcPr>
            <w:tcW w:w="571" w:type="pct"/>
            <w:shd w:val="clear" w:color="auto" w:fill="auto"/>
            <w:vAlign w:val="center"/>
          </w:tcPr>
          <w:p w14:paraId="0CEADD1E">
            <w:pPr>
              <w:pStyle w:val="780"/>
              <w:rPr>
                <w:color w:val="auto"/>
              </w:rPr>
            </w:pPr>
            <w:r>
              <w:rPr>
                <w:color w:val="auto"/>
              </w:rPr>
              <w:t>第4层</w:t>
            </w:r>
          </w:p>
        </w:tc>
        <w:tc>
          <w:tcPr>
            <w:tcW w:w="593" w:type="pct"/>
            <w:vMerge w:val="continue"/>
            <w:vAlign w:val="center"/>
          </w:tcPr>
          <w:p w14:paraId="29317E5F">
            <w:pPr>
              <w:pStyle w:val="780"/>
              <w:rPr>
                <w:color w:val="auto"/>
              </w:rPr>
            </w:pPr>
          </w:p>
        </w:tc>
      </w:tr>
      <w:tr w14:paraId="6FB134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548" w:type="pct"/>
            <w:gridSpan w:val="2"/>
            <w:vMerge w:val="restart"/>
            <w:vAlign w:val="center"/>
          </w:tcPr>
          <w:p w14:paraId="5D64D6E0">
            <w:pPr>
              <w:pStyle w:val="780"/>
              <w:rPr>
                <w:rFonts w:hint="eastAsia" w:eastAsia="宋体"/>
                <w:color w:val="auto"/>
                <w:lang w:eastAsia="zh-CN"/>
              </w:rPr>
            </w:pPr>
            <w:r>
              <w:rPr>
                <w:rFonts w:hint="eastAsia"/>
                <w:color w:val="auto"/>
                <w:lang w:eastAsia="zh-CN"/>
              </w:rPr>
              <w:t>厂区内</w:t>
            </w:r>
          </w:p>
        </w:tc>
        <w:tc>
          <w:tcPr>
            <w:tcW w:w="587" w:type="pct"/>
            <w:vAlign w:val="center"/>
          </w:tcPr>
          <w:p w14:paraId="00942CAA">
            <w:pPr>
              <w:pStyle w:val="780"/>
              <w:rPr>
                <w:rFonts w:hint="eastAsia" w:eastAsia="宋体"/>
                <w:color w:val="auto"/>
                <w:lang w:eastAsia="zh-CN"/>
              </w:rPr>
            </w:pPr>
            <w:r>
              <w:rPr>
                <w:color w:val="auto"/>
              </w:rPr>
              <w:t>S</w:t>
            </w:r>
            <w:r>
              <w:rPr>
                <w:rFonts w:hint="eastAsia"/>
                <w:color w:val="auto"/>
                <w:lang w:val="en-US" w:eastAsia="zh-CN"/>
              </w:rPr>
              <w:t>3</w:t>
            </w:r>
          </w:p>
        </w:tc>
        <w:tc>
          <w:tcPr>
            <w:tcW w:w="546" w:type="pct"/>
            <w:vAlign w:val="center"/>
          </w:tcPr>
          <w:p w14:paraId="4F822EB4">
            <w:pPr>
              <w:pStyle w:val="780"/>
              <w:rPr>
                <w:color w:val="auto"/>
              </w:rPr>
            </w:pPr>
            <w:r>
              <w:rPr>
                <w:color w:val="auto"/>
              </w:rPr>
              <w:t>0-0.5m</w:t>
            </w:r>
          </w:p>
        </w:tc>
        <w:tc>
          <w:tcPr>
            <w:tcW w:w="587" w:type="pct"/>
            <w:vAlign w:val="center"/>
          </w:tcPr>
          <w:p w14:paraId="50468B07">
            <w:pPr>
              <w:jc w:val="center"/>
              <w:rPr>
                <w:color w:val="auto"/>
              </w:rPr>
            </w:pPr>
            <w:r>
              <w:rPr>
                <w:color w:val="auto"/>
              </w:rPr>
              <w:t>/</w:t>
            </w:r>
          </w:p>
        </w:tc>
        <w:tc>
          <w:tcPr>
            <w:tcW w:w="566" w:type="pct"/>
            <w:tcMar>
              <w:top w:w="0" w:type="dxa"/>
              <w:left w:w="85" w:type="dxa"/>
              <w:bottom w:w="0" w:type="dxa"/>
              <w:right w:w="85" w:type="dxa"/>
            </w:tcMar>
            <w:vAlign w:val="center"/>
          </w:tcPr>
          <w:p w14:paraId="3D507677">
            <w:pPr>
              <w:jc w:val="center"/>
              <w:rPr>
                <w:color w:val="auto"/>
              </w:rPr>
            </w:pPr>
            <w:r>
              <w:rPr>
                <w:color w:val="auto"/>
              </w:rPr>
              <w:t>/</w:t>
            </w:r>
          </w:p>
        </w:tc>
        <w:tc>
          <w:tcPr>
            <w:tcW w:w="571" w:type="pct"/>
            <w:shd w:val="clear" w:color="auto" w:fill="auto"/>
            <w:vAlign w:val="center"/>
          </w:tcPr>
          <w:p w14:paraId="52DD94C9">
            <w:pPr>
              <w:jc w:val="center"/>
              <w:rPr>
                <w:color w:val="auto"/>
              </w:rPr>
            </w:pPr>
            <w:r>
              <w:rPr>
                <w:color w:val="auto"/>
              </w:rPr>
              <w:t>/</w:t>
            </w:r>
          </w:p>
        </w:tc>
        <w:tc>
          <w:tcPr>
            <w:tcW w:w="593" w:type="pct"/>
            <w:vAlign w:val="center"/>
          </w:tcPr>
          <w:p w14:paraId="19A1CFE5">
            <w:pPr>
              <w:pStyle w:val="780"/>
              <w:rPr>
                <w:color w:val="auto"/>
              </w:rPr>
            </w:pPr>
            <w:r>
              <w:rPr>
                <w:color w:val="auto"/>
              </w:rPr>
              <w:t>/</w:t>
            </w:r>
          </w:p>
        </w:tc>
      </w:tr>
      <w:tr w14:paraId="56DEE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548" w:type="pct"/>
            <w:gridSpan w:val="2"/>
            <w:vMerge w:val="continue"/>
            <w:vAlign w:val="center"/>
          </w:tcPr>
          <w:p w14:paraId="7C4151D5">
            <w:pPr>
              <w:pStyle w:val="780"/>
              <w:rPr>
                <w:color w:val="auto"/>
              </w:rPr>
            </w:pPr>
          </w:p>
        </w:tc>
        <w:tc>
          <w:tcPr>
            <w:tcW w:w="587" w:type="pct"/>
            <w:vAlign w:val="center"/>
          </w:tcPr>
          <w:p w14:paraId="70ED5F79">
            <w:pPr>
              <w:pStyle w:val="780"/>
              <w:rPr>
                <w:rFonts w:hint="eastAsia" w:eastAsia="宋体"/>
                <w:color w:val="auto"/>
                <w:lang w:eastAsia="zh-CN"/>
              </w:rPr>
            </w:pPr>
            <w:r>
              <w:rPr>
                <w:color w:val="auto"/>
              </w:rPr>
              <w:t>S</w:t>
            </w:r>
            <w:r>
              <w:rPr>
                <w:rFonts w:hint="eastAsia"/>
                <w:color w:val="auto"/>
                <w:lang w:val="en-US" w:eastAsia="zh-CN"/>
              </w:rPr>
              <w:t>4</w:t>
            </w:r>
          </w:p>
        </w:tc>
        <w:tc>
          <w:tcPr>
            <w:tcW w:w="546" w:type="pct"/>
            <w:vAlign w:val="center"/>
          </w:tcPr>
          <w:p w14:paraId="5D7491FA">
            <w:pPr>
              <w:pStyle w:val="780"/>
              <w:rPr>
                <w:color w:val="auto"/>
              </w:rPr>
            </w:pPr>
            <w:r>
              <w:rPr>
                <w:color w:val="auto"/>
              </w:rPr>
              <w:t>0-0.5m</w:t>
            </w:r>
          </w:p>
        </w:tc>
        <w:tc>
          <w:tcPr>
            <w:tcW w:w="587" w:type="pct"/>
            <w:vAlign w:val="center"/>
          </w:tcPr>
          <w:p w14:paraId="5C1108BF">
            <w:pPr>
              <w:pStyle w:val="780"/>
              <w:jc w:val="center"/>
              <w:rPr>
                <w:color w:val="auto"/>
              </w:rPr>
            </w:pPr>
            <w:r>
              <w:rPr>
                <w:color w:val="auto"/>
              </w:rPr>
              <w:t>0.5-2.5</w:t>
            </w:r>
          </w:p>
        </w:tc>
        <w:tc>
          <w:tcPr>
            <w:tcW w:w="566" w:type="pct"/>
            <w:tcMar>
              <w:top w:w="0" w:type="dxa"/>
              <w:left w:w="85" w:type="dxa"/>
              <w:bottom w:w="0" w:type="dxa"/>
              <w:right w:w="85" w:type="dxa"/>
            </w:tcMar>
            <w:vAlign w:val="center"/>
          </w:tcPr>
          <w:p w14:paraId="14897AEE">
            <w:pPr>
              <w:jc w:val="center"/>
              <w:rPr>
                <w:color w:val="auto"/>
              </w:rPr>
            </w:pPr>
            <w:r>
              <w:rPr>
                <w:color w:val="auto"/>
              </w:rPr>
              <w:t>/</w:t>
            </w:r>
          </w:p>
        </w:tc>
        <w:tc>
          <w:tcPr>
            <w:tcW w:w="571" w:type="pct"/>
            <w:shd w:val="clear" w:color="auto" w:fill="auto"/>
            <w:vAlign w:val="center"/>
          </w:tcPr>
          <w:p w14:paraId="793DB361">
            <w:pPr>
              <w:jc w:val="center"/>
              <w:rPr>
                <w:color w:val="auto"/>
              </w:rPr>
            </w:pPr>
            <w:r>
              <w:rPr>
                <w:color w:val="auto"/>
              </w:rPr>
              <w:t>/</w:t>
            </w:r>
          </w:p>
        </w:tc>
        <w:tc>
          <w:tcPr>
            <w:tcW w:w="593" w:type="pct"/>
            <w:vAlign w:val="center"/>
          </w:tcPr>
          <w:p w14:paraId="4F1795E9">
            <w:pPr>
              <w:pStyle w:val="780"/>
              <w:rPr>
                <w:color w:val="auto"/>
              </w:rPr>
            </w:pPr>
            <w:r>
              <w:rPr>
                <w:color w:val="auto"/>
              </w:rPr>
              <w:t>/</w:t>
            </w:r>
          </w:p>
        </w:tc>
      </w:tr>
      <w:tr w14:paraId="39F792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548" w:type="pct"/>
            <w:gridSpan w:val="2"/>
            <w:vMerge w:val="continue"/>
            <w:vAlign w:val="center"/>
          </w:tcPr>
          <w:p w14:paraId="405B949D">
            <w:pPr>
              <w:pStyle w:val="780"/>
              <w:rPr>
                <w:color w:val="auto"/>
              </w:rPr>
            </w:pPr>
          </w:p>
        </w:tc>
        <w:tc>
          <w:tcPr>
            <w:tcW w:w="587" w:type="pct"/>
            <w:vAlign w:val="center"/>
          </w:tcPr>
          <w:p w14:paraId="1461349D">
            <w:pPr>
              <w:pStyle w:val="780"/>
              <w:rPr>
                <w:rFonts w:hint="eastAsia" w:eastAsia="宋体"/>
                <w:color w:val="auto"/>
                <w:lang w:eastAsia="zh-CN"/>
              </w:rPr>
            </w:pPr>
            <w:r>
              <w:rPr>
                <w:color w:val="auto"/>
              </w:rPr>
              <w:t>S</w:t>
            </w:r>
            <w:r>
              <w:rPr>
                <w:rFonts w:hint="eastAsia"/>
                <w:color w:val="auto"/>
                <w:lang w:val="en-US" w:eastAsia="zh-CN"/>
              </w:rPr>
              <w:t>5</w:t>
            </w:r>
          </w:p>
        </w:tc>
        <w:tc>
          <w:tcPr>
            <w:tcW w:w="546" w:type="pct"/>
            <w:vAlign w:val="center"/>
          </w:tcPr>
          <w:p w14:paraId="702C1BE3">
            <w:pPr>
              <w:pStyle w:val="780"/>
              <w:rPr>
                <w:color w:val="auto"/>
              </w:rPr>
            </w:pPr>
            <w:r>
              <w:rPr>
                <w:color w:val="auto"/>
              </w:rPr>
              <w:t>0-0.5m</w:t>
            </w:r>
          </w:p>
        </w:tc>
        <w:tc>
          <w:tcPr>
            <w:tcW w:w="587" w:type="pct"/>
            <w:vAlign w:val="center"/>
          </w:tcPr>
          <w:p w14:paraId="6736BDC9">
            <w:pPr>
              <w:pStyle w:val="780"/>
              <w:jc w:val="center"/>
              <w:rPr>
                <w:color w:val="auto"/>
              </w:rPr>
            </w:pPr>
            <w:r>
              <w:rPr>
                <w:color w:val="auto"/>
              </w:rPr>
              <w:t>0.5-2.5</w:t>
            </w:r>
          </w:p>
        </w:tc>
        <w:tc>
          <w:tcPr>
            <w:tcW w:w="566" w:type="pct"/>
            <w:tcMar>
              <w:top w:w="0" w:type="dxa"/>
              <w:left w:w="85" w:type="dxa"/>
              <w:bottom w:w="0" w:type="dxa"/>
              <w:right w:w="85" w:type="dxa"/>
            </w:tcMar>
            <w:vAlign w:val="center"/>
          </w:tcPr>
          <w:p w14:paraId="3A1BBEA2">
            <w:pPr>
              <w:jc w:val="center"/>
              <w:rPr>
                <w:color w:val="auto"/>
              </w:rPr>
            </w:pPr>
            <w:r>
              <w:rPr>
                <w:color w:val="auto"/>
              </w:rPr>
              <w:t>/</w:t>
            </w:r>
          </w:p>
        </w:tc>
        <w:tc>
          <w:tcPr>
            <w:tcW w:w="571" w:type="pct"/>
            <w:shd w:val="clear" w:color="auto" w:fill="auto"/>
            <w:vAlign w:val="center"/>
          </w:tcPr>
          <w:p w14:paraId="556D14EE">
            <w:pPr>
              <w:jc w:val="center"/>
              <w:rPr>
                <w:color w:val="auto"/>
              </w:rPr>
            </w:pPr>
            <w:r>
              <w:rPr>
                <w:color w:val="auto"/>
              </w:rPr>
              <w:t>/</w:t>
            </w:r>
          </w:p>
        </w:tc>
        <w:tc>
          <w:tcPr>
            <w:tcW w:w="593" w:type="pct"/>
            <w:vAlign w:val="center"/>
          </w:tcPr>
          <w:p w14:paraId="54C8E49F">
            <w:pPr>
              <w:pStyle w:val="780"/>
              <w:rPr>
                <w:color w:val="auto"/>
              </w:rPr>
            </w:pPr>
            <w:r>
              <w:rPr>
                <w:color w:val="auto"/>
              </w:rPr>
              <w:t>/</w:t>
            </w:r>
          </w:p>
        </w:tc>
      </w:tr>
      <w:tr w14:paraId="3E519D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1548" w:type="pct"/>
            <w:gridSpan w:val="2"/>
            <w:vMerge w:val="continue"/>
            <w:vAlign w:val="center"/>
          </w:tcPr>
          <w:p w14:paraId="69C60500">
            <w:pPr>
              <w:pStyle w:val="780"/>
              <w:rPr>
                <w:color w:val="auto"/>
              </w:rPr>
            </w:pPr>
          </w:p>
        </w:tc>
        <w:tc>
          <w:tcPr>
            <w:tcW w:w="587" w:type="pct"/>
            <w:vAlign w:val="center"/>
          </w:tcPr>
          <w:p w14:paraId="6CBAB9BF">
            <w:pPr>
              <w:pStyle w:val="780"/>
              <w:rPr>
                <w:rFonts w:hint="eastAsia" w:eastAsia="宋体"/>
                <w:color w:val="auto"/>
                <w:lang w:eastAsia="zh-CN"/>
              </w:rPr>
            </w:pPr>
            <w:r>
              <w:rPr>
                <w:color w:val="auto"/>
              </w:rPr>
              <w:t>S</w:t>
            </w:r>
            <w:r>
              <w:rPr>
                <w:rFonts w:hint="eastAsia"/>
                <w:color w:val="auto"/>
                <w:lang w:val="en-US" w:eastAsia="zh-CN"/>
              </w:rPr>
              <w:t>7</w:t>
            </w:r>
          </w:p>
        </w:tc>
        <w:tc>
          <w:tcPr>
            <w:tcW w:w="546" w:type="pct"/>
            <w:vAlign w:val="center"/>
          </w:tcPr>
          <w:p w14:paraId="5274D20A">
            <w:pPr>
              <w:pStyle w:val="780"/>
              <w:rPr>
                <w:color w:val="auto"/>
              </w:rPr>
            </w:pPr>
            <w:r>
              <w:rPr>
                <w:color w:val="auto"/>
              </w:rPr>
              <w:t>0-0.5m</w:t>
            </w:r>
          </w:p>
        </w:tc>
        <w:tc>
          <w:tcPr>
            <w:tcW w:w="587" w:type="pct"/>
            <w:vAlign w:val="center"/>
          </w:tcPr>
          <w:p w14:paraId="66AABAFF">
            <w:pPr>
              <w:pStyle w:val="780"/>
              <w:jc w:val="center"/>
              <w:rPr>
                <w:color w:val="auto"/>
              </w:rPr>
            </w:pPr>
            <w:r>
              <w:rPr>
                <w:color w:val="auto"/>
              </w:rPr>
              <w:t>0.5-2.5</w:t>
            </w:r>
          </w:p>
        </w:tc>
        <w:tc>
          <w:tcPr>
            <w:tcW w:w="566" w:type="pct"/>
            <w:tcMar>
              <w:top w:w="0" w:type="dxa"/>
              <w:left w:w="85" w:type="dxa"/>
              <w:bottom w:w="0" w:type="dxa"/>
              <w:right w:w="85" w:type="dxa"/>
            </w:tcMar>
            <w:vAlign w:val="center"/>
          </w:tcPr>
          <w:p w14:paraId="3ED4C205">
            <w:pPr>
              <w:pStyle w:val="780"/>
              <w:jc w:val="center"/>
              <w:rPr>
                <w:color w:val="auto"/>
              </w:rPr>
            </w:pPr>
            <w:r>
              <w:rPr>
                <w:color w:val="auto"/>
              </w:rPr>
              <w:t>2.5-4.5</w:t>
            </w:r>
          </w:p>
        </w:tc>
        <w:tc>
          <w:tcPr>
            <w:tcW w:w="571" w:type="pct"/>
            <w:shd w:val="clear" w:color="auto" w:fill="auto"/>
            <w:vAlign w:val="center"/>
          </w:tcPr>
          <w:p w14:paraId="03241D8D">
            <w:pPr>
              <w:jc w:val="center"/>
              <w:rPr>
                <w:color w:val="auto"/>
              </w:rPr>
            </w:pPr>
            <w:r>
              <w:rPr>
                <w:color w:val="auto"/>
              </w:rPr>
              <w:t>/</w:t>
            </w:r>
          </w:p>
        </w:tc>
        <w:tc>
          <w:tcPr>
            <w:tcW w:w="593" w:type="pct"/>
            <w:vAlign w:val="center"/>
          </w:tcPr>
          <w:p w14:paraId="1B8E54A2">
            <w:pPr>
              <w:pStyle w:val="780"/>
              <w:rPr>
                <w:color w:val="auto"/>
              </w:rPr>
            </w:pPr>
            <w:r>
              <w:rPr>
                <w:color w:val="auto"/>
              </w:rPr>
              <w:t>/</w:t>
            </w:r>
          </w:p>
        </w:tc>
      </w:tr>
      <w:tr w14:paraId="631E16F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5" w:hRule="atLeast"/>
          <w:jc w:val="center"/>
        </w:trPr>
        <w:tc>
          <w:tcPr>
            <w:tcW w:w="1548" w:type="pct"/>
            <w:gridSpan w:val="2"/>
            <w:vMerge w:val="continue"/>
            <w:vAlign w:val="center"/>
          </w:tcPr>
          <w:p w14:paraId="5C0E4FA6">
            <w:pPr>
              <w:pStyle w:val="780"/>
              <w:rPr>
                <w:color w:val="auto"/>
              </w:rPr>
            </w:pPr>
          </w:p>
        </w:tc>
        <w:tc>
          <w:tcPr>
            <w:tcW w:w="587" w:type="pct"/>
            <w:vAlign w:val="center"/>
          </w:tcPr>
          <w:p w14:paraId="2C1277DC">
            <w:pPr>
              <w:pStyle w:val="780"/>
              <w:rPr>
                <w:rFonts w:hint="default" w:eastAsia="宋体"/>
                <w:color w:val="auto"/>
                <w:lang w:val="en-US" w:eastAsia="zh-CN"/>
              </w:rPr>
            </w:pPr>
            <w:r>
              <w:rPr>
                <w:color w:val="auto"/>
              </w:rPr>
              <w:t>S</w:t>
            </w:r>
            <w:r>
              <w:rPr>
                <w:rFonts w:hint="eastAsia"/>
                <w:color w:val="auto"/>
                <w:lang w:val="en-US" w:eastAsia="zh-CN"/>
              </w:rPr>
              <w:t>11</w:t>
            </w:r>
          </w:p>
        </w:tc>
        <w:tc>
          <w:tcPr>
            <w:tcW w:w="546" w:type="pct"/>
            <w:vAlign w:val="center"/>
          </w:tcPr>
          <w:p w14:paraId="5B8D039E">
            <w:pPr>
              <w:pStyle w:val="780"/>
              <w:rPr>
                <w:color w:val="auto"/>
              </w:rPr>
            </w:pPr>
            <w:r>
              <w:rPr>
                <w:color w:val="auto"/>
              </w:rPr>
              <w:t>0-0.5m</w:t>
            </w:r>
          </w:p>
        </w:tc>
        <w:tc>
          <w:tcPr>
            <w:tcW w:w="587" w:type="pct"/>
            <w:vAlign w:val="center"/>
          </w:tcPr>
          <w:p w14:paraId="4BD0B64A">
            <w:pPr>
              <w:pStyle w:val="780"/>
              <w:jc w:val="center"/>
              <w:rPr>
                <w:color w:val="auto"/>
              </w:rPr>
            </w:pPr>
            <w:r>
              <w:rPr>
                <w:color w:val="auto"/>
              </w:rPr>
              <w:t>0.5-2.5</w:t>
            </w:r>
          </w:p>
        </w:tc>
        <w:tc>
          <w:tcPr>
            <w:tcW w:w="566" w:type="pct"/>
            <w:tcMar>
              <w:top w:w="0" w:type="dxa"/>
              <w:left w:w="85" w:type="dxa"/>
              <w:bottom w:w="0" w:type="dxa"/>
              <w:right w:w="85" w:type="dxa"/>
            </w:tcMar>
            <w:vAlign w:val="center"/>
          </w:tcPr>
          <w:p w14:paraId="20EE1252">
            <w:pPr>
              <w:pStyle w:val="780"/>
              <w:jc w:val="center"/>
              <w:rPr>
                <w:color w:val="auto"/>
              </w:rPr>
            </w:pPr>
            <w:r>
              <w:rPr>
                <w:color w:val="auto"/>
              </w:rPr>
              <w:t>2.5-4.5</w:t>
            </w:r>
          </w:p>
        </w:tc>
        <w:tc>
          <w:tcPr>
            <w:tcW w:w="571" w:type="pct"/>
            <w:shd w:val="clear" w:color="auto" w:fill="auto"/>
            <w:vAlign w:val="center"/>
          </w:tcPr>
          <w:p w14:paraId="68419AAB">
            <w:pPr>
              <w:jc w:val="center"/>
              <w:rPr>
                <w:color w:val="auto"/>
              </w:rPr>
            </w:pPr>
            <w:r>
              <w:rPr>
                <w:color w:val="auto"/>
              </w:rPr>
              <w:t>/</w:t>
            </w:r>
          </w:p>
        </w:tc>
        <w:tc>
          <w:tcPr>
            <w:tcW w:w="593" w:type="pct"/>
            <w:vAlign w:val="center"/>
          </w:tcPr>
          <w:p w14:paraId="37D78BE1">
            <w:pPr>
              <w:pStyle w:val="780"/>
              <w:rPr>
                <w:color w:val="auto"/>
              </w:rPr>
            </w:pPr>
            <w:r>
              <w:rPr>
                <w:color w:val="auto"/>
              </w:rPr>
              <w:t>/</w:t>
            </w:r>
          </w:p>
        </w:tc>
      </w:tr>
      <w:tr w14:paraId="53BADE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85" w:hRule="atLeast"/>
          <w:jc w:val="center"/>
        </w:trPr>
        <w:tc>
          <w:tcPr>
            <w:tcW w:w="1548" w:type="pct"/>
            <w:gridSpan w:val="2"/>
            <w:vMerge w:val="continue"/>
            <w:vAlign w:val="center"/>
          </w:tcPr>
          <w:p w14:paraId="6D5D91D2">
            <w:pPr>
              <w:pStyle w:val="780"/>
              <w:rPr>
                <w:color w:val="auto"/>
              </w:rPr>
            </w:pPr>
          </w:p>
        </w:tc>
        <w:tc>
          <w:tcPr>
            <w:tcW w:w="587" w:type="pct"/>
            <w:vAlign w:val="center"/>
          </w:tcPr>
          <w:p w14:paraId="09DE6C97">
            <w:pPr>
              <w:pStyle w:val="780"/>
              <w:rPr>
                <w:rFonts w:hint="default" w:eastAsia="宋体"/>
                <w:color w:val="auto"/>
                <w:lang w:val="en-US" w:eastAsia="zh-CN"/>
              </w:rPr>
            </w:pPr>
            <w:r>
              <w:rPr>
                <w:rFonts w:hint="eastAsia"/>
                <w:color w:val="auto"/>
                <w:lang w:val="en-US" w:eastAsia="zh-CN"/>
              </w:rPr>
              <w:t>S9</w:t>
            </w:r>
          </w:p>
        </w:tc>
        <w:tc>
          <w:tcPr>
            <w:tcW w:w="2270" w:type="pct"/>
            <w:gridSpan w:val="4"/>
            <w:vAlign w:val="center"/>
          </w:tcPr>
          <w:p w14:paraId="052306D9">
            <w:pPr>
              <w:jc w:val="center"/>
              <w:rPr>
                <w:color w:val="auto"/>
              </w:rPr>
            </w:pPr>
            <w:r>
              <w:rPr>
                <w:color w:val="auto"/>
              </w:rPr>
              <w:t>0-0.5m</w:t>
            </w:r>
          </w:p>
        </w:tc>
        <w:tc>
          <w:tcPr>
            <w:tcW w:w="593" w:type="pct"/>
            <w:vAlign w:val="center"/>
          </w:tcPr>
          <w:p w14:paraId="2CB18D85">
            <w:pPr>
              <w:pStyle w:val="780"/>
              <w:rPr>
                <w:color w:val="auto"/>
              </w:rPr>
            </w:pPr>
            <w:r>
              <w:rPr>
                <w:color w:val="auto"/>
              </w:rPr>
              <w:t>/</w:t>
            </w:r>
          </w:p>
        </w:tc>
      </w:tr>
      <w:tr w14:paraId="4412C0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restart"/>
            <w:vAlign w:val="center"/>
          </w:tcPr>
          <w:p w14:paraId="3E7AFCC7">
            <w:pPr>
              <w:pStyle w:val="780"/>
              <w:rPr>
                <w:rFonts w:hint="eastAsia" w:eastAsia="宋体"/>
                <w:color w:val="auto"/>
                <w:lang w:eastAsia="zh-CN"/>
              </w:rPr>
            </w:pPr>
            <w:r>
              <w:rPr>
                <w:rFonts w:hint="eastAsia"/>
                <w:color w:val="auto"/>
                <w:lang w:eastAsia="zh-CN"/>
              </w:rPr>
              <w:t>厂界</w:t>
            </w:r>
          </w:p>
        </w:tc>
        <w:tc>
          <w:tcPr>
            <w:tcW w:w="975" w:type="pct"/>
            <w:vMerge w:val="restart"/>
            <w:vAlign w:val="center"/>
          </w:tcPr>
          <w:p w14:paraId="3585D7C8">
            <w:pPr>
              <w:pStyle w:val="780"/>
              <w:rPr>
                <w:rFonts w:hint="eastAsia" w:eastAsia="宋体"/>
                <w:color w:val="auto"/>
                <w:lang w:eastAsia="zh-CN"/>
              </w:rPr>
            </w:pPr>
            <w:r>
              <w:rPr>
                <w:rFonts w:hint="eastAsia"/>
                <w:color w:val="auto"/>
                <w:lang w:eastAsia="zh-CN"/>
              </w:rPr>
              <w:t>西</w:t>
            </w:r>
          </w:p>
        </w:tc>
        <w:tc>
          <w:tcPr>
            <w:tcW w:w="587" w:type="pct"/>
            <w:vAlign w:val="center"/>
          </w:tcPr>
          <w:p w14:paraId="6AB3EB05">
            <w:pPr>
              <w:pStyle w:val="780"/>
              <w:rPr>
                <w:color w:val="auto"/>
              </w:rPr>
            </w:pPr>
            <w:r>
              <w:rPr>
                <w:color w:val="auto"/>
              </w:rPr>
              <w:t>S6</w:t>
            </w:r>
          </w:p>
        </w:tc>
        <w:tc>
          <w:tcPr>
            <w:tcW w:w="2270" w:type="pct"/>
            <w:gridSpan w:val="4"/>
            <w:vAlign w:val="center"/>
          </w:tcPr>
          <w:p w14:paraId="134C1714">
            <w:pPr>
              <w:pStyle w:val="780"/>
              <w:rPr>
                <w:color w:val="auto"/>
              </w:rPr>
            </w:pPr>
            <w:r>
              <w:rPr>
                <w:color w:val="auto"/>
              </w:rPr>
              <w:t>0-0.5m</w:t>
            </w:r>
          </w:p>
        </w:tc>
        <w:tc>
          <w:tcPr>
            <w:tcW w:w="593" w:type="pct"/>
            <w:vAlign w:val="center"/>
          </w:tcPr>
          <w:p w14:paraId="691E2232">
            <w:pPr>
              <w:pStyle w:val="780"/>
              <w:rPr>
                <w:color w:val="auto"/>
              </w:rPr>
            </w:pPr>
            <w:r>
              <w:rPr>
                <w:color w:val="auto"/>
              </w:rPr>
              <w:t>/</w:t>
            </w:r>
          </w:p>
        </w:tc>
      </w:tr>
      <w:tr w14:paraId="1978B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continue"/>
            <w:vAlign w:val="center"/>
          </w:tcPr>
          <w:p w14:paraId="52F439C0">
            <w:pPr>
              <w:pStyle w:val="780"/>
              <w:rPr>
                <w:color w:val="auto"/>
              </w:rPr>
            </w:pPr>
          </w:p>
        </w:tc>
        <w:tc>
          <w:tcPr>
            <w:tcW w:w="975" w:type="pct"/>
            <w:vMerge w:val="continue"/>
            <w:vAlign w:val="center"/>
          </w:tcPr>
          <w:p w14:paraId="4869D6EE">
            <w:pPr>
              <w:pStyle w:val="780"/>
              <w:rPr>
                <w:rFonts w:hint="eastAsia"/>
                <w:color w:val="auto"/>
                <w:lang w:eastAsia="zh-CN"/>
              </w:rPr>
            </w:pPr>
          </w:p>
        </w:tc>
        <w:tc>
          <w:tcPr>
            <w:tcW w:w="587" w:type="pct"/>
            <w:vAlign w:val="center"/>
          </w:tcPr>
          <w:p w14:paraId="759C5FDE">
            <w:pPr>
              <w:pStyle w:val="780"/>
              <w:rPr>
                <w:rFonts w:hint="default" w:eastAsia="宋体"/>
                <w:color w:val="auto"/>
                <w:lang w:val="en-US" w:eastAsia="zh-CN"/>
              </w:rPr>
            </w:pPr>
            <w:r>
              <w:rPr>
                <w:rFonts w:hint="eastAsia"/>
                <w:color w:val="auto"/>
                <w:lang w:val="en-US" w:eastAsia="zh-CN"/>
              </w:rPr>
              <w:t>S8</w:t>
            </w:r>
          </w:p>
        </w:tc>
        <w:tc>
          <w:tcPr>
            <w:tcW w:w="2270" w:type="pct"/>
            <w:gridSpan w:val="4"/>
            <w:vAlign w:val="center"/>
          </w:tcPr>
          <w:p w14:paraId="111D17D3">
            <w:pPr>
              <w:pStyle w:val="780"/>
              <w:rPr>
                <w:color w:val="auto"/>
              </w:rPr>
            </w:pPr>
            <w:r>
              <w:rPr>
                <w:color w:val="auto"/>
              </w:rPr>
              <w:t>0-0.5m</w:t>
            </w:r>
          </w:p>
        </w:tc>
        <w:tc>
          <w:tcPr>
            <w:tcW w:w="593" w:type="pct"/>
            <w:vAlign w:val="center"/>
          </w:tcPr>
          <w:p w14:paraId="146CA024">
            <w:pPr>
              <w:pStyle w:val="780"/>
              <w:rPr>
                <w:color w:val="auto"/>
              </w:rPr>
            </w:pPr>
            <w:r>
              <w:rPr>
                <w:color w:val="auto"/>
              </w:rPr>
              <w:t>/</w:t>
            </w:r>
          </w:p>
        </w:tc>
      </w:tr>
      <w:tr w14:paraId="185C6E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continue"/>
            <w:vAlign w:val="center"/>
          </w:tcPr>
          <w:p w14:paraId="30F3DE3A">
            <w:pPr>
              <w:pStyle w:val="780"/>
              <w:rPr>
                <w:color w:val="auto"/>
              </w:rPr>
            </w:pPr>
          </w:p>
        </w:tc>
        <w:tc>
          <w:tcPr>
            <w:tcW w:w="975" w:type="pct"/>
            <w:vMerge w:val="continue"/>
            <w:vAlign w:val="center"/>
          </w:tcPr>
          <w:p w14:paraId="1E7B77AB">
            <w:pPr>
              <w:pStyle w:val="780"/>
              <w:rPr>
                <w:color w:val="auto"/>
              </w:rPr>
            </w:pPr>
          </w:p>
        </w:tc>
        <w:tc>
          <w:tcPr>
            <w:tcW w:w="587" w:type="pct"/>
            <w:vAlign w:val="center"/>
          </w:tcPr>
          <w:p w14:paraId="01AAA48E">
            <w:pPr>
              <w:pStyle w:val="780"/>
              <w:rPr>
                <w:rFonts w:hint="default" w:eastAsia="宋体"/>
                <w:color w:val="auto"/>
                <w:lang w:val="en-US" w:eastAsia="zh-CN"/>
              </w:rPr>
            </w:pPr>
            <w:r>
              <w:rPr>
                <w:color w:val="auto"/>
              </w:rPr>
              <w:t>S</w:t>
            </w:r>
            <w:r>
              <w:rPr>
                <w:rFonts w:hint="eastAsia"/>
                <w:color w:val="auto"/>
                <w:lang w:val="en-US" w:eastAsia="zh-CN"/>
              </w:rPr>
              <w:t>12</w:t>
            </w:r>
          </w:p>
        </w:tc>
        <w:tc>
          <w:tcPr>
            <w:tcW w:w="2270" w:type="pct"/>
            <w:gridSpan w:val="4"/>
            <w:vAlign w:val="center"/>
          </w:tcPr>
          <w:p w14:paraId="0A778F5D">
            <w:pPr>
              <w:pStyle w:val="780"/>
              <w:rPr>
                <w:color w:val="auto"/>
              </w:rPr>
            </w:pPr>
            <w:r>
              <w:rPr>
                <w:color w:val="auto"/>
              </w:rPr>
              <w:t>0-0.5m</w:t>
            </w:r>
          </w:p>
        </w:tc>
        <w:tc>
          <w:tcPr>
            <w:tcW w:w="593" w:type="pct"/>
            <w:vAlign w:val="center"/>
          </w:tcPr>
          <w:p w14:paraId="27C3A9F9">
            <w:pPr>
              <w:pStyle w:val="780"/>
              <w:rPr>
                <w:color w:val="auto"/>
              </w:rPr>
            </w:pPr>
            <w:r>
              <w:rPr>
                <w:color w:val="auto"/>
              </w:rPr>
              <w:t>/</w:t>
            </w:r>
          </w:p>
        </w:tc>
      </w:tr>
      <w:tr w14:paraId="1CA789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continue"/>
            <w:vAlign w:val="center"/>
          </w:tcPr>
          <w:p w14:paraId="2D1AE40C">
            <w:pPr>
              <w:pStyle w:val="780"/>
              <w:rPr>
                <w:color w:val="auto"/>
              </w:rPr>
            </w:pPr>
          </w:p>
        </w:tc>
        <w:tc>
          <w:tcPr>
            <w:tcW w:w="975" w:type="pct"/>
            <w:vAlign w:val="center"/>
          </w:tcPr>
          <w:p w14:paraId="7BAB736A">
            <w:pPr>
              <w:pStyle w:val="780"/>
              <w:rPr>
                <w:rFonts w:hint="eastAsia" w:eastAsia="宋体"/>
                <w:color w:val="auto"/>
                <w:lang w:eastAsia="zh-CN"/>
              </w:rPr>
            </w:pPr>
            <w:r>
              <w:rPr>
                <w:rFonts w:hint="eastAsia"/>
                <w:color w:val="auto"/>
                <w:lang w:eastAsia="zh-CN"/>
              </w:rPr>
              <w:t>北</w:t>
            </w:r>
          </w:p>
        </w:tc>
        <w:tc>
          <w:tcPr>
            <w:tcW w:w="587" w:type="pct"/>
            <w:vAlign w:val="center"/>
          </w:tcPr>
          <w:p w14:paraId="7B77A3E6">
            <w:pPr>
              <w:pStyle w:val="780"/>
              <w:rPr>
                <w:rFonts w:hint="eastAsia" w:eastAsia="宋体"/>
                <w:color w:val="auto"/>
                <w:lang w:eastAsia="zh-CN"/>
              </w:rPr>
            </w:pPr>
            <w:r>
              <w:rPr>
                <w:color w:val="auto"/>
              </w:rPr>
              <w:t>S</w:t>
            </w:r>
            <w:r>
              <w:rPr>
                <w:rFonts w:hint="eastAsia"/>
                <w:color w:val="auto"/>
                <w:lang w:val="en-US" w:eastAsia="zh-CN"/>
              </w:rPr>
              <w:t>2</w:t>
            </w:r>
          </w:p>
        </w:tc>
        <w:tc>
          <w:tcPr>
            <w:tcW w:w="2270" w:type="pct"/>
            <w:gridSpan w:val="4"/>
            <w:vAlign w:val="center"/>
          </w:tcPr>
          <w:p w14:paraId="37D7B6DA">
            <w:pPr>
              <w:pStyle w:val="780"/>
              <w:rPr>
                <w:color w:val="auto"/>
              </w:rPr>
            </w:pPr>
            <w:r>
              <w:rPr>
                <w:color w:val="auto"/>
              </w:rPr>
              <w:t>0-0.5m</w:t>
            </w:r>
          </w:p>
        </w:tc>
        <w:tc>
          <w:tcPr>
            <w:tcW w:w="593" w:type="pct"/>
            <w:vAlign w:val="center"/>
          </w:tcPr>
          <w:p w14:paraId="698E8C41">
            <w:pPr>
              <w:pStyle w:val="780"/>
              <w:rPr>
                <w:color w:val="auto"/>
              </w:rPr>
            </w:pPr>
            <w:r>
              <w:rPr>
                <w:color w:val="auto"/>
              </w:rPr>
              <w:t>/</w:t>
            </w:r>
          </w:p>
        </w:tc>
      </w:tr>
      <w:tr w14:paraId="59D5FB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continue"/>
            <w:vAlign w:val="center"/>
          </w:tcPr>
          <w:p w14:paraId="6249752D">
            <w:pPr>
              <w:pStyle w:val="780"/>
              <w:rPr>
                <w:color w:val="auto"/>
              </w:rPr>
            </w:pPr>
          </w:p>
        </w:tc>
        <w:tc>
          <w:tcPr>
            <w:tcW w:w="975" w:type="pct"/>
            <w:vMerge w:val="restart"/>
            <w:vAlign w:val="center"/>
          </w:tcPr>
          <w:p w14:paraId="37213523">
            <w:pPr>
              <w:pStyle w:val="780"/>
              <w:rPr>
                <w:rFonts w:hint="eastAsia" w:eastAsia="宋体"/>
                <w:color w:val="auto"/>
                <w:lang w:eastAsia="zh-CN"/>
              </w:rPr>
            </w:pPr>
            <w:r>
              <w:rPr>
                <w:rFonts w:hint="eastAsia"/>
                <w:color w:val="auto"/>
                <w:lang w:eastAsia="zh-CN"/>
              </w:rPr>
              <w:t>东</w:t>
            </w:r>
          </w:p>
        </w:tc>
        <w:tc>
          <w:tcPr>
            <w:tcW w:w="587" w:type="pct"/>
            <w:vAlign w:val="center"/>
          </w:tcPr>
          <w:p w14:paraId="100047E0">
            <w:pPr>
              <w:pStyle w:val="780"/>
              <w:rPr>
                <w:rFonts w:hint="eastAsia" w:eastAsia="宋体"/>
                <w:color w:val="auto"/>
                <w:lang w:eastAsia="zh-CN"/>
              </w:rPr>
            </w:pPr>
            <w:r>
              <w:rPr>
                <w:color w:val="auto"/>
              </w:rPr>
              <w:t>S</w:t>
            </w:r>
            <w:r>
              <w:rPr>
                <w:rFonts w:hint="eastAsia"/>
                <w:color w:val="auto"/>
                <w:lang w:val="en-US" w:eastAsia="zh-CN"/>
              </w:rPr>
              <w:t>1</w:t>
            </w:r>
          </w:p>
        </w:tc>
        <w:tc>
          <w:tcPr>
            <w:tcW w:w="2270" w:type="pct"/>
            <w:gridSpan w:val="4"/>
            <w:vAlign w:val="center"/>
          </w:tcPr>
          <w:p w14:paraId="75D20CC7">
            <w:pPr>
              <w:pStyle w:val="780"/>
              <w:rPr>
                <w:color w:val="auto"/>
              </w:rPr>
            </w:pPr>
            <w:r>
              <w:rPr>
                <w:color w:val="auto"/>
              </w:rPr>
              <w:t>0-0.5m</w:t>
            </w:r>
          </w:p>
        </w:tc>
        <w:tc>
          <w:tcPr>
            <w:tcW w:w="593" w:type="pct"/>
            <w:vAlign w:val="center"/>
          </w:tcPr>
          <w:p w14:paraId="1641152C">
            <w:pPr>
              <w:pStyle w:val="780"/>
              <w:rPr>
                <w:color w:val="auto"/>
              </w:rPr>
            </w:pPr>
            <w:r>
              <w:rPr>
                <w:color w:val="auto"/>
              </w:rPr>
              <w:t>/</w:t>
            </w:r>
          </w:p>
        </w:tc>
      </w:tr>
      <w:tr w14:paraId="090E72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continue"/>
            <w:vAlign w:val="center"/>
          </w:tcPr>
          <w:p w14:paraId="0963DB23">
            <w:pPr>
              <w:pStyle w:val="780"/>
              <w:rPr>
                <w:color w:val="auto"/>
              </w:rPr>
            </w:pPr>
          </w:p>
        </w:tc>
        <w:tc>
          <w:tcPr>
            <w:tcW w:w="975" w:type="pct"/>
            <w:vMerge w:val="continue"/>
            <w:vAlign w:val="center"/>
          </w:tcPr>
          <w:p w14:paraId="027069E5">
            <w:pPr>
              <w:pStyle w:val="780"/>
              <w:rPr>
                <w:rFonts w:hint="eastAsia"/>
                <w:color w:val="auto"/>
                <w:lang w:eastAsia="zh-CN"/>
              </w:rPr>
            </w:pPr>
          </w:p>
        </w:tc>
        <w:tc>
          <w:tcPr>
            <w:tcW w:w="587" w:type="pct"/>
            <w:vAlign w:val="center"/>
          </w:tcPr>
          <w:p w14:paraId="0911944B">
            <w:pPr>
              <w:pStyle w:val="780"/>
              <w:rPr>
                <w:rFonts w:hint="default" w:eastAsia="宋体"/>
                <w:color w:val="auto"/>
                <w:lang w:val="en-US" w:eastAsia="zh-CN"/>
              </w:rPr>
            </w:pPr>
            <w:r>
              <w:rPr>
                <w:rFonts w:hint="eastAsia"/>
                <w:color w:val="auto"/>
                <w:lang w:val="en-US" w:eastAsia="zh-CN"/>
              </w:rPr>
              <w:t>S10</w:t>
            </w:r>
          </w:p>
        </w:tc>
        <w:tc>
          <w:tcPr>
            <w:tcW w:w="2270" w:type="pct"/>
            <w:gridSpan w:val="4"/>
            <w:vAlign w:val="center"/>
          </w:tcPr>
          <w:p w14:paraId="68B9327F">
            <w:pPr>
              <w:pStyle w:val="780"/>
              <w:rPr>
                <w:color w:val="auto"/>
              </w:rPr>
            </w:pPr>
            <w:r>
              <w:rPr>
                <w:color w:val="auto"/>
              </w:rPr>
              <w:t>0-0.5m</w:t>
            </w:r>
          </w:p>
        </w:tc>
        <w:tc>
          <w:tcPr>
            <w:tcW w:w="593" w:type="pct"/>
            <w:vAlign w:val="center"/>
          </w:tcPr>
          <w:p w14:paraId="4B76BEB8">
            <w:pPr>
              <w:pStyle w:val="780"/>
              <w:rPr>
                <w:color w:val="auto"/>
              </w:rPr>
            </w:pPr>
            <w:r>
              <w:rPr>
                <w:color w:val="auto"/>
              </w:rPr>
              <w:t>/</w:t>
            </w:r>
          </w:p>
        </w:tc>
      </w:tr>
      <w:tr w14:paraId="211FB7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jc w:val="center"/>
        </w:trPr>
        <w:tc>
          <w:tcPr>
            <w:tcW w:w="572" w:type="pct"/>
            <w:vMerge w:val="continue"/>
            <w:vAlign w:val="center"/>
          </w:tcPr>
          <w:p w14:paraId="3E397C14">
            <w:pPr>
              <w:pStyle w:val="780"/>
              <w:rPr>
                <w:color w:val="auto"/>
              </w:rPr>
            </w:pPr>
          </w:p>
        </w:tc>
        <w:tc>
          <w:tcPr>
            <w:tcW w:w="975" w:type="pct"/>
            <w:vAlign w:val="center"/>
          </w:tcPr>
          <w:p w14:paraId="344ED243">
            <w:pPr>
              <w:pStyle w:val="780"/>
              <w:rPr>
                <w:rFonts w:hint="eastAsia"/>
                <w:color w:val="auto"/>
                <w:lang w:eastAsia="zh-CN"/>
              </w:rPr>
            </w:pPr>
            <w:r>
              <w:rPr>
                <w:rFonts w:hint="eastAsia"/>
                <w:color w:val="auto"/>
                <w:lang w:eastAsia="zh-CN"/>
              </w:rPr>
              <w:t>南</w:t>
            </w:r>
          </w:p>
        </w:tc>
        <w:tc>
          <w:tcPr>
            <w:tcW w:w="587" w:type="pct"/>
            <w:vAlign w:val="center"/>
          </w:tcPr>
          <w:p w14:paraId="6DC0B3C7">
            <w:pPr>
              <w:pStyle w:val="780"/>
              <w:rPr>
                <w:rFonts w:hint="default"/>
                <w:color w:val="auto"/>
                <w:lang w:val="en-US" w:eastAsia="zh-CN"/>
              </w:rPr>
            </w:pPr>
            <w:r>
              <w:rPr>
                <w:rFonts w:hint="eastAsia"/>
                <w:color w:val="auto"/>
                <w:lang w:val="en-US" w:eastAsia="zh-CN"/>
              </w:rPr>
              <w:t>S13</w:t>
            </w:r>
          </w:p>
        </w:tc>
        <w:tc>
          <w:tcPr>
            <w:tcW w:w="2270" w:type="pct"/>
            <w:gridSpan w:val="4"/>
            <w:vAlign w:val="center"/>
          </w:tcPr>
          <w:p w14:paraId="578F98EE">
            <w:pPr>
              <w:pStyle w:val="780"/>
              <w:rPr>
                <w:color w:val="auto"/>
              </w:rPr>
            </w:pPr>
            <w:r>
              <w:rPr>
                <w:color w:val="auto"/>
              </w:rPr>
              <w:t>0-0.5m</w:t>
            </w:r>
          </w:p>
        </w:tc>
        <w:tc>
          <w:tcPr>
            <w:tcW w:w="593" w:type="pct"/>
            <w:vAlign w:val="center"/>
          </w:tcPr>
          <w:p w14:paraId="6D227FD3">
            <w:pPr>
              <w:pStyle w:val="780"/>
              <w:rPr>
                <w:color w:val="auto"/>
              </w:rPr>
            </w:pPr>
            <w:r>
              <w:rPr>
                <w:color w:val="auto"/>
              </w:rPr>
              <w:t>/</w:t>
            </w:r>
          </w:p>
        </w:tc>
      </w:tr>
    </w:tbl>
    <w:p w14:paraId="72D3F7FC">
      <w:pPr>
        <w:pStyle w:val="43"/>
        <w:ind w:firstLine="240"/>
        <w:rPr>
          <w:color w:val="auto"/>
        </w:rPr>
      </w:pPr>
    </w:p>
    <w:p w14:paraId="556F779A">
      <w:pPr>
        <w:pStyle w:val="782"/>
        <w:rPr>
          <w:color w:val="auto"/>
        </w:rPr>
      </w:pPr>
      <w:r>
        <w:rPr>
          <w:color w:val="auto"/>
        </w:rPr>
        <w:drawing>
          <wp:inline distT="0" distB="0" distL="114300" distR="114300">
            <wp:extent cx="5004435" cy="3046730"/>
            <wp:effectExtent l="0" t="0" r="5715" b="1270"/>
            <wp:docPr id="13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7"/>
                    <pic:cNvPicPr>
                      <a:picLocks noChangeAspect="1"/>
                    </pic:cNvPicPr>
                  </pic:nvPicPr>
                  <pic:blipFill>
                    <a:blip r:embed="rId46"/>
                    <a:stretch>
                      <a:fillRect/>
                    </a:stretch>
                  </pic:blipFill>
                  <pic:spPr>
                    <a:xfrm>
                      <a:off x="0" y="0"/>
                      <a:ext cx="5004435" cy="3046730"/>
                    </a:xfrm>
                    <a:prstGeom prst="rect">
                      <a:avLst/>
                    </a:prstGeom>
                    <a:noFill/>
                    <a:ln>
                      <a:noFill/>
                    </a:ln>
                  </pic:spPr>
                </pic:pic>
              </a:graphicData>
            </a:graphic>
          </wp:inline>
        </w:drawing>
      </w:r>
    </w:p>
    <w:p w14:paraId="790CA76A">
      <w:pPr>
        <w:pStyle w:val="783"/>
        <w:rPr>
          <w:color w:val="auto"/>
          <w:highlight w:val="cyan"/>
        </w:rPr>
      </w:pPr>
      <w:r>
        <w:rPr>
          <w:color w:val="auto"/>
        </w:rPr>
        <w:t>图</w:t>
      </w:r>
      <w:r>
        <w:rPr>
          <w:rFonts w:hint="eastAsia"/>
          <w:color w:val="auto"/>
        </w:rPr>
        <w:t>4-2-</w:t>
      </w:r>
      <w:r>
        <w:rPr>
          <w:rFonts w:hint="eastAsia"/>
          <w:color w:val="auto"/>
          <w:lang w:val="en-US" w:eastAsia="zh-CN"/>
        </w:rPr>
        <w:t>5</w:t>
      </w:r>
      <w:r>
        <w:rPr>
          <w:color w:val="auto"/>
        </w:rPr>
        <w:t>土壤类型分布图</w:t>
      </w:r>
    </w:p>
    <w:p w14:paraId="39C56CEE">
      <w:pPr>
        <w:pStyle w:val="135"/>
        <w:rPr>
          <w:rFonts w:hint="eastAsia"/>
          <w:color w:val="auto"/>
          <w:sz w:val="24"/>
          <w:szCs w:val="24"/>
          <w:highlight w:val="none"/>
        </w:rPr>
      </w:pPr>
      <w:r>
        <w:rPr>
          <w:rFonts w:hint="eastAsia"/>
          <w:color w:val="auto"/>
          <w:sz w:val="24"/>
          <w:szCs w:val="24"/>
          <w:highlight w:val="none"/>
        </w:rPr>
        <w:t>4.2.5.2监测项目</w:t>
      </w:r>
    </w:p>
    <w:p w14:paraId="65F0C132">
      <w:pPr>
        <w:pStyle w:val="779"/>
        <w:rPr>
          <w:color w:val="auto"/>
          <w:sz w:val="24"/>
          <w:szCs w:val="24"/>
        </w:rPr>
      </w:pPr>
      <w:r>
        <w:rPr>
          <w:rFonts w:hint="eastAsia"/>
          <w:color w:val="auto"/>
          <w:sz w:val="24"/>
          <w:szCs w:val="24"/>
        </w:rPr>
        <w:t>《土壤环境质量 建设用地土壤污染风险管控标准（试行）》（GB36600-2018）中表1基本的45项+pH，45项基本项目如下所示：</w:t>
      </w:r>
    </w:p>
    <w:p w14:paraId="60309A17">
      <w:pPr>
        <w:pStyle w:val="779"/>
        <w:rPr>
          <w:color w:val="auto"/>
          <w:sz w:val="24"/>
          <w:szCs w:val="24"/>
        </w:rPr>
      </w:pPr>
      <w:r>
        <w:rPr>
          <w:rFonts w:hint="eastAsia"/>
          <w:color w:val="auto"/>
          <w:sz w:val="24"/>
          <w:szCs w:val="24"/>
        </w:rPr>
        <w:t>①重金属：铜(Cu)、铅(Pb)、镉(Cd)、镍(Ni)、砷(As)、汞(Hg)、六价铬（Cr</w:t>
      </w:r>
      <w:r>
        <w:rPr>
          <w:rFonts w:hint="eastAsia"/>
          <w:color w:val="auto"/>
          <w:sz w:val="24"/>
          <w:szCs w:val="24"/>
          <w:vertAlign w:val="superscript"/>
        </w:rPr>
        <w:t>6+</w:t>
      </w:r>
      <w:r>
        <w:rPr>
          <w:rFonts w:hint="eastAsia"/>
          <w:color w:val="auto"/>
          <w:sz w:val="24"/>
          <w:szCs w:val="24"/>
        </w:rPr>
        <w:t>）；</w:t>
      </w:r>
    </w:p>
    <w:p w14:paraId="43945905">
      <w:pPr>
        <w:pStyle w:val="779"/>
        <w:rPr>
          <w:color w:val="auto"/>
          <w:sz w:val="24"/>
          <w:szCs w:val="24"/>
        </w:rPr>
      </w:pPr>
      <w:r>
        <w:rPr>
          <w:rFonts w:hint="eastAsia"/>
          <w:color w:val="auto"/>
          <w:sz w:val="24"/>
          <w:szCs w:val="24"/>
        </w:rPr>
        <w:t>②挥发性有机物：四氯化碳、氯仿、氯甲烷、1,1-二氯乙烷、1,2-二氯乙烷、1,1-二氯乙烯、顺-1,2-二氯乙烯、反-1,2-二氯乙烯、二氯甲烷、1,2-二氯丙烷、1,1,1,2-四氯乙烷、四氯乙烯、1,1,2,2-四氯乙烷、1,1,1-三氯乙烷、1,1,2-三氯乙烷、1,2,3-三氯丙烷、氯乙烯、苯、氯苯、1,2-二氯苯、1,4-二氯苯、乙苯、苯乙烯、甲苯、间&amp;对-二甲苯、邻-二甲苯；</w:t>
      </w:r>
    </w:p>
    <w:p w14:paraId="2D27E78A">
      <w:pPr>
        <w:pStyle w:val="779"/>
        <w:rPr>
          <w:rFonts w:hint="eastAsia"/>
          <w:color w:val="auto"/>
          <w:sz w:val="24"/>
          <w:szCs w:val="24"/>
        </w:rPr>
      </w:pPr>
      <w:r>
        <w:rPr>
          <w:rFonts w:hint="eastAsia"/>
          <w:color w:val="auto"/>
          <w:sz w:val="24"/>
          <w:szCs w:val="24"/>
        </w:rPr>
        <w:t>③半挥发性有机物：硝基苯、苯胺、</w:t>
      </w:r>
      <w:r>
        <w:rPr>
          <w:color w:val="auto"/>
          <w:sz w:val="24"/>
          <w:szCs w:val="24"/>
        </w:rPr>
        <w:t>2-</w:t>
      </w:r>
      <w:r>
        <w:rPr>
          <w:rFonts w:hint="eastAsia"/>
          <w:color w:val="auto"/>
          <w:sz w:val="24"/>
          <w:szCs w:val="24"/>
        </w:rPr>
        <w:t>氯苯酚、苯并</w:t>
      </w:r>
      <w:r>
        <w:rPr>
          <w:color w:val="auto"/>
          <w:sz w:val="24"/>
          <w:szCs w:val="24"/>
        </w:rPr>
        <w:t>(a)</w:t>
      </w:r>
      <w:r>
        <w:rPr>
          <w:rFonts w:hint="eastAsia"/>
          <w:color w:val="auto"/>
          <w:sz w:val="24"/>
          <w:szCs w:val="24"/>
        </w:rPr>
        <w:t>蒽、䓛、苯并</w:t>
      </w:r>
      <w:r>
        <w:rPr>
          <w:color w:val="auto"/>
          <w:sz w:val="24"/>
          <w:szCs w:val="24"/>
        </w:rPr>
        <w:t>(b)</w:t>
      </w:r>
      <w:r>
        <w:rPr>
          <w:rFonts w:hint="eastAsia"/>
          <w:color w:val="auto"/>
          <w:sz w:val="24"/>
          <w:szCs w:val="24"/>
        </w:rPr>
        <w:t>荧蒽、苯并</w:t>
      </w:r>
      <w:r>
        <w:rPr>
          <w:color w:val="auto"/>
          <w:sz w:val="24"/>
          <w:szCs w:val="24"/>
        </w:rPr>
        <w:t>(k)</w:t>
      </w:r>
      <w:r>
        <w:rPr>
          <w:rFonts w:hint="eastAsia"/>
          <w:color w:val="auto"/>
          <w:sz w:val="24"/>
          <w:szCs w:val="24"/>
        </w:rPr>
        <w:t>荧蒽、苯并</w:t>
      </w:r>
      <w:r>
        <w:rPr>
          <w:color w:val="auto"/>
          <w:sz w:val="24"/>
          <w:szCs w:val="24"/>
        </w:rPr>
        <w:t>(a)</w:t>
      </w:r>
      <w:r>
        <w:rPr>
          <w:rFonts w:hint="eastAsia"/>
          <w:color w:val="auto"/>
          <w:sz w:val="24"/>
          <w:szCs w:val="24"/>
        </w:rPr>
        <w:t>芘、茚并</w:t>
      </w:r>
      <w:r>
        <w:rPr>
          <w:color w:val="auto"/>
          <w:sz w:val="24"/>
          <w:szCs w:val="24"/>
        </w:rPr>
        <w:t>(1,2,3-cd)</w:t>
      </w:r>
      <w:r>
        <w:rPr>
          <w:rFonts w:hint="eastAsia"/>
          <w:color w:val="auto"/>
          <w:sz w:val="24"/>
          <w:szCs w:val="24"/>
        </w:rPr>
        <w:t>芘、二苯并</w:t>
      </w:r>
      <w:r>
        <w:rPr>
          <w:color w:val="auto"/>
          <w:sz w:val="24"/>
          <w:szCs w:val="24"/>
        </w:rPr>
        <w:t>(a,h)</w:t>
      </w:r>
      <w:r>
        <w:rPr>
          <w:rFonts w:hint="eastAsia"/>
          <w:color w:val="auto"/>
          <w:sz w:val="24"/>
          <w:szCs w:val="24"/>
        </w:rPr>
        <w:t>蒽、萘。</w:t>
      </w:r>
    </w:p>
    <w:p w14:paraId="2B3F8D4C">
      <w:pPr>
        <w:pStyle w:val="779"/>
        <w:rPr>
          <w:color w:val="auto"/>
          <w:sz w:val="24"/>
          <w:szCs w:val="24"/>
        </w:rPr>
      </w:pPr>
      <w:r>
        <w:rPr>
          <w:rFonts w:hint="eastAsia"/>
          <w:color w:val="auto"/>
          <w:sz w:val="24"/>
          <w:szCs w:val="24"/>
        </w:rPr>
        <w:t xml:space="preserve">《土壤环境质量 </w:t>
      </w:r>
      <w:r>
        <w:rPr>
          <w:rFonts w:hint="eastAsia"/>
          <w:color w:val="auto"/>
          <w:sz w:val="24"/>
          <w:szCs w:val="24"/>
          <w:lang w:eastAsia="zh-CN"/>
        </w:rPr>
        <w:t>农用</w:t>
      </w:r>
      <w:r>
        <w:rPr>
          <w:rFonts w:hint="eastAsia"/>
          <w:color w:val="auto"/>
          <w:sz w:val="24"/>
          <w:szCs w:val="24"/>
        </w:rPr>
        <w:t>地土壤污染风险管控标准（试行）》（GB</w:t>
      </w:r>
      <w:r>
        <w:rPr>
          <w:rFonts w:hint="eastAsia"/>
          <w:color w:val="auto"/>
          <w:sz w:val="24"/>
          <w:szCs w:val="24"/>
          <w:lang w:val="en-US" w:eastAsia="zh-CN"/>
        </w:rPr>
        <w:t>15618</w:t>
      </w:r>
      <w:r>
        <w:rPr>
          <w:rFonts w:hint="eastAsia"/>
          <w:color w:val="auto"/>
          <w:sz w:val="24"/>
          <w:szCs w:val="24"/>
        </w:rPr>
        <w:t>-2018）中表1基本</w:t>
      </w:r>
      <w:r>
        <w:rPr>
          <w:rFonts w:hint="eastAsia"/>
          <w:color w:val="auto"/>
          <w:sz w:val="24"/>
          <w:szCs w:val="24"/>
          <w:lang w:eastAsia="zh-CN"/>
        </w:rPr>
        <w:t>项目</w:t>
      </w:r>
      <w:r>
        <w:rPr>
          <w:rFonts w:hint="eastAsia"/>
          <w:color w:val="auto"/>
          <w:sz w:val="24"/>
          <w:szCs w:val="24"/>
        </w:rPr>
        <w:t>的</w:t>
      </w:r>
      <w:r>
        <w:rPr>
          <w:rFonts w:hint="eastAsia"/>
          <w:color w:val="auto"/>
          <w:sz w:val="24"/>
          <w:szCs w:val="24"/>
          <w:lang w:val="en-US" w:eastAsia="zh-CN"/>
        </w:rPr>
        <w:t>8</w:t>
      </w:r>
      <w:r>
        <w:rPr>
          <w:rFonts w:hint="eastAsia"/>
          <w:color w:val="auto"/>
          <w:sz w:val="24"/>
          <w:szCs w:val="24"/>
        </w:rPr>
        <w:t>项+pH，</w:t>
      </w:r>
      <w:r>
        <w:rPr>
          <w:rFonts w:hint="eastAsia"/>
          <w:color w:val="auto"/>
          <w:sz w:val="24"/>
          <w:szCs w:val="24"/>
          <w:lang w:val="en-US" w:eastAsia="zh-CN"/>
        </w:rPr>
        <w:t>8</w:t>
      </w:r>
      <w:r>
        <w:rPr>
          <w:rFonts w:hint="eastAsia"/>
          <w:color w:val="auto"/>
          <w:sz w:val="24"/>
          <w:szCs w:val="24"/>
        </w:rPr>
        <w:t>项基本项目如下所示：</w:t>
      </w:r>
    </w:p>
    <w:p w14:paraId="6D6299B8">
      <w:pPr>
        <w:pStyle w:val="779"/>
        <w:rPr>
          <w:rFonts w:hint="eastAsia" w:eastAsia="宋体"/>
          <w:color w:val="auto"/>
          <w:sz w:val="24"/>
          <w:szCs w:val="24"/>
          <w:lang w:val="en-US" w:eastAsia="zh-CN"/>
        </w:rPr>
      </w:pPr>
      <w:r>
        <w:rPr>
          <w:rFonts w:hint="eastAsia"/>
          <w:color w:val="auto"/>
          <w:sz w:val="24"/>
          <w:szCs w:val="24"/>
        </w:rPr>
        <w:t>镉、汞、砷、铅、铬、铜</w:t>
      </w:r>
      <w:r>
        <w:rPr>
          <w:rFonts w:hint="eastAsia"/>
          <w:color w:val="auto"/>
          <w:sz w:val="24"/>
          <w:szCs w:val="24"/>
          <w:lang w:eastAsia="zh-CN"/>
        </w:rPr>
        <w:t>、</w:t>
      </w:r>
      <w:r>
        <w:rPr>
          <w:rFonts w:hint="eastAsia"/>
          <w:color w:val="auto"/>
          <w:sz w:val="24"/>
          <w:szCs w:val="24"/>
        </w:rPr>
        <w:t>锌、镍</w:t>
      </w:r>
      <w:r>
        <w:rPr>
          <w:rFonts w:hint="eastAsia"/>
          <w:color w:val="auto"/>
          <w:sz w:val="24"/>
          <w:szCs w:val="24"/>
          <w:lang w:eastAsia="zh-CN"/>
        </w:rPr>
        <w:t>。</w:t>
      </w:r>
    </w:p>
    <w:p w14:paraId="6EEA60FD">
      <w:pPr>
        <w:pStyle w:val="135"/>
        <w:rPr>
          <w:rFonts w:hint="eastAsia"/>
          <w:color w:val="auto"/>
          <w:sz w:val="24"/>
          <w:szCs w:val="24"/>
          <w:highlight w:val="none"/>
        </w:rPr>
      </w:pPr>
      <w:r>
        <w:rPr>
          <w:rFonts w:hint="eastAsia"/>
          <w:color w:val="auto"/>
          <w:sz w:val="24"/>
          <w:szCs w:val="24"/>
          <w:highlight w:val="none"/>
        </w:rPr>
        <w:t>4.2.5.3监测单位及监测时间</w:t>
      </w:r>
    </w:p>
    <w:p w14:paraId="3097AB2B">
      <w:pPr>
        <w:pStyle w:val="779"/>
        <w:rPr>
          <w:rFonts w:eastAsia="黑体"/>
          <w:color w:val="auto"/>
          <w:sz w:val="24"/>
          <w:szCs w:val="24"/>
          <w:highlight w:val="none"/>
        </w:rPr>
      </w:pPr>
      <w:r>
        <w:rPr>
          <w:rFonts w:hint="eastAsia"/>
          <w:color w:val="auto"/>
          <w:sz w:val="24"/>
          <w:szCs w:val="24"/>
          <w:highlight w:val="none"/>
        </w:rPr>
        <w:t>委托鸡西晟源环境检测有限公司于</w:t>
      </w:r>
      <w:r>
        <w:rPr>
          <w:color w:val="auto"/>
          <w:sz w:val="24"/>
          <w:szCs w:val="24"/>
          <w:highlight w:val="none"/>
        </w:rPr>
        <w:t>202</w:t>
      </w:r>
      <w:r>
        <w:rPr>
          <w:rFonts w:hint="eastAsia"/>
          <w:color w:val="auto"/>
          <w:sz w:val="24"/>
          <w:szCs w:val="24"/>
          <w:highlight w:val="none"/>
          <w:lang w:val="en-US" w:eastAsia="zh-CN"/>
        </w:rPr>
        <w:t>6</w:t>
      </w:r>
      <w:r>
        <w:rPr>
          <w:color w:val="auto"/>
          <w:sz w:val="24"/>
          <w:szCs w:val="24"/>
          <w:highlight w:val="none"/>
        </w:rPr>
        <w:t>年</w:t>
      </w:r>
      <w:r>
        <w:rPr>
          <w:rFonts w:hint="eastAsia"/>
          <w:color w:val="auto"/>
          <w:sz w:val="24"/>
          <w:szCs w:val="24"/>
          <w:highlight w:val="none"/>
          <w:lang w:val="en-US" w:eastAsia="zh-CN"/>
        </w:rPr>
        <w:t>7</w:t>
      </w:r>
      <w:r>
        <w:rPr>
          <w:color w:val="auto"/>
          <w:sz w:val="24"/>
          <w:szCs w:val="24"/>
          <w:highlight w:val="none"/>
        </w:rPr>
        <w:t>月</w:t>
      </w:r>
      <w:r>
        <w:rPr>
          <w:rFonts w:hint="eastAsia"/>
          <w:color w:val="auto"/>
          <w:sz w:val="24"/>
          <w:szCs w:val="24"/>
          <w:highlight w:val="none"/>
          <w:lang w:val="en-US" w:eastAsia="zh-CN"/>
        </w:rPr>
        <w:t>14~7月19</w:t>
      </w:r>
      <w:r>
        <w:rPr>
          <w:color w:val="auto"/>
          <w:sz w:val="24"/>
          <w:szCs w:val="24"/>
          <w:highlight w:val="none"/>
        </w:rPr>
        <w:t>日进行</w:t>
      </w:r>
      <w:r>
        <w:rPr>
          <w:rFonts w:hint="eastAsia"/>
          <w:color w:val="auto"/>
          <w:sz w:val="24"/>
          <w:szCs w:val="24"/>
          <w:highlight w:val="none"/>
        </w:rPr>
        <w:t>采样</w:t>
      </w:r>
      <w:r>
        <w:rPr>
          <w:rFonts w:hint="eastAsia"/>
          <w:color w:val="auto"/>
          <w:sz w:val="24"/>
          <w:szCs w:val="24"/>
          <w:highlight w:val="none"/>
          <w:lang w:eastAsia="zh-CN"/>
        </w:rPr>
        <w:t>、</w:t>
      </w:r>
      <w:r>
        <w:rPr>
          <w:rFonts w:hint="eastAsia"/>
          <w:color w:val="auto"/>
          <w:sz w:val="24"/>
          <w:szCs w:val="24"/>
          <w:highlight w:val="none"/>
          <w:lang w:val="en-US" w:eastAsia="zh-CN"/>
        </w:rPr>
        <w:t>化验</w:t>
      </w:r>
      <w:r>
        <w:rPr>
          <w:rFonts w:hint="eastAsia"/>
          <w:color w:val="auto"/>
          <w:sz w:val="24"/>
          <w:szCs w:val="24"/>
          <w:highlight w:val="none"/>
        </w:rPr>
        <w:t>，</w:t>
      </w:r>
      <w:r>
        <w:rPr>
          <w:rFonts w:hint="eastAsia"/>
          <w:color w:val="auto"/>
          <w:sz w:val="24"/>
          <w:szCs w:val="24"/>
          <w:highlight w:val="none"/>
          <w:lang w:val="en-US" w:eastAsia="zh-CN"/>
        </w:rPr>
        <w:t>建设用地柱状图样由</w:t>
      </w:r>
      <w:r>
        <w:rPr>
          <w:rFonts w:hint="eastAsia"/>
          <w:color w:val="auto"/>
          <w:sz w:val="24"/>
          <w:szCs w:val="24"/>
          <w:highlight w:val="none"/>
        </w:rPr>
        <w:t>益铭检测技术服务(青岛)有限公司进行化验检测</w:t>
      </w:r>
      <w:r>
        <w:rPr>
          <w:color w:val="auto"/>
          <w:sz w:val="24"/>
          <w:szCs w:val="24"/>
          <w:highlight w:val="none"/>
        </w:rPr>
        <w:t>，连续监测1天，一天一次。</w:t>
      </w:r>
    </w:p>
    <w:p w14:paraId="458E61C5">
      <w:pPr>
        <w:pStyle w:val="135"/>
        <w:rPr>
          <w:color w:val="auto"/>
          <w:sz w:val="24"/>
          <w:szCs w:val="24"/>
          <w:highlight w:val="none"/>
        </w:rPr>
      </w:pPr>
      <w:r>
        <w:rPr>
          <w:rFonts w:hint="eastAsia"/>
          <w:color w:val="auto"/>
          <w:sz w:val="24"/>
          <w:szCs w:val="24"/>
          <w:highlight w:val="none"/>
        </w:rPr>
        <w:t>4.2.</w:t>
      </w:r>
      <w:r>
        <w:rPr>
          <w:color w:val="auto"/>
          <w:sz w:val="24"/>
          <w:szCs w:val="24"/>
          <w:highlight w:val="none"/>
        </w:rPr>
        <w:t>5.4现状监测结果</w:t>
      </w:r>
    </w:p>
    <w:p w14:paraId="0249918B">
      <w:pPr>
        <w:pStyle w:val="779"/>
        <w:rPr>
          <w:color w:val="auto"/>
          <w:sz w:val="24"/>
          <w:szCs w:val="24"/>
        </w:rPr>
      </w:pPr>
      <w:r>
        <w:rPr>
          <w:color w:val="auto"/>
          <w:sz w:val="24"/>
          <w:szCs w:val="24"/>
        </w:rPr>
        <w:t>本次土壤采样共布设</w:t>
      </w:r>
      <w:r>
        <w:rPr>
          <w:rFonts w:hint="eastAsia"/>
          <w:color w:val="auto"/>
          <w:sz w:val="24"/>
          <w:szCs w:val="24"/>
          <w:lang w:val="en-US" w:eastAsia="zh-CN"/>
        </w:rPr>
        <w:t>13</w:t>
      </w:r>
      <w:r>
        <w:rPr>
          <w:rFonts w:hint="eastAsia"/>
          <w:color w:val="auto"/>
          <w:sz w:val="24"/>
          <w:szCs w:val="24"/>
        </w:rPr>
        <w:t>个点</w:t>
      </w:r>
      <w:r>
        <w:rPr>
          <w:color w:val="auto"/>
          <w:sz w:val="24"/>
          <w:szCs w:val="24"/>
        </w:rPr>
        <w:t>位，分层取样，共采集土壤样品共</w:t>
      </w:r>
      <w:r>
        <w:rPr>
          <w:rFonts w:hint="eastAsia"/>
          <w:color w:val="auto"/>
          <w:sz w:val="24"/>
          <w:szCs w:val="24"/>
          <w:lang w:val="en-US" w:eastAsia="zh-CN"/>
        </w:rPr>
        <w:t>19</w:t>
      </w:r>
      <w:r>
        <w:rPr>
          <w:color w:val="auto"/>
          <w:sz w:val="24"/>
          <w:szCs w:val="24"/>
        </w:rPr>
        <w:t>个，全部进行送检</w:t>
      </w:r>
      <w:r>
        <w:rPr>
          <w:rFonts w:hint="eastAsia"/>
          <w:color w:val="auto"/>
          <w:sz w:val="24"/>
          <w:szCs w:val="24"/>
        </w:rPr>
        <w:t>，</w:t>
      </w:r>
      <w:r>
        <w:rPr>
          <w:color w:val="auto"/>
          <w:sz w:val="24"/>
          <w:szCs w:val="24"/>
        </w:rPr>
        <w:t>样品检测数据</w:t>
      </w:r>
      <w:r>
        <w:rPr>
          <w:rFonts w:hint="eastAsia"/>
          <w:color w:val="auto"/>
          <w:sz w:val="24"/>
          <w:szCs w:val="24"/>
          <w:lang w:eastAsia="zh-CN"/>
        </w:rPr>
        <w:t>统计</w:t>
      </w:r>
      <w:r>
        <w:rPr>
          <w:color w:val="auto"/>
          <w:sz w:val="24"/>
          <w:szCs w:val="24"/>
        </w:rPr>
        <w:t>结果表4-2-11。</w:t>
      </w:r>
    </w:p>
    <w:p w14:paraId="7DD2037C">
      <w:pPr>
        <w:pStyle w:val="784"/>
        <w:ind w:firstLine="480" w:firstLineChars="200"/>
        <w:rPr>
          <w:rFonts w:eastAsia="黑体"/>
          <w:color w:val="auto"/>
        </w:rPr>
        <w:sectPr>
          <w:pgSz w:w="11905" w:h="16838"/>
          <w:pgMar w:top="1440" w:right="1440" w:bottom="1440" w:left="1440" w:header="720" w:footer="992" w:gutter="0"/>
          <w:cols w:space="0" w:num="1"/>
          <w:docGrid w:type="lines" w:linePitch="333" w:charSpace="0"/>
        </w:sectPr>
      </w:pPr>
    </w:p>
    <w:p w14:paraId="3DCF2863">
      <w:pPr>
        <w:pStyle w:val="785"/>
        <w:rPr>
          <w:color w:val="auto"/>
          <w:sz w:val="24"/>
          <w:szCs w:val="24"/>
        </w:rPr>
      </w:pPr>
      <w:r>
        <w:rPr>
          <w:color w:val="auto"/>
          <w:sz w:val="24"/>
          <w:szCs w:val="24"/>
        </w:rPr>
        <w:t>表</w:t>
      </w:r>
      <w:r>
        <w:rPr>
          <w:rFonts w:hint="eastAsia"/>
          <w:color w:val="auto"/>
          <w:sz w:val="24"/>
          <w:szCs w:val="24"/>
        </w:rPr>
        <w:t>4-2-</w:t>
      </w:r>
      <w:r>
        <w:rPr>
          <w:color w:val="auto"/>
          <w:sz w:val="24"/>
          <w:szCs w:val="24"/>
        </w:rPr>
        <w:t>11</w:t>
      </w:r>
      <w:r>
        <w:rPr>
          <w:rFonts w:hint="eastAsia"/>
          <w:color w:val="auto"/>
          <w:sz w:val="24"/>
          <w:szCs w:val="24"/>
        </w:rPr>
        <w:t xml:space="preserve"> </w:t>
      </w:r>
      <w:r>
        <w:rPr>
          <w:color w:val="auto"/>
          <w:sz w:val="24"/>
          <w:szCs w:val="24"/>
        </w:rPr>
        <w:t xml:space="preserve"> 土壤监测结果表</w:t>
      </w:r>
    </w:p>
    <w:tbl>
      <w:tblPr>
        <w:tblStyle w:val="45"/>
        <w:tblW w:w="4923"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42"/>
        <w:gridCol w:w="2333"/>
        <w:gridCol w:w="1361"/>
        <w:gridCol w:w="1075"/>
        <w:gridCol w:w="1347"/>
        <w:gridCol w:w="1179"/>
        <w:gridCol w:w="1020"/>
        <w:gridCol w:w="1009"/>
        <w:gridCol w:w="1919"/>
        <w:gridCol w:w="1858"/>
      </w:tblGrid>
      <w:tr w14:paraId="3ABC93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blHeader/>
          <w:jc w:val="center"/>
        </w:trPr>
        <w:tc>
          <w:tcPr>
            <w:tcW w:w="234" w:type="pct"/>
            <w:noWrap/>
            <w:vAlign w:val="center"/>
          </w:tcPr>
          <w:p w14:paraId="4F4D333C">
            <w:pPr>
              <w:pStyle w:val="780"/>
              <w:rPr>
                <w:rFonts w:eastAsia="等线"/>
                <w:color w:val="auto"/>
              </w:rPr>
            </w:pPr>
            <w:r>
              <w:rPr>
                <w:color w:val="auto"/>
              </w:rPr>
              <w:t>序号</w:t>
            </w:r>
          </w:p>
        </w:tc>
        <w:tc>
          <w:tcPr>
            <w:tcW w:w="849" w:type="pct"/>
            <w:noWrap/>
            <w:vAlign w:val="center"/>
          </w:tcPr>
          <w:p w14:paraId="5FB35365">
            <w:pPr>
              <w:pStyle w:val="780"/>
              <w:rPr>
                <w:rFonts w:eastAsia="等线"/>
                <w:color w:val="auto"/>
              </w:rPr>
            </w:pPr>
            <w:r>
              <w:rPr>
                <w:color w:val="auto"/>
              </w:rPr>
              <w:t>项目</w:t>
            </w:r>
          </w:p>
        </w:tc>
        <w:tc>
          <w:tcPr>
            <w:tcW w:w="495" w:type="pct"/>
            <w:noWrap/>
            <w:vAlign w:val="center"/>
          </w:tcPr>
          <w:p w14:paraId="7D933848">
            <w:pPr>
              <w:pStyle w:val="780"/>
              <w:rPr>
                <w:rFonts w:eastAsia="等线"/>
                <w:color w:val="auto"/>
              </w:rPr>
            </w:pPr>
            <w:r>
              <w:rPr>
                <w:color w:val="auto"/>
              </w:rPr>
              <w:t>检出限</w:t>
            </w:r>
          </w:p>
        </w:tc>
        <w:tc>
          <w:tcPr>
            <w:tcW w:w="391" w:type="pct"/>
            <w:noWrap/>
            <w:vAlign w:val="center"/>
          </w:tcPr>
          <w:p w14:paraId="13E32642">
            <w:pPr>
              <w:pStyle w:val="780"/>
              <w:rPr>
                <w:rFonts w:eastAsia="等线"/>
                <w:color w:val="auto"/>
              </w:rPr>
            </w:pPr>
            <w:r>
              <w:rPr>
                <w:color w:val="auto"/>
              </w:rPr>
              <w:t>单位</w:t>
            </w:r>
          </w:p>
        </w:tc>
        <w:tc>
          <w:tcPr>
            <w:tcW w:w="490" w:type="pct"/>
            <w:noWrap/>
            <w:vAlign w:val="center"/>
          </w:tcPr>
          <w:p w14:paraId="0C3F6E72">
            <w:pPr>
              <w:pStyle w:val="780"/>
              <w:rPr>
                <w:color w:val="auto"/>
              </w:rPr>
            </w:pPr>
            <w:r>
              <w:rPr>
                <w:color w:val="auto"/>
              </w:rPr>
              <w:t>检出率</w:t>
            </w:r>
          </w:p>
        </w:tc>
        <w:tc>
          <w:tcPr>
            <w:tcW w:w="429" w:type="pct"/>
            <w:noWrap/>
            <w:vAlign w:val="center"/>
          </w:tcPr>
          <w:p w14:paraId="787CD54A">
            <w:pPr>
              <w:pStyle w:val="780"/>
              <w:rPr>
                <w:rFonts w:eastAsia="等线"/>
                <w:color w:val="auto"/>
              </w:rPr>
            </w:pPr>
            <w:r>
              <w:rPr>
                <w:color w:val="auto"/>
              </w:rPr>
              <w:t>最小值</w:t>
            </w:r>
          </w:p>
        </w:tc>
        <w:tc>
          <w:tcPr>
            <w:tcW w:w="371" w:type="pct"/>
            <w:noWrap/>
            <w:vAlign w:val="center"/>
          </w:tcPr>
          <w:p w14:paraId="680F7BD4">
            <w:pPr>
              <w:pStyle w:val="780"/>
              <w:rPr>
                <w:rFonts w:eastAsia="等线"/>
                <w:color w:val="auto"/>
              </w:rPr>
            </w:pPr>
            <w:r>
              <w:rPr>
                <w:color w:val="auto"/>
              </w:rPr>
              <w:t>最大值</w:t>
            </w:r>
          </w:p>
        </w:tc>
        <w:tc>
          <w:tcPr>
            <w:tcW w:w="367" w:type="pct"/>
            <w:noWrap/>
            <w:vAlign w:val="center"/>
          </w:tcPr>
          <w:p w14:paraId="350E6F46">
            <w:pPr>
              <w:pStyle w:val="780"/>
              <w:rPr>
                <w:rFonts w:eastAsia="等线"/>
                <w:color w:val="auto"/>
              </w:rPr>
            </w:pPr>
            <w:r>
              <w:rPr>
                <w:color w:val="auto"/>
              </w:rPr>
              <w:t>平均值</w:t>
            </w:r>
          </w:p>
        </w:tc>
        <w:tc>
          <w:tcPr>
            <w:tcW w:w="698" w:type="pct"/>
            <w:noWrap/>
            <w:vAlign w:val="center"/>
          </w:tcPr>
          <w:p w14:paraId="05CFA28E">
            <w:pPr>
              <w:pStyle w:val="780"/>
              <w:rPr>
                <w:color w:val="auto"/>
              </w:rPr>
            </w:pPr>
            <w:r>
              <w:rPr>
                <w:color w:val="auto"/>
              </w:rPr>
              <w:t>筛选值（</w:t>
            </w:r>
            <w:r>
              <w:rPr>
                <w:rFonts w:hint="eastAsia"/>
                <w:color w:val="auto"/>
              </w:rPr>
              <w:t>mg/kg</w:t>
            </w:r>
            <w:r>
              <w:rPr>
                <w:color w:val="auto"/>
              </w:rPr>
              <w:t>）</w:t>
            </w:r>
          </w:p>
        </w:tc>
        <w:tc>
          <w:tcPr>
            <w:tcW w:w="673" w:type="pct"/>
            <w:noWrap/>
            <w:vAlign w:val="center"/>
          </w:tcPr>
          <w:p w14:paraId="099BD810">
            <w:pPr>
              <w:pStyle w:val="780"/>
              <w:rPr>
                <w:color w:val="auto"/>
              </w:rPr>
            </w:pPr>
            <w:r>
              <w:rPr>
                <w:color w:val="auto"/>
              </w:rPr>
              <w:t>是否超过筛选值</w:t>
            </w:r>
          </w:p>
        </w:tc>
      </w:tr>
      <w:tr w14:paraId="702F89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0"/>
            <w:noWrap/>
            <w:vAlign w:val="center"/>
          </w:tcPr>
          <w:p w14:paraId="5251962C">
            <w:pPr>
              <w:pStyle w:val="780"/>
              <w:rPr>
                <w:rFonts w:hint="eastAsia" w:eastAsia="宋体"/>
                <w:color w:val="auto"/>
                <w:lang w:eastAsia="zh-CN"/>
              </w:rPr>
            </w:pPr>
            <w:r>
              <w:rPr>
                <w:rFonts w:hint="eastAsia"/>
                <w:color w:val="auto"/>
                <w:lang w:eastAsia="zh-CN"/>
              </w:rPr>
              <w:t>建设用地</w:t>
            </w:r>
          </w:p>
        </w:tc>
      </w:tr>
      <w:tr w14:paraId="7F42049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72764B35">
            <w:pPr>
              <w:pStyle w:val="780"/>
              <w:rPr>
                <w:rFonts w:eastAsia="等线"/>
                <w:color w:val="auto"/>
              </w:rPr>
            </w:pPr>
          </w:p>
        </w:tc>
        <w:tc>
          <w:tcPr>
            <w:tcW w:w="849" w:type="pct"/>
            <w:noWrap/>
            <w:vAlign w:val="center"/>
          </w:tcPr>
          <w:p w14:paraId="24C96D06">
            <w:pPr>
              <w:pStyle w:val="780"/>
              <w:rPr>
                <w:color w:val="auto"/>
              </w:rPr>
            </w:pPr>
            <w:r>
              <w:rPr>
                <w:rFonts w:hint="eastAsia"/>
                <w:color w:val="auto"/>
              </w:rPr>
              <w:t>汞</w:t>
            </w:r>
          </w:p>
        </w:tc>
        <w:tc>
          <w:tcPr>
            <w:tcW w:w="495" w:type="pct"/>
            <w:noWrap/>
            <w:vAlign w:val="center"/>
          </w:tcPr>
          <w:p w14:paraId="5E685785">
            <w:pPr>
              <w:pStyle w:val="780"/>
              <w:rPr>
                <w:rFonts w:eastAsia="等线"/>
                <w:color w:val="auto"/>
              </w:rPr>
            </w:pPr>
            <w:r>
              <w:rPr>
                <w:rFonts w:hint="eastAsia" w:eastAsia="等线"/>
                <w:color w:val="auto"/>
              </w:rPr>
              <w:t>0.002</w:t>
            </w:r>
          </w:p>
        </w:tc>
        <w:tc>
          <w:tcPr>
            <w:tcW w:w="391" w:type="pct"/>
            <w:noWrap/>
            <w:vAlign w:val="center"/>
          </w:tcPr>
          <w:p w14:paraId="63F26913">
            <w:pPr>
              <w:pStyle w:val="780"/>
              <w:rPr>
                <w:color w:val="auto"/>
              </w:rPr>
            </w:pPr>
            <w:r>
              <w:rPr>
                <w:rFonts w:hint="eastAsia"/>
                <w:color w:val="auto"/>
              </w:rPr>
              <w:t>mg/kg</w:t>
            </w:r>
          </w:p>
        </w:tc>
        <w:tc>
          <w:tcPr>
            <w:tcW w:w="490" w:type="pct"/>
            <w:noWrap/>
            <w:vAlign w:val="center"/>
          </w:tcPr>
          <w:p w14:paraId="65B5DCFC">
            <w:pPr>
              <w:pStyle w:val="780"/>
              <w:rPr>
                <w:rFonts w:eastAsia="等线"/>
                <w:color w:val="auto"/>
              </w:rPr>
            </w:pPr>
            <w:r>
              <w:rPr>
                <w:rFonts w:eastAsia="等线"/>
                <w:color w:val="auto"/>
              </w:rPr>
              <w:t>100%</w:t>
            </w:r>
          </w:p>
        </w:tc>
        <w:tc>
          <w:tcPr>
            <w:tcW w:w="429" w:type="pct"/>
            <w:noWrap/>
            <w:vAlign w:val="center"/>
          </w:tcPr>
          <w:p w14:paraId="0CEB9CA5">
            <w:pPr>
              <w:pStyle w:val="780"/>
              <w:rPr>
                <w:rFonts w:hint="default" w:eastAsia="等线"/>
                <w:color w:val="auto"/>
                <w:lang w:val="en-US" w:eastAsia="zh-CN"/>
              </w:rPr>
            </w:pPr>
            <w:r>
              <w:rPr>
                <w:rFonts w:hint="eastAsia" w:eastAsia="等线"/>
                <w:color w:val="auto"/>
                <w:lang w:val="en-US" w:eastAsia="zh-CN"/>
              </w:rPr>
              <w:t>0.017</w:t>
            </w:r>
          </w:p>
        </w:tc>
        <w:tc>
          <w:tcPr>
            <w:tcW w:w="371" w:type="pct"/>
            <w:noWrap/>
            <w:vAlign w:val="center"/>
          </w:tcPr>
          <w:p w14:paraId="45E52B66">
            <w:pPr>
              <w:pStyle w:val="780"/>
              <w:rPr>
                <w:rFonts w:hint="default" w:eastAsia="等线"/>
                <w:color w:val="auto"/>
                <w:lang w:val="en-US" w:eastAsia="zh-CN"/>
              </w:rPr>
            </w:pPr>
            <w:r>
              <w:rPr>
                <w:rFonts w:hint="eastAsia" w:eastAsia="等线"/>
                <w:color w:val="auto"/>
                <w:lang w:val="en-US" w:eastAsia="zh-CN"/>
              </w:rPr>
              <w:t>0.043</w:t>
            </w:r>
          </w:p>
        </w:tc>
        <w:tc>
          <w:tcPr>
            <w:tcW w:w="367" w:type="pct"/>
            <w:noWrap/>
            <w:vAlign w:val="center"/>
          </w:tcPr>
          <w:p w14:paraId="03BED082">
            <w:pPr>
              <w:pStyle w:val="780"/>
              <w:rPr>
                <w:rFonts w:hint="default" w:eastAsia="等线"/>
                <w:color w:val="auto"/>
                <w:lang w:val="en-US" w:eastAsia="zh-CN"/>
              </w:rPr>
            </w:pPr>
            <w:r>
              <w:rPr>
                <w:rFonts w:hint="eastAsia" w:eastAsia="等线"/>
                <w:color w:val="auto"/>
                <w:lang w:val="en-US" w:eastAsia="zh-CN"/>
              </w:rPr>
              <w:t>0.033</w:t>
            </w:r>
          </w:p>
        </w:tc>
        <w:tc>
          <w:tcPr>
            <w:tcW w:w="698" w:type="pct"/>
            <w:noWrap/>
            <w:vAlign w:val="center"/>
          </w:tcPr>
          <w:p w14:paraId="4A51C6A5">
            <w:pPr>
              <w:pStyle w:val="780"/>
              <w:rPr>
                <w:rFonts w:eastAsia="等线"/>
                <w:color w:val="auto"/>
              </w:rPr>
            </w:pPr>
            <w:r>
              <w:rPr>
                <w:rFonts w:hint="eastAsia" w:eastAsia="等线"/>
                <w:color w:val="auto"/>
              </w:rPr>
              <w:t>38</w:t>
            </w:r>
          </w:p>
        </w:tc>
        <w:tc>
          <w:tcPr>
            <w:tcW w:w="673" w:type="pct"/>
            <w:noWrap/>
            <w:vAlign w:val="center"/>
          </w:tcPr>
          <w:p w14:paraId="3E3E835B">
            <w:pPr>
              <w:pStyle w:val="780"/>
              <w:rPr>
                <w:color w:val="auto"/>
              </w:rPr>
            </w:pPr>
            <w:r>
              <w:rPr>
                <w:color w:val="auto"/>
              </w:rPr>
              <w:t>否</w:t>
            </w:r>
          </w:p>
        </w:tc>
      </w:tr>
      <w:tr w14:paraId="09CCFA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22B7CA9C">
            <w:pPr>
              <w:pStyle w:val="780"/>
              <w:rPr>
                <w:rFonts w:eastAsia="等线"/>
                <w:color w:val="auto"/>
              </w:rPr>
            </w:pPr>
          </w:p>
        </w:tc>
        <w:tc>
          <w:tcPr>
            <w:tcW w:w="849" w:type="pct"/>
            <w:vAlign w:val="center"/>
          </w:tcPr>
          <w:p w14:paraId="7FE498E9">
            <w:pPr>
              <w:pStyle w:val="780"/>
              <w:rPr>
                <w:color w:val="auto"/>
              </w:rPr>
            </w:pPr>
            <w:r>
              <w:rPr>
                <w:rFonts w:hint="eastAsia"/>
                <w:color w:val="auto"/>
              </w:rPr>
              <w:t>砷</w:t>
            </w:r>
          </w:p>
        </w:tc>
        <w:tc>
          <w:tcPr>
            <w:tcW w:w="495" w:type="pct"/>
            <w:noWrap/>
            <w:vAlign w:val="center"/>
          </w:tcPr>
          <w:p w14:paraId="7FCB2577">
            <w:pPr>
              <w:pStyle w:val="780"/>
              <w:rPr>
                <w:rFonts w:eastAsia="等线"/>
                <w:color w:val="auto"/>
              </w:rPr>
            </w:pPr>
            <w:r>
              <w:rPr>
                <w:rFonts w:hint="eastAsia" w:eastAsia="等线"/>
                <w:color w:val="auto"/>
              </w:rPr>
              <w:t>0.01</w:t>
            </w:r>
          </w:p>
        </w:tc>
        <w:tc>
          <w:tcPr>
            <w:tcW w:w="391" w:type="pct"/>
            <w:vAlign w:val="center"/>
          </w:tcPr>
          <w:p w14:paraId="2F694C21">
            <w:pPr>
              <w:pStyle w:val="780"/>
              <w:rPr>
                <w:color w:val="auto"/>
              </w:rPr>
            </w:pPr>
            <w:r>
              <w:rPr>
                <w:rFonts w:hint="eastAsia"/>
                <w:color w:val="auto"/>
              </w:rPr>
              <w:t>mg/kg</w:t>
            </w:r>
          </w:p>
        </w:tc>
        <w:tc>
          <w:tcPr>
            <w:tcW w:w="490" w:type="pct"/>
            <w:noWrap/>
            <w:vAlign w:val="center"/>
          </w:tcPr>
          <w:p w14:paraId="759A583D">
            <w:pPr>
              <w:pStyle w:val="780"/>
              <w:rPr>
                <w:color w:val="auto"/>
              </w:rPr>
            </w:pPr>
            <w:r>
              <w:rPr>
                <w:rFonts w:eastAsia="等线"/>
                <w:color w:val="auto"/>
              </w:rPr>
              <w:t>100%</w:t>
            </w:r>
          </w:p>
        </w:tc>
        <w:tc>
          <w:tcPr>
            <w:tcW w:w="429" w:type="pct"/>
            <w:noWrap/>
            <w:vAlign w:val="center"/>
          </w:tcPr>
          <w:p w14:paraId="3D381C96">
            <w:pPr>
              <w:pStyle w:val="780"/>
              <w:rPr>
                <w:rFonts w:hint="default" w:eastAsia="等线"/>
                <w:color w:val="auto"/>
                <w:lang w:val="en-US" w:eastAsia="zh-CN"/>
              </w:rPr>
            </w:pPr>
            <w:r>
              <w:rPr>
                <w:rFonts w:hint="eastAsia" w:eastAsia="等线"/>
                <w:color w:val="auto"/>
                <w:lang w:val="en-US" w:eastAsia="zh-CN"/>
              </w:rPr>
              <w:t>5.1</w:t>
            </w:r>
          </w:p>
        </w:tc>
        <w:tc>
          <w:tcPr>
            <w:tcW w:w="371" w:type="pct"/>
            <w:noWrap/>
            <w:vAlign w:val="center"/>
          </w:tcPr>
          <w:p w14:paraId="2CAD8D38">
            <w:pPr>
              <w:pStyle w:val="780"/>
              <w:rPr>
                <w:rFonts w:hint="default" w:eastAsia="等线"/>
                <w:color w:val="auto"/>
                <w:lang w:val="en-US" w:eastAsia="zh-CN"/>
              </w:rPr>
            </w:pPr>
            <w:r>
              <w:rPr>
                <w:rFonts w:hint="eastAsia" w:eastAsia="等线"/>
                <w:color w:val="auto"/>
                <w:lang w:val="en-US" w:eastAsia="zh-CN"/>
              </w:rPr>
              <w:t>13.1</w:t>
            </w:r>
          </w:p>
        </w:tc>
        <w:tc>
          <w:tcPr>
            <w:tcW w:w="367" w:type="pct"/>
            <w:noWrap/>
            <w:vAlign w:val="center"/>
          </w:tcPr>
          <w:p w14:paraId="190F784F">
            <w:pPr>
              <w:pStyle w:val="780"/>
              <w:rPr>
                <w:rFonts w:hint="default" w:eastAsia="等线"/>
                <w:color w:val="auto"/>
                <w:lang w:val="en-US" w:eastAsia="zh-CN"/>
              </w:rPr>
            </w:pPr>
            <w:r>
              <w:rPr>
                <w:rFonts w:hint="eastAsia" w:eastAsia="等线"/>
                <w:color w:val="auto"/>
                <w:lang w:val="en-US" w:eastAsia="zh-CN"/>
              </w:rPr>
              <w:t>7.1</w:t>
            </w:r>
          </w:p>
        </w:tc>
        <w:tc>
          <w:tcPr>
            <w:tcW w:w="698" w:type="pct"/>
            <w:noWrap/>
            <w:vAlign w:val="center"/>
          </w:tcPr>
          <w:p w14:paraId="018735CF">
            <w:pPr>
              <w:pStyle w:val="780"/>
              <w:rPr>
                <w:rFonts w:eastAsia="等线"/>
                <w:color w:val="auto"/>
              </w:rPr>
            </w:pPr>
            <w:r>
              <w:rPr>
                <w:rFonts w:hint="eastAsia" w:eastAsia="等线"/>
                <w:color w:val="auto"/>
              </w:rPr>
              <w:t>60</w:t>
            </w:r>
          </w:p>
        </w:tc>
        <w:tc>
          <w:tcPr>
            <w:tcW w:w="673" w:type="pct"/>
            <w:noWrap/>
            <w:vAlign w:val="center"/>
          </w:tcPr>
          <w:p w14:paraId="3B280823">
            <w:pPr>
              <w:pStyle w:val="780"/>
              <w:rPr>
                <w:color w:val="auto"/>
              </w:rPr>
            </w:pPr>
            <w:r>
              <w:rPr>
                <w:color w:val="auto"/>
              </w:rPr>
              <w:t>否</w:t>
            </w:r>
          </w:p>
        </w:tc>
      </w:tr>
      <w:tr w14:paraId="3398AA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17B52F12">
            <w:pPr>
              <w:pStyle w:val="780"/>
              <w:rPr>
                <w:rFonts w:eastAsia="等线"/>
                <w:color w:val="auto"/>
              </w:rPr>
            </w:pPr>
          </w:p>
        </w:tc>
        <w:tc>
          <w:tcPr>
            <w:tcW w:w="849" w:type="pct"/>
            <w:vAlign w:val="center"/>
          </w:tcPr>
          <w:p w14:paraId="1CDB8754">
            <w:pPr>
              <w:pStyle w:val="780"/>
              <w:rPr>
                <w:color w:val="auto"/>
              </w:rPr>
            </w:pPr>
            <w:r>
              <w:rPr>
                <w:color w:val="auto"/>
              </w:rPr>
              <w:t>铜</w:t>
            </w:r>
          </w:p>
        </w:tc>
        <w:tc>
          <w:tcPr>
            <w:tcW w:w="495" w:type="pct"/>
            <w:noWrap/>
            <w:vAlign w:val="center"/>
          </w:tcPr>
          <w:p w14:paraId="2CE3676D">
            <w:pPr>
              <w:pStyle w:val="780"/>
              <w:rPr>
                <w:rFonts w:eastAsia="等线"/>
                <w:color w:val="auto"/>
              </w:rPr>
            </w:pPr>
            <w:r>
              <w:rPr>
                <w:rFonts w:hint="eastAsia" w:eastAsia="等线"/>
                <w:color w:val="auto"/>
              </w:rPr>
              <w:t>1</w:t>
            </w:r>
          </w:p>
        </w:tc>
        <w:tc>
          <w:tcPr>
            <w:tcW w:w="391" w:type="pct"/>
            <w:vAlign w:val="center"/>
          </w:tcPr>
          <w:p w14:paraId="2B038622">
            <w:pPr>
              <w:pStyle w:val="780"/>
              <w:rPr>
                <w:color w:val="auto"/>
              </w:rPr>
            </w:pPr>
            <w:r>
              <w:rPr>
                <w:rFonts w:hint="eastAsia"/>
                <w:color w:val="auto"/>
              </w:rPr>
              <w:t>mg/kg</w:t>
            </w:r>
          </w:p>
        </w:tc>
        <w:tc>
          <w:tcPr>
            <w:tcW w:w="490" w:type="pct"/>
            <w:noWrap/>
            <w:vAlign w:val="center"/>
          </w:tcPr>
          <w:p w14:paraId="413D8F68">
            <w:pPr>
              <w:pStyle w:val="780"/>
              <w:rPr>
                <w:color w:val="auto"/>
              </w:rPr>
            </w:pPr>
            <w:r>
              <w:rPr>
                <w:rFonts w:eastAsia="等线"/>
                <w:color w:val="auto"/>
              </w:rPr>
              <w:t>100%</w:t>
            </w:r>
          </w:p>
        </w:tc>
        <w:tc>
          <w:tcPr>
            <w:tcW w:w="429" w:type="pct"/>
            <w:noWrap/>
            <w:vAlign w:val="center"/>
          </w:tcPr>
          <w:p w14:paraId="71B36670">
            <w:pPr>
              <w:pStyle w:val="780"/>
              <w:rPr>
                <w:rFonts w:hint="default" w:eastAsia="等线"/>
                <w:color w:val="auto"/>
                <w:lang w:val="en-US" w:eastAsia="zh-CN"/>
              </w:rPr>
            </w:pPr>
            <w:r>
              <w:rPr>
                <w:rFonts w:hint="eastAsia" w:eastAsia="等线"/>
                <w:color w:val="auto"/>
                <w:lang w:val="en-US" w:eastAsia="zh-CN"/>
              </w:rPr>
              <w:t>15</w:t>
            </w:r>
          </w:p>
        </w:tc>
        <w:tc>
          <w:tcPr>
            <w:tcW w:w="371" w:type="pct"/>
            <w:noWrap/>
            <w:vAlign w:val="center"/>
          </w:tcPr>
          <w:p w14:paraId="0A6DD8D7">
            <w:pPr>
              <w:pStyle w:val="780"/>
              <w:rPr>
                <w:rFonts w:hint="default" w:eastAsia="等线"/>
                <w:color w:val="auto"/>
                <w:lang w:val="en-US" w:eastAsia="zh-CN"/>
              </w:rPr>
            </w:pPr>
            <w:r>
              <w:rPr>
                <w:rFonts w:hint="eastAsia" w:eastAsia="等线"/>
                <w:color w:val="auto"/>
                <w:lang w:val="en-US" w:eastAsia="zh-CN"/>
              </w:rPr>
              <w:t>36</w:t>
            </w:r>
          </w:p>
        </w:tc>
        <w:tc>
          <w:tcPr>
            <w:tcW w:w="367" w:type="pct"/>
            <w:noWrap/>
            <w:vAlign w:val="center"/>
          </w:tcPr>
          <w:p w14:paraId="33247737">
            <w:pPr>
              <w:pStyle w:val="780"/>
              <w:rPr>
                <w:rFonts w:hint="default" w:eastAsia="等线"/>
                <w:color w:val="auto"/>
                <w:lang w:val="en-US" w:eastAsia="zh-CN"/>
              </w:rPr>
            </w:pPr>
            <w:r>
              <w:rPr>
                <w:rFonts w:hint="eastAsia" w:eastAsia="等线"/>
                <w:color w:val="auto"/>
                <w:lang w:val="en-US" w:eastAsia="zh-CN"/>
              </w:rPr>
              <w:t>25</w:t>
            </w:r>
          </w:p>
        </w:tc>
        <w:tc>
          <w:tcPr>
            <w:tcW w:w="698" w:type="pct"/>
            <w:noWrap/>
            <w:vAlign w:val="center"/>
          </w:tcPr>
          <w:p w14:paraId="18FE3AEC">
            <w:pPr>
              <w:pStyle w:val="780"/>
              <w:rPr>
                <w:rFonts w:eastAsia="等线"/>
                <w:color w:val="auto"/>
              </w:rPr>
            </w:pPr>
            <w:r>
              <w:rPr>
                <w:rFonts w:hint="eastAsia" w:eastAsia="等线"/>
                <w:color w:val="auto"/>
              </w:rPr>
              <w:t>18000</w:t>
            </w:r>
          </w:p>
        </w:tc>
        <w:tc>
          <w:tcPr>
            <w:tcW w:w="673" w:type="pct"/>
            <w:noWrap/>
            <w:vAlign w:val="center"/>
          </w:tcPr>
          <w:p w14:paraId="6C271D37">
            <w:pPr>
              <w:pStyle w:val="780"/>
              <w:rPr>
                <w:color w:val="auto"/>
              </w:rPr>
            </w:pPr>
            <w:r>
              <w:rPr>
                <w:color w:val="auto"/>
              </w:rPr>
              <w:t>否</w:t>
            </w:r>
          </w:p>
        </w:tc>
      </w:tr>
      <w:tr w14:paraId="43AFC8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2D6F92C">
            <w:pPr>
              <w:pStyle w:val="780"/>
              <w:rPr>
                <w:rFonts w:eastAsia="等线"/>
                <w:color w:val="auto"/>
              </w:rPr>
            </w:pPr>
          </w:p>
        </w:tc>
        <w:tc>
          <w:tcPr>
            <w:tcW w:w="849" w:type="pct"/>
            <w:vAlign w:val="center"/>
          </w:tcPr>
          <w:p w14:paraId="0C21CB2E">
            <w:pPr>
              <w:pStyle w:val="780"/>
              <w:rPr>
                <w:color w:val="auto"/>
              </w:rPr>
            </w:pPr>
            <w:r>
              <w:rPr>
                <w:color w:val="auto"/>
              </w:rPr>
              <w:t>镍</w:t>
            </w:r>
          </w:p>
        </w:tc>
        <w:tc>
          <w:tcPr>
            <w:tcW w:w="495" w:type="pct"/>
            <w:noWrap/>
            <w:vAlign w:val="center"/>
          </w:tcPr>
          <w:p w14:paraId="077C4E0D">
            <w:pPr>
              <w:pStyle w:val="780"/>
              <w:rPr>
                <w:rFonts w:eastAsia="等线"/>
                <w:color w:val="auto"/>
              </w:rPr>
            </w:pPr>
            <w:r>
              <w:rPr>
                <w:rFonts w:hint="eastAsia" w:eastAsia="等线"/>
                <w:color w:val="auto"/>
              </w:rPr>
              <w:t>3</w:t>
            </w:r>
          </w:p>
        </w:tc>
        <w:tc>
          <w:tcPr>
            <w:tcW w:w="391" w:type="pct"/>
            <w:vAlign w:val="center"/>
          </w:tcPr>
          <w:p w14:paraId="46CB04E1">
            <w:pPr>
              <w:pStyle w:val="780"/>
              <w:rPr>
                <w:color w:val="auto"/>
              </w:rPr>
            </w:pPr>
            <w:r>
              <w:rPr>
                <w:rFonts w:hint="eastAsia"/>
                <w:color w:val="auto"/>
              </w:rPr>
              <w:t>mg/kg</w:t>
            </w:r>
          </w:p>
        </w:tc>
        <w:tc>
          <w:tcPr>
            <w:tcW w:w="490" w:type="pct"/>
            <w:noWrap/>
            <w:vAlign w:val="center"/>
          </w:tcPr>
          <w:p w14:paraId="75871736">
            <w:pPr>
              <w:pStyle w:val="780"/>
              <w:rPr>
                <w:rFonts w:eastAsia="等线"/>
                <w:color w:val="auto"/>
              </w:rPr>
            </w:pPr>
            <w:r>
              <w:rPr>
                <w:rFonts w:hint="eastAsia" w:eastAsia="等线"/>
                <w:color w:val="auto"/>
              </w:rPr>
              <w:t>100</w:t>
            </w:r>
            <w:r>
              <w:rPr>
                <w:rFonts w:eastAsia="等线"/>
                <w:color w:val="auto"/>
              </w:rPr>
              <w:t>%</w:t>
            </w:r>
          </w:p>
        </w:tc>
        <w:tc>
          <w:tcPr>
            <w:tcW w:w="429" w:type="pct"/>
            <w:noWrap/>
            <w:vAlign w:val="center"/>
          </w:tcPr>
          <w:p w14:paraId="5A926601">
            <w:pPr>
              <w:pStyle w:val="780"/>
              <w:rPr>
                <w:rFonts w:hint="default" w:eastAsia="等线"/>
                <w:color w:val="auto"/>
                <w:lang w:val="en-US" w:eastAsia="zh-CN"/>
              </w:rPr>
            </w:pPr>
            <w:r>
              <w:rPr>
                <w:rFonts w:hint="eastAsia" w:eastAsia="等线"/>
                <w:color w:val="auto"/>
                <w:lang w:val="en-US" w:eastAsia="zh-CN"/>
              </w:rPr>
              <w:t>14</w:t>
            </w:r>
          </w:p>
        </w:tc>
        <w:tc>
          <w:tcPr>
            <w:tcW w:w="371" w:type="pct"/>
            <w:noWrap/>
            <w:vAlign w:val="center"/>
          </w:tcPr>
          <w:p w14:paraId="3D602A13">
            <w:pPr>
              <w:pStyle w:val="780"/>
              <w:rPr>
                <w:rFonts w:hint="default" w:eastAsia="等线"/>
                <w:color w:val="auto"/>
                <w:lang w:val="en-US" w:eastAsia="zh-CN"/>
              </w:rPr>
            </w:pPr>
            <w:r>
              <w:rPr>
                <w:rFonts w:hint="eastAsia" w:eastAsia="等线"/>
                <w:color w:val="auto"/>
                <w:lang w:val="en-US" w:eastAsia="zh-CN"/>
              </w:rPr>
              <w:t>42</w:t>
            </w:r>
          </w:p>
        </w:tc>
        <w:tc>
          <w:tcPr>
            <w:tcW w:w="367" w:type="pct"/>
            <w:noWrap/>
            <w:vAlign w:val="center"/>
          </w:tcPr>
          <w:p w14:paraId="2D3B0274">
            <w:pPr>
              <w:pStyle w:val="780"/>
              <w:rPr>
                <w:rFonts w:hint="default" w:eastAsia="等线"/>
                <w:color w:val="auto"/>
                <w:lang w:val="en-US" w:eastAsia="zh-CN"/>
              </w:rPr>
            </w:pPr>
            <w:r>
              <w:rPr>
                <w:rFonts w:hint="eastAsia" w:eastAsia="等线"/>
                <w:color w:val="auto"/>
                <w:lang w:val="en-US" w:eastAsia="zh-CN"/>
              </w:rPr>
              <w:t>24.5</w:t>
            </w:r>
          </w:p>
        </w:tc>
        <w:tc>
          <w:tcPr>
            <w:tcW w:w="698" w:type="pct"/>
            <w:noWrap/>
            <w:vAlign w:val="center"/>
          </w:tcPr>
          <w:p w14:paraId="4BD9F707">
            <w:pPr>
              <w:pStyle w:val="780"/>
              <w:rPr>
                <w:rFonts w:eastAsia="等线"/>
                <w:color w:val="auto"/>
              </w:rPr>
            </w:pPr>
            <w:r>
              <w:rPr>
                <w:rFonts w:hint="eastAsia" w:eastAsia="等线"/>
                <w:color w:val="auto"/>
              </w:rPr>
              <w:t>900</w:t>
            </w:r>
          </w:p>
        </w:tc>
        <w:tc>
          <w:tcPr>
            <w:tcW w:w="673" w:type="pct"/>
            <w:noWrap/>
            <w:vAlign w:val="center"/>
          </w:tcPr>
          <w:p w14:paraId="03E6AE0D">
            <w:pPr>
              <w:pStyle w:val="780"/>
              <w:rPr>
                <w:color w:val="auto"/>
              </w:rPr>
            </w:pPr>
            <w:r>
              <w:rPr>
                <w:color w:val="auto"/>
              </w:rPr>
              <w:t>否</w:t>
            </w:r>
          </w:p>
        </w:tc>
      </w:tr>
      <w:tr w14:paraId="007823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49A88457">
            <w:pPr>
              <w:pStyle w:val="780"/>
              <w:rPr>
                <w:rFonts w:eastAsia="等线"/>
                <w:color w:val="auto"/>
              </w:rPr>
            </w:pPr>
          </w:p>
        </w:tc>
        <w:tc>
          <w:tcPr>
            <w:tcW w:w="849" w:type="pct"/>
            <w:vAlign w:val="center"/>
          </w:tcPr>
          <w:p w14:paraId="60E9E4C8">
            <w:pPr>
              <w:pStyle w:val="780"/>
              <w:rPr>
                <w:color w:val="auto"/>
              </w:rPr>
            </w:pPr>
            <w:r>
              <w:rPr>
                <w:color w:val="auto"/>
              </w:rPr>
              <w:t>铅</w:t>
            </w:r>
          </w:p>
        </w:tc>
        <w:tc>
          <w:tcPr>
            <w:tcW w:w="495" w:type="pct"/>
            <w:noWrap/>
            <w:vAlign w:val="center"/>
          </w:tcPr>
          <w:p w14:paraId="07FAAB12">
            <w:pPr>
              <w:pStyle w:val="780"/>
              <w:rPr>
                <w:rFonts w:eastAsia="等线"/>
                <w:color w:val="auto"/>
              </w:rPr>
            </w:pPr>
            <w:r>
              <w:rPr>
                <w:rFonts w:hint="eastAsia" w:eastAsia="等线"/>
                <w:color w:val="auto"/>
              </w:rPr>
              <w:t>0.1</w:t>
            </w:r>
          </w:p>
        </w:tc>
        <w:tc>
          <w:tcPr>
            <w:tcW w:w="391" w:type="pct"/>
            <w:vAlign w:val="center"/>
          </w:tcPr>
          <w:p w14:paraId="36817FEC">
            <w:pPr>
              <w:pStyle w:val="780"/>
              <w:rPr>
                <w:color w:val="auto"/>
              </w:rPr>
            </w:pPr>
            <w:r>
              <w:rPr>
                <w:rFonts w:hint="eastAsia"/>
                <w:color w:val="auto"/>
              </w:rPr>
              <w:t>mg/kg</w:t>
            </w:r>
          </w:p>
        </w:tc>
        <w:tc>
          <w:tcPr>
            <w:tcW w:w="490" w:type="pct"/>
            <w:noWrap/>
            <w:vAlign w:val="center"/>
          </w:tcPr>
          <w:p w14:paraId="211544EC">
            <w:pPr>
              <w:pStyle w:val="780"/>
              <w:rPr>
                <w:color w:val="auto"/>
              </w:rPr>
            </w:pPr>
            <w:r>
              <w:rPr>
                <w:rFonts w:eastAsia="等线"/>
                <w:color w:val="auto"/>
              </w:rPr>
              <w:t>100%</w:t>
            </w:r>
          </w:p>
        </w:tc>
        <w:tc>
          <w:tcPr>
            <w:tcW w:w="429" w:type="pct"/>
            <w:noWrap/>
            <w:vAlign w:val="center"/>
          </w:tcPr>
          <w:p w14:paraId="4801D073">
            <w:pPr>
              <w:pStyle w:val="780"/>
              <w:rPr>
                <w:rFonts w:hint="default" w:eastAsia="等线"/>
                <w:color w:val="auto"/>
                <w:lang w:val="en-US" w:eastAsia="zh-CN"/>
              </w:rPr>
            </w:pPr>
            <w:r>
              <w:rPr>
                <w:rFonts w:hint="eastAsia" w:eastAsia="等线"/>
                <w:color w:val="auto"/>
                <w:lang w:val="en-US" w:eastAsia="zh-CN"/>
              </w:rPr>
              <w:t>6.9</w:t>
            </w:r>
          </w:p>
        </w:tc>
        <w:tc>
          <w:tcPr>
            <w:tcW w:w="371" w:type="pct"/>
            <w:noWrap/>
            <w:vAlign w:val="center"/>
          </w:tcPr>
          <w:p w14:paraId="08A6A6E5">
            <w:pPr>
              <w:pStyle w:val="780"/>
              <w:rPr>
                <w:rFonts w:hint="default" w:eastAsia="等线"/>
                <w:color w:val="auto"/>
                <w:lang w:val="en-US" w:eastAsia="zh-CN"/>
              </w:rPr>
            </w:pPr>
            <w:r>
              <w:rPr>
                <w:rFonts w:hint="eastAsia" w:eastAsia="等线"/>
                <w:color w:val="auto"/>
                <w:lang w:val="en-US" w:eastAsia="zh-CN"/>
              </w:rPr>
              <w:t>20.5</w:t>
            </w:r>
          </w:p>
        </w:tc>
        <w:tc>
          <w:tcPr>
            <w:tcW w:w="367" w:type="pct"/>
            <w:noWrap/>
            <w:vAlign w:val="center"/>
          </w:tcPr>
          <w:p w14:paraId="7C5D4DDE">
            <w:pPr>
              <w:pStyle w:val="780"/>
              <w:rPr>
                <w:rFonts w:hint="default" w:eastAsia="等线"/>
                <w:color w:val="auto"/>
                <w:lang w:val="en-US" w:eastAsia="zh-CN"/>
              </w:rPr>
            </w:pPr>
            <w:r>
              <w:rPr>
                <w:rFonts w:hint="eastAsia" w:eastAsia="等线"/>
                <w:color w:val="auto"/>
                <w:lang w:val="en-US" w:eastAsia="zh-CN"/>
              </w:rPr>
              <w:t>12.7</w:t>
            </w:r>
          </w:p>
        </w:tc>
        <w:tc>
          <w:tcPr>
            <w:tcW w:w="698" w:type="pct"/>
            <w:noWrap/>
            <w:vAlign w:val="center"/>
          </w:tcPr>
          <w:p w14:paraId="22814412">
            <w:pPr>
              <w:pStyle w:val="780"/>
              <w:rPr>
                <w:rFonts w:eastAsia="等线"/>
                <w:color w:val="auto"/>
              </w:rPr>
            </w:pPr>
            <w:r>
              <w:rPr>
                <w:rFonts w:hint="eastAsia" w:eastAsia="等线"/>
                <w:color w:val="auto"/>
              </w:rPr>
              <w:t>800</w:t>
            </w:r>
          </w:p>
        </w:tc>
        <w:tc>
          <w:tcPr>
            <w:tcW w:w="673" w:type="pct"/>
            <w:noWrap/>
            <w:vAlign w:val="center"/>
          </w:tcPr>
          <w:p w14:paraId="541D3B48">
            <w:pPr>
              <w:pStyle w:val="780"/>
              <w:rPr>
                <w:color w:val="auto"/>
              </w:rPr>
            </w:pPr>
            <w:r>
              <w:rPr>
                <w:color w:val="auto"/>
              </w:rPr>
              <w:t>否</w:t>
            </w:r>
          </w:p>
        </w:tc>
      </w:tr>
      <w:tr w14:paraId="6D45106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1BFE9579">
            <w:pPr>
              <w:pStyle w:val="780"/>
              <w:rPr>
                <w:rFonts w:eastAsia="等线"/>
                <w:color w:val="auto"/>
              </w:rPr>
            </w:pPr>
          </w:p>
        </w:tc>
        <w:tc>
          <w:tcPr>
            <w:tcW w:w="849" w:type="pct"/>
            <w:vAlign w:val="center"/>
          </w:tcPr>
          <w:p w14:paraId="10B8F7B6">
            <w:pPr>
              <w:pStyle w:val="780"/>
              <w:rPr>
                <w:color w:val="auto"/>
              </w:rPr>
            </w:pPr>
            <w:r>
              <w:rPr>
                <w:rFonts w:hint="eastAsia"/>
                <w:color w:val="auto"/>
              </w:rPr>
              <w:t>镉</w:t>
            </w:r>
          </w:p>
        </w:tc>
        <w:tc>
          <w:tcPr>
            <w:tcW w:w="495" w:type="pct"/>
            <w:noWrap/>
            <w:vAlign w:val="center"/>
          </w:tcPr>
          <w:p w14:paraId="2303BB4D">
            <w:pPr>
              <w:pStyle w:val="780"/>
              <w:rPr>
                <w:rFonts w:eastAsia="等线"/>
                <w:color w:val="auto"/>
              </w:rPr>
            </w:pPr>
            <w:r>
              <w:rPr>
                <w:rFonts w:hint="eastAsia" w:eastAsia="等线"/>
                <w:color w:val="auto"/>
              </w:rPr>
              <w:t>0.01</w:t>
            </w:r>
          </w:p>
        </w:tc>
        <w:tc>
          <w:tcPr>
            <w:tcW w:w="391" w:type="pct"/>
            <w:vAlign w:val="center"/>
          </w:tcPr>
          <w:p w14:paraId="61354150">
            <w:pPr>
              <w:pStyle w:val="780"/>
              <w:rPr>
                <w:color w:val="auto"/>
              </w:rPr>
            </w:pPr>
            <w:r>
              <w:rPr>
                <w:rFonts w:hint="eastAsia"/>
                <w:color w:val="auto"/>
              </w:rPr>
              <w:t>mg/kg</w:t>
            </w:r>
          </w:p>
        </w:tc>
        <w:tc>
          <w:tcPr>
            <w:tcW w:w="490" w:type="pct"/>
            <w:noWrap/>
            <w:vAlign w:val="center"/>
          </w:tcPr>
          <w:p w14:paraId="5317956E">
            <w:pPr>
              <w:pStyle w:val="780"/>
              <w:rPr>
                <w:color w:val="auto"/>
              </w:rPr>
            </w:pPr>
            <w:r>
              <w:rPr>
                <w:rFonts w:eastAsia="等线"/>
                <w:color w:val="auto"/>
              </w:rPr>
              <w:t>100%</w:t>
            </w:r>
          </w:p>
        </w:tc>
        <w:tc>
          <w:tcPr>
            <w:tcW w:w="429" w:type="pct"/>
            <w:noWrap/>
            <w:vAlign w:val="center"/>
          </w:tcPr>
          <w:p w14:paraId="4ACC8CC1">
            <w:pPr>
              <w:pStyle w:val="780"/>
              <w:rPr>
                <w:rFonts w:hint="default" w:eastAsia="等线"/>
                <w:color w:val="auto"/>
                <w:lang w:val="en-US" w:eastAsia="zh-CN"/>
              </w:rPr>
            </w:pPr>
            <w:r>
              <w:rPr>
                <w:rFonts w:hint="eastAsia" w:eastAsia="等线"/>
                <w:color w:val="auto"/>
                <w:lang w:val="en-US" w:eastAsia="zh-CN"/>
              </w:rPr>
              <w:t>0.01</w:t>
            </w:r>
          </w:p>
        </w:tc>
        <w:tc>
          <w:tcPr>
            <w:tcW w:w="371" w:type="pct"/>
            <w:noWrap/>
            <w:vAlign w:val="center"/>
          </w:tcPr>
          <w:p w14:paraId="2440A241">
            <w:pPr>
              <w:pStyle w:val="780"/>
              <w:rPr>
                <w:rFonts w:hint="default" w:eastAsia="等线"/>
                <w:color w:val="auto"/>
                <w:lang w:val="en-US" w:eastAsia="zh-CN"/>
              </w:rPr>
            </w:pPr>
            <w:r>
              <w:rPr>
                <w:rFonts w:hint="eastAsia" w:eastAsia="等线"/>
                <w:color w:val="auto"/>
                <w:lang w:val="en-US" w:eastAsia="zh-CN"/>
              </w:rPr>
              <w:t>0.13</w:t>
            </w:r>
          </w:p>
        </w:tc>
        <w:tc>
          <w:tcPr>
            <w:tcW w:w="367" w:type="pct"/>
            <w:noWrap/>
            <w:vAlign w:val="center"/>
          </w:tcPr>
          <w:p w14:paraId="5E9D5ECB">
            <w:pPr>
              <w:pStyle w:val="780"/>
              <w:rPr>
                <w:rFonts w:hint="default" w:eastAsia="等线"/>
                <w:color w:val="auto"/>
                <w:lang w:val="en-US" w:eastAsia="zh-CN"/>
              </w:rPr>
            </w:pPr>
            <w:r>
              <w:rPr>
                <w:rFonts w:hint="eastAsia" w:eastAsia="等线"/>
                <w:color w:val="auto"/>
                <w:lang w:val="en-US" w:eastAsia="zh-CN"/>
              </w:rPr>
              <w:t>0.06</w:t>
            </w:r>
          </w:p>
        </w:tc>
        <w:tc>
          <w:tcPr>
            <w:tcW w:w="698" w:type="pct"/>
            <w:noWrap/>
            <w:vAlign w:val="center"/>
          </w:tcPr>
          <w:p w14:paraId="564A8103">
            <w:pPr>
              <w:pStyle w:val="780"/>
              <w:rPr>
                <w:rFonts w:eastAsia="等线"/>
                <w:color w:val="auto"/>
              </w:rPr>
            </w:pPr>
            <w:r>
              <w:rPr>
                <w:rFonts w:hint="eastAsia" w:eastAsia="等线"/>
                <w:color w:val="auto"/>
              </w:rPr>
              <w:t>65</w:t>
            </w:r>
          </w:p>
        </w:tc>
        <w:tc>
          <w:tcPr>
            <w:tcW w:w="673" w:type="pct"/>
            <w:noWrap/>
            <w:vAlign w:val="center"/>
          </w:tcPr>
          <w:p w14:paraId="0344462E">
            <w:pPr>
              <w:pStyle w:val="780"/>
              <w:rPr>
                <w:color w:val="auto"/>
              </w:rPr>
            </w:pPr>
            <w:r>
              <w:rPr>
                <w:color w:val="auto"/>
              </w:rPr>
              <w:t>否</w:t>
            </w:r>
          </w:p>
        </w:tc>
      </w:tr>
      <w:tr w14:paraId="53B0BA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1" w:hRule="atLeast"/>
          <w:jc w:val="center"/>
        </w:trPr>
        <w:tc>
          <w:tcPr>
            <w:tcW w:w="234" w:type="pct"/>
            <w:noWrap/>
            <w:vAlign w:val="center"/>
          </w:tcPr>
          <w:p w14:paraId="0D921F87">
            <w:pPr>
              <w:pStyle w:val="780"/>
              <w:rPr>
                <w:rFonts w:eastAsia="等线"/>
                <w:color w:val="auto"/>
              </w:rPr>
            </w:pPr>
          </w:p>
        </w:tc>
        <w:tc>
          <w:tcPr>
            <w:tcW w:w="849" w:type="pct"/>
            <w:vAlign w:val="center"/>
          </w:tcPr>
          <w:p w14:paraId="39D030C5">
            <w:pPr>
              <w:pStyle w:val="780"/>
              <w:rPr>
                <w:color w:val="auto"/>
              </w:rPr>
            </w:pPr>
            <w:r>
              <w:rPr>
                <w:color w:val="auto"/>
              </w:rPr>
              <w:t>铬（六价）</w:t>
            </w:r>
          </w:p>
        </w:tc>
        <w:tc>
          <w:tcPr>
            <w:tcW w:w="495" w:type="pct"/>
            <w:noWrap/>
            <w:vAlign w:val="center"/>
          </w:tcPr>
          <w:p w14:paraId="02EBCE49">
            <w:pPr>
              <w:pStyle w:val="780"/>
              <w:rPr>
                <w:rFonts w:eastAsia="等线"/>
                <w:color w:val="auto"/>
              </w:rPr>
            </w:pPr>
            <w:r>
              <w:rPr>
                <w:rFonts w:hint="eastAsia" w:eastAsia="等线"/>
                <w:color w:val="auto"/>
              </w:rPr>
              <w:t>0.5</w:t>
            </w:r>
          </w:p>
        </w:tc>
        <w:tc>
          <w:tcPr>
            <w:tcW w:w="391" w:type="pct"/>
            <w:vAlign w:val="center"/>
          </w:tcPr>
          <w:p w14:paraId="2B557C65">
            <w:pPr>
              <w:pStyle w:val="780"/>
              <w:rPr>
                <w:color w:val="auto"/>
              </w:rPr>
            </w:pPr>
            <w:r>
              <w:rPr>
                <w:color w:val="auto"/>
              </w:rPr>
              <w:t>mg/kg</w:t>
            </w:r>
          </w:p>
        </w:tc>
        <w:tc>
          <w:tcPr>
            <w:tcW w:w="490" w:type="pct"/>
            <w:noWrap/>
            <w:vAlign w:val="center"/>
          </w:tcPr>
          <w:p w14:paraId="0991F92D">
            <w:pPr>
              <w:pStyle w:val="780"/>
              <w:rPr>
                <w:color w:val="auto"/>
              </w:rPr>
            </w:pPr>
            <w:r>
              <w:rPr>
                <w:rFonts w:eastAsia="等线"/>
                <w:color w:val="auto"/>
              </w:rPr>
              <w:t>0%</w:t>
            </w:r>
          </w:p>
        </w:tc>
        <w:tc>
          <w:tcPr>
            <w:tcW w:w="429" w:type="pct"/>
            <w:noWrap/>
            <w:vAlign w:val="center"/>
          </w:tcPr>
          <w:p w14:paraId="4010EC98">
            <w:pPr>
              <w:jc w:val="center"/>
              <w:rPr>
                <w:rFonts w:hint="eastAsia" w:eastAsia="宋体"/>
                <w:color w:val="auto"/>
                <w:lang w:val="en-US" w:eastAsia="zh-CN"/>
              </w:rPr>
            </w:pPr>
            <w:r>
              <w:rPr>
                <w:rFonts w:hint="eastAsia"/>
                <w:color w:val="auto"/>
                <w:lang w:val="en-US" w:eastAsia="zh-CN"/>
              </w:rPr>
              <w:t>/</w:t>
            </w:r>
          </w:p>
        </w:tc>
        <w:tc>
          <w:tcPr>
            <w:tcW w:w="371" w:type="pct"/>
            <w:noWrap/>
            <w:vAlign w:val="center"/>
          </w:tcPr>
          <w:p w14:paraId="6451545D">
            <w:pPr>
              <w:jc w:val="center"/>
              <w:rPr>
                <w:color w:val="auto"/>
              </w:rPr>
            </w:pPr>
            <w:r>
              <w:rPr>
                <w:rFonts w:hint="eastAsia"/>
                <w:color w:val="auto"/>
                <w:lang w:val="en-US" w:eastAsia="zh-CN"/>
              </w:rPr>
              <w:t>/</w:t>
            </w:r>
          </w:p>
        </w:tc>
        <w:tc>
          <w:tcPr>
            <w:tcW w:w="367" w:type="pct"/>
            <w:noWrap/>
            <w:vAlign w:val="center"/>
          </w:tcPr>
          <w:p w14:paraId="1F1E6920">
            <w:pPr>
              <w:jc w:val="center"/>
              <w:rPr>
                <w:rFonts w:eastAsia="等线"/>
                <w:color w:val="auto"/>
              </w:rPr>
            </w:pPr>
            <w:r>
              <w:rPr>
                <w:rFonts w:hint="eastAsia"/>
                <w:color w:val="auto"/>
                <w:lang w:val="en-US" w:eastAsia="zh-CN"/>
              </w:rPr>
              <w:t>/</w:t>
            </w:r>
          </w:p>
        </w:tc>
        <w:tc>
          <w:tcPr>
            <w:tcW w:w="698" w:type="pct"/>
            <w:noWrap/>
            <w:vAlign w:val="center"/>
          </w:tcPr>
          <w:p w14:paraId="6CB3B555">
            <w:pPr>
              <w:pStyle w:val="780"/>
              <w:rPr>
                <w:rFonts w:eastAsia="等线"/>
                <w:color w:val="auto"/>
              </w:rPr>
            </w:pPr>
            <w:r>
              <w:rPr>
                <w:rFonts w:hint="eastAsia" w:eastAsia="等线"/>
                <w:color w:val="auto"/>
              </w:rPr>
              <w:t>5.7</w:t>
            </w:r>
          </w:p>
        </w:tc>
        <w:tc>
          <w:tcPr>
            <w:tcW w:w="673" w:type="pct"/>
            <w:noWrap/>
            <w:vAlign w:val="center"/>
          </w:tcPr>
          <w:p w14:paraId="45406D5F">
            <w:pPr>
              <w:pStyle w:val="780"/>
              <w:rPr>
                <w:color w:val="auto"/>
              </w:rPr>
            </w:pPr>
            <w:r>
              <w:rPr>
                <w:color w:val="auto"/>
              </w:rPr>
              <w:t>否</w:t>
            </w:r>
          </w:p>
        </w:tc>
      </w:tr>
      <w:tr w14:paraId="2F47F7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DE1CEBF">
            <w:pPr>
              <w:pStyle w:val="780"/>
              <w:rPr>
                <w:rFonts w:eastAsia="等线"/>
                <w:color w:val="auto"/>
              </w:rPr>
            </w:pPr>
          </w:p>
        </w:tc>
        <w:tc>
          <w:tcPr>
            <w:tcW w:w="849" w:type="pct"/>
            <w:vAlign w:val="center"/>
          </w:tcPr>
          <w:p w14:paraId="1AC53CCC">
            <w:pPr>
              <w:pStyle w:val="780"/>
              <w:rPr>
                <w:color w:val="auto"/>
              </w:rPr>
            </w:pPr>
            <w:r>
              <w:rPr>
                <w:color w:val="auto"/>
              </w:rPr>
              <w:t>苯胺</w:t>
            </w:r>
          </w:p>
        </w:tc>
        <w:tc>
          <w:tcPr>
            <w:tcW w:w="495" w:type="pct"/>
            <w:noWrap/>
            <w:vAlign w:val="center"/>
          </w:tcPr>
          <w:p w14:paraId="1BBA158F">
            <w:pPr>
              <w:pStyle w:val="780"/>
              <w:rPr>
                <w:rFonts w:eastAsia="等线"/>
                <w:color w:val="auto"/>
              </w:rPr>
            </w:pPr>
            <w:r>
              <w:rPr>
                <w:rFonts w:eastAsia="等线"/>
                <w:color w:val="auto"/>
              </w:rPr>
              <w:t>0.05</w:t>
            </w:r>
          </w:p>
        </w:tc>
        <w:tc>
          <w:tcPr>
            <w:tcW w:w="391" w:type="pct"/>
            <w:vAlign w:val="center"/>
          </w:tcPr>
          <w:p w14:paraId="4CD9D24F">
            <w:pPr>
              <w:pStyle w:val="780"/>
              <w:rPr>
                <w:color w:val="auto"/>
              </w:rPr>
            </w:pPr>
            <w:r>
              <w:rPr>
                <w:color w:val="auto"/>
              </w:rPr>
              <w:t>mg/kg</w:t>
            </w:r>
          </w:p>
        </w:tc>
        <w:tc>
          <w:tcPr>
            <w:tcW w:w="490" w:type="pct"/>
            <w:noWrap/>
            <w:vAlign w:val="center"/>
          </w:tcPr>
          <w:p w14:paraId="5B6605DA">
            <w:pPr>
              <w:pStyle w:val="780"/>
              <w:rPr>
                <w:color w:val="auto"/>
              </w:rPr>
            </w:pPr>
            <w:r>
              <w:rPr>
                <w:rFonts w:eastAsia="等线"/>
                <w:color w:val="auto"/>
              </w:rPr>
              <w:t>0%</w:t>
            </w:r>
          </w:p>
        </w:tc>
        <w:tc>
          <w:tcPr>
            <w:tcW w:w="429" w:type="pct"/>
            <w:noWrap/>
            <w:vAlign w:val="center"/>
          </w:tcPr>
          <w:p w14:paraId="73FB5E46">
            <w:pPr>
              <w:jc w:val="center"/>
              <w:rPr>
                <w:color w:val="auto"/>
              </w:rPr>
            </w:pPr>
            <w:r>
              <w:rPr>
                <w:rFonts w:hint="eastAsia"/>
                <w:color w:val="auto"/>
                <w:lang w:val="en-US" w:eastAsia="zh-CN"/>
              </w:rPr>
              <w:t>/</w:t>
            </w:r>
          </w:p>
        </w:tc>
        <w:tc>
          <w:tcPr>
            <w:tcW w:w="371" w:type="pct"/>
            <w:noWrap/>
            <w:vAlign w:val="center"/>
          </w:tcPr>
          <w:p w14:paraId="0D5C9AB8">
            <w:pPr>
              <w:jc w:val="center"/>
              <w:rPr>
                <w:color w:val="auto"/>
              </w:rPr>
            </w:pPr>
            <w:r>
              <w:rPr>
                <w:rFonts w:hint="eastAsia"/>
                <w:color w:val="auto"/>
                <w:lang w:val="en-US" w:eastAsia="zh-CN"/>
              </w:rPr>
              <w:t>/</w:t>
            </w:r>
          </w:p>
        </w:tc>
        <w:tc>
          <w:tcPr>
            <w:tcW w:w="367" w:type="pct"/>
            <w:noWrap/>
            <w:vAlign w:val="center"/>
          </w:tcPr>
          <w:p w14:paraId="34A83EEA">
            <w:pPr>
              <w:jc w:val="center"/>
              <w:rPr>
                <w:rFonts w:eastAsia="等线"/>
                <w:color w:val="auto"/>
              </w:rPr>
            </w:pPr>
            <w:r>
              <w:rPr>
                <w:rFonts w:hint="eastAsia"/>
                <w:color w:val="auto"/>
                <w:lang w:val="en-US" w:eastAsia="zh-CN"/>
              </w:rPr>
              <w:t>/</w:t>
            </w:r>
          </w:p>
        </w:tc>
        <w:tc>
          <w:tcPr>
            <w:tcW w:w="698" w:type="pct"/>
            <w:noWrap/>
            <w:vAlign w:val="center"/>
          </w:tcPr>
          <w:p w14:paraId="35826815">
            <w:pPr>
              <w:pStyle w:val="780"/>
              <w:rPr>
                <w:rFonts w:eastAsia="等线"/>
                <w:color w:val="auto"/>
              </w:rPr>
            </w:pPr>
            <w:r>
              <w:rPr>
                <w:rFonts w:hint="eastAsia" w:eastAsia="等线"/>
                <w:color w:val="auto"/>
              </w:rPr>
              <w:t>260</w:t>
            </w:r>
          </w:p>
        </w:tc>
        <w:tc>
          <w:tcPr>
            <w:tcW w:w="673" w:type="pct"/>
            <w:noWrap/>
            <w:vAlign w:val="center"/>
          </w:tcPr>
          <w:p w14:paraId="66DFB5A2">
            <w:pPr>
              <w:pStyle w:val="780"/>
              <w:rPr>
                <w:color w:val="auto"/>
              </w:rPr>
            </w:pPr>
            <w:r>
              <w:rPr>
                <w:color w:val="auto"/>
              </w:rPr>
              <w:t>否</w:t>
            </w:r>
          </w:p>
        </w:tc>
      </w:tr>
      <w:tr w14:paraId="32FA17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76DD501D">
            <w:pPr>
              <w:pStyle w:val="780"/>
              <w:rPr>
                <w:rFonts w:eastAsia="等线"/>
                <w:color w:val="auto"/>
              </w:rPr>
            </w:pPr>
          </w:p>
        </w:tc>
        <w:tc>
          <w:tcPr>
            <w:tcW w:w="849" w:type="pct"/>
            <w:vAlign w:val="center"/>
          </w:tcPr>
          <w:p w14:paraId="235750B0">
            <w:pPr>
              <w:pStyle w:val="780"/>
              <w:rPr>
                <w:color w:val="auto"/>
              </w:rPr>
            </w:pPr>
            <w:r>
              <w:rPr>
                <w:color w:val="auto"/>
              </w:rPr>
              <w:t>2-氯酚</w:t>
            </w:r>
          </w:p>
        </w:tc>
        <w:tc>
          <w:tcPr>
            <w:tcW w:w="495" w:type="pct"/>
            <w:noWrap/>
            <w:vAlign w:val="center"/>
          </w:tcPr>
          <w:p w14:paraId="67BF35FE">
            <w:pPr>
              <w:pStyle w:val="780"/>
              <w:rPr>
                <w:rFonts w:eastAsia="等线"/>
                <w:color w:val="auto"/>
              </w:rPr>
            </w:pPr>
            <w:r>
              <w:rPr>
                <w:rFonts w:eastAsia="等线"/>
                <w:color w:val="auto"/>
              </w:rPr>
              <w:t>0.06</w:t>
            </w:r>
          </w:p>
        </w:tc>
        <w:tc>
          <w:tcPr>
            <w:tcW w:w="391" w:type="pct"/>
            <w:vAlign w:val="center"/>
          </w:tcPr>
          <w:p w14:paraId="2D874B1C">
            <w:pPr>
              <w:pStyle w:val="780"/>
              <w:rPr>
                <w:color w:val="auto"/>
              </w:rPr>
            </w:pPr>
            <w:r>
              <w:rPr>
                <w:color w:val="auto"/>
              </w:rPr>
              <w:t>mg/kg</w:t>
            </w:r>
          </w:p>
        </w:tc>
        <w:tc>
          <w:tcPr>
            <w:tcW w:w="490" w:type="pct"/>
            <w:noWrap/>
            <w:vAlign w:val="center"/>
          </w:tcPr>
          <w:p w14:paraId="3A5931FC">
            <w:pPr>
              <w:pStyle w:val="780"/>
              <w:rPr>
                <w:color w:val="auto"/>
              </w:rPr>
            </w:pPr>
            <w:r>
              <w:rPr>
                <w:rFonts w:eastAsia="等线"/>
                <w:color w:val="auto"/>
              </w:rPr>
              <w:t>0%</w:t>
            </w:r>
          </w:p>
        </w:tc>
        <w:tc>
          <w:tcPr>
            <w:tcW w:w="429" w:type="pct"/>
            <w:noWrap/>
            <w:vAlign w:val="center"/>
          </w:tcPr>
          <w:p w14:paraId="0ADF6EF6">
            <w:pPr>
              <w:jc w:val="center"/>
              <w:rPr>
                <w:color w:val="auto"/>
              </w:rPr>
            </w:pPr>
            <w:r>
              <w:rPr>
                <w:rFonts w:hint="eastAsia"/>
                <w:color w:val="auto"/>
                <w:lang w:val="en-US" w:eastAsia="zh-CN"/>
              </w:rPr>
              <w:t>/</w:t>
            </w:r>
          </w:p>
        </w:tc>
        <w:tc>
          <w:tcPr>
            <w:tcW w:w="371" w:type="pct"/>
            <w:noWrap/>
            <w:vAlign w:val="center"/>
          </w:tcPr>
          <w:p w14:paraId="38B081C0">
            <w:pPr>
              <w:jc w:val="center"/>
              <w:rPr>
                <w:color w:val="auto"/>
              </w:rPr>
            </w:pPr>
            <w:r>
              <w:rPr>
                <w:rFonts w:hint="eastAsia"/>
                <w:color w:val="auto"/>
                <w:lang w:val="en-US" w:eastAsia="zh-CN"/>
              </w:rPr>
              <w:t>/</w:t>
            </w:r>
          </w:p>
        </w:tc>
        <w:tc>
          <w:tcPr>
            <w:tcW w:w="367" w:type="pct"/>
            <w:noWrap/>
            <w:vAlign w:val="center"/>
          </w:tcPr>
          <w:p w14:paraId="666E66EF">
            <w:pPr>
              <w:jc w:val="center"/>
              <w:rPr>
                <w:rFonts w:eastAsia="等线"/>
                <w:color w:val="auto"/>
              </w:rPr>
            </w:pPr>
            <w:r>
              <w:rPr>
                <w:rFonts w:hint="eastAsia"/>
                <w:color w:val="auto"/>
                <w:lang w:val="en-US" w:eastAsia="zh-CN"/>
              </w:rPr>
              <w:t>/</w:t>
            </w:r>
          </w:p>
        </w:tc>
        <w:tc>
          <w:tcPr>
            <w:tcW w:w="698" w:type="pct"/>
            <w:vAlign w:val="center"/>
          </w:tcPr>
          <w:p w14:paraId="346FC3E7">
            <w:pPr>
              <w:pStyle w:val="780"/>
              <w:rPr>
                <w:rFonts w:eastAsia="等线"/>
                <w:color w:val="auto"/>
              </w:rPr>
            </w:pPr>
            <w:r>
              <w:rPr>
                <w:rFonts w:hint="eastAsia" w:eastAsia="等线"/>
                <w:color w:val="auto"/>
              </w:rPr>
              <w:t>2256</w:t>
            </w:r>
          </w:p>
        </w:tc>
        <w:tc>
          <w:tcPr>
            <w:tcW w:w="673" w:type="pct"/>
            <w:noWrap/>
            <w:vAlign w:val="center"/>
          </w:tcPr>
          <w:p w14:paraId="3EBB5008">
            <w:pPr>
              <w:pStyle w:val="780"/>
              <w:rPr>
                <w:color w:val="auto"/>
              </w:rPr>
            </w:pPr>
            <w:r>
              <w:rPr>
                <w:color w:val="auto"/>
              </w:rPr>
              <w:t>否</w:t>
            </w:r>
          </w:p>
        </w:tc>
      </w:tr>
      <w:tr w14:paraId="2B60E3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F75A556">
            <w:pPr>
              <w:pStyle w:val="780"/>
              <w:rPr>
                <w:rFonts w:eastAsia="等线"/>
                <w:color w:val="auto"/>
              </w:rPr>
            </w:pPr>
          </w:p>
        </w:tc>
        <w:tc>
          <w:tcPr>
            <w:tcW w:w="849" w:type="pct"/>
            <w:vAlign w:val="center"/>
          </w:tcPr>
          <w:p w14:paraId="1F54A8D7">
            <w:pPr>
              <w:pStyle w:val="780"/>
              <w:rPr>
                <w:color w:val="auto"/>
              </w:rPr>
            </w:pPr>
            <w:r>
              <w:rPr>
                <w:color w:val="auto"/>
              </w:rPr>
              <w:t>硝基苯</w:t>
            </w:r>
          </w:p>
        </w:tc>
        <w:tc>
          <w:tcPr>
            <w:tcW w:w="495" w:type="pct"/>
            <w:noWrap/>
            <w:vAlign w:val="center"/>
          </w:tcPr>
          <w:p w14:paraId="0DDDF65B">
            <w:pPr>
              <w:pStyle w:val="780"/>
              <w:rPr>
                <w:rFonts w:eastAsia="等线"/>
                <w:color w:val="auto"/>
              </w:rPr>
            </w:pPr>
            <w:r>
              <w:rPr>
                <w:rFonts w:eastAsia="等线"/>
                <w:color w:val="auto"/>
              </w:rPr>
              <w:t>0.09</w:t>
            </w:r>
          </w:p>
        </w:tc>
        <w:tc>
          <w:tcPr>
            <w:tcW w:w="391" w:type="pct"/>
            <w:vAlign w:val="center"/>
          </w:tcPr>
          <w:p w14:paraId="1740C805">
            <w:pPr>
              <w:pStyle w:val="780"/>
              <w:rPr>
                <w:color w:val="auto"/>
              </w:rPr>
            </w:pPr>
            <w:r>
              <w:rPr>
                <w:color w:val="auto"/>
              </w:rPr>
              <w:t>mg/kg</w:t>
            </w:r>
          </w:p>
        </w:tc>
        <w:tc>
          <w:tcPr>
            <w:tcW w:w="490" w:type="pct"/>
            <w:noWrap/>
          </w:tcPr>
          <w:p w14:paraId="2B461BD1">
            <w:pPr>
              <w:pStyle w:val="780"/>
              <w:rPr>
                <w:color w:val="auto"/>
              </w:rPr>
            </w:pPr>
            <w:r>
              <w:rPr>
                <w:rFonts w:eastAsia="等线"/>
                <w:color w:val="auto"/>
              </w:rPr>
              <w:t>0%</w:t>
            </w:r>
          </w:p>
        </w:tc>
        <w:tc>
          <w:tcPr>
            <w:tcW w:w="429" w:type="pct"/>
            <w:noWrap/>
            <w:vAlign w:val="center"/>
          </w:tcPr>
          <w:p w14:paraId="3BA5FD03">
            <w:pPr>
              <w:jc w:val="center"/>
              <w:rPr>
                <w:color w:val="auto"/>
              </w:rPr>
            </w:pPr>
            <w:r>
              <w:rPr>
                <w:rFonts w:hint="eastAsia"/>
                <w:color w:val="auto"/>
                <w:lang w:val="en-US" w:eastAsia="zh-CN"/>
              </w:rPr>
              <w:t>/</w:t>
            </w:r>
          </w:p>
        </w:tc>
        <w:tc>
          <w:tcPr>
            <w:tcW w:w="371" w:type="pct"/>
            <w:noWrap/>
            <w:vAlign w:val="center"/>
          </w:tcPr>
          <w:p w14:paraId="69E83EFE">
            <w:pPr>
              <w:jc w:val="center"/>
              <w:rPr>
                <w:color w:val="auto"/>
              </w:rPr>
            </w:pPr>
            <w:r>
              <w:rPr>
                <w:rFonts w:hint="eastAsia"/>
                <w:color w:val="auto"/>
                <w:lang w:val="en-US" w:eastAsia="zh-CN"/>
              </w:rPr>
              <w:t>/</w:t>
            </w:r>
          </w:p>
        </w:tc>
        <w:tc>
          <w:tcPr>
            <w:tcW w:w="367" w:type="pct"/>
            <w:noWrap/>
            <w:vAlign w:val="center"/>
          </w:tcPr>
          <w:p w14:paraId="0DC58D7D">
            <w:pPr>
              <w:jc w:val="center"/>
              <w:rPr>
                <w:rFonts w:eastAsia="等线"/>
                <w:color w:val="auto"/>
              </w:rPr>
            </w:pPr>
            <w:r>
              <w:rPr>
                <w:rFonts w:hint="eastAsia"/>
                <w:color w:val="auto"/>
                <w:lang w:val="en-US" w:eastAsia="zh-CN"/>
              </w:rPr>
              <w:t>/</w:t>
            </w:r>
          </w:p>
        </w:tc>
        <w:tc>
          <w:tcPr>
            <w:tcW w:w="698" w:type="pct"/>
            <w:vAlign w:val="center"/>
          </w:tcPr>
          <w:p w14:paraId="6ED1A782">
            <w:pPr>
              <w:pStyle w:val="780"/>
              <w:rPr>
                <w:rFonts w:eastAsia="等线"/>
                <w:color w:val="auto"/>
              </w:rPr>
            </w:pPr>
            <w:r>
              <w:rPr>
                <w:rFonts w:hint="eastAsia" w:eastAsia="等线"/>
                <w:color w:val="auto"/>
              </w:rPr>
              <w:t>76</w:t>
            </w:r>
          </w:p>
        </w:tc>
        <w:tc>
          <w:tcPr>
            <w:tcW w:w="673" w:type="pct"/>
            <w:noWrap/>
            <w:vAlign w:val="center"/>
          </w:tcPr>
          <w:p w14:paraId="7C1421C8">
            <w:pPr>
              <w:pStyle w:val="780"/>
              <w:rPr>
                <w:color w:val="auto"/>
              </w:rPr>
            </w:pPr>
            <w:r>
              <w:rPr>
                <w:color w:val="auto"/>
              </w:rPr>
              <w:t>否</w:t>
            </w:r>
          </w:p>
        </w:tc>
      </w:tr>
      <w:tr w14:paraId="2B2D57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F0D29F7">
            <w:pPr>
              <w:pStyle w:val="780"/>
              <w:rPr>
                <w:rFonts w:eastAsia="等线"/>
                <w:color w:val="auto"/>
              </w:rPr>
            </w:pPr>
          </w:p>
        </w:tc>
        <w:tc>
          <w:tcPr>
            <w:tcW w:w="849" w:type="pct"/>
            <w:vAlign w:val="center"/>
          </w:tcPr>
          <w:p w14:paraId="770FC8EF">
            <w:pPr>
              <w:pStyle w:val="780"/>
              <w:rPr>
                <w:color w:val="auto"/>
              </w:rPr>
            </w:pPr>
            <w:r>
              <w:rPr>
                <w:color w:val="auto"/>
              </w:rPr>
              <w:t>萘</w:t>
            </w:r>
          </w:p>
        </w:tc>
        <w:tc>
          <w:tcPr>
            <w:tcW w:w="495" w:type="pct"/>
            <w:noWrap/>
            <w:vAlign w:val="center"/>
          </w:tcPr>
          <w:p w14:paraId="339C81B8">
            <w:pPr>
              <w:pStyle w:val="780"/>
              <w:rPr>
                <w:rFonts w:eastAsia="等线"/>
                <w:color w:val="auto"/>
              </w:rPr>
            </w:pPr>
            <w:r>
              <w:rPr>
                <w:rFonts w:eastAsia="等线"/>
                <w:color w:val="auto"/>
              </w:rPr>
              <w:t>0.09</w:t>
            </w:r>
          </w:p>
        </w:tc>
        <w:tc>
          <w:tcPr>
            <w:tcW w:w="391" w:type="pct"/>
            <w:vAlign w:val="center"/>
          </w:tcPr>
          <w:p w14:paraId="1629444A">
            <w:pPr>
              <w:pStyle w:val="780"/>
              <w:rPr>
                <w:color w:val="auto"/>
              </w:rPr>
            </w:pPr>
            <w:r>
              <w:rPr>
                <w:color w:val="auto"/>
              </w:rPr>
              <w:t>mg/kg</w:t>
            </w:r>
          </w:p>
        </w:tc>
        <w:tc>
          <w:tcPr>
            <w:tcW w:w="490" w:type="pct"/>
            <w:noWrap/>
          </w:tcPr>
          <w:p w14:paraId="482D998F">
            <w:pPr>
              <w:pStyle w:val="780"/>
              <w:rPr>
                <w:color w:val="auto"/>
              </w:rPr>
            </w:pPr>
            <w:r>
              <w:rPr>
                <w:rFonts w:hint="eastAsia" w:eastAsia="等线"/>
                <w:color w:val="auto"/>
                <w:lang w:val="en-US" w:eastAsia="zh-CN"/>
              </w:rPr>
              <w:t>9.09</w:t>
            </w:r>
            <w:r>
              <w:rPr>
                <w:rFonts w:eastAsia="等线"/>
                <w:color w:val="auto"/>
              </w:rPr>
              <w:t>%</w:t>
            </w:r>
          </w:p>
        </w:tc>
        <w:tc>
          <w:tcPr>
            <w:tcW w:w="429" w:type="pct"/>
            <w:noWrap/>
            <w:vAlign w:val="center"/>
          </w:tcPr>
          <w:p w14:paraId="1868D227">
            <w:pPr>
              <w:pStyle w:val="780"/>
              <w:rPr>
                <w:rFonts w:hint="default" w:eastAsia="宋体"/>
                <w:color w:val="auto"/>
                <w:lang w:val="en-US" w:eastAsia="zh-CN"/>
              </w:rPr>
            </w:pPr>
            <w:r>
              <w:rPr>
                <w:rFonts w:hint="eastAsia"/>
                <w:color w:val="auto"/>
                <w:lang w:val="en-US" w:eastAsia="zh-CN"/>
              </w:rPr>
              <w:t>0.26</w:t>
            </w:r>
          </w:p>
        </w:tc>
        <w:tc>
          <w:tcPr>
            <w:tcW w:w="371" w:type="pct"/>
            <w:noWrap/>
            <w:vAlign w:val="center"/>
          </w:tcPr>
          <w:p w14:paraId="0852D56C">
            <w:pPr>
              <w:pStyle w:val="780"/>
              <w:rPr>
                <w:rFonts w:hint="default" w:eastAsia="宋体"/>
                <w:color w:val="auto"/>
                <w:lang w:val="en-US" w:eastAsia="zh-CN"/>
              </w:rPr>
            </w:pPr>
            <w:r>
              <w:rPr>
                <w:rFonts w:hint="eastAsia"/>
                <w:color w:val="auto"/>
                <w:lang w:val="en-US" w:eastAsia="zh-CN"/>
              </w:rPr>
              <w:t>0.26</w:t>
            </w:r>
          </w:p>
        </w:tc>
        <w:tc>
          <w:tcPr>
            <w:tcW w:w="367" w:type="pct"/>
            <w:noWrap/>
            <w:vAlign w:val="center"/>
          </w:tcPr>
          <w:p w14:paraId="6CD24D00">
            <w:pPr>
              <w:pStyle w:val="780"/>
              <w:rPr>
                <w:rFonts w:hint="default" w:eastAsia="等线"/>
                <w:color w:val="auto"/>
                <w:lang w:val="en-US" w:eastAsia="zh-CN"/>
              </w:rPr>
            </w:pPr>
            <w:r>
              <w:rPr>
                <w:rFonts w:hint="eastAsia" w:eastAsia="等线"/>
                <w:color w:val="auto"/>
                <w:lang w:val="en-US" w:eastAsia="zh-CN"/>
              </w:rPr>
              <w:t>0.26</w:t>
            </w:r>
          </w:p>
        </w:tc>
        <w:tc>
          <w:tcPr>
            <w:tcW w:w="698" w:type="pct"/>
            <w:vAlign w:val="center"/>
          </w:tcPr>
          <w:p w14:paraId="5AE0DEC0">
            <w:pPr>
              <w:pStyle w:val="780"/>
              <w:rPr>
                <w:rFonts w:eastAsia="等线"/>
                <w:color w:val="auto"/>
              </w:rPr>
            </w:pPr>
            <w:r>
              <w:rPr>
                <w:rFonts w:hint="eastAsia" w:eastAsia="等线"/>
                <w:color w:val="auto"/>
              </w:rPr>
              <w:t>70</w:t>
            </w:r>
          </w:p>
        </w:tc>
        <w:tc>
          <w:tcPr>
            <w:tcW w:w="673" w:type="pct"/>
            <w:noWrap/>
            <w:vAlign w:val="center"/>
          </w:tcPr>
          <w:p w14:paraId="7FCE5F5C">
            <w:pPr>
              <w:pStyle w:val="780"/>
              <w:rPr>
                <w:color w:val="auto"/>
              </w:rPr>
            </w:pPr>
            <w:r>
              <w:rPr>
                <w:color w:val="auto"/>
              </w:rPr>
              <w:t>否</w:t>
            </w:r>
          </w:p>
        </w:tc>
      </w:tr>
      <w:tr w14:paraId="06E15F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570F5F9">
            <w:pPr>
              <w:pStyle w:val="780"/>
              <w:rPr>
                <w:rFonts w:eastAsia="等线"/>
                <w:color w:val="auto"/>
              </w:rPr>
            </w:pPr>
          </w:p>
        </w:tc>
        <w:tc>
          <w:tcPr>
            <w:tcW w:w="849" w:type="pct"/>
            <w:vAlign w:val="center"/>
          </w:tcPr>
          <w:p w14:paraId="5999150B">
            <w:pPr>
              <w:pStyle w:val="780"/>
              <w:rPr>
                <w:color w:val="auto"/>
              </w:rPr>
            </w:pPr>
            <w:r>
              <w:rPr>
                <w:color w:val="auto"/>
              </w:rPr>
              <w:t>苯并(a)蒽</w:t>
            </w:r>
          </w:p>
        </w:tc>
        <w:tc>
          <w:tcPr>
            <w:tcW w:w="495" w:type="pct"/>
            <w:noWrap/>
            <w:vAlign w:val="center"/>
          </w:tcPr>
          <w:p w14:paraId="60C91AB0">
            <w:pPr>
              <w:pStyle w:val="780"/>
              <w:rPr>
                <w:rFonts w:eastAsia="等线"/>
                <w:color w:val="auto"/>
              </w:rPr>
            </w:pPr>
            <w:r>
              <w:rPr>
                <w:rFonts w:eastAsia="等线"/>
                <w:color w:val="auto"/>
              </w:rPr>
              <w:t>0.1</w:t>
            </w:r>
          </w:p>
        </w:tc>
        <w:tc>
          <w:tcPr>
            <w:tcW w:w="391" w:type="pct"/>
            <w:vAlign w:val="center"/>
          </w:tcPr>
          <w:p w14:paraId="1E11CE05">
            <w:pPr>
              <w:pStyle w:val="780"/>
              <w:rPr>
                <w:color w:val="auto"/>
              </w:rPr>
            </w:pPr>
            <w:r>
              <w:rPr>
                <w:color w:val="auto"/>
              </w:rPr>
              <w:t>mg/kg</w:t>
            </w:r>
          </w:p>
        </w:tc>
        <w:tc>
          <w:tcPr>
            <w:tcW w:w="490" w:type="pct"/>
            <w:noWrap/>
          </w:tcPr>
          <w:p w14:paraId="2C1967DD">
            <w:pPr>
              <w:pStyle w:val="780"/>
              <w:rPr>
                <w:color w:val="auto"/>
              </w:rPr>
            </w:pPr>
            <w:r>
              <w:rPr>
                <w:rFonts w:eastAsia="等线"/>
                <w:color w:val="auto"/>
              </w:rPr>
              <w:t>0%</w:t>
            </w:r>
          </w:p>
        </w:tc>
        <w:tc>
          <w:tcPr>
            <w:tcW w:w="429" w:type="pct"/>
            <w:noWrap/>
            <w:vAlign w:val="center"/>
          </w:tcPr>
          <w:p w14:paraId="65B25F27">
            <w:pPr>
              <w:jc w:val="center"/>
              <w:rPr>
                <w:color w:val="auto"/>
              </w:rPr>
            </w:pPr>
            <w:r>
              <w:rPr>
                <w:rFonts w:hint="eastAsia"/>
                <w:color w:val="auto"/>
                <w:lang w:val="en-US" w:eastAsia="zh-CN"/>
              </w:rPr>
              <w:t>/</w:t>
            </w:r>
          </w:p>
        </w:tc>
        <w:tc>
          <w:tcPr>
            <w:tcW w:w="371" w:type="pct"/>
            <w:noWrap/>
            <w:vAlign w:val="center"/>
          </w:tcPr>
          <w:p w14:paraId="06F93B28">
            <w:pPr>
              <w:jc w:val="center"/>
              <w:rPr>
                <w:color w:val="auto"/>
              </w:rPr>
            </w:pPr>
            <w:r>
              <w:rPr>
                <w:rFonts w:hint="eastAsia"/>
                <w:color w:val="auto"/>
                <w:lang w:val="en-US" w:eastAsia="zh-CN"/>
              </w:rPr>
              <w:t>/</w:t>
            </w:r>
          </w:p>
        </w:tc>
        <w:tc>
          <w:tcPr>
            <w:tcW w:w="367" w:type="pct"/>
            <w:noWrap/>
            <w:vAlign w:val="center"/>
          </w:tcPr>
          <w:p w14:paraId="225F14CC">
            <w:pPr>
              <w:jc w:val="center"/>
              <w:rPr>
                <w:rFonts w:eastAsia="等线"/>
                <w:color w:val="auto"/>
              </w:rPr>
            </w:pPr>
            <w:r>
              <w:rPr>
                <w:rFonts w:hint="eastAsia"/>
                <w:color w:val="auto"/>
                <w:lang w:val="en-US" w:eastAsia="zh-CN"/>
              </w:rPr>
              <w:t>/</w:t>
            </w:r>
          </w:p>
        </w:tc>
        <w:tc>
          <w:tcPr>
            <w:tcW w:w="698" w:type="pct"/>
            <w:vAlign w:val="center"/>
          </w:tcPr>
          <w:p w14:paraId="34AD907B">
            <w:pPr>
              <w:pStyle w:val="780"/>
              <w:rPr>
                <w:rFonts w:eastAsia="等线"/>
                <w:color w:val="auto"/>
              </w:rPr>
            </w:pPr>
            <w:r>
              <w:rPr>
                <w:rFonts w:hint="eastAsia" w:eastAsia="等线"/>
                <w:color w:val="auto"/>
              </w:rPr>
              <w:t>15</w:t>
            </w:r>
          </w:p>
        </w:tc>
        <w:tc>
          <w:tcPr>
            <w:tcW w:w="673" w:type="pct"/>
            <w:noWrap/>
            <w:vAlign w:val="center"/>
          </w:tcPr>
          <w:p w14:paraId="018C8545">
            <w:pPr>
              <w:pStyle w:val="780"/>
              <w:rPr>
                <w:color w:val="auto"/>
              </w:rPr>
            </w:pPr>
            <w:r>
              <w:rPr>
                <w:color w:val="auto"/>
              </w:rPr>
              <w:t>否</w:t>
            </w:r>
          </w:p>
        </w:tc>
      </w:tr>
      <w:tr w14:paraId="0DDB35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F1CEE30">
            <w:pPr>
              <w:pStyle w:val="780"/>
              <w:rPr>
                <w:rFonts w:eastAsia="等线"/>
                <w:color w:val="auto"/>
              </w:rPr>
            </w:pPr>
          </w:p>
        </w:tc>
        <w:tc>
          <w:tcPr>
            <w:tcW w:w="849" w:type="pct"/>
            <w:vAlign w:val="center"/>
          </w:tcPr>
          <w:p w14:paraId="63EA6D9B">
            <w:pPr>
              <w:pStyle w:val="780"/>
              <w:rPr>
                <w:color w:val="auto"/>
              </w:rPr>
            </w:pPr>
            <w:r>
              <w:rPr>
                <w:color w:val="auto"/>
              </w:rPr>
              <w:t>䓛</w:t>
            </w:r>
          </w:p>
        </w:tc>
        <w:tc>
          <w:tcPr>
            <w:tcW w:w="495" w:type="pct"/>
            <w:noWrap/>
            <w:vAlign w:val="center"/>
          </w:tcPr>
          <w:p w14:paraId="337BC46A">
            <w:pPr>
              <w:pStyle w:val="780"/>
              <w:rPr>
                <w:rFonts w:eastAsia="等线"/>
                <w:color w:val="auto"/>
              </w:rPr>
            </w:pPr>
            <w:r>
              <w:rPr>
                <w:rFonts w:eastAsia="等线"/>
                <w:color w:val="auto"/>
              </w:rPr>
              <w:t>0.1</w:t>
            </w:r>
          </w:p>
        </w:tc>
        <w:tc>
          <w:tcPr>
            <w:tcW w:w="391" w:type="pct"/>
            <w:vAlign w:val="center"/>
          </w:tcPr>
          <w:p w14:paraId="2E2AE449">
            <w:pPr>
              <w:pStyle w:val="780"/>
              <w:rPr>
                <w:color w:val="auto"/>
              </w:rPr>
            </w:pPr>
            <w:r>
              <w:rPr>
                <w:color w:val="auto"/>
              </w:rPr>
              <w:t>mg/kg</w:t>
            </w:r>
          </w:p>
        </w:tc>
        <w:tc>
          <w:tcPr>
            <w:tcW w:w="490" w:type="pct"/>
            <w:noWrap/>
          </w:tcPr>
          <w:p w14:paraId="3E848CD3">
            <w:pPr>
              <w:pStyle w:val="780"/>
              <w:rPr>
                <w:color w:val="auto"/>
              </w:rPr>
            </w:pPr>
            <w:r>
              <w:rPr>
                <w:rFonts w:eastAsia="等线"/>
                <w:color w:val="auto"/>
              </w:rPr>
              <w:t>0%</w:t>
            </w:r>
          </w:p>
        </w:tc>
        <w:tc>
          <w:tcPr>
            <w:tcW w:w="429" w:type="pct"/>
            <w:noWrap/>
            <w:vAlign w:val="center"/>
          </w:tcPr>
          <w:p w14:paraId="7E1B5F5A">
            <w:pPr>
              <w:jc w:val="center"/>
              <w:rPr>
                <w:color w:val="auto"/>
              </w:rPr>
            </w:pPr>
            <w:r>
              <w:rPr>
                <w:rFonts w:hint="eastAsia"/>
                <w:color w:val="auto"/>
                <w:lang w:val="en-US" w:eastAsia="zh-CN"/>
              </w:rPr>
              <w:t>/</w:t>
            </w:r>
          </w:p>
        </w:tc>
        <w:tc>
          <w:tcPr>
            <w:tcW w:w="371" w:type="pct"/>
            <w:noWrap/>
            <w:vAlign w:val="center"/>
          </w:tcPr>
          <w:p w14:paraId="7B2604B1">
            <w:pPr>
              <w:jc w:val="center"/>
              <w:rPr>
                <w:color w:val="auto"/>
              </w:rPr>
            </w:pPr>
            <w:r>
              <w:rPr>
                <w:rFonts w:hint="eastAsia"/>
                <w:color w:val="auto"/>
                <w:lang w:val="en-US" w:eastAsia="zh-CN"/>
              </w:rPr>
              <w:t>/</w:t>
            </w:r>
          </w:p>
        </w:tc>
        <w:tc>
          <w:tcPr>
            <w:tcW w:w="367" w:type="pct"/>
            <w:noWrap/>
            <w:vAlign w:val="center"/>
          </w:tcPr>
          <w:p w14:paraId="7C8EE405">
            <w:pPr>
              <w:jc w:val="center"/>
              <w:rPr>
                <w:rFonts w:eastAsia="等线"/>
                <w:color w:val="auto"/>
              </w:rPr>
            </w:pPr>
            <w:r>
              <w:rPr>
                <w:rFonts w:hint="eastAsia"/>
                <w:color w:val="auto"/>
                <w:lang w:val="en-US" w:eastAsia="zh-CN"/>
              </w:rPr>
              <w:t>/</w:t>
            </w:r>
          </w:p>
        </w:tc>
        <w:tc>
          <w:tcPr>
            <w:tcW w:w="698" w:type="pct"/>
            <w:vAlign w:val="center"/>
          </w:tcPr>
          <w:p w14:paraId="10CE9F69">
            <w:pPr>
              <w:pStyle w:val="780"/>
              <w:rPr>
                <w:rFonts w:eastAsia="等线"/>
                <w:color w:val="auto"/>
              </w:rPr>
            </w:pPr>
            <w:r>
              <w:rPr>
                <w:rFonts w:hint="eastAsia" w:eastAsia="等线"/>
                <w:color w:val="auto"/>
              </w:rPr>
              <w:t>1293</w:t>
            </w:r>
          </w:p>
        </w:tc>
        <w:tc>
          <w:tcPr>
            <w:tcW w:w="673" w:type="pct"/>
            <w:noWrap/>
            <w:vAlign w:val="center"/>
          </w:tcPr>
          <w:p w14:paraId="61C641E7">
            <w:pPr>
              <w:pStyle w:val="780"/>
              <w:rPr>
                <w:color w:val="auto"/>
              </w:rPr>
            </w:pPr>
            <w:r>
              <w:rPr>
                <w:color w:val="auto"/>
              </w:rPr>
              <w:t>否</w:t>
            </w:r>
          </w:p>
        </w:tc>
      </w:tr>
      <w:tr w14:paraId="254EC1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2D8F1069">
            <w:pPr>
              <w:pStyle w:val="780"/>
              <w:rPr>
                <w:rFonts w:eastAsia="等线"/>
                <w:color w:val="auto"/>
              </w:rPr>
            </w:pPr>
          </w:p>
        </w:tc>
        <w:tc>
          <w:tcPr>
            <w:tcW w:w="849" w:type="pct"/>
            <w:vAlign w:val="center"/>
          </w:tcPr>
          <w:p w14:paraId="64755A11">
            <w:pPr>
              <w:pStyle w:val="780"/>
              <w:rPr>
                <w:color w:val="auto"/>
              </w:rPr>
            </w:pPr>
            <w:r>
              <w:rPr>
                <w:color w:val="auto"/>
              </w:rPr>
              <w:t>苯并(b)荧蒽</w:t>
            </w:r>
          </w:p>
        </w:tc>
        <w:tc>
          <w:tcPr>
            <w:tcW w:w="495" w:type="pct"/>
            <w:noWrap/>
            <w:vAlign w:val="center"/>
          </w:tcPr>
          <w:p w14:paraId="050D3AC9">
            <w:pPr>
              <w:pStyle w:val="780"/>
              <w:rPr>
                <w:rFonts w:eastAsia="等线"/>
                <w:color w:val="auto"/>
              </w:rPr>
            </w:pPr>
            <w:r>
              <w:rPr>
                <w:rFonts w:eastAsia="等线"/>
                <w:color w:val="auto"/>
              </w:rPr>
              <w:t>0.2</w:t>
            </w:r>
          </w:p>
        </w:tc>
        <w:tc>
          <w:tcPr>
            <w:tcW w:w="391" w:type="pct"/>
            <w:vAlign w:val="center"/>
          </w:tcPr>
          <w:p w14:paraId="6794E71E">
            <w:pPr>
              <w:pStyle w:val="780"/>
              <w:rPr>
                <w:color w:val="auto"/>
              </w:rPr>
            </w:pPr>
            <w:r>
              <w:rPr>
                <w:color w:val="auto"/>
              </w:rPr>
              <w:t>mg/kg</w:t>
            </w:r>
          </w:p>
        </w:tc>
        <w:tc>
          <w:tcPr>
            <w:tcW w:w="490" w:type="pct"/>
            <w:noWrap/>
          </w:tcPr>
          <w:p w14:paraId="56734948">
            <w:pPr>
              <w:pStyle w:val="780"/>
              <w:rPr>
                <w:color w:val="auto"/>
              </w:rPr>
            </w:pPr>
            <w:r>
              <w:rPr>
                <w:rFonts w:eastAsia="等线"/>
                <w:color w:val="auto"/>
              </w:rPr>
              <w:t>0%</w:t>
            </w:r>
          </w:p>
        </w:tc>
        <w:tc>
          <w:tcPr>
            <w:tcW w:w="429" w:type="pct"/>
            <w:noWrap/>
            <w:vAlign w:val="center"/>
          </w:tcPr>
          <w:p w14:paraId="1FCF31C4">
            <w:pPr>
              <w:jc w:val="center"/>
              <w:rPr>
                <w:color w:val="auto"/>
              </w:rPr>
            </w:pPr>
            <w:r>
              <w:rPr>
                <w:rFonts w:hint="eastAsia"/>
                <w:color w:val="auto"/>
                <w:lang w:val="en-US" w:eastAsia="zh-CN"/>
              </w:rPr>
              <w:t>/</w:t>
            </w:r>
          </w:p>
        </w:tc>
        <w:tc>
          <w:tcPr>
            <w:tcW w:w="371" w:type="pct"/>
            <w:noWrap/>
            <w:vAlign w:val="center"/>
          </w:tcPr>
          <w:p w14:paraId="6AB4E12D">
            <w:pPr>
              <w:jc w:val="center"/>
              <w:rPr>
                <w:color w:val="auto"/>
              </w:rPr>
            </w:pPr>
            <w:r>
              <w:rPr>
                <w:rFonts w:hint="eastAsia"/>
                <w:color w:val="auto"/>
                <w:lang w:val="en-US" w:eastAsia="zh-CN"/>
              </w:rPr>
              <w:t>/</w:t>
            </w:r>
          </w:p>
        </w:tc>
        <w:tc>
          <w:tcPr>
            <w:tcW w:w="367" w:type="pct"/>
            <w:noWrap/>
            <w:vAlign w:val="center"/>
          </w:tcPr>
          <w:p w14:paraId="382F654C">
            <w:pPr>
              <w:jc w:val="center"/>
              <w:rPr>
                <w:rFonts w:eastAsia="等线"/>
                <w:color w:val="auto"/>
              </w:rPr>
            </w:pPr>
            <w:r>
              <w:rPr>
                <w:rFonts w:hint="eastAsia"/>
                <w:color w:val="auto"/>
                <w:lang w:val="en-US" w:eastAsia="zh-CN"/>
              </w:rPr>
              <w:t>/</w:t>
            </w:r>
          </w:p>
        </w:tc>
        <w:tc>
          <w:tcPr>
            <w:tcW w:w="698" w:type="pct"/>
            <w:vAlign w:val="center"/>
          </w:tcPr>
          <w:p w14:paraId="0D4DE84F">
            <w:pPr>
              <w:pStyle w:val="780"/>
              <w:rPr>
                <w:rFonts w:eastAsia="等线"/>
                <w:color w:val="auto"/>
              </w:rPr>
            </w:pPr>
            <w:r>
              <w:rPr>
                <w:rFonts w:hint="eastAsia" w:eastAsia="等线"/>
                <w:color w:val="auto"/>
              </w:rPr>
              <w:t>15</w:t>
            </w:r>
          </w:p>
        </w:tc>
        <w:tc>
          <w:tcPr>
            <w:tcW w:w="673" w:type="pct"/>
            <w:noWrap/>
            <w:vAlign w:val="center"/>
          </w:tcPr>
          <w:p w14:paraId="00D5CE0F">
            <w:pPr>
              <w:pStyle w:val="780"/>
              <w:rPr>
                <w:color w:val="auto"/>
              </w:rPr>
            </w:pPr>
            <w:r>
              <w:rPr>
                <w:color w:val="auto"/>
              </w:rPr>
              <w:t>否</w:t>
            </w:r>
          </w:p>
        </w:tc>
      </w:tr>
      <w:tr w14:paraId="231A23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59540B38">
            <w:pPr>
              <w:pStyle w:val="780"/>
              <w:rPr>
                <w:rFonts w:eastAsia="等线"/>
                <w:color w:val="auto"/>
              </w:rPr>
            </w:pPr>
          </w:p>
        </w:tc>
        <w:tc>
          <w:tcPr>
            <w:tcW w:w="849" w:type="pct"/>
            <w:vAlign w:val="center"/>
          </w:tcPr>
          <w:p w14:paraId="083F4ED5">
            <w:pPr>
              <w:pStyle w:val="780"/>
              <w:rPr>
                <w:color w:val="auto"/>
              </w:rPr>
            </w:pPr>
            <w:r>
              <w:rPr>
                <w:color w:val="auto"/>
              </w:rPr>
              <w:t>苯并(k)荧蒽</w:t>
            </w:r>
          </w:p>
        </w:tc>
        <w:tc>
          <w:tcPr>
            <w:tcW w:w="495" w:type="pct"/>
            <w:vAlign w:val="center"/>
          </w:tcPr>
          <w:p w14:paraId="7FBFF753">
            <w:pPr>
              <w:pStyle w:val="780"/>
              <w:rPr>
                <w:rFonts w:eastAsia="等线"/>
                <w:color w:val="auto"/>
              </w:rPr>
            </w:pPr>
            <w:r>
              <w:rPr>
                <w:rFonts w:eastAsia="等线"/>
                <w:color w:val="auto"/>
              </w:rPr>
              <w:t>0.1</w:t>
            </w:r>
          </w:p>
        </w:tc>
        <w:tc>
          <w:tcPr>
            <w:tcW w:w="391" w:type="pct"/>
            <w:vAlign w:val="center"/>
          </w:tcPr>
          <w:p w14:paraId="028022F7">
            <w:pPr>
              <w:pStyle w:val="780"/>
              <w:rPr>
                <w:color w:val="auto"/>
              </w:rPr>
            </w:pPr>
            <w:r>
              <w:rPr>
                <w:color w:val="auto"/>
              </w:rPr>
              <w:t>mg/kg</w:t>
            </w:r>
          </w:p>
        </w:tc>
        <w:tc>
          <w:tcPr>
            <w:tcW w:w="490" w:type="pct"/>
            <w:noWrap/>
          </w:tcPr>
          <w:p w14:paraId="08CA224B">
            <w:pPr>
              <w:pStyle w:val="780"/>
              <w:rPr>
                <w:color w:val="auto"/>
              </w:rPr>
            </w:pPr>
            <w:r>
              <w:rPr>
                <w:rFonts w:eastAsia="等线"/>
                <w:color w:val="auto"/>
              </w:rPr>
              <w:t>0%</w:t>
            </w:r>
          </w:p>
        </w:tc>
        <w:tc>
          <w:tcPr>
            <w:tcW w:w="429" w:type="pct"/>
            <w:noWrap/>
            <w:vAlign w:val="center"/>
          </w:tcPr>
          <w:p w14:paraId="4D925271">
            <w:pPr>
              <w:jc w:val="center"/>
              <w:rPr>
                <w:color w:val="auto"/>
              </w:rPr>
            </w:pPr>
            <w:r>
              <w:rPr>
                <w:rFonts w:hint="eastAsia"/>
                <w:color w:val="auto"/>
                <w:lang w:val="en-US" w:eastAsia="zh-CN"/>
              </w:rPr>
              <w:t>/</w:t>
            </w:r>
          </w:p>
        </w:tc>
        <w:tc>
          <w:tcPr>
            <w:tcW w:w="371" w:type="pct"/>
            <w:noWrap/>
            <w:vAlign w:val="center"/>
          </w:tcPr>
          <w:p w14:paraId="0171968E">
            <w:pPr>
              <w:jc w:val="center"/>
              <w:rPr>
                <w:color w:val="auto"/>
              </w:rPr>
            </w:pPr>
            <w:r>
              <w:rPr>
                <w:rFonts w:hint="eastAsia"/>
                <w:color w:val="auto"/>
                <w:lang w:val="en-US" w:eastAsia="zh-CN"/>
              </w:rPr>
              <w:t>/</w:t>
            </w:r>
          </w:p>
        </w:tc>
        <w:tc>
          <w:tcPr>
            <w:tcW w:w="367" w:type="pct"/>
            <w:noWrap/>
            <w:vAlign w:val="center"/>
          </w:tcPr>
          <w:p w14:paraId="7DA98426">
            <w:pPr>
              <w:jc w:val="center"/>
              <w:rPr>
                <w:rFonts w:eastAsia="等线"/>
                <w:color w:val="auto"/>
              </w:rPr>
            </w:pPr>
            <w:r>
              <w:rPr>
                <w:rFonts w:hint="eastAsia"/>
                <w:color w:val="auto"/>
                <w:lang w:val="en-US" w:eastAsia="zh-CN"/>
              </w:rPr>
              <w:t>/</w:t>
            </w:r>
          </w:p>
        </w:tc>
        <w:tc>
          <w:tcPr>
            <w:tcW w:w="698" w:type="pct"/>
            <w:vAlign w:val="center"/>
          </w:tcPr>
          <w:p w14:paraId="6B3F9958">
            <w:pPr>
              <w:pStyle w:val="780"/>
              <w:rPr>
                <w:rFonts w:eastAsia="等线"/>
                <w:color w:val="auto"/>
              </w:rPr>
            </w:pPr>
            <w:r>
              <w:rPr>
                <w:rFonts w:hint="eastAsia" w:eastAsia="等线"/>
                <w:color w:val="auto"/>
              </w:rPr>
              <w:t>151</w:t>
            </w:r>
          </w:p>
        </w:tc>
        <w:tc>
          <w:tcPr>
            <w:tcW w:w="673" w:type="pct"/>
            <w:noWrap/>
            <w:vAlign w:val="center"/>
          </w:tcPr>
          <w:p w14:paraId="01EAADCC">
            <w:pPr>
              <w:pStyle w:val="780"/>
              <w:rPr>
                <w:color w:val="auto"/>
              </w:rPr>
            </w:pPr>
            <w:r>
              <w:rPr>
                <w:color w:val="auto"/>
              </w:rPr>
              <w:t>否</w:t>
            </w:r>
          </w:p>
        </w:tc>
      </w:tr>
      <w:tr w14:paraId="2396C6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CC0AA68">
            <w:pPr>
              <w:pStyle w:val="780"/>
              <w:rPr>
                <w:rFonts w:eastAsia="等线"/>
                <w:color w:val="auto"/>
              </w:rPr>
            </w:pPr>
          </w:p>
        </w:tc>
        <w:tc>
          <w:tcPr>
            <w:tcW w:w="849" w:type="pct"/>
            <w:vAlign w:val="center"/>
          </w:tcPr>
          <w:p w14:paraId="46563717">
            <w:pPr>
              <w:pStyle w:val="780"/>
              <w:rPr>
                <w:color w:val="auto"/>
              </w:rPr>
            </w:pPr>
            <w:r>
              <w:rPr>
                <w:color w:val="auto"/>
              </w:rPr>
              <w:t>苯并(a)芘</w:t>
            </w:r>
          </w:p>
        </w:tc>
        <w:tc>
          <w:tcPr>
            <w:tcW w:w="495" w:type="pct"/>
            <w:vAlign w:val="center"/>
          </w:tcPr>
          <w:p w14:paraId="748C48FD">
            <w:pPr>
              <w:pStyle w:val="780"/>
              <w:rPr>
                <w:rFonts w:eastAsia="等线"/>
                <w:color w:val="auto"/>
              </w:rPr>
            </w:pPr>
            <w:r>
              <w:rPr>
                <w:rFonts w:eastAsia="等线"/>
                <w:color w:val="auto"/>
              </w:rPr>
              <w:t>0.1</w:t>
            </w:r>
          </w:p>
        </w:tc>
        <w:tc>
          <w:tcPr>
            <w:tcW w:w="391" w:type="pct"/>
            <w:vAlign w:val="center"/>
          </w:tcPr>
          <w:p w14:paraId="44D917BB">
            <w:pPr>
              <w:pStyle w:val="780"/>
              <w:rPr>
                <w:color w:val="auto"/>
              </w:rPr>
            </w:pPr>
            <w:r>
              <w:rPr>
                <w:color w:val="auto"/>
              </w:rPr>
              <w:t>mg/kg</w:t>
            </w:r>
          </w:p>
        </w:tc>
        <w:tc>
          <w:tcPr>
            <w:tcW w:w="490" w:type="pct"/>
            <w:noWrap/>
          </w:tcPr>
          <w:p w14:paraId="57704AA8">
            <w:pPr>
              <w:pStyle w:val="780"/>
              <w:rPr>
                <w:color w:val="auto"/>
              </w:rPr>
            </w:pPr>
            <w:r>
              <w:rPr>
                <w:rFonts w:hint="eastAsia" w:eastAsia="等线"/>
                <w:color w:val="auto"/>
              </w:rPr>
              <w:t>0</w:t>
            </w:r>
            <w:r>
              <w:rPr>
                <w:rFonts w:eastAsia="等线"/>
                <w:color w:val="auto"/>
              </w:rPr>
              <w:t>%</w:t>
            </w:r>
          </w:p>
        </w:tc>
        <w:tc>
          <w:tcPr>
            <w:tcW w:w="429" w:type="pct"/>
            <w:noWrap/>
            <w:vAlign w:val="center"/>
          </w:tcPr>
          <w:p w14:paraId="09ECF430">
            <w:pPr>
              <w:jc w:val="center"/>
              <w:rPr>
                <w:color w:val="auto"/>
              </w:rPr>
            </w:pPr>
            <w:r>
              <w:rPr>
                <w:rFonts w:hint="eastAsia"/>
                <w:color w:val="auto"/>
                <w:lang w:val="en-US" w:eastAsia="zh-CN"/>
              </w:rPr>
              <w:t>/</w:t>
            </w:r>
          </w:p>
        </w:tc>
        <w:tc>
          <w:tcPr>
            <w:tcW w:w="371" w:type="pct"/>
            <w:noWrap/>
            <w:vAlign w:val="center"/>
          </w:tcPr>
          <w:p w14:paraId="62609127">
            <w:pPr>
              <w:jc w:val="center"/>
              <w:rPr>
                <w:color w:val="auto"/>
              </w:rPr>
            </w:pPr>
            <w:r>
              <w:rPr>
                <w:rFonts w:hint="eastAsia"/>
                <w:color w:val="auto"/>
                <w:lang w:val="en-US" w:eastAsia="zh-CN"/>
              </w:rPr>
              <w:t>/</w:t>
            </w:r>
          </w:p>
        </w:tc>
        <w:tc>
          <w:tcPr>
            <w:tcW w:w="367" w:type="pct"/>
            <w:noWrap/>
            <w:vAlign w:val="center"/>
          </w:tcPr>
          <w:p w14:paraId="2DAD7C75">
            <w:pPr>
              <w:jc w:val="center"/>
              <w:rPr>
                <w:rFonts w:eastAsia="等线"/>
                <w:color w:val="auto"/>
              </w:rPr>
            </w:pPr>
            <w:r>
              <w:rPr>
                <w:rFonts w:hint="eastAsia"/>
                <w:color w:val="auto"/>
                <w:lang w:val="en-US" w:eastAsia="zh-CN"/>
              </w:rPr>
              <w:t>/</w:t>
            </w:r>
          </w:p>
        </w:tc>
        <w:tc>
          <w:tcPr>
            <w:tcW w:w="698" w:type="pct"/>
            <w:vAlign w:val="center"/>
          </w:tcPr>
          <w:p w14:paraId="738C4E92">
            <w:pPr>
              <w:pStyle w:val="780"/>
              <w:rPr>
                <w:rFonts w:eastAsia="等线"/>
                <w:color w:val="auto"/>
              </w:rPr>
            </w:pPr>
            <w:r>
              <w:rPr>
                <w:rFonts w:hint="eastAsia" w:eastAsia="等线"/>
                <w:color w:val="auto"/>
              </w:rPr>
              <w:t>1.5</w:t>
            </w:r>
          </w:p>
        </w:tc>
        <w:tc>
          <w:tcPr>
            <w:tcW w:w="673" w:type="pct"/>
            <w:noWrap/>
            <w:vAlign w:val="center"/>
          </w:tcPr>
          <w:p w14:paraId="68AF2E79">
            <w:pPr>
              <w:pStyle w:val="780"/>
              <w:rPr>
                <w:color w:val="auto"/>
              </w:rPr>
            </w:pPr>
            <w:r>
              <w:rPr>
                <w:color w:val="auto"/>
              </w:rPr>
              <w:t>否</w:t>
            </w:r>
          </w:p>
        </w:tc>
      </w:tr>
      <w:tr w14:paraId="6A2555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6A490D16">
            <w:pPr>
              <w:pStyle w:val="780"/>
              <w:rPr>
                <w:rFonts w:eastAsia="等线"/>
                <w:color w:val="auto"/>
              </w:rPr>
            </w:pPr>
          </w:p>
        </w:tc>
        <w:tc>
          <w:tcPr>
            <w:tcW w:w="849" w:type="pct"/>
            <w:vAlign w:val="center"/>
          </w:tcPr>
          <w:p w14:paraId="0F87EBDF">
            <w:pPr>
              <w:pStyle w:val="780"/>
              <w:rPr>
                <w:color w:val="auto"/>
              </w:rPr>
            </w:pPr>
            <w:r>
              <w:rPr>
                <w:color w:val="auto"/>
              </w:rPr>
              <w:t>茚并(1,2,3-c,d)芘</w:t>
            </w:r>
          </w:p>
        </w:tc>
        <w:tc>
          <w:tcPr>
            <w:tcW w:w="495" w:type="pct"/>
            <w:vAlign w:val="center"/>
          </w:tcPr>
          <w:p w14:paraId="6C708C8C">
            <w:pPr>
              <w:pStyle w:val="780"/>
              <w:rPr>
                <w:rFonts w:eastAsia="等线"/>
                <w:color w:val="auto"/>
              </w:rPr>
            </w:pPr>
            <w:r>
              <w:rPr>
                <w:rFonts w:eastAsia="等线"/>
                <w:color w:val="auto"/>
              </w:rPr>
              <w:t>0.1</w:t>
            </w:r>
          </w:p>
        </w:tc>
        <w:tc>
          <w:tcPr>
            <w:tcW w:w="391" w:type="pct"/>
            <w:vAlign w:val="center"/>
          </w:tcPr>
          <w:p w14:paraId="34CCBC17">
            <w:pPr>
              <w:pStyle w:val="780"/>
              <w:rPr>
                <w:color w:val="auto"/>
              </w:rPr>
            </w:pPr>
            <w:r>
              <w:rPr>
                <w:color w:val="auto"/>
              </w:rPr>
              <w:t>mg/kg</w:t>
            </w:r>
          </w:p>
        </w:tc>
        <w:tc>
          <w:tcPr>
            <w:tcW w:w="490" w:type="pct"/>
            <w:noWrap/>
          </w:tcPr>
          <w:p w14:paraId="2D58811E">
            <w:pPr>
              <w:pStyle w:val="780"/>
              <w:rPr>
                <w:color w:val="auto"/>
              </w:rPr>
            </w:pPr>
            <w:r>
              <w:rPr>
                <w:rFonts w:eastAsia="等线"/>
                <w:color w:val="auto"/>
              </w:rPr>
              <w:t>0%</w:t>
            </w:r>
          </w:p>
        </w:tc>
        <w:tc>
          <w:tcPr>
            <w:tcW w:w="429" w:type="pct"/>
            <w:noWrap/>
            <w:vAlign w:val="center"/>
          </w:tcPr>
          <w:p w14:paraId="375E2FAB">
            <w:pPr>
              <w:jc w:val="center"/>
              <w:rPr>
                <w:color w:val="auto"/>
              </w:rPr>
            </w:pPr>
            <w:r>
              <w:rPr>
                <w:rFonts w:hint="eastAsia"/>
                <w:color w:val="auto"/>
                <w:lang w:val="en-US" w:eastAsia="zh-CN"/>
              </w:rPr>
              <w:t>/</w:t>
            </w:r>
          </w:p>
        </w:tc>
        <w:tc>
          <w:tcPr>
            <w:tcW w:w="371" w:type="pct"/>
            <w:noWrap/>
            <w:vAlign w:val="center"/>
          </w:tcPr>
          <w:p w14:paraId="33578FCF">
            <w:pPr>
              <w:jc w:val="center"/>
              <w:rPr>
                <w:color w:val="auto"/>
              </w:rPr>
            </w:pPr>
            <w:r>
              <w:rPr>
                <w:rFonts w:hint="eastAsia"/>
                <w:color w:val="auto"/>
                <w:lang w:val="en-US" w:eastAsia="zh-CN"/>
              </w:rPr>
              <w:t>/</w:t>
            </w:r>
          </w:p>
        </w:tc>
        <w:tc>
          <w:tcPr>
            <w:tcW w:w="367" w:type="pct"/>
            <w:noWrap/>
            <w:vAlign w:val="center"/>
          </w:tcPr>
          <w:p w14:paraId="4134C620">
            <w:pPr>
              <w:jc w:val="center"/>
              <w:rPr>
                <w:rFonts w:eastAsia="等线"/>
                <w:color w:val="auto"/>
              </w:rPr>
            </w:pPr>
            <w:r>
              <w:rPr>
                <w:rFonts w:hint="eastAsia"/>
                <w:color w:val="auto"/>
                <w:lang w:val="en-US" w:eastAsia="zh-CN"/>
              </w:rPr>
              <w:t>/</w:t>
            </w:r>
          </w:p>
        </w:tc>
        <w:tc>
          <w:tcPr>
            <w:tcW w:w="698" w:type="pct"/>
            <w:vAlign w:val="center"/>
          </w:tcPr>
          <w:p w14:paraId="20A18FDF">
            <w:pPr>
              <w:pStyle w:val="780"/>
              <w:rPr>
                <w:rFonts w:eastAsia="等线"/>
                <w:color w:val="auto"/>
              </w:rPr>
            </w:pPr>
            <w:r>
              <w:rPr>
                <w:rFonts w:hint="eastAsia" w:eastAsia="等线"/>
                <w:color w:val="auto"/>
              </w:rPr>
              <w:t>15</w:t>
            </w:r>
          </w:p>
        </w:tc>
        <w:tc>
          <w:tcPr>
            <w:tcW w:w="673" w:type="pct"/>
            <w:noWrap/>
            <w:vAlign w:val="center"/>
          </w:tcPr>
          <w:p w14:paraId="7119141B">
            <w:pPr>
              <w:pStyle w:val="780"/>
              <w:rPr>
                <w:color w:val="auto"/>
              </w:rPr>
            </w:pPr>
            <w:r>
              <w:rPr>
                <w:color w:val="auto"/>
              </w:rPr>
              <w:t>否</w:t>
            </w:r>
          </w:p>
        </w:tc>
      </w:tr>
      <w:tr w14:paraId="1A24C7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5500B44">
            <w:pPr>
              <w:pStyle w:val="780"/>
              <w:rPr>
                <w:rFonts w:eastAsia="等线"/>
                <w:color w:val="auto"/>
              </w:rPr>
            </w:pPr>
          </w:p>
        </w:tc>
        <w:tc>
          <w:tcPr>
            <w:tcW w:w="849" w:type="pct"/>
            <w:vAlign w:val="center"/>
          </w:tcPr>
          <w:p w14:paraId="5ACD1202">
            <w:pPr>
              <w:pStyle w:val="780"/>
              <w:rPr>
                <w:color w:val="auto"/>
              </w:rPr>
            </w:pPr>
            <w:r>
              <w:rPr>
                <w:color w:val="auto"/>
              </w:rPr>
              <w:t>二苯并(a,h)蒽</w:t>
            </w:r>
          </w:p>
        </w:tc>
        <w:tc>
          <w:tcPr>
            <w:tcW w:w="495" w:type="pct"/>
            <w:vAlign w:val="center"/>
          </w:tcPr>
          <w:p w14:paraId="0838BC8F">
            <w:pPr>
              <w:pStyle w:val="780"/>
              <w:rPr>
                <w:rFonts w:eastAsia="等线"/>
                <w:color w:val="auto"/>
              </w:rPr>
            </w:pPr>
            <w:r>
              <w:rPr>
                <w:rFonts w:eastAsia="等线"/>
                <w:color w:val="auto"/>
              </w:rPr>
              <w:t>0.1</w:t>
            </w:r>
          </w:p>
        </w:tc>
        <w:tc>
          <w:tcPr>
            <w:tcW w:w="391" w:type="pct"/>
            <w:vAlign w:val="center"/>
          </w:tcPr>
          <w:p w14:paraId="03A667A9">
            <w:pPr>
              <w:pStyle w:val="780"/>
              <w:rPr>
                <w:color w:val="auto"/>
              </w:rPr>
            </w:pPr>
            <w:r>
              <w:rPr>
                <w:color w:val="auto"/>
              </w:rPr>
              <w:t>mg/kg</w:t>
            </w:r>
          </w:p>
        </w:tc>
        <w:tc>
          <w:tcPr>
            <w:tcW w:w="490" w:type="pct"/>
            <w:noWrap/>
            <w:vAlign w:val="center"/>
          </w:tcPr>
          <w:p w14:paraId="21E36A3B">
            <w:pPr>
              <w:pStyle w:val="780"/>
              <w:rPr>
                <w:rFonts w:eastAsia="等线"/>
                <w:color w:val="auto"/>
              </w:rPr>
            </w:pPr>
            <w:r>
              <w:rPr>
                <w:rFonts w:eastAsia="等线"/>
                <w:color w:val="auto"/>
              </w:rPr>
              <w:t>0%</w:t>
            </w:r>
          </w:p>
        </w:tc>
        <w:tc>
          <w:tcPr>
            <w:tcW w:w="429" w:type="pct"/>
            <w:noWrap/>
            <w:vAlign w:val="center"/>
          </w:tcPr>
          <w:p w14:paraId="2C6F16E0">
            <w:pPr>
              <w:jc w:val="center"/>
              <w:rPr>
                <w:color w:val="auto"/>
              </w:rPr>
            </w:pPr>
            <w:r>
              <w:rPr>
                <w:rFonts w:hint="eastAsia"/>
                <w:color w:val="auto"/>
                <w:lang w:val="en-US" w:eastAsia="zh-CN"/>
              </w:rPr>
              <w:t>/</w:t>
            </w:r>
          </w:p>
        </w:tc>
        <w:tc>
          <w:tcPr>
            <w:tcW w:w="371" w:type="pct"/>
            <w:noWrap/>
            <w:vAlign w:val="center"/>
          </w:tcPr>
          <w:p w14:paraId="3CCD671E">
            <w:pPr>
              <w:jc w:val="center"/>
              <w:rPr>
                <w:color w:val="auto"/>
              </w:rPr>
            </w:pPr>
            <w:r>
              <w:rPr>
                <w:rFonts w:hint="eastAsia"/>
                <w:color w:val="auto"/>
                <w:lang w:val="en-US" w:eastAsia="zh-CN"/>
              </w:rPr>
              <w:t>/</w:t>
            </w:r>
          </w:p>
        </w:tc>
        <w:tc>
          <w:tcPr>
            <w:tcW w:w="367" w:type="pct"/>
            <w:noWrap/>
            <w:vAlign w:val="center"/>
          </w:tcPr>
          <w:p w14:paraId="2EF9B846">
            <w:pPr>
              <w:jc w:val="center"/>
              <w:rPr>
                <w:rFonts w:eastAsia="等线"/>
                <w:color w:val="auto"/>
              </w:rPr>
            </w:pPr>
            <w:r>
              <w:rPr>
                <w:rFonts w:hint="eastAsia"/>
                <w:color w:val="auto"/>
                <w:lang w:val="en-US" w:eastAsia="zh-CN"/>
              </w:rPr>
              <w:t>/</w:t>
            </w:r>
          </w:p>
        </w:tc>
        <w:tc>
          <w:tcPr>
            <w:tcW w:w="698" w:type="pct"/>
            <w:vAlign w:val="center"/>
          </w:tcPr>
          <w:p w14:paraId="3D1F2F1F">
            <w:pPr>
              <w:pStyle w:val="780"/>
              <w:rPr>
                <w:rFonts w:eastAsia="等线"/>
                <w:color w:val="auto"/>
              </w:rPr>
            </w:pPr>
            <w:r>
              <w:rPr>
                <w:rFonts w:hint="eastAsia" w:eastAsia="等线"/>
                <w:color w:val="auto"/>
              </w:rPr>
              <w:t>1.5</w:t>
            </w:r>
          </w:p>
        </w:tc>
        <w:tc>
          <w:tcPr>
            <w:tcW w:w="673" w:type="pct"/>
            <w:noWrap/>
            <w:vAlign w:val="center"/>
          </w:tcPr>
          <w:p w14:paraId="705F7BFF">
            <w:pPr>
              <w:pStyle w:val="780"/>
              <w:rPr>
                <w:color w:val="auto"/>
              </w:rPr>
            </w:pPr>
            <w:r>
              <w:rPr>
                <w:color w:val="auto"/>
              </w:rPr>
              <w:t>否</w:t>
            </w:r>
          </w:p>
        </w:tc>
      </w:tr>
      <w:tr w14:paraId="551350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FFD6F9F">
            <w:pPr>
              <w:pStyle w:val="780"/>
              <w:rPr>
                <w:rFonts w:eastAsia="等线"/>
                <w:color w:val="auto"/>
              </w:rPr>
            </w:pPr>
          </w:p>
        </w:tc>
        <w:tc>
          <w:tcPr>
            <w:tcW w:w="849" w:type="pct"/>
            <w:vAlign w:val="center"/>
          </w:tcPr>
          <w:p w14:paraId="08AFDA2B">
            <w:pPr>
              <w:pStyle w:val="780"/>
              <w:rPr>
                <w:color w:val="auto"/>
              </w:rPr>
            </w:pPr>
            <w:r>
              <w:rPr>
                <w:color w:val="auto"/>
              </w:rPr>
              <w:t>氯甲烷</w:t>
            </w:r>
          </w:p>
        </w:tc>
        <w:tc>
          <w:tcPr>
            <w:tcW w:w="495" w:type="pct"/>
            <w:noWrap/>
            <w:vAlign w:val="center"/>
          </w:tcPr>
          <w:p w14:paraId="5D5147F6">
            <w:pPr>
              <w:pStyle w:val="780"/>
              <w:rPr>
                <w:rFonts w:eastAsia="等线"/>
                <w:color w:val="auto"/>
              </w:rPr>
            </w:pPr>
            <w:r>
              <w:rPr>
                <w:rFonts w:eastAsia="等线"/>
                <w:color w:val="auto"/>
              </w:rPr>
              <w:t>1.0</w:t>
            </w:r>
          </w:p>
        </w:tc>
        <w:tc>
          <w:tcPr>
            <w:tcW w:w="391" w:type="pct"/>
            <w:vAlign w:val="center"/>
          </w:tcPr>
          <w:p w14:paraId="124285E1">
            <w:pPr>
              <w:pStyle w:val="780"/>
              <w:rPr>
                <w:color w:val="auto"/>
              </w:rPr>
            </w:pPr>
            <w:r>
              <w:rPr>
                <w:color w:val="auto"/>
              </w:rPr>
              <w:t>μg/kg</w:t>
            </w:r>
          </w:p>
        </w:tc>
        <w:tc>
          <w:tcPr>
            <w:tcW w:w="490" w:type="pct"/>
            <w:noWrap/>
            <w:vAlign w:val="center"/>
          </w:tcPr>
          <w:p w14:paraId="1D16D697">
            <w:pPr>
              <w:pStyle w:val="780"/>
              <w:rPr>
                <w:rFonts w:eastAsia="等线"/>
                <w:color w:val="auto"/>
              </w:rPr>
            </w:pPr>
            <w:r>
              <w:rPr>
                <w:rFonts w:eastAsia="等线"/>
                <w:color w:val="auto"/>
              </w:rPr>
              <w:t>0%</w:t>
            </w:r>
          </w:p>
        </w:tc>
        <w:tc>
          <w:tcPr>
            <w:tcW w:w="429" w:type="pct"/>
            <w:noWrap/>
            <w:vAlign w:val="center"/>
          </w:tcPr>
          <w:p w14:paraId="10332E22">
            <w:pPr>
              <w:jc w:val="center"/>
              <w:rPr>
                <w:color w:val="auto"/>
              </w:rPr>
            </w:pPr>
            <w:r>
              <w:rPr>
                <w:rFonts w:hint="eastAsia"/>
                <w:color w:val="auto"/>
                <w:lang w:val="en-US" w:eastAsia="zh-CN"/>
              </w:rPr>
              <w:t>/</w:t>
            </w:r>
          </w:p>
        </w:tc>
        <w:tc>
          <w:tcPr>
            <w:tcW w:w="371" w:type="pct"/>
            <w:noWrap/>
            <w:vAlign w:val="center"/>
          </w:tcPr>
          <w:p w14:paraId="167D8893">
            <w:pPr>
              <w:jc w:val="center"/>
              <w:rPr>
                <w:color w:val="auto"/>
              </w:rPr>
            </w:pPr>
            <w:r>
              <w:rPr>
                <w:rFonts w:hint="eastAsia"/>
                <w:color w:val="auto"/>
                <w:lang w:val="en-US" w:eastAsia="zh-CN"/>
              </w:rPr>
              <w:t>/</w:t>
            </w:r>
          </w:p>
        </w:tc>
        <w:tc>
          <w:tcPr>
            <w:tcW w:w="367" w:type="pct"/>
            <w:noWrap/>
            <w:vAlign w:val="center"/>
          </w:tcPr>
          <w:p w14:paraId="68ED280C">
            <w:pPr>
              <w:jc w:val="center"/>
              <w:rPr>
                <w:rFonts w:eastAsia="等线"/>
                <w:color w:val="auto"/>
              </w:rPr>
            </w:pPr>
            <w:r>
              <w:rPr>
                <w:rFonts w:hint="eastAsia"/>
                <w:color w:val="auto"/>
                <w:lang w:val="en-US" w:eastAsia="zh-CN"/>
              </w:rPr>
              <w:t>/</w:t>
            </w:r>
          </w:p>
        </w:tc>
        <w:tc>
          <w:tcPr>
            <w:tcW w:w="698" w:type="pct"/>
            <w:vAlign w:val="center"/>
          </w:tcPr>
          <w:p w14:paraId="6D263A7C">
            <w:pPr>
              <w:pStyle w:val="780"/>
              <w:rPr>
                <w:rFonts w:eastAsia="等线"/>
                <w:color w:val="auto"/>
              </w:rPr>
            </w:pPr>
            <w:r>
              <w:rPr>
                <w:rFonts w:hint="eastAsia" w:eastAsia="等线"/>
                <w:color w:val="auto"/>
              </w:rPr>
              <w:t>37</w:t>
            </w:r>
          </w:p>
        </w:tc>
        <w:tc>
          <w:tcPr>
            <w:tcW w:w="673" w:type="pct"/>
            <w:noWrap/>
            <w:vAlign w:val="center"/>
          </w:tcPr>
          <w:p w14:paraId="6E9E96FD">
            <w:pPr>
              <w:pStyle w:val="780"/>
              <w:rPr>
                <w:color w:val="auto"/>
              </w:rPr>
            </w:pPr>
            <w:r>
              <w:rPr>
                <w:color w:val="auto"/>
              </w:rPr>
              <w:t>否</w:t>
            </w:r>
          </w:p>
        </w:tc>
      </w:tr>
      <w:tr w14:paraId="09E8EA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60F61BAA">
            <w:pPr>
              <w:pStyle w:val="780"/>
              <w:rPr>
                <w:rFonts w:eastAsia="等线"/>
                <w:color w:val="auto"/>
              </w:rPr>
            </w:pPr>
          </w:p>
        </w:tc>
        <w:tc>
          <w:tcPr>
            <w:tcW w:w="849" w:type="pct"/>
            <w:vAlign w:val="center"/>
          </w:tcPr>
          <w:p w14:paraId="5C903780">
            <w:pPr>
              <w:pStyle w:val="780"/>
              <w:rPr>
                <w:color w:val="auto"/>
              </w:rPr>
            </w:pPr>
            <w:r>
              <w:rPr>
                <w:color w:val="auto"/>
              </w:rPr>
              <w:t>氯乙烯</w:t>
            </w:r>
          </w:p>
        </w:tc>
        <w:tc>
          <w:tcPr>
            <w:tcW w:w="495" w:type="pct"/>
            <w:noWrap/>
            <w:vAlign w:val="center"/>
          </w:tcPr>
          <w:p w14:paraId="23AE152D">
            <w:pPr>
              <w:pStyle w:val="780"/>
              <w:rPr>
                <w:rFonts w:eastAsia="等线"/>
                <w:color w:val="auto"/>
              </w:rPr>
            </w:pPr>
            <w:r>
              <w:rPr>
                <w:rFonts w:eastAsia="等线"/>
                <w:color w:val="auto"/>
              </w:rPr>
              <w:t>1.0</w:t>
            </w:r>
          </w:p>
        </w:tc>
        <w:tc>
          <w:tcPr>
            <w:tcW w:w="391" w:type="pct"/>
            <w:vAlign w:val="center"/>
          </w:tcPr>
          <w:p w14:paraId="686F137F">
            <w:pPr>
              <w:pStyle w:val="780"/>
              <w:rPr>
                <w:color w:val="auto"/>
              </w:rPr>
            </w:pPr>
            <w:r>
              <w:rPr>
                <w:color w:val="auto"/>
              </w:rPr>
              <w:t>μg/kg</w:t>
            </w:r>
          </w:p>
        </w:tc>
        <w:tc>
          <w:tcPr>
            <w:tcW w:w="490" w:type="pct"/>
            <w:noWrap/>
            <w:vAlign w:val="center"/>
          </w:tcPr>
          <w:p w14:paraId="084BD92A">
            <w:pPr>
              <w:pStyle w:val="780"/>
              <w:rPr>
                <w:rFonts w:eastAsia="等线"/>
                <w:color w:val="auto"/>
              </w:rPr>
            </w:pPr>
            <w:r>
              <w:rPr>
                <w:rFonts w:hint="eastAsia" w:eastAsia="等线"/>
                <w:color w:val="auto"/>
              </w:rPr>
              <w:t>0</w:t>
            </w:r>
            <w:r>
              <w:rPr>
                <w:rFonts w:eastAsia="等线"/>
                <w:color w:val="auto"/>
              </w:rPr>
              <w:t>%</w:t>
            </w:r>
          </w:p>
        </w:tc>
        <w:tc>
          <w:tcPr>
            <w:tcW w:w="429" w:type="pct"/>
            <w:noWrap/>
            <w:vAlign w:val="center"/>
          </w:tcPr>
          <w:p w14:paraId="60D6D48E">
            <w:pPr>
              <w:jc w:val="center"/>
              <w:rPr>
                <w:color w:val="auto"/>
              </w:rPr>
            </w:pPr>
            <w:r>
              <w:rPr>
                <w:rFonts w:hint="eastAsia"/>
                <w:color w:val="auto"/>
                <w:lang w:val="en-US" w:eastAsia="zh-CN"/>
              </w:rPr>
              <w:t>/</w:t>
            </w:r>
          </w:p>
        </w:tc>
        <w:tc>
          <w:tcPr>
            <w:tcW w:w="371" w:type="pct"/>
            <w:noWrap/>
            <w:vAlign w:val="center"/>
          </w:tcPr>
          <w:p w14:paraId="2CA5438C">
            <w:pPr>
              <w:jc w:val="center"/>
              <w:rPr>
                <w:color w:val="auto"/>
              </w:rPr>
            </w:pPr>
            <w:r>
              <w:rPr>
                <w:rFonts w:hint="eastAsia"/>
                <w:color w:val="auto"/>
                <w:lang w:val="en-US" w:eastAsia="zh-CN"/>
              </w:rPr>
              <w:t>/</w:t>
            </w:r>
          </w:p>
        </w:tc>
        <w:tc>
          <w:tcPr>
            <w:tcW w:w="367" w:type="pct"/>
            <w:noWrap/>
            <w:vAlign w:val="center"/>
          </w:tcPr>
          <w:p w14:paraId="5B1D2447">
            <w:pPr>
              <w:jc w:val="center"/>
              <w:rPr>
                <w:rFonts w:eastAsia="等线"/>
                <w:color w:val="auto"/>
              </w:rPr>
            </w:pPr>
            <w:r>
              <w:rPr>
                <w:rFonts w:hint="eastAsia"/>
                <w:color w:val="auto"/>
                <w:lang w:val="en-US" w:eastAsia="zh-CN"/>
              </w:rPr>
              <w:t>/</w:t>
            </w:r>
          </w:p>
        </w:tc>
        <w:tc>
          <w:tcPr>
            <w:tcW w:w="698" w:type="pct"/>
            <w:vAlign w:val="center"/>
          </w:tcPr>
          <w:p w14:paraId="0805B082">
            <w:pPr>
              <w:pStyle w:val="780"/>
              <w:rPr>
                <w:rFonts w:eastAsia="等线"/>
                <w:color w:val="auto"/>
              </w:rPr>
            </w:pPr>
            <w:r>
              <w:rPr>
                <w:rFonts w:hint="eastAsia" w:eastAsia="等线"/>
                <w:color w:val="auto"/>
              </w:rPr>
              <w:t>0.43</w:t>
            </w:r>
          </w:p>
        </w:tc>
        <w:tc>
          <w:tcPr>
            <w:tcW w:w="673" w:type="pct"/>
            <w:noWrap/>
            <w:vAlign w:val="center"/>
          </w:tcPr>
          <w:p w14:paraId="5D51103D">
            <w:pPr>
              <w:pStyle w:val="780"/>
              <w:rPr>
                <w:color w:val="auto"/>
              </w:rPr>
            </w:pPr>
            <w:r>
              <w:rPr>
                <w:color w:val="auto"/>
              </w:rPr>
              <w:t>否</w:t>
            </w:r>
          </w:p>
        </w:tc>
      </w:tr>
      <w:tr w14:paraId="103CE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4766B74E">
            <w:pPr>
              <w:pStyle w:val="780"/>
              <w:rPr>
                <w:rFonts w:eastAsia="等线"/>
                <w:color w:val="auto"/>
              </w:rPr>
            </w:pPr>
          </w:p>
        </w:tc>
        <w:tc>
          <w:tcPr>
            <w:tcW w:w="849" w:type="pct"/>
            <w:vAlign w:val="center"/>
          </w:tcPr>
          <w:p w14:paraId="4A92FDFB">
            <w:pPr>
              <w:pStyle w:val="780"/>
              <w:rPr>
                <w:color w:val="auto"/>
              </w:rPr>
            </w:pPr>
            <w:r>
              <w:rPr>
                <w:color w:val="auto"/>
              </w:rPr>
              <w:t>1,1-二氯乙烯</w:t>
            </w:r>
          </w:p>
        </w:tc>
        <w:tc>
          <w:tcPr>
            <w:tcW w:w="495" w:type="pct"/>
            <w:noWrap/>
            <w:vAlign w:val="center"/>
          </w:tcPr>
          <w:p w14:paraId="04266D70">
            <w:pPr>
              <w:pStyle w:val="780"/>
              <w:rPr>
                <w:rFonts w:eastAsia="等线"/>
                <w:color w:val="auto"/>
              </w:rPr>
            </w:pPr>
            <w:r>
              <w:rPr>
                <w:rFonts w:eastAsia="等线"/>
                <w:color w:val="auto"/>
              </w:rPr>
              <w:t>1.0</w:t>
            </w:r>
          </w:p>
        </w:tc>
        <w:tc>
          <w:tcPr>
            <w:tcW w:w="391" w:type="pct"/>
            <w:vAlign w:val="center"/>
          </w:tcPr>
          <w:p w14:paraId="514120B4">
            <w:pPr>
              <w:pStyle w:val="780"/>
              <w:rPr>
                <w:color w:val="auto"/>
              </w:rPr>
            </w:pPr>
            <w:r>
              <w:rPr>
                <w:color w:val="auto"/>
              </w:rPr>
              <w:t>μg/kg</w:t>
            </w:r>
          </w:p>
        </w:tc>
        <w:tc>
          <w:tcPr>
            <w:tcW w:w="490" w:type="pct"/>
            <w:noWrap/>
            <w:vAlign w:val="center"/>
          </w:tcPr>
          <w:p w14:paraId="4A906A03">
            <w:pPr>
              <w:pStyle w:val="780"/>
              <w:rPr>
                <w:rFonts w:eastAsia="等线"/>
                <w:color w:val="auto"/>
              </w:rPr>
            </w:pPr>
            <w:r>
              <w:rPr>
                <w:rFonts w:eastAsia="等线"/>
                <w:color w:val="auto"/>
              </w:rPr>
              <w:t>0%</w:t>
            </w:r>
          </w:p>
        </w:tc>
        <w:tc>
          <w:tcPr>
            <w:tcW w:w="429" w:type="pct"/>
            <w:noWrap/>
            <w:vAlign w:val="center"/>
          </w:tcPr>
          <w:p w14:paraId="213FE004">
            <w:pPr>
              <w:jc w:val="center"/>
              <w:rPr>
                <w:color w:val="auto"/>
              </w:rPr>
            </w:pPr>
            <w:r>
              <w:rPr>
                <w:rFonts w:hint="eastAsia"/>
                <w:color w:val="auto"/>
                <w:lang w:val="en-US" w:eastAsia="zh-CN"/>
              </w:rPr>
              <w:t>/</w:t>
            </w:r>
          </w:p>
        </w:tc>
        <w:tc>
          <w:tcPr>
            <w:tcW w:w="371" w:type="pct"/>
            <w:noWrap/>
            <w:vAlign w:val="center"/>
          </w:tcPr>
          <w:p w14:paraId="2A81B4A6">
            <w:pPr>
              <w:jc w:val="center"/>
              <w:rPr>
                <w:color w:val="auto"/>
              </w:rPr>
            </w:pPr>
            <w:r>
              <w:rPr>
                <w:rFonts w:hint="eastAsia"/>
                <w:color w:val="auto"/>
                <w:lang w:val="en-US" w:eastAsia="zh-CN"/>
              </w:rPr>
              <w:t>/</w:t>
            </w:r>
          </w:p>
        </w:tc>
        <w:tc>
          <w:tcPr>
            <w:tcW w:w="367" w:type="pct"/>
            <w:noWrap/>
            <w:vAlign w:val="center"/>
          </w:tcPr>
          <w:p w14:paraId="4CFC0AD0">
            <w:pPr>
              <w:jc w:val="center"/>
              <w:rPr>
                <w:rFonts w:eastAsia="等线"/>
                <w:color w:val="auto"/>
              </w:rPr>
            </w:pPr>
            <w:r>
              <w:rPr>
                <w:rFonts w:hint="eastAsia"/>
                <w:color w:val="auto"/>
                <w:lang w:val="en-US" w:eastAsia="zh-CN"/>
              </w:rPr>
              <w:t>/</w:t>
            </w:r>
          </w:p>
        </w:tc>
        <w:tc>
          <w:tcPr>
            <w:tcW w:w="698" w:type="pct"/>
            <w:vAlign w:val="center"/>
          </w:tcPr>
          <w:p w14:paraId="7C37A47A">
            <w:pPr>
              <w:pStyle w:val="780"/>
              <w:rPr>
                <w:rFonts w:eastAsia="等线"/>
                <w:color w:val="auto"/>
              </w:rPr>
            </w:pPr>
            <w:r>
              <w:rPr>
                <w:rFonts w:hint="eastAsia" w:eastAsia="等线"/>
                <w:color w:val="auto"/>
              </w:rPr>
              <w:t>66</w:t>
            </w:r>
          </w:p>
        </w:tc>
        <w:tc>
          <w:tcPr>
            <w:tcW w:w="673" w:type="pct"/>
            <w:noWrap/>
            <w:vAlign w:val="center"/>
          </w:tcPr>
          <w:p w14:paraId="7DADD121">
            <w:pPr>
              <w:pStyle w:val="780"/>
              <w:rPr>
                <w:color w:val="auto"/>
              </w:rPr>
            </w:pPr>
            <w:r>
              <w:rPr>
                <w:color w:val="auto"/>
              </w:rPr>
              <w:t>否</w:t>
            </w:r>
          </w:p>
        </w:tc>
      </w:tr>
      <w:tr w14:paraId="4BCA3A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B53A0A7">
            <w:pPr>
              <w:pStyle w:val="780"/>
              <w:rPr>
                <w:rFonts w:eastAsia="等线"/>
                <w:color w:val="auto"/>
              </w:rPr>
            </w:pPr>
          </w:p>
        </w:tc>
        <w:tc>
          <w:tcPr>
            <w:tcW w:w="849" w:type="pct"/>
            <w:vAlign w:val="center"/>
          </w:tcPr>
          <w:p w14:paraId="2246E529">
            <w:pPr>
              <w:pStyle w:val="780"/>
              <w:rPr>
                <w:color w:val="auto"/>
              </w:rPr>
            </w:pPr>
            <w:r>
              <w:rPr>
                <w:color w:val="auto"/>
              </w:rPr>
              <w:t>二氯甲烷</w:t>
            </w:r>
          </w:p>
        </w:tc>
        <w:tc>
          <w:tcPr>
            <w:tcW w:w="495" w:type="pct"/>
            <w:noWrap/>
            <w:vAlign w:val="center"/>
          </w:tcPr>
          <w:p w14:paraId="14D21C1B">
            <w:pPr>
              <w:pStyle w:val="780"/>
              <w:rPr>
                <w:rFonts w:eastAsia="等线"/>
                <w:color w:val="auto"/>
              </w:rPr>
            </w:pPr>
            <w:r>
              <w:rPr>
                <w:rFonts w:eastAsia="等线"/>
                <w:color w:val="auto"/>
              </w:rPr>
              <w:t>1.5</w:t>
            </w:r>
          </w:p>
        </w:tc>
        <w:tc>
          <w:tcPr>
            <w:tcW w:w="391" w:type="pct"/>
            <w:vAlign w:val="center"/>
          </w:tcPr>
          <w:p w14:paraId="5B8CF2DA">
            <w:pPr>
              <w:pStyle w:val="780"/>
              <w:rPr>
                <w:color w:val="auto"/>
              </w:rPr>
            </w:pPr>
            <w:r>
              <w:rPr>
                <w:color w:val="auto"/>
              </w:rPr>
              <w:t>μg/kg</w:t>
            </w:r>
          </w:p>
        </w:tc>
        <w:tc>
          <w:tcPr>
            <w:tcW w:w="490" w:type="pct"/>
            <w:noWrap/>
            <w:vAlign w:val="center"/>
          </w:tcPr>
          <w:p w14:paraId="494D7421">
            <w:pPr>
              <w:pStyle w:val="780"/>
              <w:rPr>
                <w:rFonts w:eastAsia="等线"/>
                <w:color w:val="auto"/>
              </w:rPr>
            </w:pPr>
            <w:r>
              <w:rPr>
                <w:rFonts w:eastAsia="等线"/>
                <w:color w:val="auto"/>
              </w:rPr>
              <w:t>0%</w:t>
            </w:r>
          </w:p>
        </w:tc>
        <w:tc>
          <w:tcPr>
            <w:tcW w:w="429" w:type="pct"/>
            <w:noWrap/>
            <w:vAlign w:val="center"/>
          </w:tcPr>
          <w:p w14:paraId="3B6CF526">
            <w:pPr>
              <w:pStyle w:val="780"/>
              <w:rPr>
                <w:rFonts w:hint="default" w:eastAsia="等线"/>
                <w:color w:val="auto"/>
                <w:lang w:val="en-US" w:eastAsia="zh-CN"/>
              </w:rPr>
            </w:pPr>
            <w:r>
              <w:rPr>
                <w:rFonts w:hint="eastAsia" w:eastAsia="等线"/>
                <w:color w:val="auto"/>
                <w:lang w:val="en-US" w:eastAsia="zh-CN"/>
              </w:rPr>
              <w:t>2.7</w:t>
            </w:r>
          </w:p>
        </w:tc>
        <w:tc>
          <w:tcPr>
            <w:tcW w:w="371" w:type="pct"/>
            <w:noWrap/>
            <w:vAlign w:val="center"/>
          </w:tcPr>
          <w:p w14:paraId="5E058081">
            <w:pPr>
              <w:pStyle w:val="780"/>
              <w:rPr>
                <w:rFonts w:hint="default" w:eastAsia="等线"/>
                <w:color w:val="auto"/>
                <w:lang w:val="en-US" w:eastAsia="zh-CN"/>
              </w:rPr>
            </w:pPr>
            <w:r>
              <w:rPr>
                <w:rFonts w:hint="eastAsia" w:eastAsia="等线"/>
                <w:color w:val="auto"/>
                <w:lang w:val="en-US" w:eastAsia="zh-CN"/>
              </w:rPr>
              <w:t>17.2</w:t>
            </w:r>
          </w:p>
        </w:tc>
        <w:tc>
          <w:tcPr>
            <w:tcW w:w="367" w:type="pct"/>
            <w:noWrap/>
            <w:vAlign w:val="center"/>
          </w:tcPr>
          <w:p w14:paraId="141FBC91">
            <w:pPr>
              <w:pStyle w:val="780"/>
              <w:rPr>
                <w:rFonts w:hint="default" w:eastAsia="等线"/>
                <w:color w:val="auto"/>
                <w:lang w:val="en-US" w:eastAsia="zh-CN"/>
              </w:rPr>
            </w:pPr>
            <w:r>
              <w:rPr>
                <w:rFonts w:hint="eastAsia" w:eastAsia="等线"/>
                <w:color w:val="auto"/>
                <w:lang w:val="en-US" w:eastAsia="zh-CN"/>
              </w:rPr>
              <w:t>7.34</w:t>
            </w:r>
          </w:p>
        </w:tc>
        <w:tc>
          <w:tcPr>
            <w:tcW w:w="698" w:type="pct"/>
            <w:vAlign w:val="center"/>
          </w:tcPr>
          <w:p w14:paraId="2091C924">
            <w:pPr>
              <w:pStyle w:val="780"/>
              <w:rPr>
                <w:rFonts w:eastAsia="等线"/>
                <w:color w:val="auto"/>
              </w:rPr>
            </w:pPr>
            <w:r>
              <w:rPr>
                <w:rFonts w:hint="eastAsia" w:eastAsia="等线"/>
                <w:color w:val="auto"/>
              </w:rPr>
              <w:t>616</w:t>
            </w:r>
          </w:p>
        </w:tc>
        <w:tc>
          <w:tcPr>
            <w:tcW w:w="673" w:type="pct"/>
            <w:noWrap/>
            <w:vAlign w:val="center"/>
          </w:tcPr>
          <w:p w14:paraId="13DE21FA">
            <w:pPr>
              <w:pStyle w:val="780"/>
              <w:rPr>
                <w:color w:val="auto"/>
              </w:rPr>
            </w:pPr>
            <w:r>
              <w:rPr>
                <w:color w:val="auto"/>
              </w:rPr>
              <w:t>否</w:t>
            </w:r>
          </w:p>
        </w:tc>
      </w:tr>
      <w:tr w14:paraId="677A845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2837FEEB">
            <w:pPr>
              <w:pStyle w:val="780"/>
              <w:rPr>
                <w:rFonts w:eastAsia="等线"/>
                <w:color w:val="auto"/>
              </w:rPr>
            </w:pPr>
          </w:p>
        </w:tc>
        <w:tc>
          <w:tcPr>
            <w:tcW w:w="849" w:type="pct"/>
            <w:vAlign w:val="center"/>
          </w:tcPr>
          <w:p w14:paraId="073B3B57">
            <w:pPr>
              <w:pStyle w:val="780"/>
              <w:rPr>
                <w:color w:val="auto"/>
              </w:rPr>
            </w:pPr>
            <w:r>
              <w:rPr>
                <w:color w:val="auto"/>
              </w:rPr>
              <w:t>反-1,2-二氯乙烯</w:t>
            </w:r>
          </w:p>
        </w:tc>
        <w:tc>
          <w:tcPr>
            <w:tcW w:w="495" w:type="pct"/>
            <w:vAlign w:val="center"/>
          </w:tcPr>
          <w:p w14:paraId="06603467">
            <w:pPr>
              <w:pStyle w:val="780"/>
              <w:rPr>
                <w:rFonts w:eastAsia="等线"/>
                <w:color w:val="auto"/>
              </w:rPr>
            </w:pPr>
            <w:r>
              <w:rPr>
                <w:rFonts w:eastAsia="等线"/>
                <w:color w:val="auto"/>
              </w:rPr>
              <w:t>1.4</w:t>
            </w:r>
          </w:p>
        </w:tc>
        <w:tc>
          <w:tcPr>
            <w:tcW w:w="391" w:type="pct"/>
            <w:vAlign w:val="center"/>
          </w:tcPr>
          <w:p w14:paraId="33C704F2">
            <w:pPr>
              <w:pStyle w:val="780"/>
              <w:rPr>
                <w:color w:val="auto"/>
              </w:rPr>
            </w:pPr>
            <w:r>
              <w:rPr>
                <w:color w:val="auto"/>
              </w:rPr>
              <w:t>μg/kg</w:t>
            </w:r>
          </w:p>
        </w:tc>
        <w:tc>
          <w:tcPr>
            <w:tcW w:w="490" w:type="pct"/>
            <w:noWrap/>
            <w:vAlign w:val="center"/>
          </w:tcPr>
          <w:p w14:paraId="75159439">
            <w:pPr>
              <w:pStyle w:val="780"/>
              <w:rPr>
                <w:rFonts w:eastAsia="等线"/>
                <w:color w:val="auto"/>
              </w:rPr>
            </w:pPr>
            <w:r>
              <w:rPr>
                <w:rFonts w:eastAsia="等线"/>
                <w:color w:val="auto"/>
              </w:rPr>
              <w:t>0%</w:t>
            </w:r>
          </w:p>
        </w:tc>
        <w:tc>
          <w:tcPr>
            <w:tcW w:w="429" w:type="pct"/>
            <w:noWrap/>
            <w:vAlign w:val="center"/>
          </w:tcPr>
          <w:p w14:paraId="57E44684">
            <w:pPr>
              <w:jc w:val="center"/>
              <w:rPr>
                <w:color w:val="auto"/>
              </w:rPr>
            </w:pPr>
            <w:r>
              <w:rPr>
                <w:rFonts w:hint="eastAsia"/>
                <w:color w:val="auto"/>
                <w:lang w:val="en-US" w:eastAsia="zh-CN"/>
              </w:rPr>
              <w:t>/</w:t>
            </w:r>
          </w:p>
        </w:tc>
        <w:tc>
          <w:tcPr>
            <w:tcW w:w="371" w:type="pct"/>
            <w:noWrap/>
            <w:vAlign w:val="center"/>
          </w:tcPr>
          <w:p w14:paraId="6B7220E0">
            <w:pPr>
              <w:jc w:val="center"/>
              <w:rPr>
                <w:color w:val="auto"/>
              </w:rPr>
            </w:pPr>
            <w:r>
              <w:rPr>
                <w:rFonts w:hint="eastAsia"/>
                <w:color w:val="auto"/>
                <w:lang w:val="en-US" w:eastAsia="zh-CN"/>
              </w:rPr>
              <w:t>/</w:t>
            </w:r>
          </w:p>
        </w:tc>
        <w:tc>
          <w:tcPr>
            <w:tcW w:w="367" w:type="pct"/>
            <w:noWrap/>
            <w:vAlign w:val="center"/>
          </w:tcPr>
          <w:p w14:paraId="146412EF">
            <w:pPr>
              <w:jc w:val="center"/>
              <w:rPr>
                <w:rFonts w:eastAsia="等线"/>
                <w:color w:val="auto"/>
              </w:rPr>
            </w:pPr>
            <w:r>
              <w:rPr>
                <w:rFonts w:hint="eastAsia"/>
                <w:color w:val="auto"/>
                <w:lang w:val="en-US" w:eastAsia="zh-CN"/>
              </w:rPr>
              <w:t>/</w:t>
            </w:r>
          </w:p>
        </w:tc>
        <w:tc>
          <w:tcPr>
            <w:tcW w:w="698" w:type="pct"/>
            <w:vAlign w:val="center"/>
          </w:tcPr>
          <w:p w14:paraId="5E37217B">
            <w:pPr>
              <w:pStyle w:val="780"/>
              <w:rPr>
                <w:rFonts w:eastAsia="等线"/>
                <w:color w:val="auto"/>
              </w:rPr>
            </w:pPr>
            <w:r>
              <w:rPr>
                <w:rFonts w:hint="eastAsia" w:eastAsia="等线"/>
                <w:color w:val="auto"/>
              </w:rPr>
              <w:t>54</w:t>
            </w:r>
          </w:p>
        </w:tc>
        <w:tc>
          <w:tcPr>
            <w:tcW w:w="673" w:type="pct"/>
            <w:noWrap/>
            <w:vAlign w:val="center"/>
          </w:tcPr>
          <w:p w14:paraId="040C508B">
            <w:pPr>
              <w:pStyle w:val="780"/>
              <w:rPr>
                <w:color w:val="auto"/>
              </w:rPr>
            </w:pPr>
            <w:r>
              <w:rPr>
                <w:color w:val="auto"/>
              </w:rPr>
              <w:t>否</w:t>
            </w:r>
          </w:p>
        </w:tc>
      </w:tr>
      <w:tr w14:paraId="6145DB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6233DF03">
            <w:pPr>
              <w:pStyle w:val="780"/>
              <w:rPr>
                <w:rFonts w:eastAsia="等线"/>
                <w:color w:val="auto"/>
              </w:rPr>
            </w:pPr>
          </w:p>
        </w:tc>
        <w:tc>
          <w:tcPr>
            <w:tcW w:w="849" w:type="pct"/>
            <w:vAlign w:val="center"/>
          </w:tcPr>
          <w:p w14:paraId="7AFF5505">
            <w:pPr>
              <w:pStyle w:val="780"/>
              <w:rPr>
                <w:color w:val="auto"/>
              </w:rPr>
            </w:pPr>
            <w:r>
              <w:rPr>
                <w:color w:val="auto"/>
              </w:rPr>
              <w:t>1,1-二氯乙烷</w:t>
            </w:r>
          </w:p>
        </w:tc>
        <w:tc>
          <w:tcPr>
            <w:tcW w:w="495" w:type="pct"/>
            <w:vAlign w:val="center"/>
          </w:tcPr>
          <w:p w14:paraId="306DA657">
            <w:pPr>
              <w:pStyle w:val="780"/>
              <w:rPr>
                <w:rFonts w:eastAsia="等线"/>
                <w:color w:val="auto"/>
              </w:rPr>
            </w:pPr>
            <w:r>
              <w:rPr>
                <w:rFonts w:eastAsia="等线"/>
                <w:color w:val="auto"/>
              </w:rPr>
              <w:t>1.2</w:t>
            </w:r>
          </w:p>
        </w:tc>
        <w:tc>
          <w:tcPr>
            <w:tcW w:w="391" w:type="pct"/>
            <w:vAlign w:val="center"/>
          </w:tcPr>
          <w:p w14:paraId="79932574">
            <w:pPr>
              <w:pStyle w:val="780"/>
              <w:rPr>
                <w:color w:val="auto"/>
              </w:rPr>
            </w:pPr>
            <w:r>
              <w:rPr>
                <w:color w:val="auto"/>
              </w:rPr>
              <w:t>μg/kg</w:t>
            </w:r>
          </w:p>
        </w:tc>
        <w:tc>
          <w:tcPr>
            <w:tcW w:w="490" w:type="pct"/>
            <w:noWrap/>
            <w:vAlign w:val="center"/>
          </w:tcPr>
          <w:p w14:paraId="1D10C8C8">
            <w:pPr>
              <w:pStyle w:val="780"/>
              <w:rPr>
                <w:rFonts w:eastAsia="等线"/>
                <w:color w:val="auto"/>
              </w:rPr>
            </w:pPr>
            <w:r>
              <w:rPr>
                <w:rFonts w:eastAsia="等线"/>
                <w:color w:val="auto"/>
              </w:rPr>
              <w:t>0%</w:t>
            </w:r>
          </w:p>
        </w:tc>
        <w:tc>
          <w:tcPr>
            <w:tcW w:w="429" w:type="pct"/>
            <w:noWrap/>
            <w:vAlign w:val="center"/>
          </w:tcPr>
          <w:p w14:paraId="27F35B07">
            <w:pPr>
              <w:jc w:val="center"/>
              <w:rPr>
                <w:color w:val="auto"/>
              </w:rPr>
            </w:pPr>
            <w:r>
              <w:rPr>
                <w:rFonts w:hint="eastAsia"/>
                <w:color w:val="auto"/>
                <w:lang w:val="en-US" w:eastAsia="zh-CN"/>
              </w:rPr>
              <w:t>/</w:t>
            </w:r>
          </w:p>
        </w:tc>
        <w:tc>
          <w:tcPr>
            <w:tcW w:w="371" w:type="pct"/>
            <w:noWrap/>
            <w:vAlign w:val="center"/>
          </w:tcPr>
          <w:p w14:paraId="3DF7E220">
            <w:pPr>
              <w:jc w:val="center"/>
              <w:rPr>
                <w:color w:val="auto"/>
              </w:rPr>
            </w:pPr>
            <w:r>
              <w:rPr>
                <w:rFonts w:hint="eastAsia"/>
                <w:color w:val="auto"/>
                <w:lang w:val="en-US" w:eastAsia="zh-CN"/>
              </w:rPr>
              <w:t>/</w:t>
            </w:r>
          </w:p>
        </w:tc>
        <w:tc>
          <w:tcPr>
            <w:tcW w:w="367" w:type="pct"/>
            <w:noWrap/>
            <w:vAlign w:val="center"/>
          </w:tcPr>
          <w:p w14:paraId="69AAC382">
            <w:pPr>
              <w:jc w:val="center"/>
              <w:rPr>
                <w:rFonts w:eastAsia="等线"/>
                <w:color w:val="auto"/>
              </w:rPr>
            </w:pPr>
            <w:r>
              <w:rPr>
                <w:rFonts w:hint="eastAsia"/>
                <w:color w:val="auto"/>
                <w:lang w:val="en-US" w:eastAsia="zh-CN"/>
              </w:rPr>
              <w:t>/</w:t>
            </w:r>
          </w:p>
        </w:tc>
        <w:tc>
          <w:tcPr>
            <w:tcW w:w="698" w:type="pct"/>
            <w:vAlign w:val="center"/>
          </w:tcPr>
          <w:p w14:paraId="571B42EB">
            <w:pPr>
              <w:pStyle w:val="780"/>
              <w:rPr>
                <w:rFonts w:eastAsia="等线"/>
                <w:color w:val="auto"/>
              </w:rPr>
            </w:pPr>
            <w:r>
              <w:rPr>
                <w:rFonts w:hint="eastAsia" w:eastAsia="等线"/>
                <w:color w:val="auto"/>
              </w:rPr>
              <w:t>9</w:t>
            </w:r>
          </w:p>
        </w:tc>
        <w:tc>
          <w:tcPr>
            <w:tcW w:w="673" w:type="pct"/>
            <w:noWrap/>
            <w:vAlign w:val="center"/>
          </w:tcPr>
          <w:p w14:paraId="4BE31267">
            <w:pPr>
              <w:pStyle w:val="780"/>
              <w:rPr>
                <w:color w:val="auto"/>
              </w:rPr>
            </w:pPr>
            <w:r>
              <w:rPr>
                <w:color w:val="auto"/>
              </w:rPr>
              <w:t>否</w:t>
            </w:r>
          </w:p>
        </w:tc>
      </w:tr>
      <w:tr w14:paraId="3DA4C9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5010EDC6">
            <w:pPr>
              <w:pStyle w:val="780"/>
              <w:rPr>
                <w:rFonts w:eastAsia="等线"/>
                <w:color w:val="auto"/>
              </w:rPr>
            </w:pPr>
          </w:p>
        </w:tc>
        <w:tc>
          <w:tcPr>
            <w:tcW w:w="849" w:type="pct"/>
            <w:vAlign w:val="center"/>
          </w:tcPr>
          <w:p w14:paraId="347EB71F">
            <w:pPr>
              <w:pStyle w:val="780"/>
              <w:rPr>
                <w:color w:val="auto"/>
              </w:rPr>
            </w:pPr>
            <w:r>
              <w:rPr>
                <w:color w:val="auto"/>
              </w:rPr>
              <w:t>顺-1,2-二氯乙烯</w:t>
            </w:r>
          </w:p>
        </w:tc>
        <w:tc>
          <w:tcPr>
            <w:tcW w:w="495" w:type="pct"/>
            <w:noWrap/>
            <w:vAlign w:val="center"/>
          </w:tcPr>
          <w:p w14:paraId="7C43F334">
            <w:pPr>
              <w:pStyle w:val="780"/>
              <w:rPr>
                <w:rFonts w:eastAsia="等线"/>
                <w:color w:val="auto"/>
              </w:rPr>
            </w:pPr>
            <w:r>
              <w:rPr>
                <w:rFonts w:eastAsia="等线"/>
                <w:color w:val="auto"/>
              </w:rPr>
              <w:t>1.3</w:t>
            </w:r>
          </w:p>
        </w:tc>
        <w:tc>
          <w:tcPr>
            <w:tcW w:w="391" w:type="pct"/>
            <w:vAlign w:val="center"/>
          </w:tcPr>
          <w:p w14:paraId="55D61504">
            <w:pPr>
              <w:pStyle w:val="780"/>
              <w:rPr>
                <w:color w:val="auto"/>
              </w:rPr>
            </w:pPr>
            <w:r>
              <w:rPr>
                <w:color w:val="auto"/>
              </w:rPr>
              <w:t>μg/kg</w:t>
            </w:r>
          </w:p>
        </w:tc>
        <w:tc>
          <w:tcPr>
            <w:tcW w:w="490" w:type="pct"/>
            <w:noWrap/>
            <w:vAlign w:val="center"/>
          </w:tcPr>
          <w:p w14:paraId="10F10F80">
            <w:pPr>
              <w:pStyle w:val="780"/>
              <w:rPr>
                <w:rFonts w:eastAsia="等线"/>
                <w:color w:val="auto"/>
              </w:rPr>
            </w:pPr>
            <w:r>
              <w:rPr>
                <w:rFonts w:eastAsia="等线"/>
                <w:color w:val="auto"/>
              </w:rPr>
              <w:t>0%</w:t>
            </w:r>
          </w:p>
        </w:tc>
        <w:tc>
          <w:tcPr>
            <w:tcW w:w="429" w:type="pct"/>
            <w:noWrap/>
            <w:vAlign w:val="center"/>
          </w:tcPr>
          <w:p w14:paraId="0AEC5B33">
            <w:pPr>
              <w:jc w:val="center"/>
              <w:rPr>
                <w:color w:val="auto"/>
              </w:rPr>
            </w:pPr>
            <w:r>
              <w:rPr>
                <w:rFonts w:hint="eastAsia"/>
                <w:color w:val="auto"/>
                <w:lang w:val="en-US" w:eastAsia="zh-CN"/>
              </w:rPr>
              <w:t>/</w:t>
            </w:r>
          </w:p>
        </w:tc>
        <w:tc>
          <w:tcPr>
            <w:tcW w:w="371" w:type="pct"/>
            <w:noWrap/>
            <w:vAlign w:val="center"/>
          </w:tcPr>
          <w:p w14:paraId="287361C3">
            <w:pPr>
              <w:jc w:val="center"/>
              <w:rPr>
                <w:color w:val="auto"/>
              </w:rPr>
            </w:pPr>
            <w:r>
              <w:rPr>
                <w:rFonts w:hint="eastAsia"/>
                <w:color w:val="auto"/>
                <w:lang w:val="en-US" w:eastAsia="zh-CN"/>
              </w:rPr>
              <w:t>/</w:t>
            </w:r>
          </w:p>
        </w:tc>
        <w:tc>
          <w:tcPr>
            <w:tcW w:w="367" w:type="pct"/>
            <w:noWrap/>
            <w:vAlign w:val="center"/>
          </w:tcPr>
          <w:p w14:paraId="6D7A2C16">
            <w:pPr>
              <w:jc w:val="center"/>
              <w:rPr>
                <w:rFonts w:eastAsia="等线"/>
                <w:color w:val="auto"/>
              </w:rPr>
            </w:pPr>
            <w:r>
              <w:rPr>
                <w:rFonts w:hint="eastAsia"/>
                <w:color w:val="auto"/>
                <w:lang w:val="en-US" w:eastAsia="zh-CN"/>
              </w:rPr>
              <w:t>/</w:t>
            </w:r>
          </w:p>
        </w:tc>
        <w:tc>
          <w:tcPr>
            <w:tcW w:w="698" w:type="pct"/>
            <w:vAlign w:val="center"/>
          </w:tcPr>
          <w:p w14:paraId="02FA3551">
            <w:pPr>
              <w:pStyle w:val="780"/>
              <w:rPr>
                <w:rFonts w:eastAsia="等线"/>
                <w:color w:val="auto"/>
              </w:rPr>
            </w:pPr>
            <w:r>
              <w:rPr>
                <w:rFonts w:hint="eastAsia" w:eastAsia="等线"/>
                <w:color w:val="auto"/>
              </w:rPr>
              <w:t>596</w:t>
            </w:r>
          </w:p>
        </w:tc>
        <w:tc>
          <w:tcPr>
            <w:tcW w:w="673" w:type="pct"/>
            <w:noWrap/>
            <w:vAlign w:val="center"/>
          </w:tcPr>
          <w:p w14:paraId="53DC1880">
            <w:pPr>
              <w:pStyle w:val="780"/>
              <w:rPr>
                <w:color w:val="auto"/>
              </w:rPr>
            </w:pPr>
            <w:r>
              <w:rPr>
                <w:color w:val="auto"/>
              </w:rPr>
              <w:t>否</w:t>
            </w:r>
          </w:p>
        </w:tc>
      </w:tr>
      <w:tr w14:paraId="766F19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75D5425F">
            <w:pPr>
              <w:pStyle w:val="780"/>
              <w:rPr>
                <w:rFonts w:eastAsia="等线"/>
                <w:color w:val="auto"/>
              </w:rPr>
            </w:pPr>
          </w:p>
        </w:tc>
        <w:tc>
          <w:tcPr>
            <w:tcW w:w="849" w:type="pct"/>
            <w:vAlign w:val="center"/>
          </w:tcPr>
          <w:p w14:paraId="11602509">
            <w:pPr>
              <w:pStyle w:val="780"/>
              <w:rPr>
                <w:color w:val="auto"/>
              </w:rPr>
            </w:pPr>
            <w:r>
              <w:rPr>
                <w:color w:val="auto"/>
              </w:rPr>
              <w:t>氯仿</w:t>
            </w:r>
          </w:p>
        </w:tc>
        <w:tc>
          <w:tcPr>
            <w:tcW w:w="495" w:type="pct"/>
            <w:noWrap/>
            <w:vAlign w:val="center"/>
          </w:tcPr>
          <w:p w14:paraId="30797AC0">
            <w:pPr>
              <w:pStyle w:val="780"/>
              <w:rPr>
                <w:rFonts w:eastAsia="等线"/>
                <w:color w:val="auto"/>
              </w:rPr>
            </w:pPr>
            <w:r>
              <w:rPr>
                <w:rFonts w:eastAsia="等线"/>
                <w:color w:val="auto"/>
              </w:rPr>
              <w:t>1.1</w:t>
            </w:r>
          </w:p>
        </w:tc>
        <w:tc>
          <w:tcPr>
            <w:tcW w:w="391" w:type="pct"/>
            <w:vAlign w:val="center"/>
          </w:tcPr>
          <w:p w14:paraId="3F66DF3B">
            <w:pPr>
              <w:pStyle w:val="780"/>
              <w:rPr>
                <w:color w:val="auto"/>
              </w:rPr>
            </w:pPr>
            <w:r>
              <w:rPr>
                <w:color w:val="auto"/>
              </w:rPr>
              <w:t>μg/kg</w:t>
            </w:r>
          </w:p>
        </w:tc>
        <w:tc>
          <w:tcPr>
            <w:tcW w:w="490" w:type="pct"/>
            <w:noWrap/>
            <w:vAlign w:val="center"/>
          </w:tcPr>
          <w:p w14:paraId="688EBF36">
            <w:pPr>
              <w:pStyle w:val="780"/>
              <w:rPr>
                <w:rFonts w:eastAsia="等线"/>
                <w:color w:val="auto"/>
              </w:rPr>
            </w:pPr>
            <w:r>
              <w:rPr>
                <w:rFonts w:hint="eastAsia" w:eastAsia="等线"/>
                <w:color w:val="auto"/>
                <w:lang w:val="en-US" w:eastAsia="zh-CN"/>
              </w:rPr>
              <w:t>18.18</w:t>
            </w:r>
            <w:r>
              <w:rPr>
                <w:rFonts w:eastAsia="等线"/>
                <w:color w:val="auto"/>
              </w:rPr>
              <w:t>%</w:t>
            </w:r>
          </w:p>
        </w:tc>
        <w:tc>
          <w:tcPr>
            <w:tcW w:w="429" w:type="pct"/>
            <w:noWrap/>
            <w:vAlign w:val="center"/>
          </w:tcPr>
          <w:p w14:paraId="474A6038">
            <w:pPr>
              <w:pStyle w:val="780"/>
              <w:rPr>
                <w:rFonts w:hint="default" w:eastAsia="宋体"/>
                <w:color w:val="auto"/>
                <w:lang w:val="en-US" w:eastAsia="zh-CN"/>
              </w:rPr>
            </w:pPr>
            <w:r>
              <w:rPr>
                <w:rFonts w:hint="eastAsia"/>
                <w:color w:val="auto"/>
                <w:lang w:val="en-US" w:eastAsia="zh-CN"/>
              </w:rPr>
              <w:t>1.2</w:t>
            </w:r>
          </w:p>
        </w:tc>
        <w:tc>
          <w:tcPr>
            <w:tcW w:w="371" w:type="pct"/>
            <w:noWrap/>
            <w:vAlign w:val="center"/>
          </w:tcPr>
          <w:p w14:paraId="0B5A29E0">
            <w:pPr>
              <w:pStyle w:val="780"/>
              <w:jc w:val="center"/>
              <w:rPr>
                <w:rFonts w:hint="default" w:eastAsia="宋体"/>
                <w:color w:val="auto"/>
                <w:lang w:val="en-US" w:eastAsia="zh-CN"/>
              </w:rPr>
            </w:pPr>
            <w:r>
              <w:rPr>
                <w:rFonts w:hint="eastAsia"/>
                <w:color w:val="auto"/>
                <w:lang w:val="en-US" w:eastAsia="zh-CN"/>
              </w:rPr>
              <w:t>1.4</w:t>
            </w:r>
          </w:p>
        </w:tc>
        <w:tc>
          <w:tcPr>
            <w:tcW w:w="367" w:type="pct"/>
            <w:noWrap/>
            <w:vAlign w:val="center"/>
          </w:tcPr>
          <w:p w14:paraId="1D052E93">
            <w:pPr>
              <w:pStyle w:val="780"/>
              <w:rPr>
                <w:rFonts w:hint="default" w:eastAsia="等线"/>
                <w:color w:val="auto"/>
                <w:lang w:val="en-US" w:eastAsia="zh-CN"/>
              </w:rPr>
            </w:pPr>
            <w:r>
              <w:rPr>
                <w:rFonts w:hint="eastAsia" w:eastAsia="等线"/>
                <w:color w:val="auto"/>
                <w:lang w:val="en-US" w:eastAsia="zh-CN"/>
              </w:rPr>
              <w:t>1.3</w:t>
            </w:r>
          </w:p>
        </w:tc>
        <w:tc>
          <w:tcPr>
            <w:tcW w:w="698" w:type="pct"/>
            <w:vAlign w:val="center"/>
          </w:tcPr>
          <w:p w14:paraId="6AD879B8">
            <w:pPr>
              <w:pStyle w:val="780"/>
              <w:rPr>
                <w:rFonts w:eastAsia="等线"/>
                <w:color w:val="auto"/>
              </w:rPr>
            </w:pPr>
            <w:r>
              <w:rPr>
                <w:rFonts w:hint="eastAsia" w:eastAsia="等线"/>
                <w:color w:val="auto"/>
              </w:rPr>
              <w:t>0.9</w:t>
            </w:r>
          </w:p>
        </w:tc>
        <w:tc>
          <w:tcPr>
            <w:tcW w:w="673" w:type="pct"/>
            <w:noWrap/>
            <w:vAlign w:val="center"/>
          </w:tcPr>
          <w:p w14:paraId="0DC26A27">
            <w:pPr>
              <w:pStyle w:val="780"/>
              <w:rPr>
                <w:color w:val="auto"/>
              </w:rPr>
            </w:pPr>
            <w:r>
              <w:rPr>
                <w:color w:val="auto"/>
              </w:rPr>
              <w:t>否</w:t>
            </w:r>
          </w:p>
        </w:tc>
      </w:tr>
      <w:tr w14:paraId="12681A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1F372FEC">
            <w:pPr>
              <w:pStyle w:val="780"/>
              <w:rPr>
                <w:rFonts w:eastAsia="等线"/>
                <w:color w:val="auto"/>
              </w:rPr>
            </w:pPr>
          </w:p>
        </w:tc>
        <w:tc>
          <w:tcPr>
            <w:tcW w:w="849" w:type="pct"/>
            <w:vAlign w:val="center"/>
          </w:tcPr>
          <w:p w14:paraId="23364315">
            <w:pPr>
              <w:pStyle w:val="780"/>
              <w:rPr>
                <w:color w:val="auto"/>
              </w:rPr>
            </w:pPr>
            <w:r>
              <w:rPr>
                <w:color w:val="auto"/>
              </w:rPr>
              <w:t>1,1,1-三氯乙烷</w:t>
            </w:r>
          </w:p>
        </w:tc>
        <w:tc>
          <w:tcPr>
            <w:tcW w:w="495" w:type="pct"/>
            <w:noWrap/>
            <w:vAlign w:val="center"/>
          </w:tcPr>
          <w:p w14:paraId="73B84801">
            <w:pPr>
              <w:pStyle w:val="780"/>
              <w:rPr>
                <w:rFonts w:eastAsia="等线"/>
                <w:color w:val="auto"/>
              </w:rPr>
            </w:pPr>
            <w:r>
              <w:rPr>
                <w:rFonts w:eastAsia="等线"/>
                <w:color w:val="auto"/>
              </w:rPr>
              <w:t>1.3</w:t>
            </w:r>
          </w:p>
        </w:tc>
        <w:tc>
          <w:tcPr>
            <w:tcW w:w="391" w:type="pct"/>
            <w:vAlign w:val="center"/>
          </w:tcPr>
          <w:p w14:paraId="7FAF4439">
            <w:pPr>
              <w:pStyle w:val="780"/>
              <w:rPr>
                <w:color w:val="auto"/>
              </w:rPr>
            </w:pPr>
            <w:r>
              <w:rPr>
                <w:color w:val="auto"/>
              </w:rPr>
              <w:t>μg/kg</w:t>
            </w:r>
          </w:p>
        </w:tc>
        <w:tc>
          <w:tcPr>
            <w:tcW w:w="490" w:type="pct"/>
            <w:noWrap/>
            <w:vAlign w:val="center"/>
          </w:tcPr>
          <w:p w14:paraId="01D93446">
            <w:pPr>
              <w:pStyle w:val="780"/>
              <w:rPr>
                <w:rFonts w:eastAsia="等线"/>
                <w:color w:val="auto"/>
              </w:rPr>
            </w:pPr>
            <w:r>
              <w:rPr>
                <w:rFonts w:eastAsia="等线"/>
                <w:color w:val="auto"/>
              </w:rPr>
              <w:t>0%</w:t>
            </w:r>
          </w:p>
        </w:tc>
        <w:tc>
          <w:tcPr>
            <w:tcW w:w="429" w:type="pct"/>
            <w:noWrap/>
            <w:vAlign w:val="center"/>
          </w:tcPr>
          <w:p w14:paraId="04B714C2">
            <w:pPr>
              <w:jc w:val="center"/>
              <w:rPr>
                <w:color w:val="auto"/>
              </w:rPr>
            </w:pPr>
            <w:r>
              <w:rPr>
                <w:rFonts w:hint="eastAsia"/>
                <w:color w:val="auto"/>
                <w:lang w:val="en-US" w:eastAsia="zh-CN"/>
              </w:rPr>
              <w:t>/</w:t>
            </w:r>
          </w:p>
        </w:tc>
        <w:tc>
          <w:tcPr>
            <w:tcW w:w="371" w:type="pct"/>
            <w:noWrap/>
            <w:vAlign w:val="center"/>
          </w:tcPr>
          <w:p w14:paraId="7EA41A36">
            <w:pPr>
              <w:jc w:val="center"/>
              <w:rPr>
                <w:color w:val="auto"/>
              </w:rPr>
            </w:pPr>
            <w:r>
              <w:rPr>
                <w:rFonts w:hint="eastAsia"/>
                <w:color w:val="auto"/>
                <w:lang w:val="en-US" w:eastAsia="zh-CN"/>
              </w:rPr>
              <w:t>/</w:t>
            </w:r>
          </w:p>
        </w:tc>
        <w:tc>
          <w:tcPr>
            <w:tcW w:w="367" w:type="pct"/>
            <w:noWrap/>
            <w:vAlign w:val="center"/>
          </w:tcPr>
          <w:p w14:paraId="788E823D">
            <w:pPr>
              <w:jc w:val="center"/>
              <w:rPr>
                <w:rFonts w:eastAsia="等线"/>
                <w:color w:val="auto"/>
              </w:rPr>
            </w:pPr>
            <w:r>
              <w:rPr>
                <w:rFonts w:hint="eastAsia"/>
                <w:color w:val="auto"/>
                <w:lang w:val="en-US" w:eastAsia="zh-CN"/>
              </w:rPr>
              <w:t>/</w:t>
            </w:r>
          </w:p>
        </w:tc>
        <w:tc>
          <w:tcPr>
            <w:tcW w:w="698" w:type="pct"/>
            <w:vAlign w:val="center"/>
          </w:tcPr>
          <w:p w14:paraId="0E27602A">
            <w:pPr>
              <w:pStyle w:val="780"/>
              <w:rPr>
                <w:rFonts w:eastAsia="等线"/>
                <w:color w:val="auto"/>
              </w:rPr>
            </w:pPr>
            <w:r>
              <w:rPr>
                <w:rFonts w:hint="eastAsia" w:eastAsia="等线"/>
                <w:color w:val="auto"/>
              </w:rPr>
              <w:t>840</w:t>
            </w:r>
          </w:p>
        </w:tc>
        <w:tc>
          <w:tcPr>
            <w:tcW w:w="673" w:type="pct"/>
            <w:noWrap/>
            <w:vAlign w:val="center"/>
          </w:tcPr>
          <w:p w14:paraId="17A0E46E">
            <w:pPr>
              <w:pStyle w:val="780"/>
              <w:rPr>
                <w:color w:val="auto"/>
              </w:rPr>
            </w:pPr>
            <w:r>
              <w:rPr>
                <w:color w:val="auto"/>
              </w:rPr>
              <w:t>否</w:t>
            </w:r>
          </w:p>
        </w:tc>
      </w:tr>
      <w:tr w14:paraId="0D3C64E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EBFAA2D">
            <w:pPr>
              <w:pStyle w:val="780"/>
              <w:rPr>
                <w:rFonts w:eastAsia="等线"/>
                <w:color w:val="auto"/>
              </w:rPr>
            </w:pPr>
          </w:p>
        </w:tc>
        <w:tc>
          <w:tcPr>
            <w:tcW w:w="849" w:type="pct"/>
            <w:vAlign w:val="center"/>
          </w:tcPr>
          <w:p w14:paraId="59F044AE">
            <w:pPr>
              <w:pStyle w:val="780"/>
              <w:rPr>
                <w:color w:val="auto"/>
              </w:rPr>
            </w:pPr>
            <w:r>
              <w:rPr>
                <w:color w:val="auto"/>
              </w:rPr>
              <w:t>四氯化碳</w:t>
            </w:r>
          </w:p>
        </w:tc>
        <w:tc>
          <w:tcPr>
            <w:tcW w:w="495" w:type="pct"/>
            <w:noWrap/>
            <w:vAlign w:val="center"/>
          </w:tcPr>
          <w:p w14:paraId="7187BA39">
            <w:pPr>
              <w:pStyle w:val="780"/>
              <w:rPr>
                <w:rFonts w:eastAsia="等线"/>
                <w:color w:val="auto"/>
              </w:rPr>
            </w:pPr>
            <w:r>
              <w:rPr>
                <w:rFonts w:eastAsia="等线"/>
                <w:color w:val="auto"/>
              </w:rPr>
              <w:t>1.3</w:t>
            </w:r>
          </w:p>
        </w:tc>
        <w:tc>
          <w:tcPr>
            <w:tcW w:w="391" w:type="pct"/>
            <w:vAlign w:val="center"/>
          </w:tcPr>
          <w:p w14:paraId="7F0015F0">
            <w:pPr>
              <w:pStyle w:val="780"/>
              <w:rPr>
                <w:color w:val="auto"/>
              </w:rPr>
            </w:pPr>
            <w:r>
              <w:rPr>
                <w:color w:val="auto"/>
              </w:rPr>
              <w:t>μg/kg</w:t>
            </w:r>
          </w:p>
        </w:tc>
        <w:tc>
          <w:tcPr>
            <w:tcW w:w="490" w:type="pct"/>
            <w:noWrap/>
            <w:vAlign w:val="center"/>
          </w:tcPr>
          <w:p w14:paraId="4156947E">
            <w:pPr>
              <w:pStyle w:val="780"/>
              <w:rPr>
                <w:rFonts w:eastAsia="等线"/>
                <w:color w:val="auto"/>
              </w:rPr>
            </w:pPr>
            <w:r>
              <w:rPr>
                <w:rFonts w:eastAsia="等线"/>
                <w:color w:val="auto"/>
              </w:rPr>
              <w:t>0%</w:t>
            </w:r>
          </w:p>
        </w:tc>
        <w:tc>
          <w:tcPr>
            <w:tcW w:w="429" w:type="pct"/>
            <w:noWrap/>
            <w:vAlign w:val="center"/>
          </w:tcPr>
          <w:p w14:paraId="318B8CCD">
            <w:pPr>
              <w:jc w:val="center"/>
              <w:rPr>
                <w:color w:val="auto"/>
              </w:rPr>
            </w:pPr>
            <w:r>
              <w:rPr>
                <w:rFonts w:hint="eastAsia"/>
                <w:color w:val="auto"/>
                <w:lang w:val="en-US" w:eastAsia="zh-CN"/>
              </w:rPr>
              <w:t>/</w:t>
            </w:r>
          </w:p>
        </w:tc>
        <w:tc>
          <w:tcPr>
            <w:tcW w:w="371" w:type="pct"/>
            <w:noWrap/>
            <w:vAlign w:val="center"/>
          </w:tcPr>
          <w:p w14:paraId="51A564F2">
            <w:pPr>
              <w:jc w:val="center"/>
              <w:rPr>
                <w:color w:val="auto"/>
              </w:rPr>
            </w:pPr>
            <w:r>
              <w:rPr>
                <w:rFonts w:hint="eastAsia"/>
                <w:color w:val="auto"/>
                <w:lang w:val="en-US" w:eastAsia="zh-CN"/>
              </w:rPr>
              <w:t>/</w:t>
            </w:r>
          </w:p>
        </w:tc>
        <w:tc>
          <w:tcPr>
            <w:tcW w:w="367" w:type="pct"/>
            <w:noWrap/>
            <w:vAlign w:val="center"/>
          </w:tcPr>
          <w:p w14:paraId="511E74E6">
            <w:pPr>
              <w:jc w:val="center"/>
              <w:rPr>
                <w:rFonts w:eastAsia="等线"/>
                <w:color w:val="auto"/>
              </w:rPr>
            </w:pPr>
            <w:r>
              <w:rPr>
                <w:rFonts w:hint="eastAsia"/>
                <w:color w:val="auto"/>
                <w:lang w:val="en-US" w:eastAsia="zh-CN"/>
              </w:rPr>
              <w:t>/</w:t>
            </w:r>
          </w:p>
        </w:tc>
        <w:tc>
          <w:tcPr>
            <w:tcW w:w="698" w:type="pct"/>
            <w:vAlign w:val="center"/>
          </w:tcPr>
          <w:p w14:paraId="1877855B">
            <w:pPr>
              <w:pStyle w:val="780"/>
              <w:rPr>
                <w:rFonts w:eastAsia="等线"/>
                <w:color w:val="auto"/>
              </w:rPr>
            </w:pPr>
            <w:r>
              <w:rPr>
                <w:rFonts w:hint="eastAsia" w:eastAsia="等线"/>
                <w:color w:val="auto"/>
              </w:rPr>
              <w:t>2.8</w:t>
            </w:r>
          </w:p>
        </w:tc>
        <w:tc>
          <w:tcPr>
            <w:tcW w:w="673" w:type="pct"/>
            <w:noWrap/>
            <w:vAlign w:val="center"/>
          </w:tcPr>
          <w:p w14:paraId="3C43B9D1">
            <w:pPr>
              <w:pStyle w:val="780"/>
              <w:rPr>
                <w:color w:val="auto"/>
              </w:rPr>
            </w:pPr>
            <w:r>
              <w:rPr>
                <w:color w:val="auto"/>
              </w:rPr>
              <w:t>否</w:t>
            </w:r>
          </w:p>
        </w:tc>
      </w:tr>
      <w:tr w14:paraId="26C66F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60F729C3">
            <w:pPr>
              <w:pStyle w:val="780"/>
              <w:rPr>
                <w:rFonts w:eastAsia="等线"/>
                <w:color w:val="auto"/>
              </w:rPr>
            </w:pPr>
          </w:p>
        </w:tc>
        <w:tc>
          <w:tcPr>
            <w:tcW w:w="849" w:type="pct"/>
            <w:vAlign w:val="center"/>
          </w:tcPr>
          <w:p w14:paraId="0509FAC1">
            <w:pPr>
              <w:pStyle w:val="780"/>
              <w:rPr>
                <w:color w:val="auto"/>
              </w:rPr>
            </w:pPr>
            <w:r>
              <w:rPr>
                <w:color w:val="auto"/>
              </w:rPr>
              <w:t>苯</w:t>
            </w:r>
          </w:p>
        </w:tc>
        <w:tc>
          <w:tcPr>
            <w:tcW w:w="495" w:type="pct"/>
            <w:noWrap/>
            <w:vAlign w:val="center"/>
          </w:tcPr>
          <w:p w14:paraId="6AE57A94">
            <w:pPr>
              <w:pStyle w:val="780"/>
              <w:rPr>
                <w:rFonts w:eastAsia="等线"/>
                <w:color w:val="auto"/>
              </w:rPr>
            </w:pPr>
            <w:r>
              <w:rPr>
                <w:rFonts w:eastAsia="等线"/>
                <w:color w:val="auto"/>
              </w:rPr>
              <w:t>1.9</w:t>
            </w:r>
          </w:p>
        </w:tc>
        <w:tc>
          <w:tcPr>
            <w:tcW w:w="391" w:type="pct"/>
            <w:vAlign w:val="center"/>
          </w:tcPr>
          <w:p w14:paraId="009C7003">
            <w:pPr>
              <w:pStyle w:val="780"/>
              <w:rPr>
                <w:color w:val="auto"/>
              </w:rPr>
            </w:pPr>
            <w:r>
              <w:rPr>
                <w:color w:val="auto"/>
              </w:rPr>
              <w:t>μg/kg</w:t>
            </w:r>
          </w:p>
        </w:tc>
        <w:tc>
          <w:tcPr>
            <w:tcW w:w="490" w:type="pct"/>
            <w:noWrap/>
            <w:vAlign w:val="center"/>
          </w:tcPr>
          <w:p w14:paraId="0C81DA77">
            <w:pPr>
              <w:pStyle w:val="780"/>
              <w:rPr>
                <w:rFonts w:eastAsia="等线"/>
                <w:color w:val="auto"/>
              </w:rPr>
            </w:pPr>
            <w:r>
              <w:rPr>
                <w:rFonts w:eastAsia="等线"/>
                <w:color w:val="auto"/>
              </w:rPr>
              <w:t>0%</w:t>
            </w:r>
          </w:p>
        </w:tc>
        <w:tc>
          <w:tcPr>
            <w:tcW w:w="429" w:type="pct"/>
            <w:noWrap/>
            <w:vAlign w:val="center"/>
          </w:tcPr>
          <w:p w14:paraId="6CA6C39F">
            <w:pPr>
              <w:jc w:val="center"/>
              <w:rPr>
                <w:color w:val="auto"/>
              </w:rPr>
            </w:pPr>
            <w:r>
              <w:rPr>
                <w:rFonts w:hint="eastAsia"/>
                <w:color w:val="auto"/>
                <w:lang w:val="en-US" w:eastAsia="zh-CN"/>
              </w:rPr>
              <w:t>/</w:t>
            </w:r>
          </w:p>
        </w:tc>
        <w:tc>
          <w:tcPr>
            <w:tcW w:w="371" w:type="pct"/>
            <w:noWrap/>
            <w:vAlign w:val="center"/>
          </w:tcPr>
          <w:p w14:paraId="54AB9F89">
            <w:pPr>
              <w:jc w:val="center"/>
              <w:rPr>
                <w:color w:val="auto"/>
              </w:rPr>
            </w:pPr>
            <w:r>
              <w:rPr>
                <w:rFonts w:hint="eastAsia"/>
                <w:color w:val="auto"/>
                <w:lang w:val="en-US" w:eastAsia="zh-CN"/>
              </w:rPr>
              <w:t>/</w:t>
            </w:r>
          </w:p>
        </w:tc>
        <w:tc>
          <w:tcPr>
            <w:tcW w:w="367" w:type="pct"/>
            <w:noWrap/>
            <w:vAlign w:val="center"/>
          </w:tcPr>
          <w:p w14:paraId="57143B3C">
            <w:pPr>
              <w:jc w:val="center"/>
              <w:rPr>
                <w:rFonts w:eastAsia="等线"/>
                <w:color w:val="auto"/>
              </w:rPr>
            </w:pPr>
            <w:r>
              <w:rPr>
                <w:rFonts w:hint="eastAsia"/>
                <w:color w:val="auto"/>
                <w:lang w:val="en-US" w:eastAsia="zh-CN"/>
              </w:rPr>
              <w:t>/</w:t>
            </w:r>
          </w:p>
        </w:tc>
        <w:tc>
          <w:tcPr>
            <w:tcW w:w="698" w:type="pct"/>
            <w:vAlign w:val="center"/>
          </w:tcPr>
          <w:p w14:paraId="3E315F4A">
            <w:pPr>
              <w:pStyle w:val="780"/>
              <w:rPr>
                <w:rFonts w:eastAsia="等线"/>
                <w:color w:val="auto"/>
              </w:rPr>
            </w:pPr>
            <w:r>
              <w:rPr>
                <w:rFonts w:hint="eastAsia" w:eastAsia="等线"/>
                <w:color w:val="auto"/>
              </w:rPr>
              <w:t>4</w:t>
            </w:r>
          </w:p>
        </w:tc>
        <w:tc>
          <w:tcPr>
            <w:tcW w:w="673" w:type="pct"/>
            <w:noWrap/>
            <w:vAlign w:val="center"/>
          </w:tcPr>
          <w:p w14:paraId="07216258">
            <w:pPr>
              <w:pStyle w:val="780"/>
              <w:rPr>
                <w:color w:val="auto"/>
              </w:rPr>
            </w:pPr>
            <w:r>
              <w:rPr>
                <w:color w:val="auto"/>
              </w:rPr>
              <w:t>否</w:t>
            </w:r>
          </w:p>
        </w:tc>
      </w:tr>
      <w:tr w14:paraId="6A426C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25BF077F">
            <w:pPr>
              <w:pStyle w:val="780"/>
              <w:rPr>
                <w:rFonts w:eastAsia="等线"/>
                <w:color w:val="auto"/>
              </w:rPr>
            </w:pPr>
          </w:p>
        </w:tc>
        <w:tc>
          <w:tcPr>
            <w:tcW w:w="849" w:type="pct"/>
            <w:vAlign w:val="center"/>
          </w:tcPr>
          <w:p w14:paraId="2C8F572C">
            <w:pPr>
              <w:pStyle w:val="780"/>
              <w:rPr>
                <w:color w:val="auto"/>
              </w:rPr>
            </w:pPr>
            <w:r>
              <w:rPr>
                <w:color w:val="auto"/>
              </w:rPr>
              <w:t>1,2-二氯乙烷</w:t>
            </w:r>
          </w:p>
        </w:tc>
        <w:tc>
          <w:tcPr>
            <w:tcW w:w="495" w:type="pct"/>
            <w:noWrap/>
            <w:vAlign w:val="center"/>
          </w:tcPr>
          <w:p w14:paraId="12100A21">
            <w:pPr>
              <w:pStyle w:val="780"/>
              <w:rPr>
                <w:rFonts w:eastAsia="等线"/>
                <w:color w:val="auto"/>
              </w:rPr>
            </w:pPr>
            <w:r>
              <w:rPr>
                <w:rFonts w:eastAsia="等线"/>
                <w:color w:val="auto"/>
              </w:rPr>
              <w:t>1.3</w:t>
            </w:r>
          </w:p>
        </w:tc>
        <w:tc>
          <w:tcPr>
            <w:tcW w:w="391" w:type="pct"/>
            <w:vAlign w:val="center"/>
          </w:tcPr>
          <w:p w14:paraId="0C6150FC">
            <w:pPr>
              <w:pStyle w:val="780"/>
              <w:rPr>
                <w:color w:val="auto"/>
              </w:rPr>
            </w:pPr>
            <w:r>
              <w:rPr>
                <w:color w:val="auto"/>
              </w:rPr>
              <w:t>μg/kg</w:t>
            </w:r>
          </w:p>
        </w:tc>
        <w:tc>
          <w:tcPr>
            <w:tcW w:w="490" w:type="pct"/>
            <w:noWrap/>
            <w:vAlign w:val="center"/>
          </w:tcPr>
          <w:p w14:paraId="0C6C817B">
            <w:pPr>
              <w:pStyle w:val="780"/>
              <w:rPr>
                <w:rFonts w:eastAsia="等线"/>
                <w:color w:val="auto"/>
              </w:rPr>
            </w:pPr>
            <w:r>
              <w:rPr>
                <w:rFonts w:eastAsia="等线"/>
                <w:color w:val="auto"/>
              </w:rPr>
              <w:t>0%</w:t>
            </w:r>
          </w:p>
        </w:tc>
        <w:tc>
          <w:tcPr>
            <w:tcW w:w="429" w:type="pct"/>
            <w:noWrap/>
            <w:vAlign w:val="center"/>
          </w:tcPr>
          <w:p w14:paraId="39B00C6C">
            <w:pPr>
              <w:jc w:val="center"/>
              <w:rPr>
                <w:color w:val="auto"/>
              </w:rPr>
            </w:pPr>
            <w:r>
              <w:rPr>
                <w:rFonts w:hint="eastAsia"/>
                <w:color w:val="auto"/>
                <w:lang w:val="en-US" w:eastAsia="zh-CN"/>
              </w:rPr>
              <w:t>/</w:t>
            </w:r>
          </w:p>
        </w:tc>
        <w:tc>
          <w:tcPr>
            <w:tcW w:w="371" w:type="pct"/>
            <w:noWrap/>
            <w:vAlign w:val="center"/>
          </w:tcPr>
          <w:p w14:paraId="31D962AD">
            <w:pPr>
              <w:jc w:val="center"/>
              <w:rPr>
                <w:color w:val="auto"/>
              </w:rPr>
            </w:pPr>
            <w:r>
              <w:rPr>
                <w:rFonts w:hint="eastAsia"/>
                <w:color w:val="auto"/>
                <w:lang w:val="en-US" w:eastAsia="zh-CN"/>
              </w:rPr>
              <w:t>/</w:t>
            </w:r>
          </w:p>
        </w:tc>
        <w:tc>
          <w:tcPr>
            <w:tcW w:w="367" w:type="pct"/>
            <w:noWrap/>
            <w:vAlign w:val="center"/>
          </w:tcPr>
          <w:p w14:paraId="7BAB5FB6">
            <w:pPr>
              <w:jc w:val="center"/>
              <w:rPr>
                <w:rFonts w:eastAsia="等线"/>
                <w:color w:val="auto"/>
              </w:rPr>
            </w:pPr>
            <w:r>
              <w:rPr>
                <w:rFonts w:hint="eastAsia"/>
                <w:color w:val="auto"/>
                <w:lang w:val="en-US" w:eastAsia="zh-CN"/>
              </w:rPr>
              <w:t>/</w:t>
            </w:r>
          </w:p>
        </w:tc>
        <w:tc>
          <w:tcPr>
            <w:tcW w:w="698" w:type="pct"/>
            <w:vAlign w:val="center"/>
          </w:tcPr>
          <w:p w14:paraId="7883B34A">
            <w:pPr>
              <w:pStyle w:val="780"/>
              <w:rPr>
                <w:rFonts w:eastAsia="等线"/>
                <w:color w:val="auto"/>
              </w:rPr>
            </w:pPr>
            <w:r>
              <w:rPr>
                <w:rFonts w:hint="eastAsia" w:eastAsia="等线"/>
                <w:color w:val="auto"/>
              </w:rPr>
              <w:t>5</w:t>
            </w:r>
          </w:p>
        </w:tc>
        <w:tc>
          <w:tcPr>
            <w:tcW w:w="673" w:type="pct"/>
            <w:noWrap/>
            <w:vAlign w:val="center"/>
          </w:tcPr>
          <w:p w14:paraId="6F82068E">
            <w:pPr>
              <w:pStyle w:val="780"/>
              <w:rPr>
                <w:color w:val="auto"/>
              </w:rPr>
            </w:pPr>
            <w:r>
              <w:rPr>
                <w:color w:val="auto"/>
              </w:rPr>
              <w:t>否</w:t>
            </w:r>
          </w:p>
        </w:tc>
      </w:tr>
      <w:tr w14:paraId="3F7D0D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1143686E">
            <w:pPr>
              <w:pStyle w:val="780"/>
              <w:rPr>
                <w:rFonts w:eastAsia="等线"/>
                <w:color w:val="auto"/>
              </w:rPr>
            </w:pPr>
          </w:p>
        </w:tc>
        <w:tc>
          <w:tcPr>
            <w:tcW w:w="849" w:type="pct"/>
            <w:vAlign w:val="center"/>
          </w:tcPr>
          <w:p w14:paraId="6209EC1F">
            <w:pPr>
              <w:pStyle w:val="780"/>
              <w:rPr>
                <w:color w:val="auto"/>
              </w:rPr>
            </w:pPr>
            <w:r>
              <w:rPr>
                <w:color w:val="auto"/>
              </w:rPr>
              <w:t>三氯乙烯</w:t>
            </w:r>
          </w:p>
        </w:tc>
        <w:tc>
          <w:tcPr>
            <w:tcW w:w="495" w:type="pct"/>
            <w:noWrap/>
            <w:vAlign w:val="center"/>
          </w:tcPr>
          <w:p w14:paraId="31B448E4">
            <w:pPr>
              <w:pStyle w:val="780"/>
              <w:rPr>
                <w:rFonts w:eastAsia="等线"/>
                <w:color w:val="auto"/>
              </w:rPr>
            </w:pPr>
            <w:r>
              <w:rPr>
                <w:rFonts w:eastAsia="等线"/>
                <w:color w:val="auto"/>
              </w:rPr>
              <w:t>1.2</w:t>
            </w:r>
          </w:p>
        </w:tc>
        <w:tc>
          <w:tcPr>
            <w:tcW w:w="391" w:type="pct"/>
            <w:vAlign w:val="center"/>
          </w:tcPr>
          <w:p w14:paraId="6C5D0E52">
            <w:pPr>
              <w:pStyle w:val="780"/>
              <w:rPr>
                <w:color w:val="auto"/>
              </w:rPr>
            </w:pPr>
            <w:r>
              <w:rPr>
                <w:color w:val="auto"/>
              </w:rPr>
              <w:t>μg/kg</w:t>
            </w:r>
          </w:p>
        </w:tc>
        <w:tc>
          <w:tcPr>
            <w:tcW w:w="490" w:type="pct"/>
            <w:noWrap/>
            <w:vAlign w:val="center"/>
          </w:tcPr>
          <w:p w14:paraId="48FB422B">
            <w:pPr>
              <w:pStyle w:val="780"/>
              <w:rPr>
                <w:rFonts w:eastAsia="等线"/>
                <w:color w:val="auto"/>
              </w:rPr>
            </w:pPr>
            <w:r>
              <w:rPr>
                <w:rFonts w:eastAsia="等线"/>
                <w:color w:val="auto"/>
              </w:rPr>
              <w:t>0%</w:t>
            </w:r>
          </w:p>
        </w:tc>
        <w:tc>
          <w:tcPr>
            <w:tcW w:w="429" w:type="pct"/>
            <w:noWrap/>
            <w:vAlign w:val="center"/>
          </w:tcPr>
          <w:p w14:paraId="6A26587D">
            <w:pPr>
              <w:jc w:val="center"/>
              <w:rPr>
                <w:color w:val="auto"/>
              </w:rPr>
            </w:pPr>
            <w:r>
              <w:rPr>
                <w:rFonts w:hint="eastAsia"/>
                <w:color w:val="auto"/>
                <w:lang w:val="en-US" w:eastAsia="zh-CN"/>
              </w:rPr>
              <w:t>/</w:t>
            </w:r>
          </w:p>
        </w:tc>
        <w:tc>
          <w:tcPr>
            <w:tcW w:w="371" w:type="pct"/>
            <w:noWrap/>
            <w:vAlign w:val="center"/>
          </w:tcPr>
          <w:p w14:paraId="5C1DB0B0">
            <w:pPr>
              <w:jc w:val="center"/>
              <w:rPr>
                <w:color w:val="auto"/>
              </w:rPr>
            </w:pPr>
            <w:r>
              <w:rPr>
                <w:rFonts w:hint="eastAsia"/>
                <w:color w:val="auto"/>
                <w:lang w:val="en-US" w:eastAsia="zh-CN"/>
              </w:rPr>
              <w:t>/</w:t>
            </w:r>
          </w:p>
        </w:tc>
        <w:tc>
          <w:tcPr>
            <w:tcW w:w="367" w:type="pct"/>
            <w:noWrap/>
            <w:vAlign w:val="center"/>
          </w:tcPr>
          <w:p w14:paraId="7A1044BF">
            <w:pPr>
              <w:jc w:val="center"/>
              <w:rPr>
                <w:rFonts w:eastAsia="等线"/>
                <w:color w:val="auto"/>
              </w:rPr>
            </w:pPr>
            <w:r>
              <w:rPr>
                <w:rFonts w:hint="eastAsia"/>
                <w:color w:val="auto"/>
                <w:lang w:val="en-US" w:eastAsia="zh-CN"/>
              </w:rPr>
              <w:t>/</w:t>
            </w:r>
          </w:p>
        </w:tc>
        <w:tc>
          <w:tcPr>
            <w:tcW w:w="698" w:type="pct"/>
            <w:vAlign w:val="center"/>
          </w:tcPr>
          <w:p w14:paraId="5D2A5A68">
            <w:pPr>
              <w:pStyle w:val="780"/>
              <w:rPr>
                <w:rFonts w:eastAsia="等线"/>
                <w:color w:val="auto"/>
              </w:rPr>
            </w:pPr>
            <w:r>
              <w:rPr>
                <w:rFonts w:hint="eastAsia" w:eastAsia="等线"/>
                <w:color w:val="auto"/>
              </w:rPr>
              <w:t>2.8</w:t>
            </w:r>
          </w:p>
        </w:tc>
        <w:tc>
          <w:tcPr>
            <w:tcW w:w="673" w:type="pct"/>
            <w:noWrap/>
            <w:vAlign w:val="center"/>
          </w:tcPr>
          <w:p w14:paraId="3CDB2DE9">
            <w:pPr>
              <w:pStyle w:val="780"/>
              <w:rPr>
                <w:color w:val="auto"/>
              </w:rPr>
            </w:pPr>
            <w:r>
              <w:rPr>
                <w:color w:val="auto"/>
              </w:rPr>
              <w:t>否</w:t>
            </w:r>
          </w:p>
        </w:tc>
      </w:tr>
      <w:tr w14:paraId="1F6009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B712BC8">
            <w:pPr>
              <w:pStyle w:val="780"/>
              <w:rPr>
                <w:rFonts w:eastAsia="等线"/>
                <w:color w:val="auto"/>
              </w:rPr>
            </w:pPr>
          </w:p>
        </w:tc>
        <w:tc>
          <w:tcPr>
            <w:tcW w:w="849" w:type="pct"/>
            <w:vAlign w:val="center"/>
          </w:tcPr>
          <w:p w14:paraId="7FA97CF5">
            <w:pPr>
              <w:pStyle w:val="780"/>
              <w:rPr>
                <w:color w:val="auto"/>
              </w:rPr>
            </w:pPr>
            <w:r>
              <w:rPr>
                <w:color w:val="auto"/>
              </w:rPr>
              <w:t>1,2-二氯丙烷</w:t>
            </w:r>
          </w:p>
        </w:tc>
        <w:tc>
          <w:tcPr>
            <w:tcW w:w="495" w:type="pct"/>
            <w:noWrap/>
            <w:vAlign w:val="center"/>
          </w:tcPr>
          <w:p w14:paraId="242BB306">
            <w:pPr>
              <w:pStyle w:val="780"/>
              <w:rPr>
                <w:rFonts w:eastAsia="等线"/>
                <w:color w:val="auto"/>
              </w:rPr>
            </w:pPr>
            <w:r>
              <w:rPr>
                <w:rFonts w:eastAsia="等线"/>
                <w:color w:val="auto"/>
              </w:rPr>
              <w:t>1.1</w:t>
            </w:r>
          </w:p>
        </w:tc>
        <w:tc>
          <w:tcPr>
            <w:tcW w:w="391" w:type="pct"/>
            <w:vAlign w:val="center"/>
          </w:tcPr>
          <w:p w14:paraId="3B7FB5F0">
            <w:pPr>
              <w:pStyle w:val="780"/>
              <w:rPr>
                <w:color w:val="auto"/>
              </w:rPr>
            </w:pPr>
            <w:r>
              <w:rPr>
                <w:color w:val="auto"/>
              </w:rPr>
              <w:t>μg/kg</w:t>
            </w:r>
          </w:p>
        </w:tc>
        <w:tc>
          <w:tcPr>
            <w:tcW w:w="490" w:type="pct"/>
            <w:noWrap/>
            <w:vAlign w:val="center"/>
          </w:tcPr>
          <w:p w14:paraId="2D7379FA">
            <w:pPr>
              <w:pStyle w:val="780"/>
              <w:rPr>
                <w:rFonts w:eastAsia="等线"/>
                <w:color w:val="auto"/>
              </w:rPr>
            </w:pPr>
            <w:r>
              <w:rPr>
                <w:rFonts w:eastAsia="等线"/>
                <w:color w:val="auto"/>
              </w:rPr>
              <w:t>0%</w:t>
            </w:r>
          </w:p>
        </w:tc>
        <w:tc>
          <w:tcPr>
            <w:tcW w:w="429" w:type="pct"/>
            <w:noWrap/>
            <w:vAlign w:val="center"/>
          </w:tcPr>
          <w:p w14:paraId="421B31BB">
            <w:pPr>
              <w:jc w:val="center"/>
              <w:rPr>
                <w:color w:val="auto"/>
              </w:rPr>
            </w:pPr>
            <w:r>
              <w:rPr>
                <w:rFonts w:hint="eastAsia"/>
                <w:color w:val="auto"/>
                <w:lang w:val="en-US" w:eastAsia="zh-CN"/>
              </w:rPr>
              <w:t>/</w:t>
            </w:r>
          </w:p>
        </w:tc>
        <w:tc>
          <w:tcPr>
            <w:tcW w:w="371" w:type="pct"/>
            <w:noWrap/>
            <w:vAlign w:val="center"/>
          </w:tcPr>
          <w:p w14:paraId="284F9878">
            <w:pPr>
              <w:jc w:val="center"/>
              <w:rPr>
                <w:color w:val="auto"/>
              </w:rPr>
            </w:pPr>
            <w:r>
              <w:rPr>
                <w:rFonts w:hint="eastAsia"/>
                <w:color w:val="auto"/>
                <w:lang w:val="en-US" w:eastAsia="zh-CN"/>
              </w:rPr>
              <w:t>/</w:t>
            </w:r>
          </w:p>
        </w:tc>
        <w:tc>
          <w:tcPr>
            <w:tcW w:w="367" w:type="pct"/>
            <w:noWrap/>
            <w:vAlign w:val="center"/>
          </w:tcPr>
          <w:p w14:paraId="1098FCA7">
            <w:pPr>
              <w:jc w:val="center"/>
              <w:rPr>
                <w:rFonts w:eastAsia="等线"/>
                <w:color w:val="auto"/>
              </w:rPr>
            </w:pPr>
            <w:r>
              <w:rPr>
                <w:rFonts w:hint="eastAsia"/>
                <w:color w:val="auto"/>
                <w:lang w:val="en-US" w:eastAsia="zh-CN"/>
              </w:rPr>
              <w:t>/</w:t>
            </w:r>
          </w:p>
        </w:tc>
        <w:tc>
          <w:tcPr>
            <w:tcW w:w="698" w:type="pct"/>
            <w:vAlign w:val="center"/>
          </w:tcPr>
          <w:p w14:paraId="582149F7">
            <w:pPr>
              <w:pStyle w:val="780"/>
              <w:rPr>
                <w:rFonts w:eastAsia="等线"/>
                <w:color w:val="auto"/>
              </w:rPr>
            </w:pPr>
            <w:r>
              <w:rPr>
                <w:rFonts w:hint="eastAsia" w:eastAsia="等线"/>
                <w:color w:val="auto"/>
              </w:rPr>
              <w:t>5</w:t>
            </w:r>
          </w:p>
        </w:tc>
        <w:tc>
          <w:tcPr>
            <w:tcW w:w="673" w:type="pct"/>
            <w:noWrap/>
            <w:vAlign w:val="center"/>
          </w:tcPr>
          <w:p w14:paraId="101F6485">
            <w:pPr>
              <w:pStyle w:val="780"/>
              <w:rPr>
                <w:color w:val="auto"/>
              </w:rPr>
            </w:pPr>
            <w:r>
              <w:rPr>
                <w:color w:val="auto"/>
              </w:rPr>
              <w:t>否</w:t>
            </w:r>
          </w:p>
        </w:tc>
      </w:tr>
      <w:tr w14:paraId="1F45F0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42537CAA">
            <w:pPr>
              <w:pStyle w:val="780"/>
              <w:rPr>
                <w:rFonts w:eastAsia="等线"/>
                <w:color w:val="auto"/>
              </w:rPr>
            </w:pPr>
          </w:p>
        </w:tc>
        <w:tc>
          <w:tcPr>
            <w:tcW w:w="849" w:type="pct"/>
            <w:vAlign w:val="center"/>
          </w:tcPr>
          <w:p w14:paraId="17E25DBA">
            <w:pPr>
              <w:pStyle w:val="780"/>
              <w:rPr>
                <w:color w:val="auto"/>
              </w:rPr>
            </w:pPr>
            <w:r>
              <w:rPr>
                <w:color w:val="auto"/>
              </w:rPr>
              <w:t>甲苯</w:t>
            </w:r>
          </w:p>
        </w:tc>
        <w:tc>
          <w:tcPr>
            <w:tcW w:w="495" w:type="pct"/>
            <w:noWrap/>
            <w:vAlign w:val="center"/>
          </w:tcPr>
          <w:p w14:paraId="6232657C">
            <w:pPr>
              <w:pStyle w:val="780"/>
              <w:rPr>
                <w:rFonts w:eastAsia="等线"/>
                <w:color w:val="auto"/>
              </w:rPr>
            </w:pPr>
            <w:r>
              <w:rPr>
                <w:rFonts w:eastAsia="等线"/>
                <w:color w:val="auto"/>
              </w:rPr>
              <w:t>1.3</w:t>
            </w:r>
          </w:p>
        </w:tc>
        <w:tc>
          <w:tcPr>
            <w:tcW w:w="391" w:type="pct"/>
            <w:vAlign w:val="center"/>
          </w:tcPr>
          <w:p w14:paraId="426C39BD">
            <w:pPr>
              <w:pStyle w:val="780"/>
              <w:rPr>
                <w:color w:val="auto"/>
              </w:rPr>
            </w:pPr>
            <w:r>
              <w:rPr>
                <w:color w:val="auto"/>
              </w:rPr>
              <w:t>μg/kg</w:t>
            </w:r>
          </w:p>
        </w:tc>
        <w:tc>
          <w:tcPr>
            <w:tcW w:w="490" w:type="pct"/>
            <w:noWrap/>
            <w:vAlign w:val="center"/>
          </w:tcPr>
          <w:p w14:paraId="4CEFCC85">
            <w:pPr>
              <w:pStyle w:val="780"/>
              <w:rPr>
                <w:rFonts w:eastAsia="等线"/>
                <w:color w:val="auto"/>
              </w:rPr>
            </w:pPr>
            <w:r>
              <w:rPr>
                <w:rFonts w:eastAsia="等线"/>
                <w:color w:val="auto"/>
              </w:rPr>
              <w:t>0%</w:t>
            </w:r>
          </w:p>
        </w:tc>
        <w:tc>
          <w:tcPr>
            <w:tcW w:w="429" w:type="pct"/>
            <w:noWrap/>
            <w:vAlign w:val="center"/>
          </w:tcPr>
          <w:p w14:paraId="2685E163">
            <w:pPr>
              <w:jc w:val="center"/>
              <w:rPr>
                <w:rFonts w:eastAsia="等线"/>
                <w:color w:val="auto"/>
              </w:rPr>
            </w:pPr>
            <w:r>
              <w:rPr>
                <w:rFonts w:hint="eastAsia"/>
                <w:color w:val="auto"/>
                <w:lang w:val="en-US" w:eastAsia="zh-CN"/>
              </w:rPr>
              <w:t>/</w:t>
            </w:r>
          </w:p>
        </w:tc>
        <w:tc>
          <w:tcPr>
            <w:tcW w:w="371" w:type="pct"/>
            <w:noWrap/>
            <w:vAlign w:val="center"/>
          </w:tcPr>
          <w:p w14:paraId="792448FC">
            <w:pPr>
              <w:jc w:val="center"/>
              <w:rPr>
                <w:rFonts w:eastAsia="等线"/>
                <w:color w:val="auto"/>
              </w:rPr>
            </w:pPr>
            <w:r>
              <w:rPr>
                <w:rFonts w:hint="eastAsia"/>
                <w:color w:val="auto"/>
                <w:lang w:val="en-US" w:eastAsia="zh-CN"/>
              </w:rPr>
              <w:t>/</w:t>
            </w:r>
          </w:p>
        </w:tc>
        <w:tc>
          <w:tcPr>
            <w:tcW w:w="367" w:type="pct"/>
            <w:noWrap/>
            <w:vAlign w:val="center"/>
          </w:tcPr>
          <w:p w14:paraId="0010EA54">
            <w:pPr>
              <w:jc w:val="center"/>
              <w:rPr>
                <w:rFonts w:eastAsia="等线"/>
                <w:color w:val="auto"/>
              </w:rPr>
            </w:pPr>
            <w:r>
              <w:rPr>
                <w:rFonts w:hint="eastAsia"/>
                <w:color w:val="auto"/>
                <w:lang w:val="en-US" w:eastAsia="zh-CN"/>
              </w:rPr>
              <w:t>/</w:t>
            </w:r>
          </w:p>
        </w:tc>
        <w:tc>
          <w:tcPr>
            <w:tcW w:w="698" w:type="pct"/>
            <w:vAlign w:val="center"/>
          </w:tcPr>
          <w:p w14:paraId="23FA58E2">
            <w:pPr>
              <w:pStyle w:val="780"/>
              <w:rPr>
                <w:rFonts w:eastAsia="等线"/>
                <w:color w:val="auto"/>
              </w:rPr>
            </w:pPr>
            <w:r>
              <w:rPr>
                <w:rFonts w:hint="eastAsia" w:eastAsia="等线"/>
                <w:color w:val="auto"/>
              </w:rPr>
              <w:t>1200</w:t>
            </w:r>
          </w:p>
        </w:tc>
        <w:tc>
          <w:tcPr>
            <w:tcW w:w="673" w:type="pct"/>
            <w:noWrap/>
            <w:vAlign w:val="center"/>
          </w:tcPr>
          <w:p w14:paraId="56308AB4">
            <w:pPr>
              <w:pStyle w:val="780"/>
              <w:rPr>
                <w:color w:val="auto"/>
              </w:rPr>
            </w:pPr>
            <w:r>
              <w:rPr>
                <w:color w:val="auto"/>
              </w:rPr>
              <w:t>否</w:t>
            </w:r>
          </w:p>
        </w:tc>
      </w:tr>
      <w:tr w14:paraId="30A25C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591A32E6">
            <w:pPr>
              <w:pStyle w:val="780"/>
              <w:rPr>
                <w:rFonts w:eastAsia="等线"/>
                <w:color w:val="auto"/>
              </w:rPr>
            </w:pPr>
          </w:p>
        </w:tc>
        <w:tc>
          <w:tcPr>
            <w:tcW w:w="849" w:type="pct"/>
            <w:vAlign w:val="center"/>
          </w:tcPr>
          <w:p w14:paraId="5D1F86A2">
            <w:pPr>
              <w:pStyle w:val="780"/>
              <w:rPr>
                <w:color w:val="auto"/>
              </w:rPr>
            </w:pPr>
            <w:r>
              <w:rPr>
                <w:color w:val="auto"/>
              </w:rPr>
              <w:t>1,1,2-三氯乙烷</w:t>
            </w:r>
          </w:p>
        </w:tc>
        <w:tc>
          <w:tcPr>
            <w:tcW w:w="495" w:type="pct"/>
            <w:noWrap/>
            <w:vAlign w:val="center"/>
          </w:tcPr>
          <w:p w14:paraId="1D7CCFF8">
            <w:pPr>
              <w:pStyle w:val="780"/>
              <w:rPr>
                <w:rFonts w:eastAsia="等线"/>
                <w:color w:val="auto"/>
              </w:rPr>
            </w:pPr>
            <w:r>
              <w:rPr>
                <w:rFonts w:eastAsia="等线"/>
                <w:color w:val="auto"/>
              </w:rPr>
              <w:t>1.2</w:t>
            </w:r>
          </w:p>
        </w:tc>
        <w:tc>
          <w:tcPr>
            <w:tcW w:w="391" w:type="pct"/>
            <w:vAlign w:val="center"/>
          </w:tcPr>
          <w:p w14:paraId="58430BC6">
            <w:pPr>
              <w:pStyle w:val="780"/>
              <w:rPr>
                <w:color w:val="auto"/>
              </w:rPr>
            </w:pPr>
            <w:r>
              <w:rPr>
                <w:color w:val="auto"/>
              </w:rPr>
              <w:t>μg/kg</w:t>
            </w:r>
          </w:p>
        </w:tc>
        <w:tc>
          <w:tcPr>
            <w:tcW w:w="490" w:type="pct"/>
            <w:noWrap/>
            <w:vAlign w:val="center"/>
          </w:tcPr>
          <w:p w14:paraId="1F278AFD">
            <w:pPr>
              <w:pStyle w:val="780"/>
              <w:rPr>
                <w:rFonts w:eastAsia="等线"/>
                <w:color w:val="auto"/>
              </w:rPr>
            </w:pPr>
            <w:r>
              <w:rPr>
                <w:rFonts w:eastAsia="等线"/>
                <w:color w:val="auto"/>
              </w:rPr>
              <w:t>0%</w:t>
            </w:r>
          </w:p>
        </w:tc>
        <w:tc>
          <w:tcPr>
            <w:tcW w:w="429" w:type="pct"/>
            <w:noWrap/>
            <w:vAlign w:val="center"/>
          </w:tcPr>
          <w:p w14:paraId="4B0BE081">
            <w:pPr>
              <w:jc w:val="center"/>
              <w:rPr>
                <w:color w:val="auto"/>
              </w:rPr>
            </w:pPr>
            <w:r>
              <w:rPr>
                <w:rFonts w:hint="eastAsia"/>
                <w:color w:val="auto"/>
                <w:lang w:val="en-US" w:eastAsia="zh-CN"/>
              </w:rPr>
              <w:t>/</w:t>
            </w:r>
          </w:p>
        </w:tc>
        <w:tc>
          <w:tcPr>
            <w:tcW w:w="371" w:type="pct"/>
            <w:noWrap/>
            <w:vAlign w:val="center"/>
          </w:tcPr>
          <w:p w14:paraId="21B0917A">
            <w:pPr>
              <w:jc w:val="center"/>
              <w:rPr>
                <w:color w:val="auto"/>
              </w:rPr>
            </w:pPr>
            <w:r>
              <w:rPr>
                <w:rFonts w:hint="eastAsia"/>
                <w:color w:val="auto"/>
                <w:lang w:val="en-US" w:eastAsia="zh-CN"/>
              </w:rPr>
              <w:t>/</w:t>
            </w:r>
          </w:p>
        </w:tc>
        <w:tc>
          <w:tcPr>
            <w:tcW w:w="367" w:type="pct"/>
            <w:noWrap/>
            <w:vAlign w:val="center"/>
          </w:tcPr>
          <w:p w14:paraId="0DC9BC48">
            <w:pPr>
              <w:jc w:val="center"/>
              <w:rPr>
                <w:rFonts w:eastAsia="等线"/>
                <w:color w:val="auto"/>
              </w:rPr>
            </w:pPr>
            <w:r>
              <w:rPr>
                <w:rFonts w:hint="eastAsia"/>
                <w:color w:val="auto"/>
                <w:lang w:val="en-US" w:eastAsia="zh-CN"/>
              </w:rPr>
              <w:t>/</w:t>
            </w:r>
          </w:p>
        </w:tc>
        <w:tc>
          <w:tcPr>
            <w:tcW w:w="698" w:type="pct"/>
            <w:noWrap/>
            <w:vAlign w:val="center"/>
          </w:tcPr>
          <w:p w14:paraId="0F48CA29">
            <w:pPr>
              <w:pStyle w:val="780"/>
              <w:rPr>
                <w:rFonts w:eastAsia="等线"/>
                <w:color w:val="auto"/>
              </w:rPr>
            </w:pPr>
            <w:r>
              <w:rPr>
                <w:rFonts w:hint="eastAsia" w:eastAsia="等线"/>
                <w:color w:val="auto"/>
              </w:rPr>
              <w:t>2.8</w:t>
            </w:r>
          </w:p>
        </w:tc>
        <w:tc>
          <w:tcPr>
            <w:tcW w:w="673" w:type="pct"/>
            <w:noWrap/>
            <w:vAlign w:val="center"/>
          </w:tcPr>
          <w:p w14:paraId="76803C9D">
            <w:pPr>
              <w:pStyle w:val="780"/>
              <w:rPr>
                <w:color w:val="auto"/>
              </w:rPr>
            </w:pPr>
            <w:r>
              <w:rPr>
                <w:color w:val="auto"/>
              </w:rPr>
              <w:t>否</w:t>
            </w:r>
          </w:p>
        </w:tc>
      </w:tr>
      <w:tr w14:paraId="010E41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5FBBED2F">
            <w:pPr>
              <w:pStyle w:val="780"/>
              <w:rPr>
                <w:rFonts w:eastAsia="等线"/>
                <w:color w:val="auto"/>
              </w:rPr>
            </w:pPr>
          </w:p>
        </w:tc>
        <w:tc>
          <w:tcPr>
            <w:tcW w:w="849" w:type="pct"/>
            <w:vAlign w:val="center"/>
          </w:tcPr>
          <w:p w14:paraId="4786FD8A">
            <w:pPr>
              <w:pStyle w:val="780"/>
              <w:rPr>
                <w:color w:val="auto"/>
              </w:rPr>
            </w:pPr>
            <w:r>
              <w:rPr>
                <w:color w:val="auto"/>
              </w:rPr>
              <w:t>四氯乙烯</w:t>
            </w:r>
          </w:p>
        </w:tc>
        <w:tc>
          <w:tcPr>
            <w:tcW w:w="495" w:type="pct"/>
            <w:noWrap/>
            <w:vAlign w:val="center"/>
          </w:tcPr>
          <w:p w14:paraId="20B96C54">
            <w:pPr>
              <w:pStyle w:val="780"/>
              <w:rPr>
                <w:rFonts w:eastAsia="等线"/>
                <w:color w:val="auto"/>
              </w:rPr>
            </w:pPr>
            <w:r>
              <w:rPr>
                <w:rFonts w:eastAsia="等线"/>
                <w:color w:val="auto"/>
              </w:rPr>
              <w:t>1.4</w:t>
            </w:r>
          </w:p>
        </w:tc>
        <w:tc>
          <w:tcPr>
            <w:tcW w:w="391" w:type="pct"/>
            <w:vAlign w:val="center"/>
          </w:tcPr>
          <w:p w14:paraId="047D9A27">
            <w:pPr>
              <w:pStyle w:val="780"/>
              <w:rPr>
                <w:color w:val="auto"/>
              </w:rPr>
            </w:pPr>
            <w:r>
              <w:rPr>
                <w:color w:val="auto"/>
              </w:rPr>
              <w:t>μg/kg</w:t>
            </w:r>
          </w:p>
        </w:tc>
        <w:tc>
          <w:tcPr>
            <w:tcW w:w="490" w:type="pct"/>
            <w:noWrap/>
            <w:vAlign w:val="center"/>
          </w:tcPr>
          <w:p w14:paraId="618F7028">
            <w:pPr>
              <w:pStyle w:val="780"/>
              <w:rPr>
                <w:rFonts w:eastAsia="等线"/>
                <w:color w:val="auto"/>
              </w:rPr>
            </w:pPr>
            <w:r>
              <w:rPr>
                <w:rFonts w:hint="eastAsia" w:eastAsia="等线"/>
                <w:color w:val="auto"/>
                <w:lang w:val="en-US" w:eastAsia="zh-CN"/>
              </w:rPr>
              <w:t>9.09</w:t>
            </w:r>
            <w:r>
              <w:rPr>
                <w:rFonts w:eastAsia="等线"/>
                <w:color w:val="auto"/>
              </w:rPr>
              <w:t>%</w:t>
            </w:r>
          </w:p>
        </w:tc>
        <w:tc>
          <w:tcPr>
            <w:tcW w:w="429" w:type="pct"/>
            <w:noWrap/>
            <w:vAlign w:val="center"/>
          </w:tcPr>
          <w:p w14:paraId="56CE8BE4">
            <w:pPr>
              <w:pStyle w:val="780"/>
              <w:rPr>
                <w:rFonts w:hint="default" w:eastAsia="宋体"/>
                <w:color w:val="auto"/>
                <w:lang w:val="en-US" w:eastAsia="zh-CN"/>
              </w:rPr>
            </w:pPr>
            <w:r>
              <w:rPr>
                <w:rFonts w:hint="eastAsia"/>
                <w:color w:val="auto"/>
                <w:lang w:val="en-US" w:eastAsia="zh-CN"/>
              </w:rPr>
              <w:t>6.1</w:t>
            </w:r>
          </w:p>
        </w:tc>
        <w:tc>
          <w:tcPr>
            <w:tcW w:w="371" w:type="pct"/>
            <w:noWrap/>
            <w:vAlign w:val="center"/>
          </w:tcPr>
          <w:p w14:paraId="4CD9901B">
            <w:pPr>
              <w:pStyle w:val="780"/>
              <w:rPr>
                <w:rFonts w:hint="default" w:eastAsia="宋体"/>
                <w:color w:val="auto"/>
                <w:lang w:val="en-US" w:eastAsia="zh-CN"/>
              </w:rPr>
            </w:pPr>
            <w:r>
              <w:rPr>
                <w:rFonts w:hint="eastAsia"/>
                <w:color w:val="auto"/>
                <w:lang w:val="en-US" w:eastAsia="zh-CN"/>
              </w:rPr>
              <w:t>6.1</w:t>
            </w:r>
          </w:p>
        </w:tc>
        <w:tc>
          <w:tcPr>
            <w:tcW w:w="367" w:type="pct"/>
            <w:noWrap/>
            <w:vAlign w:val="center"/>
          </w:tcPr>
          <w:p w14:paraId="517A3353">
            <w:pPr>
              <w:pStyle w:val="780"/>
              <w:rPr>
                <w:rFonts w:hint="default" w:eastAsia="等线"/>
                <w:color w:val="auto"/>
                <w:lang w:val="en-US" w:eastAsia="zh-CN"/>
              </w:rPr>
            </w:pPr>
            <w:r>
              <w:rPr>
                <w:rFonts w:hint="eastAsia" w:eastAsia="等线"/>
                <w:color w:val="auto"/>
                <w:lang w:val="en-US" w:eastAsia="zh-CN"/>
              </w:rPr>
              <w:t>6.1</w:t>
            </w:r>
          </w:p>
        </w:tc>
        <w:tc>
          <w:tcPr>
            <w:tcW w:w="698" w:type="pct"/>
            <w:noWrap/>
            <w:vAlign w:val="center"/>
          </w:tcPr>
          <w:p w14:paraId="580FD6FC">
            <w:pPr>
              <w:pStyle w:val="780"/>
              <w:rPr>
                <w:rFonts w:eastAsia="等线"/>
                <w:color w:val="auto"/>
              </w:rPr>
            </w:pPr>
            <w:r>
              <w:rPr>
                <w:rFonts w:hint="eastAsia" w:eastAsia="等线"/>
                <w:color w:val="auto"/>
              </w:rPr>
              <w:t>53</w:t>
            </w:r>
          </w:p>
        </w:tc>
        <w:tc>
          <w:tcPr>
            <w:tcW w:w="673" w:type="pct"/>
            <w:noWrap/>
            <w:vAlign w:val="center"/>
          </w:tcPr>
          <w:p w14:paraId="72B76799">
            <w:pPr>
              <w:pStyle w:val="780"/>
              <w:rPr>
                <w:color w:val="auto"/>
              </w:rPr>
            </w:pPr>
            <w:r>
              <w:rPr>
                <w:color w:val="auto"/>
              </w:rPr>
              <w:t>否</w:t>
            </w:r>
          </w:p>
        </w:tc>
      </w:tr>
      <w:tr w14:paraId="577B04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1AF5D0DC">
            <w:pPr>
              <w:pStyle w:val="780"/>
              <w:rPr>
                <w:rFonts w:eastAsia="等线"/>
                <w:color w:val="auto"/>
              </w:rPr>
            </w:pPr>
          </w:p>
        </w:tc>
        <w:tc>
          <w:tcPr>
            <w:tcW w:w="849" w:type="pct"/>
            <w:vAlign w:val="center"/>
          </w:tcPr>
          <w:p w14:paraId="635A4D74">
            <w:pPr>
              <w:pStyle w:val="780"/>
              <w:rPr>
                <w:color w:val="auto"/>
              </w:rPr>
            </w:pPr>
            <w:r>
              <w:rPr>
                <w:color w:val="auto"/>
              </w:rPr>
              <w:t>氯苯</w:t>
            </w:r>
          </w:p>
        </w:tc>
        <w:tc>
          <w:tcPr>
            <w:tcW w:w="495" w:type="pct"/>
            <w:noWrap/>
            <w:vAlign w:val="center"/>
          </w:tcPr>
          <w:p w14:paraId="1A5A5610">
            <w:pPr>
              <w:pStyle w:val="780"/>
              <w:rPr>
                <w:rFonts w:eastAsia="等线"/>
                <w:color w:val="auto"/>
              </w:rPr>
            </w:pPr>
            <w:r>
              <w:rPr>
                <w:rFonts w:eastAsia="等线"/>
                <w:color w:val="auto"/>
              </w:rPr>
              <w:t>1.2</w:t>
            </w:r>
          </w:p>
        </w:tc>
        <w:tc>
          <w:tcPr>
            <w:tcW w:w="391" w:type="pct"/>
            <w:vAlign w:val="center"/>
          </w:tcPr>
          <w:p w14:paraId="16A469CC">
            <w:pPr>
              <w:pStyle w:val="780"/>
              <w:rPr>
                <w:color w:val="auto"/>
              </w:rPr>
            </w:pPr>
            <w:r>
              <w:rPr>
                <w:color w:val="auto"/>
              </w:rPr>
              <w:t>μg/kg</w:t>
            </w:r>
          </w:p>
        </w:tc>
        <w:tc>
          <w:tcPr>
            <w:tcW w:w="490" w:type="pct"/>
            <w:noWrap/>
            <w:vAlign w:val="center"/>
          </w:tcPr>
          <w:p w14:paraId="3C7B839D">
            <w:pPr>
              <w:pStyle w:val="780"/>
              <w:rPr>
                <w:rFonts w:eastAsia="等线"/>
                <w:color w:val="auto"/>
              </w:rPr>
            </w:pPr>
            <w:r>
              <w:rPr>
                <w:rFonts w:hint="eastAsia" w:eastAsia="等线"/>
                <w:color w:val="auto"/>
              </w:rPr>
              <w:t>0</w:t>
            </w:r>
            <w:r>
              <w:rPr>
                <w:rFonts w:eastAsia="等线"/>
                <w:color w:val="auto"/>
              </w:rPr>
              <w:t>%</w:t>
            </w:r>
          </w:p>
        </w:tc>
        <w:tc>
          <w:tcPr>
            <w:tcW w:w="429" w:type="pct"/>
            <w:noWrap/>
            <w:vAlign w:val="center"/>
          </w:tcPr>
          <w:p w14:paraId="6974E2F8">
            <w:pPr>
              <w:jc w:val="center"/>
              <w:rPr>
                <w:color w:val="auto"/>
              </w:rPr>
            </w:pPr>
            <w:r>
              <w:rPr>
                <w:rFonts w:hint="eastAsia"/>
                <w:color w:val="auto"/>
                <w:lang w:val="en-US" w:eastAsia="zh-CN"/>
              </w:rPr>
              <w:t>/</w:t>
            </w:r>
          </w:p>
        </w:tc>
        <w:tc>
          <w:tcPr>
            <w:tcW w:w="371" w:type="pct"/>
            <w:noWrap/>
            <w:vAlign w:val="center"/>
          </w:tcPr>
          <w:p w14:paraId="44342221">
            <w:pPr>
              <w:jc w:val="center"/>
              <w:rPr>
                <w:color w:val="auto"/>
              </w:rPr>
            </w:pPr>
            <w:r>
              <w:rPr>
                <w:rFonts w:hint="eastAsia"/>
                <w:color w:val="auto"/>
                <w:lang w:val="en-US" w:eastAsia="zh-CN"/>
              </w:rPr>
              <w:t>/</w:t>
            </w:r>
          </w:p>
        </w:tc>
        <w:tc>
          <w:tcPr>
            <w:tcW w:w="367" w:type="pct"/>
            <w:noWrap/>
            <w:vAlign w:val="center"/>
          </w:tcPr>
          <w:p w14:paraId="1F0E2442">
            <w:pPr>
              <w:jc w:val="center"/>
              <w:rPr>
                <w:rFonts w:eastAsia="等线"/>
                <w:color w:val="auto"/>
              </w:rPr>
            </w:pPr>
            <w:r>
              <w:rPr>
                <w:rFonts w:hint="eastAsia"/>
                <w:color w:val="auto"/>
                <w:lang w:val="en-US" w:eastAsia="zh-CN"/>
              </w:rPr>
              <w:t>/</w:t>
            </w:r>
          </w:p>
        </w:tc>
        <w:tc>
          <w:tcPr>
            <w:tcW w:w="698" w:type="pct"/>
            <w:noWrap/>
            <w:vAlign w:val="center"/>
          </w:tcPr>
          <w:p w14:paraId="7C91AA66">
            <w:pPr>
              <w:pStyle w:val="780"/>
              <w:rPr>
                <w:rFonts w:eastAsia="等线"/>
                <w:color w:val="auto"/>
              </w:rPr>
            </w:pPr>
            <w:r>
              <w:rPr>
                <w:rFonts w:hint="eastAsia" w:eastAsia="等线"/>
                <w:color w:val="auto"/>
              </w:rPr>
              <w:t>270</w:t>
            </w:r>
          </w:p>
        </w:tc>
        <w:tc>
          <w:tcPr>
            <w:tcW w:w="673" w:type="pct"/>
            <w:noWrap/>
            <w:vAlign w:val="center"/>
          </w:tcPr>
          <w:p w14:paraId="7B43149F">
            <w:pPr>
              <w:pStyle w:val="780"/>
              <w:rPr>
                <w:color w:val="auto"/>
              </w:rPr>
            </w:pPr>
            <w:r>
              <w:rPr>
                <w:color w:val="auto"/>
              </w:rPr>
              <w:t>否</w:t>
            </w:r>
          </w:p>
        </w:tc>
      </w:tr>
      <w:tr w14:paraId="47DD34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2567D21B">
            <w:pPr>
              <w:pStyle w:val="780"/>
              <w:rPr>
                <w:rFonts w:eastAsia="等线"/>
                <w:color w:val="auto"/>
              </w:rPr>
            </w:pPr>
          </w:p>
        </w:tc>
        <w:tc>
          <w:tcPr>
            <w:tcW w:w="849" w:type="pct"/>
            <w:vAlign w:val="center"/>
          </w:tcPr>
          <w:p w14:paraId="1AF40D1C">
            <w:pPr>
              <w:pStyle w:val="780"/>
              <w:rPr>
                <w:color w:val="auto"/>
              </w:rPr>
            </w:pPr>
            <w:r>
              <w:rPr>
                <w:color w:val="auto"/>
              </w:rPr>
              <w:t>1,1,1,2-四氯乙烷</w:t>
            </w:r>
          </w:p>
        </w:tc>
        <w:tc>
          <w:tcPr>
            <w:tcW w:w="495" w:type="pct"/>
            <w:noWrap/>
            <w:vAlign w:val="center"/>
          </w:tcPr>
          <w:p w14:paraId="1FA7A099">
            <w:pPr>
              <w:pStyle w:val="780"/>
              <w:rPr>
                <w:rFonts w:eastAsia="等线"/>
                <w:color w:val="auto"/>
              </w:rPr>
            </w:pPr>
            <w:r>
              <w:rPr>
                <w:rFonts w:eastAsia="等线"/>
                <w:color w:val="auto"/>
              </w:rPr>
              <w:t>1.2</w:t>
            </w:r>
          </w:p>
        </w:tc>
        <w:tc>
          <w:tcPr>
            <w:tcW w:w="391" w:type="pct"/>
            <w:vAlign w:val="center"/>
          </w:tcPr>
          <w:p w14:paraId="7CC8D49C">
            <w:pPr>
              <w:pStyle w:val="780"/>
              <w:rPr>
                <w:color w:val="auto"/>
              </w:rPr>
            </w:pPr>
            <w:r>
              <w:rPr>
                <w:color w:val="auto"/>
              </w:rPr>
              <w:t>μg/kg</w:t>
            </w:r>
          </w:p>
        </w:tc>
        <w:tc>
          <w:tcPr>
            <w:tcW w:w="490" w:type="pct"/>
            <w:noWrap/>
            <w:vAlign w:val="center"/>
          </w:tcPr>
          <w:p w14:paraId="3F916C5E">
            <w:pPr>
              <w:jc w:val="center"/>
              <w:rPr>
                <w:rFonts w:eastAsia="等线"/>
                <w:color w:val="auto"/>
              </w:rPr>
            </w:pPr>
            <w:r>
              <w:rPr>
                <w:rFonts w:eastAsia="等线"/>
                <w:color w:val="auto"/>
              </w:rPr>
              <w:t>0%</w:t>
            </w:r>
          </w:p>
        </w:tc>
        <w:tc>
          <w:tcPr>
            <w:tcW w:w="429" w:type="pct"/>
            <w:noWrap/>
            <w:vAlign w:val="center"/>
          </w:tcPr>
          <w:p w14:paraId="48F72A30">
            <w:pPr>
              <w:jc w:val="center"/>
              <w:rPr>
                <w:color w:val="auto"/>
              </w:rPr>
            </w:pPr>
            <w:r>
              <w:rPr>
                <w:rFonts w:hint="eastAsia"/>
                <w:color w:val="auto"/>
                <w:lang w:val="en-US" w:eastAsia="zh-CN"/>
              </w:rPr>
              <w:t>/</w:t>
            </w:r>
          </w:p>
        </w:tc>
        <w:tc>
          <w:tcPr>
            <w:tcW w:w="371" w:type="pct"/>
            <w:noWrap/>
            <w:vAlign w:val="center"/>
          </w:tcPr>
          <w:p w14:paraId="4D1A5DAF">
            <w:pPr>
              <w:jc w:val="center"/>
              <w:rPr>
                <w:color w:val="auto"/>
              </w:rPr>
            </w:pPr>
            <w:r>
              <w:rPr>
                <w:rFonts w:hint="eastAsia"/>
                <w:color w:val="auto"/>
                <w:lang w:val="en-US" w:eastAsia="zh-CN"/>
              </w:rPr>
              <w:t>/</w:t>
            </w:r>
          </w:p>
        </w:tc>
        <w:tc>
          <w:tcPr>
            <w:tcW w:w="367" w:type="pct"/>
            <w:noWrap/>
            <w:vAlign w:val="center"/>
          </w:tcPr>
          <w:p w14:paraId="0788F225">
            <w:pPr>
              <w:jc w:val="center"/>
              <w:rPr>
                <w:rFonts w:eastAsia="等线"/>
                <w:color w:val="auto"/>
              </w:rPr>
            </w:pPr>
            <w:r>
              <w:rPr>
                <w:rFonts w:hint="eastAsia"/>
                <w:color w:val="auto"/>
                <w:lang w:val="en-US" w:eastAsia="zh-CN"/>
              </w:rPr>
              <w:t>/</w:t>
            </w:r>
          </w:p>
        </w:tc>
        <w:tc>
          <w:tcPr>
            <w:tcW w:w="698" w:type="pct"/>
            <w:noWrap/>
            <w:vAlign w:val="center"/>
          </w:tcPr>
          <w:p w14:paraId="2BBE3AAD">
            <w:pPr>
              <w:pStyle w:val="780"/>
              <w:rPr>
                <w:rFonts w:eastAsia="等线"/>
                <w:color w:val="auto"/>
              </w:rPr>
            </w:pPr>
            <w:r>
              <w:rPr>
                <w:rFonts w:hint="eastAsia" w:eastAsia="等线"/>
                <w:color w:val="auto"/>
              </w:rPr>
              <w:t>10</w:t>
            </w:r>
          </w:p>
        </w:tc>
        <w:tc>
          <w:tcPr>
            <w:tcW w:w="673" w:type="pct"/>
            <w:noWrap/>
            <w:vAlign w:val="center"/>
          </w:tcPr>
          <w:p w14:paraId="3BDDD265">
            <w:pPr>
              <w:pStyle w:val="780"/>
              <w:rPr>
                <w:color w:val="auto"/>
              </w:rPr>
            </w:pPr>
            <w:r>
              <w:rPr>
                <w:color w:val="auto"/>
              </w:rPr>
              <w:t>否</w:t>
            </w:r>
          </w:p>
        </w:tc>
      </w:tr>
      <w:tr w14:paraId="10AA12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C32E040">
            <w:pPr>
              <w:pStyle w:val="780"/>
              <w:rPr>
                <w:rFonts w:eastAsia="等线"/>
                <w:color w:val="auto"/>
              </w:rPr>
            </w:pPr>
          </w:p>
        </w:tc>
        <w:tc>
          <w:tcPr>
            <w:tcW w:w="849" w:type="pct"/>
            <w:vAlign w:val="center"/>
          </w:tcPr>
          <w:p w14:paraId="16D1A602">
            <w:pPr>
              <w:pStyle w:val="780"/>
              <w:rPr>
                <w:color w:val="auto"/>
              </w:rPr>
            </w:pPr>
            <w:r>
              <w:rPr>
                <w:color w:val="auto"/>
              </w:rPr>
              <w:t>乙苯</w:t>
            </w:r>
          </w:p>
        </w:tc>
        <w:tc>
          <w:tcPr>
            <w:tcW w:w="495" w:type="pct"/>
            <w:noWrap/>
            <w:vAlign w:val="center"/>
          </w:tcPr>
          <w:p w14:paraId="03DA5B65">
            <w:pPr>
              <w:pStyle w:val="780"/>
              <w:rPr>
                <w:rFonts w:eastAsia="等线"/>
                <w:color w:val="auto"/>
              </w:rPr>
            </w:pPr>
            <w:r>
              <w:rPr>
                <w:rFonts w:eastAsia="等线"/>
                <w:color w:val="auto"/>
              </w:rPr>
              <w:t>1.2</w:t>
            </w:r>
          </w:p>
        </w:tc>
        <w:tc>
          <w:tcPr>
            <w:tcW w:w="391" w:type="pct"/>
            <w:vAlign w:val="center"/>
          </w:tcPr>
          <w:p w14:paraId="6AF0DBCC">
            <w:pPr>
              <w:pStyle w:val="780"/>
              <w:rPr>
                <w:color w:val="auto"/>
              </w:rPr>
            </w:pPr>
            <w:r>
              <w:rPr>
                <w:color w:val="auto"/>
              </w:rPr>
              <w:t>μg/kg</w:t>
            </w:r>
          </w:p>
        </w:tc>
        <w:tc>
          <w:tcPr>
            <w:tcW w:w="490" w:type="pct"/>
            <w:noWrap/>
            <w:vAlign w:val="center"/>
          </w:tcPr>
          <w:p w14:paraId="352D2476">
            <w:pPr>
              <w:jc w:val="center"/>
              <w:rPr>
                <w:rFonts w:eastAsia="等线"/>
                <w:color w:val="auto"/>
              </w:rPr>
            </w:pPr>
            <w:r>
              <w:rPr>
                <w:rFonts w:eastAsia="等线"/>
                <w:color w:val="auto"/>
              </w:rPr>
              <w:t>0%</w:t>
            </w:r>
          </w:p>
        </w:tc>
        <w:tc>
          <w:tcPr>
            <w:tcW w:w="429" w:type="pct"/>
            <w:noWrap/>
            <w:vAlign w:val="center"/>
          </w:tcPr>
          <w:p w14:paraId="1FDC8661">
            <w:pPr>
              <w:jc w:val="center"/>
              <w:rPr>
                <w:rFonts w:eastAsia="等线"/>
                <w:color w:val="auto"/>
              </w:rPr>
            </w:pPr>
            <w:r>
              <w:rPr>
                <w:rFonts w:hint="eastAsia"/>
                <w:color w:val="auto"/>
                <w:lang w:val="en-US" w:eastAsia="zh-CN"/>
              </w:rPr>
              <w:t>/</w:t>
            </w:r>
          </w:p>
        </w:tc>
        <w:tc>
          <w:tcPr>
            <w:tcW w:w="371" w:type="pct"/>
            <w:noWrap/>
            <w:vAlign w:val="center"/>
          </w:tcPr>
          <w:p w14:paraId="6A1C03F6">
            <w:pPr>
              <w:jc w:val="center"/>
              <w:rPr>
                <w:rFonts w:eastAsia="等线"/>
                <w:color w:val="auto"/>
              </w:rPr>
            </w:pPr>
            <w:r>
              <w:rPr>
                <w:rFonts w:hint="eastAsia"/>
                <w:color w:val="auto"/>
                <w:lang w:val="en-US" w:eastAsia="zh-CN"/>
              </w:rPr>
              <w:t>/</w:t>
            </w:r>
          </w:p>
        </w:tc>
        <w:tc>
          <w:tcPr>
            <w:tcW w:w="367" w:type="pct"/>
            <w:noWrap/>
            <w:vAlign w:val="center"/>
          </w:tcPr>
          <w:p w14:paraId="4FD0F492">
            <w:pPr>
              <w:jc w:val="center"/>
              <w:rPr>
                <w:rFonts w:eastAsia="等线"/>
                <w:color w:val="auto"/>
              </w:rPr>
            </w:pPr>
            <w:r>
              <w:rPr>
                <w:rFonts w:hint="eastAsia"/>
                <w:color w:val="auto"/>
                <w:lang w:val="en-US" w:eastAsia="zh-CN"/>
              </w:rPr>
              <w:t>/</w:t>
            </w:r>
          </w:p>
        </w:tc>
        <w:tc>
          <w:tcPr>
            <w:tcW w:w="698" w:type="pct"/>
            <w:noWrap/>
            <w:vAlign w:val="center"/>
          </w:tcPr>
          <w:p w14:paraId="1E4356B7">
            <w:pPr>
              <w:pStyle w:val="780"/>
              <w:rPr>
                <w:rFonts w:eastAsia="等线"/>
                <w:color w:val="auto"/>
              </w:rPr>
            </w:pPr>
            <w:r>
              <w:rPr>
                <w:rFonts w:hint="eastAsia" w:eastAsia="等线"/>
                <w:color w:val="auto"/>
              </w:rPr>
              <w:t>28</w:t>
            </w:r>
          </w:p>
        </w:tc>
        <w:tc>
          <w:tcPr>
            <w:tcW w:w="673" w:type="pct"/>
            <w:noWrap/>
            <w:vAlign w:val="center"/>
          </w:tcPr>
          <w:p w14:paraId="18625D82">
            <w:pPr>
              <w:pStyle w:val="780"/>
              <w:rPr>
                <w:color w:val="auto"/>
              </w:rPr>
            </w:pPr>
            <w:r>
              <w:rPr>
                <w:color w:val="auto"/>
              </w:rPr>
              <w:t>否</w:t>
            </w:r>
          </w:p>
        </w:tc>
      </w:tr>
      <w:tr w14:paraId="73F8D20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6792B7E4">
            <w:pPr>
              <w:pStyle w:val="780"/>
              <w:rPr>
                <w:rFonts w:eastAsia="等线"/>
                <w:color w:val="auto"/>
              </w:rPr>
            </w:pPr>
          </w:p>
        </w:tc>
        <w:tc>
          <w:tcPr>
            <w:tcW w:w="849" w:type="pct"/>
            <w:vAlign w:val="center"/>
          </w:tcPr>
          <w:p w14:paraId="02A5982C">
            <w:pPr>
              <w:pStyle w:val="780"/>
              <w:rPr>
                <w:color w:val="auto"/>
              </w:rPr>
            </w:pPr>
            <w:r>
              <w:rPr>
                <w:rFonts w:hint="eastAsia"/>
                <w:color w:val="auto"/>
              </w:rPr>
              <w:t>间,对-二甲苯</w:t>
            </w:r>
          </w:p>
        </w:tc>
        <w:tc>
          <w:tcPr>
            <w:tcW w:w="495" w:type="pct"/>
            <w:vAlign w:val="center"/>
          </w:tcPr>
          <w:p w14:paraId="25CB8A81">
            <w:pPr>
              <w:pStyle w:val="780"/>
              <w:rPr>
                <w:rFonts w:eastAsia="等线"/>
                <w:color w:val="auto"/>
              </w:rPr>
            </w:pPr>
            <w:r>
              <w:rPr>
                <w:rFonts w:eastAsia="等线"/>
                <w:color w:val="auto"/>
              </w:rPr>
              <w:t>1.2</w:t>
            </w:r>
          </w:p>
        </w:tc>
        <w:tc>
          <w:tcPr>
            <w:tcW w:w="391" w:type="pct"/>
            <w:vAlign w:val="center"/>
          </w:tcPr>
          <w:p w14:paraId="0C8D4B63">
            <w:pPr>
              <w:pStyle w:val="780"/>
              <w:rPr>
                <w:color w:val="auto"/>
              </w:rPr>
            </w:pPr>
            <w:r>
              <w:rPr>
                <w:color w:val="auto"/>
              </w:rPr>
              <w:t>μg/kg</w:t>
            </w:r>
          </w:p>
        </w:tc>
        <w:tc>
          <w:tcPr>
            <w:tcW w:w="490" w:type="pct"/>
            <w:noWrap/>
            <w:vAlign w:val="center"/>
          </w:tcPr>
          <w:p w14:paraId="2391DB40">
            <w:pPr>
              <w:jc w:val="center"/>
              <w:rPr>
                <w:rFonts w:eastAsia="等线"/>
                <w:color w:val="auto"/>
              </w:rPr>
            </w:pPr>
            <w:r>
              <w:rPr>
                <w:rFonts w:eastAsia="等线"/>
                <w:color w:val="auto"/>
              </w:rPr>
              <w:t>0%</w:t>
            </w:r>
          </w:p>
        </w:tc>
        <w:tc>
          <w:tcPr>
            <w:tcW w:w="429" w:type="pct"/>
            <w:noWrap/>
            <w:vAlign w:val="center"/>
          </w:tcPr>
          <w:p w14:paraId="2D94E843">
            <w:pPr>
              <w:jc w:val="center"/>
              <w:rPr>
                <w:rFonts w:eastAsia="等线"/>
                <w:color w:val="auto"/>
              </w:rPr>
            </w:pPr>
            <w:r>
              <w:rPr>
                <w:rFonts w:hint="eastAsia"/>
                <w:color w:val="auto"/>
                <w:lang w:val="en-US" w:eastAsia="zh-CN"/>
              </w:rPr>
              <w:t>/</w:t>
            </w:r>
          </w:p>
        </w:tc>
        <w:tc>
          <w:tcPr>
            <w:tcW w:w="371" w:type="pct"/>
            <w:noWrap/>
            <w:vAlign w:val="center"/>
          </w:tcPr>
          <w:p w14:paraId="449F2D27">
            <w:pPr>
              <w:jc w:val="center"/>
              <w:rPr>
                <w:rFonts w:eastAsia="等线"/>
                <w:color w:val="auto"/>
              </w:rPr>
            </w:pPr>
            <w:r>
              <w:rPr>
                <w:rFonts w:hint="eastAsia"/>
                <w:color w:val="auto"/>
                <w:lang w:val="en-US" w:eastAsia="zh-CN"/>
              </w:rPr>
              <w:t>/</w:t>
            </w:r>
          </w:p>
        </w:tc>
        <w:tc>
          <w:tcPr>
            <w:tcW w:w="367" w:type="pct"/>
            <w:noWrap/>
            <w:vAlign w:val="center"/>
          </w:tcPr>
          <w:p w14:paraId="299410B4">
            <w:pPr>
              <w:jc w:val="center"/>
              <w:rPr>
                <w:rFonts w:eastAsia="等线"/>
                <w:color w:val="auto"/>
              </w:rPr>
            </w:pPr>
            <w:r>
              <w:rPr>
                <w:rFonts w:hint="eastAsia"/>
                <w:color w:val="auto"/>
                <w:lang w:val="en-US" w:eastAsia="zh-CN"/>
              </w:rPr>
              <w:t>/</w:t>
            </w:r>
          </w:p>
        </w:tc>
        <w:tc>
          <w:tcPr>
            <w:tcW w:w="698" w:type="pct"/>
            <w:noWrap/>
            <w:vAlign w:val="center"/>
          </w:tcPr>
          <w:p w14:paraId="30519392">
            <w:pPr>
              <w:pStyle w:val="780"/>
              <w:rPr>
                <w:rFonts w:eastAsia="等线"/>
                <w:color w:val="auto"/>
              </w:rPr>
            </w:pPr>
            <w:r>
              <w:rPr>
                <w:rFonts w:hint="eastAsia" w:eastAsia="等线"/>
                <w:color w:val="auto"/>
              </w:rPr>
              <w:t>570</w:t>
            </w:r>
          </w:p>
        </w:tc>
        <w:tc>
          <w:tcPr>
            <w:tcW w:w="673" w:type="pct"/>
            <w:noWrap/>
            <w:vAlign w:val="center"/>
          </w:tcPr>
          <w:p w14:paraId="44971B22">
            <w:pPr>
              <w:pStyle w:val="780"/>
              <w:rPr>
                <w:color w:val="auto"/>
              </w:rPr>
            </w:pPr>
            <w:r>
              <w:rPr>
                <w:color w:val="auto"/>
              </w:rPr>
              <w:t>否</w:t>
            </w:r>
          </w:p>
        </w:tc>
      </w:tr>
      <w:tr w14:paraId="495CD7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2B9F0960">
            <w:pPr>
              <w:pStyle w:val="780"/>
              <w:rPr>
                <w:rFonts w:eastAsia="等线"/>
                <w:color w:val="auto"/>
              </w:rPr>
            </w:pPr>
          </w:p>
        </w:tc>
        <w:tc>
          <w:tcPr>
            <w:tcW w:w="849" w:type="pct"/>
            <w:vAlign w:val="center"/>
          </w:tcPr>
          <w:p w14:paraId="0F377AD3">
            <w:pPr>
              <w:pStyle w:val="780"/>
              <w:rPr>
                <w:color w:val="auto"/>
              </w:rPr>
            </w:pPr>
            <w:r>
              <w:rPr>
                <w:color w:val="auto"/>
              </w:rPr>
              <w:t>邻二甲苯</w:t>
            </w:r>
          </w:p>
        </w:tc>
        <w:tc>
          <w:tcPr>
            <w:tcW w:w="495" w:type="pct"/>
            <w:vAlign w:val="center"/>
          </w:tcPr>
          <w:p w14:paraId="5E6FA70C">
            <w:pPr>
              <w:pStyle w:val="780"/>
              <w:rPr>
                <w:rFonts w:eastAsia="等线"/>
                <w:color w:val="auto"/>
              </w:rPr>
            </w:pPr>
            <w:r>
              <w:rPr>
                <w:rFonts w:eastAsia="等线"/>
                <w:color w:val="auto"/>
              </w:rPr>
              <w:t>1.2</w:t>
            </w:r>
          </w:p>
        </w:tc>
        <w:tc>
          <w:tcPr>
            <w:tcW w:w="391" w:type="pct"/>
            <w:vAlign w:val="center"/>
          </w:tcPr>
          <w:p w14:paraId="7C68729D">
            <w:pPr>
              <w:pStyle w:val="780"/>
              <w:rPr>
                <w:color w:val="auto"/>
              </w:rPr>
            </w:pPr>
            <w:r>
              <w:rPr>
                <w:color w:val="auto"/>
              </w:rPr>
              <w:t>μg/kg</w:t>
            </w:r>
          </w:p>
        </w:tc>
        <w:tc>
          <w:tcPr>
            <w:tcW w:w="490" w:type="pct"/>
            <w:noWrap/>
            <w:vAlign w:val="center"/>
          </w:tcPr>
          <w:p w14:paraId="4E01E985">
            <w:pPr>
              <w:jc w:val="center"/>
              <w:rPr>
                <w:rFonts w:eastAsia="等线"/>
                <w:color w:val="auto"/>
              </w:rPr>
            </w:pPr>
            <w:r>
              <w:rPr>
                <w:rFonts w:eastAsia="等线"/>
                <w:color w:val="auto"/>
              </w:rPr>
              <w:t>0%</w:t>
            </w:r>
          </w:p>
        </w:tc>
        <w:tc>
          <w:tcPr>
            <w:tcW w:w="429" w:type="pct"/>
            <w:noWrap/>
            <w:vAlign w:val="center"/>
          </w:tcPr>
          <w:p w14:paraId="3A687027">
            <w:pPr>
              <w:jc w:val="center"/>
              <w:rPr>
                <w:rFonts w:eastAsia="等线"/>
                <w:color w:val="auto"/>
              </w:rPr>
            </w:pPr>
            <w:r>
              <w:rPr>
                <w:rFonts w:hint="eastAsia"/>
                <w:color w:val="auto"/>
                <w:lang w:val="en-US" w:eastAsia="zh-CN"/>
              </w:rPr>
              <w:t>/</w:t>
            </w:r>
          </w:p>
        </w:tc>
        <w:tc>
          <w:tcPr>
            <w:tcW w:w="371" w:type="pct"/>
            <w:noWrap/>
            <w:vAlign w:val="center"/>
          </w:tcPr>
          <w:p w14:paraId="53A36407">
            <w:pPr>
              <w:jc w:val="center"/>
              <w:rPr>
                <w:rFonts w:eastAsia="等线"/>
                <w:color w:val="auto"/>
              </w:rPr>
            </w:pPr>
            <w:r>
              <w:rPr>
                <w:rFonts w:hint="eastAsia"/>
                <w:color w:val="auto"/>
                <w:lang w:val="en-US" w:eastAsia="zh-CN"/>
              </w:rPr>
              <w:t>/</w:t>
            </w:r>
          </w:p>
        </w:tc>
        <w:tc>
          <w:tcPr>
            <w:tcW w:w="367" w:type="pct"/>
            <w:noWrap/>
            <w:vAlign w:val="center"/>
          </w:tcPr>
          <w:p w14:paraId="3E4154E8">
            <w:pPr>
              <w:jc w:val="center"/>
              <w:rPr>
                <w:rFonts w:eastAsia="等线"/>
                <w:color w:val="auto"/>
              </w:rPr>
            </w:pPr>
            <w:r>
              <w:rPr>
                <w:rFonts w:hint="eastAsia"/>
                <w:color w:val="auto"/>
                <w:lang w:val="en-US" w:eastAsia="zh-CN"/>
              </w:rPr>
              <w:t>/</w:t>
            </w:r>
          </w:p>
        </w:tc>
        <w:tc>
          <w:tcPr>
            <w:tcW w:w="698" w:type="pct"/>
            <w:noWrap/>
            <w:vAlign w:val="center"/>
          </w:tcPr>
          <w:p w14:paraId="6B63257D">
            <w:pPr>
              <w:pStyle w:val="780"/>
              <w:rPr>
                <w:rFonts w:eastAsia="等线"/>
                <w:color w:val="auto"/>
              </w:rPr>
            </w:pPr>
            <w:r>
              <w:rPr>
                <w:rFonts w:hint="eastAsia" w:eastAsia="等线"/>
                <w:color w:val="auto"/>
              </w:rPr>
              <w:t>640</w:t>
            </w:r>
          </w:p>
        </w:tc>
        <w:tc>
          <w:tcPr>
            <w:tcW w:w="673" w:type="pct"/>
            <w:noWrap/>
            <w:vAlign w:val="center"/>
          </w:tcPr>
          <w:p w14:paraId="55A22B1D">
            <w:pPr>
              <w:pStyle w:val="780"/>
              <w:rPr>
                <w:color w:val="auto"/>
              </w:rPr>
            </w:pPr>
            <w:r>
              <w:rPr>
                <w:color w:val="auto"/>
              </w:rPr>
              <w:t>否</w:t>
            </w:r>
          </w:p>
        </w:tc>
      </w:tr>
      <w:tr w14:paraId="0C4E584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9BF1734">
            <w:pPr>
              <w:pStyle w:val="780"/>
              <w:rPr>
                <w:rFonts w:eastAsia="等线"/>
                <w:color w:val="auto"/>
              </w:rPr>
            </w:pPr>
          </w:p>
        </w:tc>
        <w:tc>
          <w:tcPr>
            <w:tcW w:w="849" w:type="pct"/>
            <w:vAlign w:val="center"/>
          </w:tcPr>
          <w:p w14:paraId="02E9E882">
            <w:pPr>
              <w:pStyle w:val="780"/>
              <w:rPr>
                <w:color w:val="auto"/>
              </w:rPr>
            </w:pPr>
            <w:r>
              <w:rPr>
                <w:color w:val="auto"/>
              </w:rPr>
              <w:t>苯乙烯</w:t>
            </w:r>
          </w:p>
        </w:tc>
        <w:tc>
          <w:tcPr>
            <w:tcW w:w="495" w:type="pct"/>
            <w:vAlign w:val="center"/>
          </w:tcPr>
          <w:p w14:paraId="628962B2">
            <w:pPr>
              <w:pStyle w:val="780"/>
              <w:rPr>
                <w:rFonts w:eastAsia="等线"/>
                <w:color w:val="auto"/>
              </w:rPr>
            </w:pPr>
            <w:r>
              <w:rPr>
                <w:rFonts w:eastAsia="等线"/>
                <w:color w:val="auto"/>
              </w:rPr>
              <w:t>1.1</w:t>
            </w:r>
          </w:p>
        </w:tc>
        <w:tc>
          <w:tcPr>
            <w:tcW w:w="391" w:type="pct"/>
            <w:vAlign w:val="center"/>
          </w:tcPr>
          <w:p w14:paraId="4B9C2B98">
            <w:pPr>
              <w:pStyle w:val="780"/>
              <w:rPr>
                <w:color w:val="auto"/>
              </w:rPr>
            </w:pPr>
            <w:r>
              <w:rPr>
                <w:color w:val="auto"/>
              </w:rPr>
              <w:t>μg/kg</w:t>
            </w:r>
          </w:p>
        </w:tc>
        <w:tc>
          <w:tcPr>
            <w:tcW w:w="490" w:type="pct"/>
            <w:noWrap/>
            <w:vAlign w:val="center"/>
          </w:tcPr>
          <w:p w14:paraId="41414A66">
            <w:pPr>
              <w:jc w:val="center"/>
              <w:rPr>
                <w:rFonts w:eastAsia="等线"/>
                <w:color w:val="auto"/>
              </w:rPr>
            </w:pPr>
            <w:r>
              <w:rPr>
                <w:rFonts w:eastAsia="等线"/>
                <w:color w:val="auto"/>
              </w:rPr>
              <w:t>0%</w:t>
            </w:r>
          </w:p>
        </w:tc>
        <w:tc>
          <w:tcPr>
            <w:tcW w:w="429" w:type="pct"/>
            <w:noWrap/>
            <w:vAlign w:val="center"/>
          </w:tcPr>
          <w:p w14:paraId="00CFFF47">
            <w:pPr>
              <w:jc w:val="center"/>
              <w:rPr>
                <w:color w:val="auto"/>
              </w:rPr>
            </w:pPr>
            <w:r>
              <w:rPr>
                <w:rFonts w:hint="eastAsia"/>
                <w:color w:val="auto"/>
                <w:lang w:val="en-US" w:eastAsia="zh-CN"/>
              </w:rPr>
              <w:t>/</w:t>
            </w:r>
          </w:p>
        </w:tc>
        <w:tc>
          <w:tcPr>
            <w:tcW w:w="371" w:type="pct"/>
            <w:noWrap/>
            <w:vAlign w:val="center"/>
          </w:tcPr>
          <w:p w14:paraId="46810090">
            <w:pPr>
              <w:jc w:val="center"/>
              <w:rPr>
                <w:color w:val="auto"/>
              </w:rPr>
            </w:pPr>
            <w:r>
              <w:rPr>
                <w:rFonts w:hint="eastAsia"/>
                <w:color w:val="auto"/>
                <w:lang w:val="en-US" w:eastAsia="zh-CN"/>
              </w:rPr>
              <w:t>/</w:t>
            </w:r>
          </w:p>
        </w:tc>
        <w:tc>
          <w:tcPr>
            <w:tcW w:w="367" w:type="pct"/>
            <w:noWrap/>
            <w:vAlign w:val="center"/>
          </w:tcPr>
          <w:p w14:paraId="5DFF6FE0">
            <w:pPr>
              <w:jc w:val="center"/>
              <w:rPr>
                <w:rFonts w:eastAsia="等线"/>
                <w:color w:val="auto"/>
              </w:rPr>
            </w:pPr>
            <w:r>
              <w:rPr>
                <w:rFonts w:hint="eastAsia"/>
                <w:color w:val="auto"/>
                <w:lang w:val="en-US" w:eastAsia="zh-CN"/>
              </w:rPr>
              <w:t>/</w:t>
            </w:r>
          </w:p>
        </w:tc>
        <w:tc>
          <w:tcPr>
            <w:tcW w:w="698" w:type="pct"/>
            <w:noWrap/>
            <w:vAlign w:val="center"/>
          </w:tcPr>
          <w:p w14:paraId="2B73C855">
            <w:pPr>
              <w:pStyle w:val="780"/>
              <w:rPr>
                <w:rFonts w:eastAsia="等线"/>
                <w:color w:val="auto"/>
              </w:rPr>
            </w:pPr>
            <w:r>
              <w:rPr>
                <w:rFonts w:hint="eastAsia" w:eastAsia="等线"/>
                <w:color w:val="auto"/>
              </w:rPr>
              <w:t>1290</w:t>
            </w:r>
          </w:p>
        </w:tc>
        <w:tc>
          <w:tcPr>
            <w:tcW w:w="673" w:type="pct"/>
            <w:noWrap/>
            <w:vAlign w:val="center"/>
          </w:tcPr>
          <w:p w14:paraId="13D92432">
            <w:pPr>
              <w:pStyle w:val="780"/>
              <w:rPr>
                <w:color w:val="auto"/>
              </w:rPr>
            </w:pPr>
            <w:r>
              <w:rPr>
                <w:color w:val="auto"/>
              </w:rPr>
              <w:t>否</w:t>
            </w:r>
          </w:p>
        </w:tc>
      </w:tr>
      <w:tr w14:paraId="3C0E2E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49E360D">
            <w:pPr>
              <w:pStyle w:val="780"/>
              <w:rPr>
                <w:rFonts w:eastAsia="等线"/>
                <w:color w:val="auto"/>
              </w:rPr>
            </w:pPr>
          </w:p>
        </w:tc>
        <w:tc>
          <w:tcPr>
            <w:tcW w:w="849" w:type="pct"/>
            <w:vAlign w:val="center"/>
          </w:tcPr>
          <w:p w14:paraId="348C4D6A">
            <w:pPr>
              <w:pStyle w:val="780"/>
              <w:rPr>
                <w:color w:val="auto"/>
              </w:rPr>
            </w:pPr>
            <w:r>
              <w:rPr>
                <w:color w:val="auto"/>
              </w:rPr>
              <w:t>1,1,2,2-四氯乙烷</w:t>
            </w:r>
          </w:p>
        </w:tc>
        <w:tc>
          <w:tcPr>
            <w:tcW w:w="495" w:type="pct"/>
            <w:noWrap/>
            <w:vAlign w:val="center"/>
          </w:tcPr>
          <w:p w14:paraId="0582BA4C">
            <w:pPr>
              <w:pStyle w:val="780"/>
              <w:rPr>
                <w:rFonts w:eastAsia="等线"/>
                <w:color w:val="auto"/>
              </w:rPr>
            </w:pPr>
            <w:r>
              <w:rPr>
                <w:rFonts w:eastAsia="等线"/>
                <w:color w:val="auto"/>
              </w:rPr>
              <w:t>1.2</w:t>
            </w:r>
          </w:p>
        </w:tc>
        <w:tc>
          <w:tcPr>
            <w:tcW w:w="391" w:type="pct"/>
            <w:vAlign w:val="center"/>
          </w:tcPr>
          <w:p w14:paraId="0331A079">
            <w:pPr>
              <w:pStyle w:val="780"/>
              <w:rPr>
                <w:color w:val="auto"/>
              </w:rPr>
            </w:pPr>
            <w:r>
              <w:rPr>
                <w:color w:val="auto"/>
              </w:rPr>
              <w:t>μg/kg</w:t>
            </w:r>
          </w:p>
        </w:tc>
        <w:tc>
          <w:tcPr>
            <w:tcW w:w="490" w:type="pct"/>
            <w:noWrap/>
            <w:vAlign w:val="center"/>
          </w:tcPr>
          <w:p w14:paraId="21E5F18A">
            <w:pPr>
              <w:jc w:val="center"/>
              <w:rPr>
                <w:rFonts w:eastAsia="等线"/>
                <w:color w:val="auto"/>
              </w:rPr>
            </w:pPr>
            <w:r>
              <w:rPr>
                <w:rFonts w:eastAsia="等线"/>
                <w:color w:val="auto"/>
              </w:rPr>
              <w:t>0%</w:t>
            </w:r>
          </w:p>
        </w:tc>
        <w:tc>
          <w:tcPr>
            <w:tcW w:w="429" w:type="pct"/>
            <w:noWrap/>
            <w:vAlign w:val="center"/>
          </w:tcPr>
          <w:p w14:paraId="0D6FFBBA">
            <w:pPr>
              <w:jc w:val="center"/>
              <w:rPr>
                <w:color w:val="auto"/>
              </w:rPr>
            </w:pPr>
            <w:r>
              <w:rPr>
                <w:rFonts w:hint="eastAsia"/>
                <w:color w:val="auto"/>
                <w:lang w:val="en-US" w:eastAsia="zh-CN"/>
              </w:rPr>
              <w:t>/</w:t>
            </w:r>
          </w:p>
        </w:tc>
        <w:tc>
          <w:tcPr>
            <w:tcW w:w="371" w:type="pct"/>
            <w:noWrap/>
            <w:vAlign w:val="center"/>
          </w:tcPr>
          <w:p w14:paraId="1C18C8B8">
            <w:pPr>
              <w:jc w:val="center"/>
              <w:rPr>
                <w:color w:val="auto"/>
              </w:rPr>
            </w:pPr>
            <w:r>
              <w:rPr>
                <w:rFonts w:hint="eastAsia"/>
                <w:color w:val="auto"/>
                <w:lang w:val="en-US" w:eastAsia="zh-CN"/>
              </w:rPr>
              <w:t>/</w:t>
            </w:r>
          </w:p>
        </w:tc>
        <w:tc>
          <w:tcPr>
            <w:tcW w:w="367" w:type="pct"/>
            <w:noWrap/>
            <w:vAlign w:val="center"/>
          </w:tcPr>
          <w:p w14:paraId="7DD8EC85">
            <w:pPr>
              <w:jc w:val="center"/>
              <w:rPr>
                <w:rFonts w:eastAsia="等线"/>
                <w:color w:val="auto"/>
              </w:rPr>
            </w:pPr>
            <w:r>
              <w:rPr>
                <w:rFonts w:hint="eastAsia"/>
                <w:color w:val="auto"/>
                <w:lang w:val="en-US" w:eastAsia="zh-CN"/>
              </w:rPr>
              <w:t>/</w:t>
            </w:r>
          </w:p>
        </w:tc>
        <w:tc>
          <w:tcPr>
            <w:tcW w:w="698" w:type="pct"/>
            <w:noWrap/>
            <w:vAlign w:val="center"/>
          </w:tcPr>
          <w:p w14:paraId="05F69492">
            <w:pPr>
              <w:pStyle w:val="780"/>
              <w:rPr>
                <w:rFonts w:eastAsia="等线"/>
                <w:color w:val="auto"/>
              </w:rPr>
            </w:pPr>
            <w:r>
              <w:rPr>
                <w:rFonts w:hint="eastAsia" w:eastAsia="等线"/>
                <w:color w:val="auto"/>
              </w:rPr>
              <w:t>6.8</w:t>
            </w:r>
          </w:p>
        </w:tc>
        <w:tc>
          <w:tcPr>
            <w:tcW w:w="673" w:type="pct"/>
            <w:noWrap/>
            <w:vAlign w:val="center"/>
          </w:tcPr>
          <w:p w14:paraId="5FAE4807">
            <w:pPr>
              <w:pStyle w:val="780"/>
              <w:rPr>
                <w:color w:val="auto"/>
              </w:rPr>
            </w:pPr>
            <w:r>
              <w:rPr>
                <w:color w:val="auto"/>
              </w:rPr>
              <w:t>否</w:t>
            </w:r>
          </w:p>
        </w:tc>
      </w:tr>
      <w:tr w14:paraId="1E536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70A8093">
            <w:pPr>
              <w:pStyle w:val="780"/>
              <w:rPr>
                <w:rFonts w:eastAsia="等线"/>
                <w:color w:val="auto"/>
              </w:rPr>
            </w:pPr>
          </w:p>
        </w:tc>
        <w:tc>
          <w:tcPr>
            <w:tcW w:w="849" w:type="pct"/>
            <w:vAlign w:val="center"/>
          </w:tcPr>
          <w:p w14:paraId="38F32992">
            <w:pPr>
              <w:pStyle w:val="780"/>
              <w:rPr>
                <w:color w:val="auto"/>
              </w:rPr>
            </w:pPr>
            <w:r>
              <w:rPr>
                <w:color w:val="auto"/>
              </w:rPr>
              <w:t>1,2,3-三氯丙烷</w:t>
            </w:r>
          </w:p>
        </w:tc>
        <w:tc>
          <w:tcPr>
            <w:tcW w:w="495" w:type="pct"/>
            <w:noWrap/>
            <w:vAlign w:val="center"/>
          </w:tcPr>
          <w:p w14:paraId="638E9948">
            <w:pPr>
              <w:pStyle w:val="780"/>
              <w:rPr>
                <w:rFonts w:eastAsia="等线"/>
                <w:color w:val="auto"/>
              </w:rPr>
            </w:pPr>
            <w:r>
              <w:rPr>
                <w:rFonts w:eastAsia="等线"/>
                <w:color w:val="auto"/>
              </w:rPr>
              <w:t>1.2</w:t>
            </w:r>
          </w:p>
        </w:tc>
        <w:tc>
          <w:tcPr>
            <w:tcW w:w="391" w:type="pct"/>
            <w:vAlign w:val="center"/>
          </w:tcPr>
          <w:p w14:paraId="709B57CA">
            <w:pPr>
              <w:pStyle w:val="780"/>
              <w:rPr>
                <w:color w:val="auto"/>
              </w:rPr>
            </w:pPr>
            <w:r>
              <w:rPr>
                <w:color w:val="auto"/>
              </w:rPr>
              <w:t>μg/kg</w:t>
            </w:r>
          </w:p>
        </w:tc>
        <w:tc>
          <w:tcPr>
            <w:tcW w:w="490" w:type="pct"/>
            <w:noWrap/>
            <w:vAlign w:val="center"/>
          </w:tcPr>
          <w:p w14:paraId="1283CB29">
            <w:pPr>
              <w:pStyle w:val="780"/>
              <w:rPr>
                <w:rFonts w:eastAsia="等线"/>
                <w:color w:val="auto"/>
              </w:rPr>
            </w:pPr>
            <w:r>
              <w:rPr>
                <w:rFonts w:eastAsia="等线"/>
                <w:color w:val="auto"/>
              </w:rPr>
              <w:t>0%</w:t>
            </w:r>
          </w:p>
        </w:tc>
        <w:tc>
          <w:tcPr>
            <w:tcW w:w="429" w:type="pct"/>
            <w:noWrap/>
            <w:vAlign w:val="center"/>
          </w:tcPr>
          <w:p w14:paraId="65159139">
            <w:pPr>
              <w:jc w:val="center"/>
              <w:rPr>
                <w:color w:val="auto"/>
              </w:rPr>
            </w:pPr>
            <w:r>
              <w:rPr>
                <w:rFonts w:hint="eastAsia"/>
                <w:color w:val="auto"/>
                <w:lang w:val="en-US" w:eastAsia="zh-CN"/>
              </w:rPr>
              <w:t>/</w:t>
            </w:r>
          </w:p>
        </w:tc>
        <w:tc>
          <w:tcPr>
            <w:tcW w:w="371" w:type="pct"/>
            <w:noWrap/>
            <w:vAlign w:val="center"/>
          </w:tcPr>
          <w:p w14:paraId="077133CB">
            <w:pPr>
              <w:jc w:val="center"/>
              <w:rPr>
                <w:color w:val="auto"/>
              </w:rPr>
            </w:pPr>
            <w:r>
              <w:rPr>
                <w:rFonts w:hint="eastAsia"/>
                <w:color w:val="auto"/>
                <w:lang w:val="en-US" w:eastAsia="zh-CN"/>
              </w:rPr>
              <w:t>/</w:t>
            </w:r>
          </w:p>
        </w:tc>
        <w:tc>
          <w:tcPr>
            <w:tcW w:w="367" w:type="pct"/>
            <w:noWrap/>
            <w:vAlign w:val="center"/>
          </w:tcPr>
          <w:p w14:paraId="1CDC9E6F">
            <w:pPr>
              <w:jc w:val="center"/>
              <w:rPr>
                <w:rFonts w:eastAsia="等线"/>
                <w:color w:val="auto"/>
              </w:rPr>
            </w:pPr>
            <w:r>
              <w:rPr>
                <w:rFonts w:hint="eastAsia"/>
                <w:color w:val="auto"/>
                <w:lang w:val="en-US" w:eastAsia="zh-CN"/>
              </w:rPr>
              <w:t>/</w:t>
            </w:r>
          </w:p>
        </w:tc>
        <w:tc>
          <w:tcPr>
            <w:tcW w:w="698" w:type="pct"/>
            <w:noWrap/>
            <w:vAlign w:val="center"/>
          </w:tcPr>
          <w:p w14:paraId="56B6B7D4">
            <w:pPr>
              <w:pStyle w:val="780"/>
              <w:rPr>
                <w:rFonts w:eastAsia="等线"/>
                <w:color w:val="auto"/>
              </w:rPr>
            </w:pPr>
            <w:r>
              <w:rPr>
                <w:rFonts w:hint="eastAsia" w:eastAsia="等线"/>
                <w:color w:val="auto"/>
              </w:rPr>
              <w:t>0.5</w:t>
            </w:r>
          </w:p>
        </w:tc>
        <w:tc>
          <w:tcPr>
            <w:tcW w:w="673" w:type="pct"/>
            <w:noWrap/>
            <w:vAlign w:val="center"/>
          </w:tcPr>
          <w:p w14:paraId="3AB72000">
            <w:pPr>
              <w:pStyle w:val="780"/>
              <w:rPr>
                <w:color w:val="auto"/>
              </w:rPr>
            </w:pPr>
            <w:r>
              <w:rPr>
                <w:color w:val="auto"/>
              </w:rPr>
              <w:t>否</w:t>
            </w:r>
          </w:p>
        </w:tc>
      </w:tr>
      <w:tr w14:paraId="1FEFC58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1A173DD">
            <w:pPr>
              <w:pStyle w:val="780"/>
              <w:rPr>
                <w:rFonts w:eastAsia="等线"/>
                <w:color w:val="auto"/>
              </w:rPr>
            </w:pPr>
          </w:p>
        </w:tc>
        <w:tc>
          <w:tcPr>
            <w:tcW w:w="849" w:type="pct"/>
            <w:vAlign w:val="center"/>
          </w:tcPr>
          <w:p w14:paraId="29E68582">
            <w:pPr>
              <w:pStyle w:val="780"/>
              <w:rPr>
                <w:color w:val="auto"/>
              </w:rPr>
            </w:pPr>
            <w:r>
              <w:rPr>
                <w:color w:val="auto"/>
              </w:rPr>
              <w:t>1,4-二氯苯</w:t>
            </w:r>
          </w:p>
        </w:tc>
        <w:tc>
          <w:tcPr>
            <w:tcW w:w="495" w:type="pct"/>
            <w:noWrap/>
            <w:vAlign w:val="center"/>
          </w:tcPr>
          <w:p w14:paraId="0B9C83C1">
            <w:pPr>
              <w:pStyle w:val="780"/>
              <w:rPr>
                <w:rFonts w:eastAsia="等线"/>
                <w:color w:val="auto"/>
              </w:rPr>
            </w:pPr>
            <w:r>
              <w:rPr>
                <w:rFonts w:eastAsia="等线"/>
                <w:color w:val="auto"/>
              </w:rPr>
              <w:t>1.5</w:t>
            </w:r>
          </w:p>
        </w:tc>
        <w:tc>
          <w:tcPr>
            <w:tcW w:w="391" w:type="pct"/>
            <w:vAlign w:val="center"/>
          </w:tcPr>
          <w:p w14:paraId="0E773295">
            <w:pPr>
              <w:pStyle w:val="780"/>
              <w:rPr>
                <w:color w:val="auto"/>
              </w:rPr>
            </w:pPr>
            <w:r>
              <w:rPr>
                <w:color w:val="auto"/>
              </w:rPr>
              <w:t>μg/kg</w:t>
            </w:r>
          </w:p>
        </w:tc>
        <w:tc>
          <w:tcPr>
            <w:tcW w:w="490" w:type="pct"/>
            <w:noWrap/>
            <w:vAlign w:val="center"/>
          </w:tcPr>
          <w:p w14:paraId="0DDC4773">
            <w:pPr>
              <w:pStyle w:val="780"/>
              <w:rPr>
                <w:rFonts w:eastAsia="等线"/>
                <w:color w:val="auto"/>
              </w:rPr>
            </w:pPr>
            <w:r>
              <w:rPr>
                <w:rFonts w:eastAsia="等线"/>
                <w:color w:val="auto"/>
              </w:rPr>
              <w:t>0%</w:t>
            </w:r>
          </w:p>
        </w:tc>
        <w:tc>
          <w:tcPr>
            <w:tcW w:w="429" w:type="pct"/>
            <w:noWrap/>
            <w:vAlign w:val="center"/>
          </w:tcPr>
          <w:p w14:paraId="56ADC348">
            <w:pPr>
              <w:jc w:val="center"/>
              <w:rPr>
                <w:color w:val="auto"/>
              </w:rPr>
            </w:pPr>
            <w:r>
              <w:rPr>
                <w:rFonts w:hint="eastAsia"/>
                <w:color w:val="auto"/>
                <w:lang w:val="en-US" w:eastAsia="zh-CN"/>
              </w:rPr>
              <w:t>/</w:t>
            </w:r>
          </w:p>
        </w:tc>
        <w:tc>
          <w:tcPr>
            <w:tcW w:w="371" w:type="pct"/>
            <w:noWrap/>
            <w:vAlign w:val="center"/>
          </w:tcPr>
          <w:p w14:paraId="632981B3">
            <w:pPr>
              <w:jc w:val="center"/>
              <w:rPr>
                <w:color w:val="auto"/>
              </w:rPr>
            </w:pPr>
            <w:r>
              <w:rPr>
                <w:rFonts w:hint="eastAsia"/>
                <w:color w:val="auto"/>
                <w:lang w:val="en-US" w:eastAsia="zh-CN"/>
              </w:rPr>
              <w:t>/</w:t>
            </w:r>
          </w:p>
        </w:tc>
        <w:tc>
          <w:tcPr>
            <w:tcW w:w="367" w:type="pct"/>
            <w:noWrap/>
            <w:vAlign w:val="center"/>
          </w:tcPr>
          <w:p w14:paraId="4A619EC5">
            <w:pPr>
              <w:jc w:val="center"/>
              <w:rPr>
                <w:rFonts w:eastAsia="等线"/>
                <w:color w:val="auto"/>
              </w:rPr>
            </w:pPr>
            <w:r>
              <w:rPr>
                <w:rFonts w:hint="eastAsia"/>
                <w:color w:val="auto"/>
                <w:lang w:val="en-US" w:eastAsia="zh-CN"/>
              </w:rPr>
              <w:t>/</w:t>
            </w:r>
          </w:p>
        </w:tc>
        <w:tc>
          <w:tcPr>
            <w:tcW w:w="698" w:type="pct"/>
            <w:noWrap/>
            <w:vAlign w:val="center"/>
          </w:tcPr>
          <w:p w14:paraId="1E14D73E">
            <w:pPr>
              <w:pStyle w:val="780"/>
              <w:rPr>
                <w:rFonts w:eastAsia="等线"/>
                <w:color w:val="auto"/>
              </w:rPr>
            </w:pPr>
            <w:r>
              <w:rPr>
                <w:rFonts w:hint="eastAsia" w:eastAsia="等线"/>
                <w:color w:val="auto"/>
              </w:rPr>
              <w:t>20</w:t>
            </w:r>
          </w:p>
        </w:tc>
        <w:tc>
          <w:tcPr>
            <w:tcW w:w="673" w:type="pct"/>
            <w:noWrap/>
            <w:vAlign w:val="center"/>
          </w:tcPr>
          <w:p w14:paraId="209219AD">
            <w:pPr>
              <w:pStyle w:val="780"/>
              <w:rPr>
                <w:color w:val="auto"/>
              </w:rPr>
            </w:pPr>
            <w:r>
              <w:rPr>
                <w:color w:val="auto"/>
              </w:rPr>
              <w:t>否</w:t>
            </w:r>
          </w:p>
        </w:tc>
      </w:tr>
      <w:tr w14:paraId="6CE89DE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4C78E6E4">
            <w:pPr>
              <w:pStyle w:val="780"/>
              <w:rPr>
                <w:rFonts w:eastAsia="等线"/>
                <w:color w:val="auto"/>
              </w:rPr>
            </w:pPr>
          </w:p>
        </w:tc>
        <w:tc>
          <w:tcPr>
            <w:tcW w:w="849" w:type="pct"/>
            <w:vAlign w:val="center"/>
          </w:tcPr>
          <w:p w14:paraId="553E8A6D">
            <w:pPr>
              <w:pStyle w:val="780"/>
              <w:rPr>
                <w:color w:val="auto"/>
              </w:rPr>
            </w:pPr>
            <w:r>
              <w:rPr>
                <w:color w:val="auto"/>
              </w:rPr>
              <w:t>1,2-二氯苯</w:t>
            </w:r>
          </w:p>
        </w:tc>
        <w:tc>
          <w:tcPr>
            <w:tcW w:w="495" w:type="pct"/>
            <w:noWrap/>
            <w:vAlign w:val="center"/>
          </w:tcPr>
          <w:p w14:paraId="5B514A04">
            <w:pPr>
              <w:pStyle w:val="780"/>
              <w:rPr>
                <w:rFonts w:eastAsia="等线"/>
                <w:color w:val="auto"/>
              </w:rPr>
            </w:pPr>
            <w:r>
              <w:rPr>
                <w:rFonts w:eastAsia="等线"/>
                <w:color w:val="auto"/>
              </w:rPr>
              <w:t>1.5</w:t>
            </w:r>
          </w:p>
        </w:tc>
        <w:tc>
          <w:tcPr>
            <w:tcW w:w="391" w:type="pct"/>
            <w:vAlign w:val="center"/>
          </w:tcPr>
          <w:p w14:paraId="58917429">
            <w:pPr>
              <w:pStyle w:val="780"/>
              <w:rPr>
                <w:color w:val="auto"/>
              </w:rPr>
            </w:pPr>
            <w:r>
              <w:rPr>
                <w:color w:val="auto"/>
              </w:rPr>
              <w:t>μg/kg</w:t>
            </w:r>
          </w:p>
        </w:tc>
        <w:tc>
          <w:tcPr>
            <w:tcW w:w="490" w:type="pct"/>
            <w:noWrap/>
            <w:vAlign w:val="center"/>
          </w:tcPr>
          <w:p w14:paraId="5F223AA2">
            <w:pPr>
              <w:pStyle w:val="780"/>
              <w:rPr>
                <w:rFonts w:eastAsia="等线"/>
                <w:color w:val="auto"/>
              </w:rPr>
            </w:pPr>
            <w:r>
              <w:rPr>
                <w:rFonts w:eastAsia="等线"/>
                <w:color w:val="auto"/>
              </w:rPr>
              <w:t>0%</w:t>
            </w:r>
          </w:p>
        </w:tc>
        <w:tc>
          <w:tcPr>
            <w:tcW w:w="429" w:type="pct"/>
            <w:noWrap/>
            <w:vAlign w:val="center"/>
          </w:tcPr>
          <w:p w14:paraId="3F304EB7">
            <w:pPr>
              <w:jc w:val="center"/>
              <w:rPr>
                <w:color w:val="auto"/>
              </w:rPr>
            </w:pPr>
            <w:r>
              <w:rPr>
                <w:rFonts w:hint="eastAsia"/>
                <w:color w:val="auto"/>
                <w:lang w:val="en-US" w:eastAsia="zh-CN"/>
              </w:rPr>
              <w:t>/</w:t>
            </w:r>
          </w:p>
        </w:tc>
        <w:tc>
          <w:tcPr>
            <w:tcW w:w="371" w:type="pct"/>
            <w:noWrap/>
            <w:vAlign w:val="center"/>
          </w:tcPr>
          <w:p w14:paraId="3B48919B">
            <w:pPr>
              <w:jc w:val="center"/>
              <w:rPr>
                <w:color w:val="auto"/>
              </w:rPr>
            </w:pPr>
            <w:r>
              <w:rPr>
                <w:rFonts w:hint="eastAsia"/>
                <w:color w:val="auto"/>
                <w:lang w:val="en-US" w:eastAsia="zh-CN"/>
              </w:rPr>
              <w:t>/</w:t>
            </w:r>
          </w:p>
        </w:tc>
        <w:tc>
          <w:tcPr>
            <w:tcW w:w="367" w:type="pct"/>
            <w:noWrap/>
            <w:vAlign w:val="center"/>
          </w:tcPr>
          <w:p w14:paraId="6A06B9F4">
            <w:pPr>
              <w:jc w:val="center"/>
              <w:rPr>
                <w:rFonts w:eastAsia="等线"/>
                <w:color w:val="auto"/>
              </w:rPr>
            </w:pPr>
            <w:r>
              <w:rPr>
                <w:rFonts w:hint="eastAsia"/>
                <w:color w:val="auto"/>
                <w:lang w:val="en-US" w:eastAsia="zh-CN"/>
              </w:rPr>
              <w:t>/</w:t>
            </w:r>
          </w:p>
        </w:tc>
        <w:tc>
          <w:tcPr>
            <w:tcW w:w="698" w:type="pct"/>
            <w:noWrap/>
            <w:vAlign w:val="center"/>
          </w:tcPr>
          <w:p w14:paraId="1F18ACE5">
            <w:pPr>
              <w:pStyle w:val="780"/>
              <w:rPr>
                <w:rFonts w:eastAsia="等线"/>
                <w:color w:val="auto"/>
              </w:rPr>
            </w:pPr>
            <w:r>
              <w:rPr>
                <w:rFonts w:hint="eastAsia" w:eastAsia="等线"/>
                <w:color w:val="auto"/>
              </w:rPr>
              <w:t>560</w:t>
            </w:r>
          </w:p>
        </w:tc>
        <w:tc>
          <w:tcPr>
            <w:tcW w:w="673" w:type="pct"/>
            <w:noWrap/>
            <w:vAlign w:val="center"/>
          </w:tcPr>
          <w:p w14:paraId="10AD8C36">
            <w:pPr>
              <w:pStyle w:val="780"/>
              <w:rPr>
                <w:color w:val="auto"/>
              </w:rPr>
            </w:pPr>
            <w:r>
              <w:rPr>
                <w:color w:val="auto"/>
              </w:rPr>
              <w:t>否</w:t>
            </w:r>
          </w:p>
        </w:tc>
      </w:tr>
      <w:tr w14:paraId="363C13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2FD854C">
            <w:pPr>
              <w:pStyle w:val="780"/>
              <w:rPr>
                <w:rFonts w:eastAsia="等线"/>
                <w:color w:val="auto"/>
              </w:rPr>
            </w:pPr>
          </w:p>
        </w:tc>
        <w:tc>
          <w:tcPr>
            <w:tcW w:w="849" w:type="pct"/>
            <w:vAlign w:val="center"/>
          </w:tcPr>
          <w:p w14:paraId="42EF963E">
            <w:pPr>
              <w:pStyle w:val="780"/>
              <w:rPr>
                <w:color w:val="auto"/>
              </w:rPr>
            </w:pPr>
            <w:r>
              <w:rPr>
                <w:rFonts w:hint="eastAsia"/>
                <w:color w:val="auto"/>
              </w:rPr>
              <w:t>pH</w:t>
            </w:r>
          </w:p>
        </w:tc>
        <w:tc>
          <w:tcPr>
            <w:tcW w:w="495" w:type="pct"/>
            <w:noWrap/>
            <w:vAlign w:val="center"/>
          </w:tcPr>
          <w:p w14:paraId="7C6395FF">
            <w:pPr>
              <w:pStyle w:val="780"/>
              <w:rPr>
                <w:rFonts w:eastAsia="等线"/>
                <w:color w:val="auto"/>
              </w:rPr>
            </w:pPr>
            <w:r>
              <w:rPr>
                <w:rFonts w:hint="eastAsia" w:eastAsia="等线"/>
                <w:color w:val="auto"/>
              </w:rPr>
              <w:t>\</w:t>
            </w:r>
          </w:p>
        </w:tc>
        <w:tc>
          <w:tcPr>
            <w:tcW w:w="391" w:type="pct"/>
            <w:vAlign w:val="center"/>
          </w:tcPr>
          <w:p w14:paraId="137E50CC">
            <w:pPr>
              <w:pStyle w:val="780"/>
              <w:rPr>
                <w:color w:val="auto"/>
              </w:rPr>
            </w:pPr>
            <w:r>
              <w:rPr>
                <w:rFonts w:hint="eastAsia"/>
                <w:color w:val="auto"/>
              </w:rPr>
              <w:t>无量纲</w:t>
            </w:r>
          </w:p>
        </w:tc>
        <w:tc>
          <w:tcPr>
            <w:tcW w:w="490" w:type="pct"/>
            <w:noWrap/>
            <w:vAlign w:val="center"/>
          </w:tcPr>
          <w:p w14:paraId="6FEE7102">
            <w:pPr>
              <w:pStyle w:val="780"/>
              <w:rPr>
                <w:rFonts w:eastAsia="等线"/>
                <w:color w:val="auto"/>
              </w:rPr>
            </w:pPr>
            <w:r>
              <w:rPr>
                <w:rFonts w:hint="eastAsia" w:eastAsia="等线"/>
                <w:color w:val="auto"/>
              </w:rPr>
              <w:t>100</w:t>
            </w:r>
            <w:r>
              <w:rPr>
                <w:rFonts w:eastAsia="等线"/>
                <w:color w:val="auto"/>
              </w:rPr>
              <w:t>%</w:t>
            </w:r>
          </w:p>
        </w:tc>
        <w:tc>
          <w:tcPr>
            <w:tcW w:w="429" w:type="pct"/>
            <w:noWrap/>
            <w:vAlign w:val="center"/>
          </w:tcPr>
          <w:p w14:paraId="29723DD5">
            <w:pPr>
              <w:pStyle w:val="780"/>
              <w:rPr>
                <w:rFonts w:hint="default" w:eastAsia="等线"/>
                <w:color w:val="auto"/>
                <w:lang w:val="en-US" w:eastAsia="zh-CN"/>
              </w:rPr>
            </w:pPr>
            <w:r>
              <w:rPr>
                <w:rFonts w:hint="eastAsia" w:eastAsia="等线"/>
                <w:color w:val="auto"/>
                <w:lang w:val="en-US" w:eastAsia="zh-CN"/>
              </w:rPr>
              <w:t>7.34</w:t>
            </w:r>
          </w:p>
        </w:tc>
        <w:tc>
          <w:tcPr>
            <w:tcW w:w="371" w:type="pct"/>
            <w:noWrap/>
            <w:vAlign w:val="center"/>
          </w:tcPr>
          <w:p w14:paraId="1EBAE1A2">
            <w:pPr>
              <w:pStyle w:val="780"/>
              <w:rPr>
                <w:rFonts w:hint="default" w:eastAsia="等线"/>
                <w:color w:val="auto"/>
                <w:lang w:val="en-US" w:eastAsia="zh-CN"/>
              </w:rPr>
            </w:pPr>
            <w:r>
              <w:rPr>
                <w:rFonts w:hint="eastAsia" w:eastAsia="等线"/>
                <w:color w:val="auto"/>
                <w:lang w:val="en-US" w:eastAsia="zh-CN"/>
              </w:rPr>
              <w:t>9.67</w:t>
            </w:r>
          </w:p>
        </w:tc>
        <w:tc>
          <w:tcPr>
            <w:tcW w:w="367" w:type="pct"/>
            <w:noWrap/>
            <w:vAlign w:val="center"/>
          </w:tcPr>
          <w:p w14:paraId="026EC1BF">
            <w:pPr>
              <w:pStyle w:val="780"/>
              <w:rPr>
                <w:rFonts w:hint="default" w:eastAsia="等线"/>
                <w:color w:val="auto"/>
                <w:lang w:val="en-US" w:eastAsia="zh-CN"/>
              </w:rPr>
            </w:pPr>
            <w:r>
              <w:rPr>
                <w:rFonts w:hint="eastAsia" w:eastAsia="等线"/>
                <w:color w:val="auto"/>
                <w:lang w:val="en-US" w:eastAsia="zh-CN"/>
              </w:rPr>
              <w:t>8.36</w:t>
            </w:r>
          </w:p>
        </w:tc>
        <w:tc>
          <w:tcPr>
            <w:tcW w:w="698" w:type="pct"/>
            <w:noWrap/>
            <w:vAlign w:val="center"/>
          </w:tcPr>
          <w:p w14:paraId="6E0B7135">
            <w:pPr>
              <w:pStyle w:val="780"/>
              <w:rPr>
                <w:rFonts w:eastAsia="等线"/>
                <w:color w:val="auto"/>
              </w:rPr>
            </w:pPr>
            <w:r>
              <w:rPr>
                <w:rFonts w:hint="eastAsia" w:eastAsia="等线"/>
                <w:color w:val="auto"/>
              </w:rPr>
              <w:t>/</w:t>
            </w:r>
          </w:p>
        </w:tc>
        <w:tc>
          <w:tcPr>
            <w:tcW w:w="673" w:type="pct"/>
            <w:noWrap/>
            <w:vAlign w:val="center"/>
          </w:tcPr>
          <w:p w14:paraId="480300A2">
            <w:pPr>
              <w:pStyle w:val="780"/>
              <w:rPr>
                <w:color w:val="auto"/>
              </w:rPr>
            </w:pPr>
            <w:r>
              <w:rPr>
                <w:color w:val="auto"/>
              </w:rPr>
              <w:t>否</w:t>
            </w:r>
          </w:p>
        </w:tc>
      </w:tr>
      <w:tr w14:paraId="0E4BD9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5000" w:type="pct"/>
            <w:gridSpan w:val="10"/>
            <w:noWrap/>
            <w:vAlign w:val="center"/>
          </w:tcPr>
          <w:p w14:paraId="494EB236">
            <w:pPr>
              <w:pStyle w:val="780"/>
              <w:rPr>
                <w:rFonts w:hint="eastAsia" w:eastAsia="宋体"/>
                <w:color w:val="auto"/>
                <w:lang w:eastAsia="zh-CN"/>
              </w:rPr>
            </w:pPr>
            <w:r>
              <w:rPr>
                <w:rFonts w:hint="eastAsia"/>
                <w:color w:val="auto"/>
                <w:lang w:eastAsia="zh-CN"/>
              </w:rPr>
              <w:t>农用地</w:t>
            </w:r>
          </w:p>
        </w:tc>
      </w:tr>
      <w:tr w14:paraId="3A6255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73FC9409">
            <w:pPr>
              <w:pStyle w:val="780"/>
              <w:rPr>
                <w:rFonts w:hint="eastAsia" w:eastAsia="等线"/>
                <w:color w:val="auto"/>
                <w:highlight w:val="none"/>
                <w:lang w:val="en-US" w:eastAsia="zh-CN"/>
              </w:rPr>
            </w:pPr>
            <w:r>
              <w:rPr>
                <w:rFonts w:hint="eastAsia" w:eastAsia="等线"/>
                <w:color w:val="auto"/>
                <w:highlight w:val="none"/>
                <w:lang w:val="en-US" w:eastAsia="zh-CN"/>
              </w:rPr>
              <w:t>1</w:t>
            </w:r>
          </w:p>
        </w:tc>
        <w:tc>
          <w:tcPr>
            <w:tcW w:w="849" w:type="pct"/>
            <w:vAlign w:val="center"/>
          </w:tcPr>
          <w:p w14:paraId="15A938C4">
            <w:pPr>
              <w:pStyle w:val="780"/>
              <w:rPr>
                <w:rFonts w:hint="default" w:eastAsia="宋体"/>
                <w:color w:val="auto"/>
                <w:highlight w:val="none"/>
                <w:lang w:val="en-US" w:eastAsia="zh-CN"/>
              </w:rPr>
            </w:pPr>
            <w:r>
              <w:rPr>
                <w:rFonts w:hint="eastAsia"/>
                <w:color w:val="auto"/>
                <w:highlight w:val="none"/>
                <w:lang w:val="en-US" w:eastAsia="zh-CN"/>
              </w:rPr>
              <w:t>pH</w:t>
            </w:r>
          </w:p>
        </w:tc>
        <w:tc>
          <w:tcPr>
            <w:tcW w:w="495" w:type="pct"/>
            <w:noWrap/>
            <w:vAlign w:val="center"/>
          </w:tcPr>
          <w:p w14:paraId="257B423D">
            <w:pPr>
              <w:pStyle w:val="780"/>
              <w:rPr>
                <w:rFonts w:hint="eastAsia" w:eastAsia="等线"/>
                <w:color w:val="auto"/>
                <w:highlight w:val="none"/>
                <w:lang w:val="en-US" w:eastAsia="zh-CN"/>
              </w:rPr>
            </w:pPr>
            <w:r>
              <w:rPr>
                <w:rFonts w:hint="eastAsia" w:eastAsia="等线"/>
                <w:color w:val="auto"/>
                <w:highlight w:val="none"/>
                <w:lang w:val="en-US" w:eastAsia="zh-CN"/>
              </w:rPr>
              <w:t>1</w:t>
            </w:r>
          </w:p>
        </w:tc>
        <w:tc>
          <w:tcPr>
            <w:tcW w:w="391" w:type="pct"/>
            <w:vAlign w:val="center"/>
          </w:tcPr>
          <w:p w14:paraId="4AB42220">
            <w:pPr>
              <w:pStyle w:val="780"/>
              <w:rPr>
                <w:rFonts w:hint="eastAsia" w:eastAsia="宋体"/>
                <w:color w:val="auto"/>
                <w:highlight w:val="none"/>
                <w:lang w:eastAsia="zh-CN"/>
              </w:rPr>
            </w:pPr>
            <w:r>
              <w:rPr>
                <w:rFonts w:hint="eastAsia"/>
                <w:color w:val="auto"/>
                <w:highlight w:val="none"/>
                <w:lang w:eastAsia="zh-CN"/>
              </w:rPr>
              <w:t>无量纲</w:t>
            </w:r>
          </w:p>
        </w:tc>
        <w:tc>
          <w:tcPr>
            <w:tcW w:w="490" w:type="pct"/>
            <w:noWrap/>
            <w:vAlign w:val="center"/>
          </w:tcPr>
          <w:p w14:paraId="24FACFB5">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66D0DB79">
            <w:pPr>
              <w:pStyle w:val="780"/>
              <w:jc w:val="center"/>
              <w:rPr>
                <w:rFonts w:hint="default" w:eastAsia="等线"/>
                <w:color w:val="auto"/>
                <w:highlight w:val="none"/>
                <w:lang w:val="en-US" w:eastAsia="zh-CN"/>
              </w:rPr>
            </w:pPr>
            <w:r>
              <w:rPr>
                <w:rFonts w:hint="eastAsia" w:eastAsia="等线"/>
                <w:color w:val="auto"/>
                <w:highlight w:val="none"/>
                <w:lang w:val="en-US" w:eastAsia="zh-CN"/>
              </w:rPr>
              <w:t>6.55</w:t>
            </w:r>
          </w:p>
        </w:tc>
        <w:tc>
          <w:tcPr>
            <w:tcW w:w="371" w:type="pct"/>
            <w:noWrap/>
            <w:vAlign w:val="center"/>
          </w:tcPr>
          <w:p w14:paraId="1AB9B0EC">
            <w:pPr>
              <w:pStyle w:val="780"/>
              <w:jc w:val="center"/>
              <w:rPr>
                <w:rFonts w:hint="default" w:eastAsia="等线"/>
                <w:color w:val="auto"/>
                <w:highlight w:val="none"/>
                <w:lang w:val="en-US" w:eastAsia="zh-CN"/>
              </w:rPr>
            </w:pPr>
            <w:r>
              <w:rPr>
                <w:rFonts w:hint="eastAsia" w:eastAsia="等线"/>
                <w:color w:val="auto"/>
                <w:highlight w:val="none"/>
                <w:lang w:val="en-US" w:eastAsia="zh-CN"/>
              </w:rPr>
              <w:t>6.73</w:t>
            </w:r>
          </w:p>
        </w:tc>
        <w:tc>
          <w:tcPr>
            <w:tcW w:w="367" w:type="pct"/>
            <w:noWrap/>
            <w:vAlign w:val="center"/>
          </w:tcPr>
          <w:p w14:paraId="50C7C0E2">
            <w:pPr>
              <w:pStyle w:val="780"/>
              <w:jc w:val="center"/>
              <w:rPr>
                <w:rFonts w:hint="default" w:eastAsia="等线"/>
                <w:color w:val="auto"/>
                <w:highlight w:val="none"/>
                <w:lang w:val="en-US" w:eastAsia="zh-CN"/>
              </w:rPr>
            </w:pPr>
            <w:r>
              <w:rPr>
                <w:rFonts w:hint="eastAsia" w:eastAsia="等线"/>
                <w:color w:val="auto"/>
                <w:highlight w:val="none"/>
                <w:lang w:val="en-US" w:eastAsia="zh-CN"/>
              </w:rPr>
              <w:t>6.64</w:t>
            </w:r>
          </w:p>
        </w:tc>
        <w:tc>
          <w:tcPr>
            <w:tcW w:w="698" w:type="pct"/>
            <w:noWrap/>
            <w:vAlign w:val="center"/>
          </w:tcPr>
          <w:p w14:paraId="55969D2F">
            <w:pPr>
              <w:pStyle w:val="780"/>
              <w:rPr>
                <w:rFonts w:hint="default" w:eastAsia="等线"/>
                <w:color w:val="auto"/>
                <w:highlight w:val="none"/>
                <w:lang w:val="en-US" w:eastAsia="zh-CN"/>
              </w:rPr>
            </w:pPr>
            <w:r>
              <w:rPr>
                <w:rFonts w:hint="eastAsia" w:eastAsia="等线"/>
                <w:color w:val="auto"/>
                <w:highlight w:val="none"/>
                <w:lang w:val="en-US" w:eastAsia="zh-CN"/>
              </w:rPr>
              <w:t>/</w:t>
            </w:r>
          </w:p>
        </w:tc>
        <w:tc>
          <w:tcPr>
            <w:tcW w:w="673" w:type="pct"/>
            <w:noWrap/>
            <w:vAlign w:val="center"/>
          </w:tcPr>
          <w:p w14:paraId="44394405">
            <w:pPr>
              <w:pStyle w:val="780"/>
              <w:rPr>
                <w:color w:val="auto"/>
                <w:highlight w:val="none"/>
              </w:rPr>
            </w:pPr>
            <w:r>
              <w:rPr>
                <w:rFonts w:hint="eastAsia" w:eastAsia="等线"/>
                <w:color w:val="auto"/>
                <w:highlight w:val="none"/>
                <w:lang w:val="en-US" w:eastAsia="zh-CN"/>
              </w:rPr>
              <w:t>/</w:t>
            </w:r>
          </w:p>
        </w:tc>
      </w:tr>
      <w:tr w14:paraId="317556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52B6D524">
            <w:pPr>
              <w:pStyle w:val="780"/>
              <w:rPr>
                <w:rFonts w:hint="eastAsia" w:eastAsia="等线"/>
                <w:color w:val="auto"/>
                <w:highlight w:val="none"/>
                <w:lang w:val="en-US" w:eastAsia="zh-CN"/>
              </w:rPr>
            </w:pPr>
            <w:r>
              <w:rPr>
                <w:rFonts w:hint="eastAsia" w:eastAsia="等线"/>
                <w:color w:val="auto"/>
                <w:highlight w:val="none"/>
                <w:lang w:val="en-US" w:eastAsia="zh-CN"/>
              </w:rPr>
              <w:t>2</w:t>
            </w:r>
          </w:p>
        </w:tc>
        <w:tc>
          <w:tcPr>
            <w:tcW w:w="849" w:type="pct"/>
            <w:vAlign w:val="center"/>
          </w:tcPr>
          <w:p w14:paraId="1FB8A428">
            <w:pPr>
              <w:pStyle w:val="780"/>
              <w:rPr>
                <w:rFonts w:hint="eastAsia" w:eastAsia="宋体"/>
                <w:color w:val="auto"/>
                <w:highlight w:val="none"/>
                <w:lang w:eastAsia="zh-CN"/>
              </w:rPr>
            </w:pPr>
            <w:r>
              <w:rPr>
                <w:rFonts w:hint="eastAsia"/>
                <w:color w:val="auto"/>
                <w:highlight w:val="none"/>
                <w:lang w:eastAsia="zh-CN"/>
              </w:rPr>
              <w:t>镉</w:t>
            </w:r>
          </w:p>
        </w:tc>
        <w:tc>
          <w:tcPr>
            <w:tcW w:w="495" w:type="pct"/>
            <w:noWrap/>
            <w:vAlign w:val="center"/>
          </w:tcPr>
          <w:p w14:paraId="396F5BC6">
            <w:pPr>
              <w:pStyle w:val="780"/>
              <w:rPr>
                <w:rFonts w:hint="default" w:eastAsia="等线"/>
                <w:color w:val="auto"/>
                <w:highlight w:val="none"/>
                <w:lang w:val="en-US" w:eastAsia="zh-CN"/>
              </w:rPr>
            </w:pPr>
            <w:r>
              <w:rPr>
                <w:rFonts w:hint="eastAsia" w:eastAsia="等线"/>
                <w:color w:val="auto"/>
                <w:highlight w:val="none"/>
                <w:lang w:val="en-US" w:eastAsia="zh-CN"/>
              </w:rPr>
              <w:t>0.01L</w:t>
            </w:r>
          </w:p>
        </w:tc>
        <w:tc>
          <w:tcPr>
            <w:tcW w:w="391" w:type="pct"/>
            <w:vAlign w:val="center"/>
          </w:tcPr>
          <w:p w14:paraId="20D50994">
            <w:pPr>
              <w:jc w:val="center"/>
              <w:rPr>
                <w:rFonts w:hint="eastAsia"/>
                <w:color w:val="auto"/>
                <w:highlight w:val="none"/>
              </w:rPr>
            </w:pPr>
            <w:r>
              <w:rPr>
                <w:color w:val="auto"/>
                <w:highlight w:val="none"/>
              </w:rPr>
              <w:t>mg/kg</w:t>
            </w:r>
          </w:p>
        </w:tc>
        <w:tc>
          <w:tcPr>
            <w:tcW w:w="490" w:type="pct"/>
            <w:noWrap/>
            <w:vAlign w:val="center"/>
          </w:tcPr>
          <w:p w14:paraId="17011886">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5FEC486B">
            <w:pPr>
              <w:pStyle w:val="780"/>
              <w:jc w:val="center"/>
              <w:rPr>
                <w:rFonts w:hint="default" w:eastAsia="等线"/>
                <w:color w:val="auto"/>
                <w:highlight w:val="none"/>
                <w:lang w:val="en-US" w:eastAsia="zh-CN"/>
              </w:rPr>
            </w:pPr>
            <w:r>
              <w:rPr>
                <w:rFonts w:hint="eastAsia" w:eastAsia="等线"/>
                <w:color w:val="auto"/>
                <w:highlight w:val="none"/>
                <w:lang w:val="en-US" w:eastAsia="zh-CN"/>
              </w:rPr>
              <w:t>0.08</w:t>
            </w:r>
          </w:p>
        </w:tc>
        <w:tc>
          <w:tcPr>
            <w:tcW w:w="371" w:type="pct"/>
            <w:noWrap/>
            <w:vAlign w:val="center"/>
          </w:tcPr>
          <w:p w14:paraId="09872FF5">
            <w:pPr>
              <w:pStyle w:val="780"/>
              <w:jc w:val="center"/>
              <w:rPr>
                <w:rFonts w:hint="default" w:eastAsia="等线"/>
                <w:color w:val="auto"/>
                <w:highlight w:val="none"/>
                <w:lang w:val="en-US" w:eastAsia="zh-CN"/>
              </w:rPr>
            </w:pPr>
            <w:r>
              <w:rPr>
                <w:rFonts w:hint="eastAsia" w:eastAsia="等线"/>
                <w:color w:val="auto"/>
                <w:highlight w:val="none"/>
                <w:lang w:val="en-US" w:eastAsia="zh-CN"/>
              </w:rPr>
              <w:t>0.2</w:t>
            </w:r>
          </w:p>
        </w:tc>
        <w:tc>
          <w:tcPr>
            <w:tcW w:w="367" w:type="pct"/>
            <w:noWrap/>
            <w:vAlign w:val="center"/>
          </w:tcPr>
          <w:p w14:paraId="50652D55">
            <w:pPr>
              <w:pStyle w:val="780"/>
              <w:jc w:val="center"/>
              <w:rPr>
                <w:rFonts w:hint="default" w:eastAsia="等线"/>
                <w:color w:val="auto"/>
                <w:highlight w:val="none"/>
                <w:lang w:val="en-US" w:eastAsia="zh-CN"/>
              </w:rPr>
            </w:pPr>
            <w:r>
              <w:rPr>
                <w:rFonts w:hint="eastAsia" w:eastAsia="等线"/>
                <w:color w:val="auto"/>
                <w:highlight w:val="none"/>
                <w:lang w:val="en-US" w:eastAsia="zh-CN"/>
              </w:rPr>
              <w:t>0.14</w:t>
            </w:r>
          </w:p>
        </w:tc>
        <w:tc>
          <w:tcPr>
            <w:tcW w:w="698" w:type="pct"/>
            <w:shd w:val="clear" w:color="auto" w:fill="auto"/>
            <w:noWrap/>
            <w:vAlign w:val="center"/>
          </w:tcPr>
          <w:p w14:paraId="52B170FC">
            <w:pPr>
              <w:pStyle w:val="780"/>
              <w:rPr>
                <w:rFonts w:hint="default" w:ascii="Times New Roman" w:hAnsi="Times New Roman" w:eastAsia="等线" w:cs="Times New Roman"/>
                <w:color w:val="auto"/>
                <w:kern w:val="2"/>
                <w:sz w:val="21"/>
                <w:szCs w:val="21"/>
                <w:highlight w:val="none"/>
                <w:lang w:val="en-US" w:eastAsia="zh-CN" w:bidi="ar-SA"/>
              </w:rPr>
            </w:pPr>
            <w:r>
              <w:rPr>
                <w:rFonts w:hint="eastAsia" w:eastAsia="等线"/>
                <w:color w:val="auto"/>
                <w:highlight w:val="none"/>
                <w:lang w:val="en-US" w:eastAsia="zh-CN"/>
              </w:rPr>
              <w:t>0.3</w:t>
            </w:r>
          </w:p>
        </w:tc>
        <w:tc>
          <w:tcPr>
            <w:tcW w:w="673" w:type="pct"/>
            <w:noWrap/>
            <w:vAlign w:val="center"/>
          </w:tcPr>
          <w:p w14:paraId="35986D22">
            <w:pPr>
              <w:jc w:val="center"/>
              <w:rPr>
                <w:color w:val="auto"/>
                <w:highlight w:val="none"/>
              </w:rPr>
            </w:pPr>
            <w:r>
              <w:rPr>
                <w:color w:val="auto"/>
                <w:highlight w:val="none"/>
              </w:rPr>
              <w:t>否</w:t>
            </w:r>
          </w:p>
        </w:tc>
      </w:tr>
      <w:tr w14:paraId="389025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E2D423C">
            <w:pPr>
              <w:pStyle w:val="780"/>
              <w:rPr>
                <w:rFonts w:hint="eastAsia" w:eastAsia="等线"/>
                <w:color w:val="auto"/>
                <w:highlight w:val="none"/>
                <w:lang w:val="en-US" w:eastAsia="zh-CN"/>
              </w:rPr>
            </w:pPr>
            <w:r>
              <w:rPr>
                <w:rFonts w:hint="eastAsia" w:eastAsia="等线"/>
                <w:color w:val="auto"/>
                <w:highlight w:val="none"/>
                <w:lang w:val="en-US" w:eastAsia="zh-CN"/>
              </w:rPr>
              <w:t>3</w:t>
            </w:r>
          </w:p>
        </w:tc>
        <w:tc>
          <w:tcPr>
            <w:tcW w:w="849" w:type="pct"/>
            <w:vAlign w:val="center"/>
          </w:tcPr>
          <w:p w14:paraId="47EC7CE9">
            <w:pPr>
              <w:pStyle w:val="780"/>
              <w:rPr>
                <w:rFonts w:hint="eastAsia" w:eastAsia="宋体"/>
                <w:color w:val="auto"/>
                <w:highlight w:val="none"/>
                <w:lang w:eastAsia="zh-CN"/>
              </w:rPr>
            </w:pPr>
            <w:r>
              <w:rPr>
                <w:rFonts w:hint="eastAsia"/>
                <w:color w:val="auto"/>
                <w:highlight w:val="none"/>
                <w:lang w:eastAsia="zh-CN"/>
              </w:rPr>
              <w:t>汞</w:t>
            </w:r>
          </w:p>
        </w:tc>
        <w:tc>
          <w:tcPr>
            <w:tcW w:w="495" w:type="pct"/>
            <w:noWrap/>
            <w:vAlign w:val="center"/>
          </w:tcPr>
          <w:p w14:paraId="2EA36F05">
            <w:pPr>
              <w:pStyle w:val="780"/>
              <w:rPr>
                <w:rFonts w:hint="default" w:eastAsia="等线"/>
                <w:color w:val="auto"/>
                <w:highlight w:val="none"/>
                <w:lang w:val="en-US" w:eastAsia="zh-CN"/>
              </w:rPr>
            </w:pPr>
            <w:r>
              <w:rPr>
                <w:rFonts w:hint="eastAsia" w:eastAsia="等线"/>
                <w:color w:val="auto"/>
                <w:highlight w:val="none"/>
                <w:lang w:val="en-US" w:eastAsia="zh-CN"/>
              </w:rPr>
              <w:t>0.002L</w:t>
            </w:r>
          </w:p>
        </w:tc>
        <w:tc>
          <w:tcPr>
            <w:tcW w:w="391" w:type="pct"/>
            <w:vAlign w:val="center"/>
          </w:tcPr>
          <w:p w14:paraId="6FF4236E">
            <w:pPr>
              <w:jc w:val="center"/>
              <w:rPr>
                <w:rFonts w:hint="eastAsia"/>
                <w:color w:val="auto"/>
                <w:highlight w:val="none"/>
              </w:rPr>
            </w:pPr>
            <w:r>
              <w:rPr>
                <w:color w:val="auto"/>
                <w:highlight w:val="none"/>
              </w:rPr>
              <w:t>mg/kg</w:t>
            </w:r>
          </w:p>
        </w:tc>
        <w:tc>
          <w:tcPr>
            <w:tcW w:w="490" w:type="pct"/>
            <w:noWrap/>
            <w:vAlign w:val="center"/>
          </w:tcPr>
          <w:p w14:paraId="4D4A32C0">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7EE54BD6">
            <w:pPr>
              <w:pStyle w:val="780"/>
              <w:jc w:val="center"/>
              <w:rPr>
                <w:rFonts w:hint="default" w:eastAsia="等线"/>
                <w:color w:val="auto"/>
                <w:highlight w:val="none"/>
                <w:lang w:val="en-US" w:eastAsia="zh-CN"/>
              </w:rPr>
            </w:pPr>
            <w:r>
              <w:rPr>
                <w:rFonts w:hint="eastAsia" w:eastAsia="等线"/>
                <w:color w:val="auto"/>
                <w:highlight w:val="none"/>
                <w:lang w:val="en-US" w:eastAsia="zh-CN"/>
              </w:rPr>
              <w:t>0.164</w:t>
            </w:r>
          </w:p>
        </w:tc>
        <w:tc>
          <w:tcPr>
            <w:tcW w:w="371" w:type="pct"/>
            <w:noWrap/>
            <w:vAlign w:val="center"/>
          </w:tcPr>
          <w:p w14:paraId="1E4E70D8">
            <w:pPr>
              <w:pStyle w:val="780"/>
              <w:jc w:val="center"/>
              <w:rPr>
                <w:rFonts w:hint="default" w:eastAsia="等线"/>
                <w:color w:val="auto"/>
                <w:highlight w:val="none"/>
                <w:lang w:val="en-US" w:eastAsia="zh-CN"/>
              </w:rPr>
            </w:pPr>
            <w:r>
              <w:rPr>
                <w:rFonts w:hint="eastAsia" w:eastAsia="等线"/>
                <w:color w:val="auto"/>
                <w:highlight w:val="none"/>
                <w:lang w:val="en-US" w:eastAsia="zh-CN"/>
              </w:rPr>
              <w:t>0.715</w:t>
            </w:r>
          </w:p>
        </w:tc>
        <w:tc>
          <w:tcPr>
            <w:tcW w:w="367" w:type="pct"/>
            <w:noWrap/>
            <w:vAlign w:val="center"/>
          </w:tcPr>
          <w:p w14:paraId="61DA0D2A">
            <w:pPr>
              <w:pStyle w:val="780"/>
              <w:jc w:val="center"/>
              <w:rPr>
                <w:rFonts w:hint="default" w:eastAsia="等线"/>
                <w:color w:val="auto"/>
                <w:highlight w:val="none"/>
                <w:lang w:val="en-US" w:eastAsia="zh-CN"/>
              </w:rPr>
            </w:pPr>
            <w:r>
              <w:rPr>
                <w:rFonts w:hint="eastAsia" w:eastAsia="等线"/>
                <w:color w:val="auto"/>
                <w:highlight w:val="none"/>
                <w:lang w:val="en-US" w:eastAsia="zh-CN"/>
              </w:rPr>
              <w:t>0.438</w:t>
            </w:r>
          </w:p>
        </w:tc>
        <w:tc>
          <w:tcPr>
            <w:tcW w:w="698" w:type="pct"/>
            <w:shd w:val="clear" w:color="auto" w:fill="auto"/>
            <w:noWrap/>
            <w:vAlign w:val="center"/>
          </w:tcPr>
          <w:p w14:paraId="0AF125CE">
            <w:pPr>
              <w:pStyle w:val="780"/>
              <w:rPr>
                <w:rFonts w:hint="default" w:ascii="Times New Roman" w:hAnsi="Times New Roman" w:eastAsia="等线" w:cs="Times New Roman"/>
                <w:color w:val="auto"/>
                <w:kern w:val="2"/>
                <w:sz w:val="21"/>
                <w:szCs w:val="21"/>
                <w:highlight w:val="none"/>
                <w:lang w:val="en-US" w:eastAsia="zh-CN" w:bidi="ar-SA"/>
              </w:rPr>
            </w:pPr>
            <w:r>
              <w:rPr>
                <w:rFonts w:hint="eastAsia" w:eastAsia="等线"/>
                <w:color w:val="auto"/>
                <w:highlight w:val="none"/>
                <w:lang w:val="en-US" w:eastAsia="zh-CN"/>
              </w:rPr>
              <w:t>2.4</w:t>
            </w:r>
          </w:p>
        </w:tc>
        <w:tc>
          <w:tcPr>
            <w:tcW w:w="673" w:type="pct"/>
            <w:noWrap/>
            <w:vAlign w:val="center"/>
          </w:tcPr>
          <w:p w14:paraId="64372C82">
            <w:pPr>
              <w:jc w:val="center"/>
              <w:rPr>
                <w:color w:val="auto"/>
                <w:highlight w:val="none"/>
              </w:rPr>
            </w:pPr>
            <w:r>
              <w:rPr>
                <w:color w:val="auto"/>
                <w:highlight w:val="none"/>
              </w:rPr>
              <w:t>否</w:t>
            </w:r>
          </w:p>
        </w:tc>
      </w:tr>
      <w:tr w14:paraId="3E2A90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62902432">
            <w:pPr>
              <w:pStyle w:val="780"/>
              <w:rPr>
                <w:rFonts w:hint="eastAsia" w:eastAsia="等线"/>
                <w:color w:val="auto"/>
                <w:highlight w:val="none"/>
                <w:lang w:val="en-US" w:eastAsia="zh-CN"/>
              </w:rPr>
            </w:pPr>
            <w:r>
              <w:rPr>
                <w:rFonts w:hint="eastAsia" w:eastAsia="等线"/>
                <w:color w:val="auto"/>
                <w:highlight w:val="none"/>
                <w:lang w:val="en-US" w:eastAsia="zh-CN"/>
              </w:rPr>
              <w:t>4</w:t>
            </w:r>
          </w:p>
        </w:tc>
        <w:tc>
          <w:tcPr>
            <w:tcW w:w="849" w:type="pct"/>
            <w:vAlign w:val="center"/>
          </w:tcPr>
          <w:p w14:paraId="0D234A97">
            <w:pPr>
              <w:pStyle w:val="780"/>
              <w:rPr>
                <w:rFonts w:hint="eastAsia" w:eastAsia="宋体"/>
                <w:color w:val="auto"/>
                <w:highlight w:val="none"/>
                <w:lang w:eastAsia="zh-CN"/>
              </w:rPr>
            </w:pPr>
            <w:r>
              <w:rPr>
                <w:rFonts w:hint="eastAsia"/>
                <w:color w:val="auto"/>
                <w:highlight w:val="none"/>
                <w:lang w:eastAsia="zh-CN"/>
              </w:rPr>
              <w:t>砷</w:t>
            </w:r>
          </w:p>
        </w:tc>
        <w:tc>
          <w:tcPr>
            <w:tcW w:w="495" w:type="pct"/>
            <w:noWrap/>
            <w:vAlign w:val="center"/>
          </w:tcPr>
          <w:p w14:paraId="1797F568">
            <w:pPr>
              <w:pStyle w:val="780"/>
              <w:rPr>
                <w:rFonts w:hint="default" w:eastAsia="等线"/>
                <w:color w:val="auto"/>
                <w:highlight w:val="none"/>
                <w:lang w:val="en-US" w:eastAsia="zh-CN"/>
              </w:rPr>
            </w:pPr>
            <w:r>
              <w:rPr>
                <w:rFonts w:hint="eastAsia" w:eastAsia="等线"/>
                <w:color w:val="auto"/>
                <w:highlight w:val="none"/>
                <w:lang w:val="en-US" w:eastAsia="zh-CN"/>
              </w:rPr>
              <w:t>0.01L</w:t>
            </w:r>
          </w:p>
        </w:tc>
        <w:tc>
          <w:tcPr>
            <w:tcW w:w="391" w:type="pct"/>
            <w:vAlign w:val="center"/>
          </w:tcPr>
          <w:p w14:paraId="04C33788">
            <w:pPr>
              <w:jc w:val="center"/>
              <w:rPr>
                <w:rFonts w:hint="eastAsia"/>
                <w:color w:val="auto"/>
                <w:highlight w:val="none"/>
              </w:rPr>
            </w:pPr>
            <w:r>
              <w:rPr>
                <w:color w:val="auto"/>
                <w:highlight w:val="none"/>
              </w:rPr>
              <w:t>mg/kg</w:t>
            </w:r>
          </w:p>
        </w:tc>
        <w:tc>
          <w:tcPr>
            <w:tcW w:w="490" w:type="pct"/>
            <w:noWrap/>
            <w:vAlign w:val="center"/>
          </w:tcPr>
          <w:p w14:paraId="24E1400B">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64A1A89C">
            <w:pPr>
              <w:pStyle w:val="780"/>
              <w:jc w:val="center"/>
              <w:rPr>
                <w:rFonts w:hint="default" w:eastAsia="等线"/>
                <w:color w:val="auto"/>
                <w:highlight w:val="none"/>
                <w:lang w:val="en-US" w:eastAsia="zh-CN"/>
              </w:rPr>
            </w:pPr>
            <w:r>
              <w:rPr>
                <w:rFonts w:hint="eastAsia" w:eastAsia="等线"/>
                <w:color w:val="auto"/>
                <w:highlight w:val="none"/>
                <w:lang w:val="en-US" w:eastAsia="zh-CN"/>
              </w:rPr>
              <w:t>0.04</w:t>
            </w:r>
          </w:p>
        </w:tc>
        <w:tc>
          <w:tcPr>
            <w:tcW w:w="371" w:type="pct"/>
            <w:noWrap/>
            <w:vAlign w:val="center"/>
          </w:tcPr>
          <w:p w14:paraId="02880359">
            <w:pPr>
              <w:pStyle w:val="780"/>
              <w:jc w:val="center"/>
              <w:rPr>
                <w:rFonts w:hint="default" w:eastAsia="等线"/>
                <w:color w:val="auto"/>
                <w:highlight w:val="none"/>
                <w:lang w:val="en-US" w:eastAsia="zh-CN"/>
              </w:rPr>
            </w:pPr>
            <w:r>
              <w:rPr>
                <w:rFonts w:hint="eastAsia" w:eastAsia="等线"/>
                <w:color w:val="auto"/>
                <w:highlight w:val="none"/>
                <w:lang w:val="en-US" w:eastAsia="zh-CN"/>
              </w:rPr>
              <w:t>0.18</w:t>
            </w:r>
          </w:p>
        </w:tc>
        <w:tc>
          <w:tcPr>
            <w:tcW w:w="367" w:type="pct"/>
            <w:noWrap/>
            <w:vAlign w:val="center"/>
          </w:tcPr>
          <w:p w14:paraId="7B4593BE">
            <w:pPr>
              <w:pStyle w:val="780"/>
              <w:jc w:val="center"/>
              <w:rPr>
                <w:rFonts w:hint="default" w:eastAsia="等线"/>
                <w:color w:val="auto"/>
                <w:highlight w:val="none"/>
                <w:lang w:val="en-US" w:eastAsia="zh-CN"/>
              </w:rPr>
            </w:pPr>
            <w:r>
              <w:rPr>
                <w:rFonts w:hint="eastAsia" w:eastAsia="等线"/>
                <w:color w:val="auto"/>
                <w:highlight w:val="none"/>
                <w:lang w:val="en-US" w:eastAsia="zh-CN"/>
              </w:rPr>
              <w:t>0.14</w:t>
            </w:r>
          </w:p>
        </w:tc>
        <w:tc>
          <w:tcPr>
            <w:tcW w:w="698" w:type="pct"/>
            <w:shd w:val="clear" w:color="auto" w:fill="auto"/>
            <w:noWrap/>
            <w:vAlign w:val="center"/>
          </w:tcPr>
          <w:p w14:paraId="34909441">
            <w:pPr>
              <w:pStyle w:val="780"/>
              <w:rPr>
                <w:rFonts w:hint="eastAsia" w:ascii="Times New Roman" w:hAnsi="Times New Roman" w:eastAsia="等线" w:cs="Times New Roman"/>
                <w:color w:val="auto"/>
                <w:kern w:val="2"/>
                <w:sz w:val="21"/>
                <w:szCs w:val="21"/>
                <w:highlight w:val="none"/>
                <w:lang w:val="en-US" w:eastAsia="zh-CN" w:bidi="ar-SA"/>
              </w:rPr>
            </w:pPr>
            <w:r>
              <w:rPr>
                <w:rFonts w:hint="eastAsia" w:eastAsia="等线"/>
                <w:color w:val="auto"/>
                <w:highlight w:val="none"/>
                <w:lang w:val="en-US" w:eastAsia="zh-CN"/>
              </w:rPr>
              <w:t>30</w:t>
            </w:r>
          </w:p>
        </w:tc>
        <w:tc>
          <w:tcPr>
            <w:tcW w:w="673" w:type="pct"/>
            <w:noWrap/>
            <w:vAlign w:val="center"/>
          </w:tcPr>
          <w:p w14:paraId="17C0E88D">
            <w:pPr>
              <w:jc w:val="center"/>
              <w:rPr>
                <w:color w:val="auto"/>
                <w:highlight w:val="none"/>
              </w:rPr>
            </w:pPr>
            <w:r>
              <w:rPr>
                <w:color w:val="auto"/>
                <w:highlight w:val="none"/>
              </w:rPr>
              <w:t>否</w:t>
            </w:r>
          </w:p>
        </w:tc>
      </w:tr>
      <w:tr w14:paraId="44EF53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00A0791F">
            <w:pPr>
              <w:pStyle w:val="780"/>
              <w:rPr>
                <w:rFonts w:hint="eastAsia" w:eastAsia="等线"/>
                <w:color w:val="auto"/>
                <w:highlight w:val="none"/>
                <w:lang w:val="en-US" w:eastAsia="zh-CN"/>
              </w:rPr>
            </w:pPr>
            <w:r>
              <w:rPr>
                <w:rFonts w:hint="eastAsia" w:eastAsia="等线"/>
                <w:color w:val="auto"/>
                <w:highlight w:val="none"/>
                <w:lang w:val="en-US" w:eastAsia="zh-CN"/>
              </w:rPr>
              <w:t>5</w:t>
            </w:r>
          </w:p>
        </w:tc>
        <w:tc>
          <w:tcPr>
            <w:tcW w:w="849" w:type="pct"/>
            <w:vAlign w:val="center"/>
          </w:tcPr>
          <w:p w14:paraId="071D0788">
            <w:pPr>
              <w:pStyle w:val="780"/>
              <w:rPr>
                <w:rFonts w:hint="eastAsia" w:eastAsia="宋体"/>
                <w:color w:val="auto"/>
                <w:highlight w:val="none"/>
                <w:lang w:eastAsia="zh-CN"/>
              </w:rPr>
            </w:pPr>
            <w:r>
              <w:rPr>
                <w:rFonts w:hint="eastAsia"/>
                <w:color w:val="auto"/>
                <w:highlight w:val="none"/>
                <w:lang w:eastAsia="zh-CN"/>
              </w:rPr>
              <w:t>铅</w:t>
            </w:r>
          </w:p>
        </w:tc>
        <w:tc>
          <w:tcPr>
            <w:tcW w:w="495" w:type="pct"/>
            <w:noWrap/>
            <w:vAlign w:val="center"/>
          </w:tcPr>
          <w:p w14:paraId="43B740F7">
            <w:pPr>
              <w:pStyle w:val="780"/>
              <w:rPr>
                <w:rFonts w:hint="default" w:eastAsia="等线"/>
                <w:color w:val="auto"/>
                <w:highlight w:val="none"/>
                <w:lang w:val="en-US" w:eastAsia="zh-CN"/>
              </w:rPr>
            </w:pPr>
            <w:r>
              <w:rPr>
                <w:rFonts w:hint="eastAsia" w:eastAsia="等线"/>
                <w:color w:val="auto"/>
                <w:highlight w:val="none"/>
                <w:lang w:val="en-US" w:eastAsia="zh-CN"/>
              </w:rPr>
              <w:t>0.1L</w:t>
            </w:r>
          </w:p>
        </w:tc>
        <w:tc>
          <w:tcPr>
            <w:tcW w:w="391" w:type="pct"/>
            <w:vAlign w:val="center"/>
          </w:tcPr>
          <w:p w14:paraId="2AF4293E">
            <w:pPr>
              <w:jc w:val="center"/>
              <w:rPr>
                <w:rFonts w:hint="eastAsia"/>
                <w:color w:val="auto"/>
                <w:highlight w:val="none"/>
              </w:rPr>
            </w:pPr>
            <w:r>
              <w:rPr>
                <w:color w:val="auto"/>
                <w:highlight w:val="none"/>
              </w:rPr>
              <w:t>mg/kg</w:t>
            </w:r>
          </w:p>
        </w:tc>
        <w:tc>
          <w:tcPr>
            <w:tcW w:w="490" w:type="pct"/>
            <w:noWrap/>
            <w:vAlign w:val="center"/>
          </w:tcPr>
          <w:p w14:paraId="4402DA72">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1E9C46CA">
            <w:pPr>
              <w:pStyle w:val="780"/>
              <w:jc w:val="center"/>
              <w:rPr>
                <w:rFonts w:hint="default" w:eastAsia="等线"/>
                <w:color w:val="auto"/>
                <w:highlight w:val="none"/>
                <w:lang w:val="en-US" w:eastAsia="zh-CN"/>
              </w:rPr>
            </w:pPr>
            <w:r>
              <w:rPr>
                <w:rFonts w:hint="eastAsia" w:eastAsia="等线"/>
                <w:color w:val="auto"/>
                <w:highlight w:val="none"/>
                <w:lang w:val="en-US" w:eastAsia="zh-CN"/>
              </w:rPr>
              <w:t>0.9</w:t>
            </w:r>
          </w:p>
        </w:tc>
        <w:tc>
          <w:tcPr>
            <w:tcW w:w="371" w:type="pct"/>
            <w:noWrap/>
            <w:vAlign w:val="center"/>
          </w:tcPr>
          <w:p w14:paraId="1818F340">
            <w:pPr>
              <w:pStyle w:val="780"/>
              <w:jc w:val="center"/>
              <w:rPr>
                <w:rFonts w:hint="default" w:eastAsia="等线"/>
                <w:color w:val="auto"/>
                <w:highlight w:val="none"/>
                <w:lang w:val="en-US" w:eastAsia="zh-CN"/>
              </w:rPr>
            </w:pPr>
            <w:r>
              <w:rPr>
                <w:rFonts w:hint="eastAsia" w:eastAsia="等线"/>
                <w:color w:val="auto"/>
                <w:highlight w:val="none"/>
                <w:lang w:val="en-US" w:eastAsia="zh-CN"/>
              </w:rPr>
              <w:t>3.9</w:t>
            </w:r>
          </w:p>
        </w:tc>
        <w:tc>
          <w:tcPr>
            <w:tcW w:w="367" w:type="pct"/>
            <w:noWrap/>
            <w:vAlign w:val="center"/>
          </w:tcPr>
          <w:p w14:paraId="17987338">
            <w:pPr>
              <w:pStyle w:val="780"/>
              <w:jc w:val="center"/>
              <w:rPr>
                <w:rFonts w:hint="default" w:eastAsia="等线"/>
                <w:color w:val="auto"/>
                <w:highlight w:val="none"/>
                <w:lang w:val="en-US" w:eastAsia="zh-CN"/>
              </w:rPr>
            </w:pPr>
            <w:r>
              <w:rPr>
                <w:rFonts w:hint="eastAsia" w:eastAsia="等线"/>
                <w:color w:val="auto"/>
                <w:highlight w:val="none"/>
                <w:lang w:val="en-US" w:eastAsia="zh-CN"/>
              </w:rPr>
              <w:t>1.86</w:t>
            </w:r>
          </w:p>
        </w:tc>
        <w:tc>
          <w:tcPr>
            <w:tcW w:w="698" w:type="pct"/>
            <w:noWrap/>
            <w:vAlign w:val="center"/>
          </w:tcPr>
          <w:p w14:paraId="2DEEB618">
            <w:pPr>
              <w:pStyle w:val="780"/>
              <w:rPr>
                <w:rFonts w:hint="default" w:eastAsia="等线"/>
                <w:color w:val="auto"/>
                <w:highlight w:val="none"/>
                <w:lang w:val="en-US" w:eastAsia="zh-CN"/>
              </w:rPr>
            </w:pPr>
            <w:r>
              <w:rPr>
                <w:rFonts w:hint="eastAsia" w:eastAsia="等线"/>
                <w:color w:val="auto"/>
                <w:highlight w:val="none"/>
                <w:lang w:val="en-US" w:eastAsia="zh-CN"/>
              </w:rPr>
              <w:t>120</w:t>
            </w:r>
          </w:p>
        </w:tc>
        <w:tc>
          <w:tcPr>
            <w:tcW w:w="673" w:type="pct"/>
            <w:noWrap/>
            <w:vAlign w:val="center"/>
          </w:tcPr>
          <w:p w14:paraId="5A6C8152">
            <w:pPr>
              <w:jc w:val="center"/>
              <w:rPr>
                <w:color w:val="auto"/>
                <w:highlight w:val="none"/>
              </w:rPr>
            </w:pPr>
            <w:r>
              <w:rPr>
                <w:color w:val="auto"/>
                <w:highlight w:val="none"/>
              </w:rPr>
              <w:t>否</w:t>
            </w:r>
          </w:p>
        </w:tc>
      </w:tr>
      <w:tr w14:paraId="1B75EEA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46055E94">
            <w:pPr>
              <w:pStyle w:val="780"/>
              <w:rPr>
                <w:rFonts w:hint="eastAsia" w:eastAsia="等线"/>
                <w:color w:val="auto"/>
                <w:highlight w:val="none"/>
                <w:lang w:val="en-US" w:eastAsia="zh-CN"/>
              </w:rPr>
            </w:pPr>
            <w:r>
              <w:rPr>
                <w:rFonts w:hint="eastAsia" w:eastAsia="等线"/>
                <w:color w:val="auto"/>
                <w:highlight w:val="none"/>
                <w:lang w:val="en-US" w:eastAsia="zh-CN"/>
              </w:rPr>
              <w:t>6</w:t>
            </w:r>
          </w:p>
        </w:tc>
        <w:tc>
          <w:tcPr>
            <w:tcW w:w="849" w:type="pct"/>
            <w:vAlign w:val="center"/>
          </w:tcPr>
          <w:p w14:paraId="69FDCFEF">
            <w:pPr>
              <w:pStyle w:val="780"/>
              <w:rPr>
                <w:rFonts w:hint="eastAsia" w:eastAsia="宋体"/>
                <w:color w:val="auto"/>
                <w:highlight w:val="none"/>
                <w:lang w:eastAsia="zh-CN"/>
              </w:rPr>
            </w:pPr>
            <w:r>
              <w:rPr>
                <w:rFonts w:hint="eastAsia"/>
                <w:color w:val="auto"/>
                <w:highlight w:val="none"/>
                <w:lang w:eastAsia="zh-CN"/>
              </w:rPr>
              <w:t>铬</w:t>
            </w:r>
          </w:p>
        </w:tc>
        <w:tc>
          <w:tcPr>
            <w:tcW w:w="495" w:type="pct"/>
            <w:noWrap/>
            <w:vAlign w:val="center"/>
          </w:tcPr>
          <w:p w14:paraId="4E23436C">
            <w:pPr>
              <w:pStyle w:val="780"/>
              <w:rPr>
                <w:rFonts w:hint="default" w:eastAsia="等线"/>
                <w:color w:val="auto"/>
                <w:highlight w:val="none"/>
                <w:lang w:val="en-US" w:eastAsia="zh-CN"/>
              </w:rPr>
            </w:pPr>
            <w:r>
              <w:rPr>
                <w:rFonts w:hint="eastAsia" w:eastAsia="等线"/>
                <w:color w:val="auto"/>
                <w:highlight w:val="none"/>
                <w:lang w:val="en-US" w:eastAsia="zh-CN"/>
              </w:rPr>
              <w:t>4L</w:t>
            </w:r>
          </w:p>
        </w:tc>
        <w:tc>
          <w:tcPr>
            <w:tcW w:w="391" w:type="pct"/>
            <w:vAlign w:val="center"/>
          </w:tcPr>
          <w:p w14:paraId="3DE8691A">
            <w:pPr>
              <w:jc w:val="center"/>
              <w:rPr>
                <w:rFonts w:hint="eastAsia"/>
                <w:color w:val="auto"/>
                <w:highlight w:val="none"/>
              </w:rPr>
            </w:pPr>
            <w:r>
              <w:rPr>
                <w:color w:val="auto"/>
                <w:highlight w:val="none"/>
              </w:rPr>
              <w:t>mg/kg</w:t>
            </w:r>
          </w:p>
        </w:tc>
        <w:tc>
          <w:tcPr>
            <w:tcW w:w="490" w:type="pct"/>
            <w:noWrap/>
            <w:vAlign w:val="center"/>
          </w:tcPr>
          <w:p w14:paraId="0E0AFAFE">
            <w:pPr>
              <w:jc w:val="center"/>
              <w:rPr>
                <w:rFonts w:hint="eastAsia" w:eastAsia="等线"/>
                <w:color w:val="auto"/>
                <w:highlight w:val="none"/>
              </w:rPr>
            </w:pPr>
            <w:r>
              <w:rPr>
                <w:rFonts w:hint="eastAsia" w:eastAsia="等线"/>
                <w:color w:val="auto"/>
                <w:highlight w:val="none"/>
                <w:lang w:val="en-US" w:eastAsia="zh-CN"/>
              </w:rPr>
              <w:t>0</w:t>
            </w:r>
            <w:r>
              <w:rPr>
                <w:rFonts w:eastAsia="等线"/>
                <w:color w:val="auto"/>
                <w:highlight w:val="none"/>
              </w:rPr>
              <w:t>%</w:t>
            </w:r>
          </w:p>
        </w:tc>
        <w:tc>
          <w:tcPr>
            <w:tcW w:w="429" w:type="pct"/>
            <w:noWrap/>
            <w:vAlign w:val="center"/>
          </w:tcPr>
          <w:p w14:paraId="06919B33">
            <w:pPr>
              <w:pStyle w:val="780"/>
              <w:jc w:val="center"/>
              <w:rPr>
                <w:rFonts w:hint="default" w:eastAsia="等线"/>
                <w:color w:val="auto"/>
                <w:highlight w:val="none"/>
                <w:lang w:val="en-US" w:eastAsia="zh-CN"/>
              </w:rPr>
            </w:pPr>
            <w:r>
              <w:rPr>
                <w:rFonts w:hint="eastAsia" w:eastAsia="等线"/>
                <w:color w:val="auto"/>
                <w:highlight w:val="none"/>
                <w:lang w:val="en-US" w:eastAsia="zh-CN"/>
              </w:rPr>
              <w:t>/</w:t>
            </w:r>
          </w:p>
        </w:tc>
        <w:tc>
          <w:tcPr>
            <w:tcW w:w="371" w:type="pct"/>
            <w:noWrap/>
            <w:vAlign w:val="center"/>
          </w:tcPr>
          <w:p w14:paraId="404DA6C1">
            <w:pPr>
              <w:pStyle w:val="780"/>
              <w:jc w:val="center"/>
              <w:rPr>
                <w:rFonts w:hint="default" w:eastAsia="等线"/>
                <w:color w:val="auto"/>
                <w:highlight w:val="none"/>
                <w:lang w:val="en-US" w:eastAsia="zh-CN"/>
              </w:rPr>
            </w:pPr>
            <w:r>
              <w:rPr>
                <w:rFonts w:hint="eastAsia" w:eastAsia="等线"/>
                <w:color w:val="auto"/>
                <w:highlight w:val="none"/>
                <w:lang w:val="en-US" w:eastAsia="zh-CN"/>
              </w:rPr>
              <w:t>/</w:t>
            </w:r>
          </w:p>
        </w:tc>
        <w:tc>
          <w:tcPr>
            <w:tcW w:w="367" w:type="pct"/>
            <w:noWrap/>
            <w:vAlign w:val="center"/>
          </w:tcPr>
          <w:p w14:paraId="6F613FD3">
            <w:pPr>
              <w:pStyle w:val="780"/>
              <w:jc w:val="center"/>
              <w:rPr>
                <w:rFonts w:hint="default" w:eastAsia="等线"/>
                <w:color w:val="auto"/>
                <w:highlight w:val="none"/>
                <w:lang w:val="en-US" w:eastAsia="zh-CN"/>
              </w:rPr>
            </w:pPr>
            <w:r>
              <w:rPr>
                <w:rFonts w:hint="eastAsia" w:eastAsia="等线"/>
                <w:color w:val="auto"/>
                <w:highlight w:val="none"/>
                <w:lang w:val="en-US" w:eastAsia="zh-CN"/>
              </w:rPr>
              <w:t>/</w:t>
            </w:r>
          </w:p>
        </w:tc>
        <w:tc>
          <w:tcPr>
            <w:tcW w:w="698" w:type="pct"/>
            <w:noWrap/>
            <w:vAlign w:val="center"/>
          </w:tcPr>
          <w:p w14:paraId="43238B5C">
            <w:pPr>
              <w:pStyle w:val="780"/>
              <w:rPr>
                <w:rFonts w:hint="default" w:eastAsia="等线"/>
                <w:color w:val="auto"/>
                <w:highlight w:val="none"/>
                <w:lang w:val="en-US" w:eastAsia="zh-CN"/>
              </w:rPr>
            </w:pPr>
            <w:r>
              <w:rPr>
                <w:rFonts w:hint="eastAsia" w:eastAsia="等线"/>
                <w:color w:val="auto"/>
                <w:highlight w:val="none"/>
                <w:lang w:val="en-US" w:eastAsia="zh-CN"/>
              </w:rPr>
              <w:t>200</w:t>
            </w:r>
          </w:p>
        </w:tc>
        <w:tc>
          <w:tcPr>
            <w:tcW w:w="673" w:type="pct"/>
            <w:noWrap/>
            <w:vAlign w:val="center"/>
          </w:tcPr>
          <w:p w14:paraId="5FE16EB8">
            <w:pPr>
              <w:jc w:val="center"/>
              <w:rPr>
                <w:color w:val="auto"/>
                <w:highlight w:val="none"/>
              </w:rPr>
            </w:pPr>
            <w:r>
              <w:rPr>
                <w:color w:val="auto"/>
                <w:highlight w:val="none"/>
              </w:rPr>
              <w:t>否</w:t>
            </w:r>
          </w:p>
        </w:tc>
      </w:tr>
      <w:tr w14:paraId="58242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789EF7F0">
            <w:pPr>
              <w:pStyle w:val="780"/>
              <w:rPr>
                <w:rFonts w:hint="eastAsia" w:eastAsia="等线"/>
                <w:color w:val="auto"/>
                <w:highlight w:val="none"/>
                <w:lang w:val="en-US" w:eastAsia="zh-CN"/>
              </w:rPr>
            </w:pPr>
            <w:r>
              <w:rPr>
                <w:rFonts w:hint="eastAsia" w:eastAsia="等线"/>
                <w:color w:val="auto"/>
                <w:highlight w:val="none"/>
                <w:lang w:val="en-US" w:eastAsia="zh-CN"/>
              </w:rPr>
              <w:t>7</w:t>
            </w:r>
          </w:p>
        </w:tc>
        <w:tc>
          <w:tcPr>
            <w:tcW w:w="849" w:type="pct"/>
            <w:vAlign w:val="center"/>
          </w:tcPr>
          <w:p w14:paraId="572E50EB">
            <w:pPr>
              <w:pStyle w:val="780"/>
              <w:rPr>
                <w:rFonts w:hint="eastAsia" w:eastAsia="宋体"/>
                <w:color w:val="auto"/>
                <w:highlight w:val="none"/>
                <w:lang w:eastAsia="zh-CN"/>
              </w:rPr>
            </w:pPr>
            <w:r>
              <w:rPr>
                <w:rFonts w:hint="eastAsia"/>
                <w:color w:val="auto"/>
                <w:highlight w:val="none"/>
                <w:lang w:eastAsia="zh-CN"/>
              </w:rPr>
              <w:t>铜</w:t>
            </w:r>
          </w:p>
        </w:tc>
        <w:tc>
          <w:tcPr>
            <w:tcW w:w="495" w:type="pct"/>
            <w:noWrap/>
            <w:vAlign w:val="center"/>
          </w:tcPr>
          <w:p w14:paraId="70602EE0">
            <w:pPr>
              <w:pStyle w:val="780"/>
              <w:rPr>
                <w:rFonts w:hint="default" w:eastAsia="等线"/>
                <w:color w:val="auto"/>
                <w:highlight w:val="none"/>
                <w:lang w:val="en-US" w:eastAsia="zh-CN"/>
              </w:rPr>
            </w:pPr>
            <w:r>
              <w:rPr>
                <w:rFonts w:hint="eastAsia" w:eastAsia="等线"/>
                <w:color w:val="auto"/>
                <w:highlight w:val="none"/>
                <w:lang w:val="en-US" w:eastAsia="zh-CN"/>
              </w:rPr>
              <w:t>1L</w:t>
            </w:r>
          </w:p>
        </w:tc>
        <w:tc>
          <w:tcPr>
            <w:tcW w:w="391" w:type="pct"/>
            <w:vAlign w:val="center"/>
          </w:tcPr>
          <w:p w14:paraId="740FACA8">
            <w:pPr>
              <w:jc w:val="center"/>
              <w:rPr>
                <w:rFonts w:hint="eastAsia"/>
                <w:color w:val="auto"/>
                <w:highlight w:val="none"/>
              </w:rPr>
            </w:pPr>
            <w:r>
              <w:rPr>
                <w:color w:val="auto"/>
                <w:highlight w:val="none"/>
              </w:rPr>
              <w:t>mg/kg</w:t>
            </w:r>
          </w:p>
        </w:tc>
        <w:tc>
          <w:tcPr>
            <w:tcW w:w="490" w:type="pct"/>
            <w:noWrap/>
            <w:vAlign w:val="center"/>
          </w:tcPr>
          <w:p w14:paraId="52CAEA6C">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1BB64C7E">
            <w:pPr>
              <w:pStyle w:val="780"/>
              <w:jc w:val="center"/>
              <w:rPr>
                <w:rFonts w:hint="default" w:eastAsia="等线"/>
                <w:color w:val="auto"/>
                <w:highlight w:val="none"/>
                <w:lang w:val="en-US" w:eastAsia="zh-CN"/>
              </w:rPr>
            </w:pPr>
            <w:r>
              <w:rPr>
                <w:rFonts w:hint="eastAsia" w:eastAsia="等线"/>
                <w:color w:val="auto"/>
                <w:highlight w:val="none"/>
                <w:lang w:val="en-US" w:eastAsia="zh-CN"/>
              </w:rPr>
              <w:t>24</w:t>
            </w:r>
          </w:p>
        </w:tc>
        <w:tc>
          <w:tcPr>
            <w:tcW w:w="371" w:type="pct"/>
            <w:noWrap/>
            <w:vAlign w:val="center"/>
          </w:tcPr>
          <w:p w14:paraId="702B9683">
            <w:pPr>
              <w:pStyle w:val="780"/>
              <w:jc w:val="center"/>
              <w:rPr>
                <w:rFonts w:hint="default" w:eastAsia="等线"/>
                <w:color w:val="auto"/>
                <w:highlight w:val="none"/>
                <w:lang w:val="en-US" w:eastAsia="zh-CN"/>
              </w:rPr>
            </w:pPr>
            <w:r>
              <w:rPr>
                <w:rFonts w:hint="eastAsia" w:eastAsia="等线"/>
                <w:color w:val="auto"/>
                <w:highlight w:val="none"/>
                <w:lang w:val="en-US" w:eastAsia="zh-CN"/>
              </w:rPr>
              <w:t>41</w:t>
            </w:r>
          </w:p>
        </w:tc>
        <w:tc>
          <w:tcPr>
            <w:tcW w:w="367" w:type="pct"/>
            <w:noWrap/>
            <w:vAlign w:val="center"/>
          </w:tcPr>
          <w:p w14:paraId="188F81F3">
            <w:pPr>
              <w:pStyle w:val="780"/>
              <w:jc w:val="center"/>
              <w:rPr>
                <w:rFonts w:hint="default" w:eastAsia="等线"/>
                <w:color w:val="auto"/>
                <w:highlight w:val="none"/>
                <w:lang w:val="en-US" w:eastAsia="zh-CN"/>
              </w:rPr>
            </w:pPr>
            <w:r>
              <w:rPr>
                <w:rFonts w:hint="eastAsia" w:eastAsia="等线"/>
                <w:color w:val="auto"/>
                <w:highlight w:val="none"/>
                <w:lang w:val="en-US" w:eastAsia="zh-CN"/>
              </w:rPr>
              <w:t>32.33</w:t>
            </w:r>
          </w:p>
        </w:tc>
        <w:tc>
          <w:tcPr>
            <w:tcW w:w="698" w:type="pct"/>
            <w:noWrap/>
            <w:vAlign w:val="center"/>
          </w:tcPr>
          <w:p w14:paraId="3C21C525">
            <w:pPr>
              <w:pStyle w:val="780"/>
              <w:rPr>
                <w:rFonts w:hint="default" w:eastAsia="等线"/>
                <w:color w:val="auto"/>
                <w:highlight w:val="none"/>
                <w:lang w:val="en-US" w:eastAsia="zh-CN"/>
              </w:rPr>
            </w:pPr>
            <w:r>
              <w:rPr>
                <w:rFonts w:hint="eastAsia" w:eastAsia="等线"/>
                <w:color w:val="auto"/>
                <w:highlight w:val="none"/>
                <w:lang w:val="en-US" w:eastAsia="zh-CN"/>
              </w:rPr>
              <w:t>100</w:t>
            </w:r>
          </w:p>
        </w:tc>
        <w:tc>
          <w:tcPr>
            <w:tcW w:w="673" w:type="pct"/>
            <w:noWrap/>
            <w:vAlign w:val="center"/>
          </w:tcPr>
          <w:p w14:paraId="17DFA58F">
            <w:pPr>
              <w:jc w:val="center"/>
              <w:rPr>
                <w:color w:val="auto"/>
                <w:highlight w:val="none"/>
              </w:rPr>
            </w:pPr>
            <w:r>
              <w:rPr>
                <w:color w:val="auto"/>
                <w:highlight w:val="none"/>
              </w:rPr>
              <w:t>否</w:t>
            </w:r>
          </w:p>
        </w:tc>
      </w:tr>
      <w:tr w14:paraId="571250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3B3580AF">
            <w:pPr>
              <w:pStyle w:val="780"/>
              <w:rPr>
                <w:rFonts w:hint="eastAsia" w:eastAsia="等线"/>
                <w:color w:val="auto"/>
                <w:highlight w:val="none"/>
                <w:lang w:val="en-US" w:eastAsia="zh-CN"/>
              </w:rPr>
            </w:pPr>
            <w:r>
              <w:rPr>
                <w:rFonts w:hint="eastAsia" w:eastAsia="等线"/>
                <w:color w:val="auto"/>
                <w:highlight w:val="none"/>
                <w:lang w:val="en-US" w:eastAsia="zh-CN"/>
              </w:rPr>
              <w:t>8</w:t>
            </w:r>
          </w:p>
        </w:tc>
        <w:tc>
          <w:tcPr>
            <w:tcW w:w="849" w:type="pct"/>
            <w:vAlign w:val="center"/>
          </w:tcPr>
          <w:p w14:paraId="266A9D88">
            <w:pPr>
              <w:pStyle w:val="780"/>
              <w:rPr>
                <w:rFonts w:hint="eastAsia" w:eastAsia="宋体"/>
                <w:color w:val="auto"/>
                <w:highlight w:val="none"/>
                <w:lang w:eastAsia="zh-CN"/>
              </w:rPr>
            </w:pPr>
            <w:r>
              <w:rPr>
                <w:rFonts w:hint="eastAsia"/>
                <w:color w:val="auto"/>
                <w:highlight w:val="none"/>
                <w:lang w:eastAsia="zh-CN"/>
              </w:rPr>
              <w:t>镍</w:t>
            </w:r>
          </w:p>
        </w:tc>
        <w:tc>
          <w:tcPr>
            <w:tcW w:w="495" w:type="pct"/>
            <w:noWrap/>
            <w:vAlign w:val="center"/>
          </w:tcPr>
          <w:p w14:paraId="78493EDB">
            <w:pPr>
              <w:pStyle w:val="780"/>
              <w:rPr>
                <w:rFonts w:hint="default" w:eastAsia="等线"/>
                <w:color w:val="auto"/>
                <w:highlight w:val="none"/>
                <w:lang w:val="en-US" w:eastAsia="zh-CN"/>
              </w:rPr>
            </w:pPr>
            <w:r>
              <w:rPr>
                <w:rFonts w:hint="eastAsia" w:eastAsia="等线"/>
                <w:color w:val="auto"/>
                <w:highlight w:val="none"/>
                <w:lang w:val="en-US" w:eastAsia="zh-CN"/>
              </w:rPr>
              <w:t>3L</w:t>
            </w:r>
          </w:p>
        </w:tc>
        <w:tc>
          <w:tcPr>
            <w:tcW w:w="391" w:type="pct"/>
            <w:vAlign w:val="center"/>
          </w:tcPr>
          <w:p w14:paraId="5F54DE22">
            <w:pPr>
              <w:jc w:val="center"/>
              <w:rPr>
                <w:rFonts w:hint="eastAsia"/>
                <w:color w:val="auto"/>
                <w:highlight w:val="none"/>
              </w:rPr>
            </w:pPr>
            <w:r>
              <w:rPr>
                <w:color w:val="auto"/>
                <w:highlight w:val="none"/>
              </w:rPr>
              <w:t>mg/kg</w:t>
            </w:r>
          </w:p>
        </w:tc>
        <w:tc>
          <w:tcPr>
            <w:tcW w:w="490" w:type="pct"/>
            <w:noWrap/>
            <w:vAlign w:val="center"/>
          </w:tcPr>
          <w:p w14:paraId="7B3CC034">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48CB5D79">
            <w:pPr>
              <w:pStyle w:val="780"/>
              <w:jc w:val="center"/>
              <w:rPr>
                <w:rFonts w:hint="default" w:eastAsia="等线"/>
                <w:color w:val="auto"/>
                <w:highlight w:val="none"/>
                <w:lang w:val="en-US" w:eastAsia="zh-CN"/>
              </w:rPr>
            </w:pPr>
            <w:r>
              <w:rPr>
                <w:rFonts w:hint="eastAsia" w:eastAsia="等线"/>
                <w:color w:val="auto"/>
                <w:highlight w:val="none"/>
                <w:lang w:val="en-US" w:eastAsia="zh-CN"/>
              </w:rPr>
              <w:t>29</w:t>
            </w:r>
          </w:p>
        </w:tc>
        <w:tc>
          <w:tcPr>
            <w:tcW w:w="371" w:type="pct"/>
            <w:noWrap/>
            <w:vAlign w:val="center"/>
          </w:tcPr>
          <w:p w14:paraId="3863E355">
            <w:pPr>
              <w:pStyle w:val="780"/>
              <w:jc w:val="center"/>
              <w:rPr>
                <w:rFonts w:hint="default" w:eastAsia="等线"/>
                <w:color w:val="auto"/>
                <w:highlight w:val="none"/>
                <w:lang w:val="en-US" w:eastAsia="zh-CN"/>
              </w:rPr>
            </w:pPr>
            <w:r>
              <w:rPr>
                <w:rFonts w:hint="eastAsia" w:eastAsia="等线"/>
                <w:color w:val="auto"/>
                <w:highlight w:val="none"/>
                <w:lang w:val="en-US" w:eastAsia="zh-CN"/>
              </w:rPr>
              <w:t>35</w:t>
            </w:r>
          </w:p>
        </w:tc>
        <w:tc>
          <w:tcPr>
            <w:tcW w:w="367" w:type="pct"/>
            <w:noWrap/>
            <w:vAlign w:val="center"/>
          </w:tcPr>
          <w:p w14:paraId="669817B5">
            <w:pPr>
              <w:pStyle w:val="780"/>
              <w:jc w:val="center"/>
              <w:rPr>
                <w:rFonts w:hint="default" w:eastAsia="等线"/>
                <w:color w:val="auto"/>
                <w:highlight w:val="none"/>
                <w:lang w:val="en-US" w:eastAsia="zh-CN"/>
              </w:rPr>
            </w:pPr>
            <w:r>
              <w:rPr>
                <w:rFonts w:hint="eastAsia" w:eastAsia="等线"/>
                <w:color w:val="auto"/>
                <w:highlight w:val="none"/>
                <w:lang w:val="en-US" w:eastAsia="zh-CN"/>
              </w:rPr>
              <w:t>31.44</w:t>
            </w:r>
          </w:p>
        </w:tc>
        <w:tc>
          <w:tcPr>
            <w:tcW w:w="698" w:type="pct"/>
            <w:noWrap/>
            <w:vAlign w:val="center"/>
          </w:tcPr>
          <w:p w14:paraId="7DCF6C41">
            <w:pPr>
              <w:pStyle w:val="780"/>
              <w:rPr>
                <w:rFonts w:hint="default" w:eastAsia="等线"/>
                <w:color w:val="auto"/>
                <w:highlight w:val="none"/>
                <w:lang w:val="en-US" w:eastAsia="zh-CN"/>
              </w:rPr>
            </w:pPr>
            <w:r>
              <w:rPr>
                <w:rFonts w:hint="eastAsia" w:eastAsia="等线"/>
                <w:color w:val="auto"/>
                <w:highlight w:val="none"/>
                <w:lang w:val="en-US" w:eastAsia="zh-CN"/>
              </w:rPr>
              <w:t>100</w:t>
            </w:r>
          </w:p>
        </w:tc>
        <w:tc>
          <w:tcPr>
            <w:tcW w:w="673" w:type="pct"/>
            <w:noWrap/>
            <w:vAlign w:val="center"/>
          </w:tcPr>
          <w:p w14:paraId="10D98810">
            <w:pPr>
              <w:jc w:val="center"/>
              <w:rPr>
                <w:color w:val="auto"/>
                <w:highlight w:val="none"/>
              </w:rPr>
            </w:pPr>
            <w:r>
              <w:rPr>
                <w:color w:val="auto"/>
                <w:highlight w:val="none"/>
              </w:rPr>
              <w:t>否</w:t>
            </w:r>
          </w:p>
        </w:tc>
      </w:tr>
      <w:tr w14:paraId="6B7877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34" w:type="pct"/>
            <w:noWrap/>
            <w:vAlign w:val="center"/>
          </w:tcPr>
          <w:p w14:paraId="46FFF68C">
            <w:pPr>
              <w:pStyle w:val="780"/>
              <w:rPr>
                <w:rFonts w:hint="eastAsia" w:eastAsia="等线"/>
                <w:color w:val="auto"/>
                <w:highlight w:val="none"/>
                <w:lang w:val="en-US" w:eastAsia="zh-CN"/>
              </w:rPr>
            </w:pPr>
            <w:r>
              <w:rPr>
                <w:rFonts w:hint="eastAsia" w:eastAsia="等线"/>
                <w:color w:val="auto"/>
                <w:highlight w:val="none"/>
                <w:lang w:val="en-US" w:eastAsia="zh-CN"/>
              </w:rPr>
              <w:t>9</w:t>
            </w:r>
          </w:p>
        </w:tc>
        <w:tc>
          <w:tcPr>
            <w:tcW w:w="849" w:type="pct"/>
            <w:vAlign w:val="center"/>
          </w:tcPr>
          <w:p w14:paraId="0FD8FB61">
            <w:pPr>
              <w:pStyle w:val="780"/>
              <w:rPr>
                <w:rFonts w:hint="eastAsia" w:eastAsia="宋体"/>
                <w:color w:val="auto"/>
                <w:highlight w:val="none"/>
                <w:lang w:eastAsia="zh-CN"/>
              </w:rPr>
            </w:pPr>
            <w:r>
              <w:rPr>
                <w:rFonts w:hint="eastAsia"/>
                <w:color w:val="auto"/>
                <w:highlight w:val="none"/>
                <w:lang w:eastAsia="zh-CN"/>
              </w:rPr>
              <w:t>锌</w:t>
            </w:r>
          </w:p>
        </w:tc>
        <w:tc>
          <w:tcPr>
            <w:tcW w:w="495" w:type="pct"/>
            <w:noWrap/>
            <w:vAlign w:val="center"/>
          </w:tcPr>
          <w:p w14:paraId="2B009FF3">
            <w:pPr>
              <w:pStyle w:val="780"/>
              <w:rPr>
                <w:rFonts w:hint="default" w:eastAsia="等线"/>
                <w:color w:val="auto"/>
                <w:highlight w:val="none"/>
                <w:lang w:val="en-US" w:eastAsia="zh-CN"/>
              </w:rPr>
            </w:pPr>
            <w:r>
              <w:rPr>
                <w:rFonts w:hint="eastAsia" w:eastAsia="等线"/>
                <w:color w:val="auto"/>
                <w:highlight w:val="none"/>
                <w:lang w:val="en-US" w:eastAsia="zh-CN"/>
              </w:rPr>
              <w:t>1L</w:t>
            </w:r>
          </w:p>
        </w:tc>
        <w:tc>
          <w:tcPr>
            <w:tcW w:w="391" w:type="pct"/>
            <w:vAlign w:val="center"/>
          </w:tcPr>
          <w:p w14:paraId="5A067F47">
            <w:pPr>
              <w:jc w:val="center"/>
              <w:rPr>
                <w:rFonts w:hint="eastAsia"/>
                <w:color w:val="auto"/>
                <w:highlight w:val="none"/>
              </w:rPr>
            </w:pPr>
            <w:r>
              <w:rPr>
                <w:color w:val="auto"/>
                <w:highlight w:val="none"/>
              </w:rPr>
              <w:t>mg/kg</w:t>
            </w:r>
          </w:p>
        </w:tc>
        <w:tc>
          <w:tcPr>
            <w:tcW w:w="490" w:type="pct"/>
            <w:noWrap/>
            <w:vAlign w:val="center"/>
          </w:tcPr>
          <w:p w14:paraId="340A5A65">
            <w:pPr>
              <w:jc w:val="center"/>
              <w:rPr>
                <w:rFonts w:hint="eastAsia" w:eastAsia="等线"/>
                <w:color w:val="auto"/>
                <w:highlight w:val="none"/>
              </w:rPr>
            </w:pPr>
            <w:r>
              <w:rPr>
                <w:rFonts w:hint="eastAsia" w:eastAsia="等线"/>
                <w:color w:val="auto"/>
                <w:highlight w:val="none"/>
              </w:rPr>
              <w:t>100</w:t>
            </w:r>
            <w:r>
              <w:rPr>
                <w:rFonts w:eastAsia="等线"/>
                <w:color w:val="auto"/>
                <w:highlight w:val="none"/>
              </w:rPr>
              <w:t>%</w:t>
            </w:r>
          </w:p>
        </w:tc>
        <w:tc>
          <w:tcPr>
            <w:tcW w:w="429" w:type="pct"/>
            <w:noWrap/>
            <w:vAlign w:val="center"/>
          </w:tcPr>
          <w:p w14:paraId="728E230D">
            <w:pPr>
              <w:pStyle w:val="780"/>
              <w:jc w:val="center"/>
              <w:rPr>
                <w:rFonts w:hint="default" w:eastAsia="等线"/>
                <w:color w:val="auto"/>
                <w:highlight w:val="none"/>
                <w:lang w:val="en-US" w:eastAsia="zh-CN"/>
              </w:rPr>
            </w:pPr>
            <w:r>
              <w:rPr>
                <w:rFonts w:hint="eastAsia" w:eastAsia="等线"/>
                <w:color w:val="auto"/>
                <w:highlight w:val="none"/>
                <w:lang w:val="en-US" w:eastAsia="zh-CN"/>
              </w:rPr>
              <w:t>18</w:t>
            </w:r>
          </w:p>
        </w:tc>
        <w:tc>
          <w:tcPr>
            <w:tcW w:w="371" w:type="pct"/>
            <w:noWrap/>
            <w:vAlign w:val="center"/>
          </w:tcPr>
          <w:p w14:paraId="14540189">
            <w:pPr>
              <w:pStyle w:val="780"/>
              <w:jc w:val="center"/>
              <w:rPr>
                <w:rFonts w:hint="default" w:eastAsia="等线"/>
                <w:color w:val="auto"/>
                <w:highlight w:val="none"/>
                <w:lang w:val="en-US" w:eastAsia="zh-CN"/>
              </w:rPr>
            </w:pPr>
            <w:r>
              <w:rPr>
                <w:rFonts w:hint="eastAsia" w:eastAsia="等线"/>
                <w:color w:val="auto"/>
                <w:highlight w:val="none"/>
                <w:lang w:val="en-US" w:eastAsia="zh-CN"/>
              </w:rPr>
              <w:t>24</w:t>
            </w:r>
          </w:p>
        </w:tc>
        <w:tc>
          <w:tcPr>
            <w:tcW w:w="367" w:type="pct"/>
            <w:noWrap/>
            <w:vAlign w:val="center"/>
          </w:tcPr>
          <w:p w14:paraId="4EB53591">
            <w:pPr>
              <w:pStyle w:val="780"/>
              <w:jc w:val="center"/>
              <w:rPr>
                <w:rFonts w:hint="default" w:eastAsia="等线"/>
                <w:color w:val="auto"/>
                <w:highlight w:val="none"/>
                <w:lang w:val="en-US" w:eastAsia="zh-CN"/>
              </w:rPr>
            </w:pPr>
            <w:r>
              <w:rPr>
                <w:rFonts w:hint="eastAsia" w:eastAsia="等线"/>
                <w:color w:val="auto"/>
                <w:highlight w:val="none"/>
                <w:lang w:val="en-US" w:eastAsia="zh-CN"/>
              </w:rPr>
              <w:t>22.33</w:t>
            </w:r>
          </w:p>
        </w:tc>
        <w:tc>
          <w:tcPr>
            <w:tcW w:w="698" w:type="pct"/>
            <w:noWrap/>
            <w:vAlign w:val="center"/>
          </w:tcPr>
          <w:p w14:paraId="1629DC94">
            <w:pPr>
              <w:pStyle w:val="780"/>
              <w:rPr>
                <w:rFonts w:hint="default" w:eastAsia="等线"/>
                <w:color w:val="auto"/>
                <w:highlight w:val="none"/>
                <w:lang w:val="en-US" w:eastAsia="zh-CN"/>
              </w:rPr>
            </w:pPr>
            <w:r>
              <w:rPr>
                <w:rFonts w:hint="eastAsia" w:eastAsia="等线"/>
                <w:color w:val="auto"/>
                <w:highlight w:val="none"/>
                <w:lang w:val="en-US" w:eastAsia="zh-CN"/>
              </w:rPr>
              <w:t>250</w:t>
            </w:r>
          </w:p>
        </w:tc>
        <w:tc>
          <w:tcPr>
            <w:tcW w:w="673" w:type="pct"/>
            <w:noWrap/>
            <w:vAlign w:val="center"/>
          </w:tcPr>
          <w:p w14:paraId="5DCF7400">
            <w:pPr>
              <w:jc w:val="center"/>
              <w:rPr>
                <w:color w:val="auto"/>
                <w:highlight w:val="none"/>
              </w:rPr>
            </w:pPr>
            <w:r>
              <w:rPr>
                <w:color w:val="auto"/>
                <w:highlight w:val="none"/>
              </w:rPr>
              <w:t>否</w:t>
            </w:r>
          </w:p>
        </w:tc>
      </w:tr>
    </w:tbl>
    <w:p w14:paraId="18BFFE3E">
      <w:pPr>
        <w:pStyle w:val="784"/>
        <w:rPr>
          <w:rFonts w:eastAsia="黑体"/>
          <w:color w:val="auto"/>
          <w:highlight w:val="cyan"/>
        </w:rPr>
      </w:pPr>
    </w:p>
    <w:p w14:paraId="2545745E">
      <w:pPr>
        <w:pStyle w:val="726"/>
        <w:ind w:firstLine="0" w:firstLineChars="0"/>
        <w:rPr>
          <w:rFonts w:ascii="Times New Roman" w:hAnsi="Times New Roman" w:cs="Times New Roman"/>
          <w:color w:val="auto"/>
          <w:highlight w:val="cyan"/>
        </w:rPr>
        <w:sectPr>
          <w:pgSz w:w="16838" w:h="11905" w:orient="landscape"/>
          <w:pgMar w:top="1440" w:right="1440" w:bottom="1440" w:left="1440" w:header="720" w:footer="992" w:gutter="0"/>
          <w:cols w:space="0" w:num="1"/>
          <w:docGrid w:type="lines" w:linePitch="333" w:charSpace="0"/>
        </w:sectPr>
      </w:pPr>
    </w:p>
    <w:p w14:paraId="5850035E">
      <w:pPr>
        <w:pStyle w:val="779"/>
        <w:rPr>
          <w:color w:val="auto"/>
          <w:sz w:val="24"/>
          <w:szCs w:val="24"/>
        </w:rPr>
      </w:pPr>
      <w:r>
        <w:rPr>
          <w:rFonts w:hint="eastAsia"/>
          <w:color w:val="auto"/>
          <w:sz w:val="24"/>
          <w:szCs w:val="24"/>
        </w:rPr>
        <w:t>（1）</w:t>
      </w:r>
      <w:r>
        <w:rPr>
          <w:color w:val="auto"/>
          <w:sz w:val="24"/>
          <w:szCs w:val="24"/>
        </w:rPr>
        <w:t>pH值</w:t>
      </w:r>
    </w:p>
    <w:p w14:paraId="109E2543">
      <w:pPr>
        <w:pStyle w:val="779"/>
        <w:rPr>
          <w:rFonts w:hint="eastAsia" w:eastAsia="宋体"/>
          <w:color w:val="auto"/>
          <w:sz w:val="24"/>
          <w:szCs w:val="24"/>
          <w:highlight w:val="none"/>
          <w:lang w:eastAsia="zh-CN"/>
        </w:rPr>
      </w:pPr>
      <w:r>
        <w:rPr>
          <w:color w:val="auto"/>
          <w:sz w:val="24"/>
          <w:szCs w:val="24"/>
          <w:highlight w:val="none"/>
        </w:rPr>
        <w:t>由</w:t>
      </w:r>
      <w:r>
        <w:rPr>
          <w:rFonts w:hint="eastAsia"/>
          <w:color w:val="auto"/>
          <w:sz w:val="24"/>
          <w:szCs w:val="24"/>
          <w:highlight w:val="none"/>
        </w:rPr>
        <w:t>表4</w:t>
      </w:r>
      <w:r>
        <w:rPr>
          <w:color w:val="auto"/>
          <w:sz w:val="24"/>
          <w:szCs w:val="24"/>
          <w:highlight w:val="none"/>
        </w:rPr>
        <w:t>-2-11可知，</w:t>
      </w:r>
      <w:r>
        <w:rPr>
          <w:rFonts w:hint="eastAsia"/>
          <w:color w:val="auto"/>
          <w:sz w:val="24"/>
          <w:szCs w:val="24"/>
          <w:highlight w:val="none"/>
          <w:lang w:eastAsia="zh-CN"/>
        </w:rPr>
        <w:t>建设用地</w:t>
      </w:r>
      <w:r>
        <w:rPr>
          <w:color w:val="auto"/>
          <w:sz w:val="24"/>
          <w:szCs w:val="24"/>
          <w:highlight w:val="none"/>
        </w:rPr>
        <w:t>土壤样品pH值检出范围为</w:t>
      </w:r>
      <w:r>
        <w:rPr>
          <w:rFonts w:hint="eastAsia"/>
          <w:color w:val="auto"/>
          <w:sz w:val="24"/>
          <w:szCs w:val="24"/>
          <w:highlight w:val="none"/>
          <w:lang w:val="en-US" w:eastAsia="zh-CN"/>
        </w:rPr>
        <w:t>7.34</w:t>
      </w:r>
      <w:r>
        <w:rPr>
          <w:rFonts w:hint="eastAsia"/>
          <w:color w:val="auto"/>
          <w:sz w:val="24"/>
          <w:szCs w:val="24"/>
          <w:highlight w:val="none"/>
        </w:rPr>
        <w:t>-</w:t>
      </w:r>
      <w:r>
        <w:rPr>
          <w:rFonts w:hint="eastAsia"/>
          <w:color w:val="auto"/>
          <w:sz w:val="24"/>
          <w:szCs w:val="24"/>
          <w:highlight w:val="none"/>
          <w:lang w:val="en-US" w:eastAsia="zh-CN"/>
        </w:rPr>
        <w:t>9.67</w:t>
      </w:r>
      <w:r>
        <w:rPr>
          <w:color w:val="auto"/>
          <w:sz w:val="24"/>
          <w:szCs w:val="24"/>
          <w:highlight w:val="none"/>
        </w:rPr>
        <w:t>，平均值</w:t>
      </w:r>
      <w:r>
        <w:rPr>
          <w:rFonts w:hint="eastAsia"/>
          <w:color w:val="auto"/>
          <w:sz w:val="24"/>
          <w:szCs w:val="24"/>
          <w:highlight w:val="none"/>
          <w:lang w:eastAsia="zh-CN"/>
        </w:rPr>
        <w:t>8.36</w:t>
      </w:r>
      <w:r>
        <w:rPr>
          <w:color w:val="auto"/>
          <w:sz w:val="24"/>
          <w:szCs w:val="24"/>
          <w:highlight w:val="none"/>
        </w:rPr>
        <w:t>，土壤总体偏</w:t>
      </w:r>
      <w:r>
        <w:rPr>
          <w:rFonts w:hint="eastAsia"/>
          <w:color w:val="auto"/>
          <w:sz w:val="24"/>
          <w:szCs w:val="24"/>
          <w:highlight w:val="none"/>
          <w:lang w:eastAsia="zh-CN"/>
        </w:rPr>
        <w:t>碱</w:t>
      </w:r>
      <w:r>
        <w:rPr>
          <w:color w:val="auto"/>
          <w:sz w:val="24"/>
          <w:szCs w:val="24"/>
          <w:highlight w:val="none"/>
        </w:rPr>
        <w:t>性。</w:t>
      </w:r>
      <w:r>
        <w:rPr>
          <w:rFonts w:hint="eastAsia"/>
          <w:color w:val="auto"/>
          <w:sz w:val="24"/>
          <w:szCs w:val="24"/>
          <w:highlight w:val="none"/>
          <w:lang w:eastAsia="zh-CN"/>
        </w:rPr>
        <w:t>农用地</w:t>
      </w:r>
      <w:r>
        <w:rPr>
          <w:color w:val="auto"/>
          <w:sz w:val="24"/>
          <w:szCs w:val="24"/>
          <w:highlight w:val="none"/>
        </w:rPr>
        <w:t>土壤样品pH值检出范围为</w:t>
      </w:r>
      <w:r>
        <w:rPr>
          <w:rFonts w:hint="eastAsia"/>
          <w:color w:val="auto"/>
          <w:sz w:val="24"/>
          <w:szCs w:val="24"/>
          <w:highlight w:val="none"/>
          <w:lang w:val="en-US" w:eastAsia="zh-CN"/>
        </w:rPr>
        <w:t>6.55</w:t>
      </w:r>
      <w:r>
        <w:rPr>
          <w:rFonts w:hint="eastAsia"/>
          <w:color w:val="auto"/>
          <w:sz w:val="24"/>
          <w:szCs w:val="24"/>
          <w:highlight w:val="none"/>
        </w:rPr>
        <w:t>-</w:t>
      </w:r>
      <w:r>
        <w:rPr>
          <w:rFonts w:hint="eastAsia"/>
          <w:color w:val="auto"/>
          <w:sz w:val="24"/>
          <w:szCs w:val="24"/>
          <w:highlight w:val="none"/>
          <w:lang w:val="en-US" w:eastAsia="zh-CN"/>
        </w:rPr>
        <w:t>6.73</w:t>
      </w:r>
      <w:r>
        <w:rPr>
          <w:color w:val="auto"/>
          <w:sz w:val="24"/>
          <w:szCs w:val="24"/>
          <w:highlight w:val="none"/>
        </w:rPr>
        <w:t>，平均值</w:t>
      </w:r>
      <w:r>
        <w:rPr>
          <w:rFonts w:hint="eastAsia"/>
          <w:color w:val="auto"/>
          <w:sz w:val="24"/>
          <w:szCs w:val="24"/>
          <w:highlight w:val="none"/>
        </w:rPr>
        <w:t>6.</w:t>
      </w:r>
      <w:r>
        <w:rPr>
          <w:rFonts w:hint="eastAsia"/>
          <w:color w:val="auto"/>
          <w:sz w:val="24"/>
          <w:szCs w:val="24"/>
          <w:highlight w:val="none"/>
          <w:lang w:val="en-US" w:eastAsia="zh-CN"/>
        </w:rPr>
        <w:t>64</w:t>
      </w:r>
      <w:r>
        <w:rPr>
          <w:color w:val="auto"/>
          <w:sz w:val="24"/>
          <w:szCs w:val="24"/>
          <w:highlight w:val="none"/>
        </w:rPr>
        <w:t>，土壤总体</w:t>
      </w:r>
      <w:r>
        <w:rPr>
          <w:rFonts w:hint="eastAsia"/>
          <w:color w:val="auto"/>
          <w:sz w:val="24"/>
          <w:szCs w:val="24"/>
          <w:highlight w:val="none"/>
          <w:lang w:eastAsia="zh-CN"/>
        </w:rPr>
        <w:t>偏弱碱</w:t>
      </w:r>
      <w:r>
        <w:rPr>
          <w:color w:val="auto"/>
          <w:sz w:val="24"/>
          <w:szCs w:val="24"/>
          <w:highlight w:val="none"/>
        </w:rPr>
        <w:t>性。</w:t>
      </w:r>
    </w:p>
    <w:p w14:paraId="1E083556">
      <w:pPr>
        <w:pStyle w:val="779"/>
        <w:rPr>
          <w:color w:val="auto"/>
          <w:sz w:val="24"/>
          <w:szCs w:val="24"/>
        </w:rPr>
      </w:pPr>
      <w:r>
        <w:rPr>
          <w:rFonts w:hint="eastAsia"/>
          <w:color w:val="auto"/>
          <w:sz w:val="24"/>
          <w:szCs w:val="24"/>
        </w:rPr>
        <w:t>（2）</w:t>
      </w:r>
      <w:r>
        <w:rPr>
          <w:color w:val="auto"/>
          <w:sz w:val="24"/>
          <w:szCs w:val="24"/>
        </w:rPr>
        <w:t>重金属</w:t>
      </w:r>
    </w:p>
    <w:p w14:paraId="3BF2EE59">
      <w:pPr>
        <w:pStyle w:val="779"/>
        <w:rPr>
          <w:color w:val="auto"/>
          <w:sz w:val="24"/>
          <w:szCs w:val="24"/>
        </w:rPr>
      </w:pPr>
      <w:r>
        <w:rPr>
          <w:rFonts w:hint="eastAsia"/>
          <w:color w:val="auto"/>
          <w:sz w:val="24"/>
          <w:szCs w:val="24"/>
          <w:lang w:eastAsia="zh-CN"/>
        </w:rPr>
        <w:t>建设用地</w:t>
      </w:r>
      <w:r>
        <w:rPr>
          <w:color w:val="auto"/>
          <w:sz w:val="24"/>
          <w:szCs w:val="24"/>
        </w:rPr>
        <w:t>本次调查地块共采集了</w:t>
      </w:r>
      <w:r>
        <w:rPr>
          <w:rFonts w:hint="eastAsia"/>
          <w:color w:val="auto"/>
          <w:sz w:val="24"/>
          <w:szCs w:val="24"/>
          <w:lang w:val="en-US" w:eastAsia="zh-CN"/>
        </w:rPr>
        <w:t>5</w:t>
      </w:r>
      <w:r>
        <w:rPr>
          <w:color w:val="auto"/>
          <w:sz w:val="24"/>
          <w:szCs w:val="24"/>
        </w:rPr>
        <w:t>个土壤点位，</w:t>
      </w:r>
      <w:r>
        <w:rPr>
          <w:rFonts w:hint="eastAsia"/>
          <w:color w:val="auto"/>
          <w:sz w:val="24"/>
          <w:szCs w:val="24"/>
          <w:lang w:val="en-US" w:eastAsia="zh-CN"/>
        </w:rPr>
        <w:t>11</w:t>
      </w:r>
      <w:r>
        <w:rPr>
          <w:color w:val="auto"/>
          <w:sz w:val="24"/>
          <w:szCs w:val="24"/>
        </w:rPr>
        <w:t>份土壤样品进行了土壤重金属含量的测定，检测了砷、镉、铜、铅、汞、镍、六价铬</w:t>
      </w:r>
      <w:r>
        <w:rPr>
          <w:rFonts w:hint="eastAsia"/>
          <w:color w:val="auto"/>
          <w:sz w:val="24"/>
          <w:szCs w:val="24"/>
        </w:rPr>
        <w:t>7</w:t>
      </w:r>
      <w:r>
        <w:rPr>
          <w:color w:val="auto"/>
          <w:sz w:val="24"/>
          <w:szCs w:val="24"/>
        </w:rPr>
        <w:t>种重金属，砷、镉、铜、铅、汞、镍在各土壤样品中均有检出，六价铬未检出。</w:t>
      </w:r>
    </w:p>
    <w:p w14:paraId="71AE9875">
      <w:pPr>
        <w:pStyle w:val="779"/>
        <w:rPr>
          <w:color w:val="auto"/>
          <w:sz w:val="24"/>
          <w:szCs w:val="24"/>
        </w:rPr>
      </w:pPr>
      <w:r>
        <w:rPr>
          <w:color w:val="auto"/>
          <w:sz w:val="24"/>
          <w:szCs w:val="24"/>
        </w:rPr>
        <w:t>由</w:t>
      </w:r>
      <w:r>
        <w:rPr>
          <w:rFonts w:hint="eastAsia"/>
          <w:color w:val="auto"/>
          <w:sz w:val="24"/>
          <w:szCs w:val="24"/>
        </w:rPr>
        <w:t>表4</w:t>
      </w:r>
      <w:r>
        <w:rPr>
          <w:color w:val="auto"/>
          <w:sz w:val="24"/>
          <w:szCs w:val="24"/>
        </w:rPr>
        <w:t>-2-11可知：重金属砷在所有土壤样品中均有检出，检出范围为0.01mg/kg，</w:t>
      </w:r>
      <w:r>
        <w:rPr>
          <w:rFonts w:hint="eastAsia"/>
          <w:color w:val="auto"/>
          <w:sz w:val="24"/>
          <w:szCs w:val="24"/>
        </w:rPr>
        <w:t>（S3)</w:t>
      </w:r>
      <w:r>
        <w:rPr>
          <w:rFonts w:hint="eastAsia"/>
          <w:color w:val="auto"/>
          <w:sz w:val="24"/>
          <w:szCs w:val="24"/>
          <w:lang w:eastAsia="zh-CN"/>
        </w:rPr>
        <w:t>第三层</w:t>
      </w:r>
      <w:r>
        <w:rPr>
          <w:color w:val="auto"/>
          <w:sz w:val="24"/>
          <w:szCs w:val="24"/>
        </w:rPr>
        <w:t>检出值较高，最高值为</w:t>
      </w:r>
      <w:r>
        <w:rPr>
          <w:rFonts w:hint="eastAsia"/>
          <w:color w:val="auto"/>
          <w:sz w:val="24"/>
          <w:szCs w:val="24"/>
          <w:lang w:val="en-US" w:eastAsia="zh-CN"/>
        </w:rPr>
        <w:t>13.1</w:t>
      </w:r>
      <w:r>
        <w:rPr>
          <w:color w:val="auto"/>
          <w:sz w:val="24"/>
          <w:szCs w:val="24"/>
        </w:rPr>
        <w:t>mg/kg；重金属镉在所有土壤样品中均有检出，检出范围为0.01mg/kg，</w:t>
      </w:r>
      <w:r>
        <w:rPr>
          <w:rFonts w:hint="eastAsia"/>
          <w:color w:val="auto"/>
          <w:sz w:val="24"/>
          <w:szCs w:val="24"/>
          <w:lang w:val="en-US" w:eastAsia="zh-CN"/>
        </w:rPr>
        <w:t>(</w:t>
      </w:r>
      <w:r>
        <w:rPr>
          <w:rFonts w:hint="eastAsia"/>
          <w:color w:val="auto"/>
          <w:sz w:val="24"/>
          <w:szCs w:val="24"/>
        </w:rPr>
        <w:t>S2)</w:t>
      </w:r>
      <w:r>
        <w:rPr>
          <w:rFonts w:hint="eastAsia"/>
          <w:color w:val="auto"/>
          <w:sz w:val="24"/>
          <w:szCs w:val="24"/>
          <w:lang w:eastAsia="zh-CN"/>
        </w:rPr>
        <w:t>第一层</w:t>
      </w:r>
      <w:r>
        <w:rPr>
          <w:color w:val="auto"/>
          <w:sz w:val="24"/>
          <w:szCs w:val="24"/>
        </w:rPr>
        <w:t>检出值较高，最高值为</w:t>
      </w:r>
      <w:r>
        <w:rPr>
          <w:rFonts w:hint="eastAsia"/>
          <w:color w:val="auto"/>
          <w:sz w:val="24"/>
          <w:szCs w:val="24"/>
          <w:lang w:val="en-US" w:eastAsia="zh-CN"/>
        </w:rPr>
        <w:t>0.13</w:t>
      </w:r>
      <w:r>
        <w:rPr>
          <w:color w:val="auto"/>
          <w:sz w:val="24"/>
          <w:szCs w:val="24"/>
        </w:rPr>
        <w:t>mg/kg；重金属铜在所有土壤样品中均有检出，检出范围为</w:t>
      </w:r>
      <w:r>
        <w:rPr>
          <w:rFonts w:hint="eastAsia"/>
          <w:color w:val="auto"/>
          <w:sz w:val="24"/>
          <w:szCs w:val="24"/>
        </w:rPr>
        <w:t>1</w:t>
      </w:r>
      <w:r>
        <w:rPr>
          <w:color w:val="auto"/>
          <w:sz w:val="24"/>
          <w:szCs w:val="24"/>
        </w:rPr>
        <w:t>mg/kg，</w:t>
      </w:r>
      <w:r>
        <w:rPr>
          <w:rFonts w:hint="eastAsia"/>
          <w:color w:val="auto"/>
          <w:sz w:val="24"/>
          <w:szCs w:val="24"/>
        </w:rPr>
        <w:t>1#地块（S</w:t>
      </w:r>
      <w:r>
        <w:rPr>
          <w:rFonts w:hint="eastAsia"/>
          <w:color w:val="auto"/>
          <w:sz w:val="24"/>
          <w:szCs w:val="24"/>
          <w:lang w:val="en-US" w:eastAsia="zh-CN"/>
        </w:rPr>
        <w:t>3</w:t>
      </w:r>
      <w:r>
        <w:rPr>
          <w:rFonts w:hint="eastAsia"/>
          <w:color w:val="auto"/>
          <w:sz w:val="24"/>
          <w:szCs w:val="24"/>
        </w:rPr>
        <w:t>)</w:t>
      </w:r>
      <w:r>
        <w:rPr>
          <w:rFonts w:hint="eastAsia"/>
          <w:color w:val="auto"/>
          <w:sz w:val="24"/>
          <w:szCs w:val="24"/>
          <w:lang w:eastAsia="zh-CN"/>
        </w:rPr>
        <w:t>第一层</w:t>
      </w:r>
      <w:r>
        <w:rPr>
          <w:color w:val="auto"/>
          <w:sz w:val="24"/>
          <w:szCs w:val="24"/>
        </w:rPr>
        <w:t>检出值较高，最高值为</w:t>
      </w:r>
      <w:r>
        <w:rPr>
          <w:rFonts w:hint="eastAsia"/>
          <w:color w:val="auto"/>
          <w:sz w:val="24"/>
          <w:szCs w:val="24"/>
          <w:lang w:val="en-US" w:eastAsia="zh-CN"/>
        </w:rPr>
        <w:t>36</w:t>
      </w:r>
      <w:r>
        <w:rPr>
          <w:color w:val="auto"/>
          <w:sz w:val="24"/>
          <w:szCs w:val="24"/>
        </w:rPr>
        <w:t>mg/kg；重金属铅在所有土壤样品中均有检出，检出范围为</w:t>
      </w:r>
      <w:r>
        <w:rPr>
          <w:rFonts w:hint="eastAsia"/>
          <w:color w:val="auto"/>
          <w:sz w:val="24"/>
          <w:szCs w:val="24"/>
          <w:lang w:val="en-US" w:eastAsia="zh-CN"/>
        </w:rPr>
        <w:t>0.1</w:t>
      </w:r>
      <w:r>
        <w:rPr>
          <w:color w:val="auto"/>
          <w:sz w:val="24"/>
          <w:szCs w:val="24"/>
        </w:rPr>
        <w:t>mg/kg，</w:t>
      </w:r>
      <w:r>
        <w:rPr>
          <w:rFonts w:hint="eastAsia"/>
          <w:color w:val="auto"/>
          <w:sz w:val="24"/>
          <w:szCs w:val="24"/>
        </w:rPr>
        <w:t>（S</w:t>
      </w:r>
      <w:r>
        <w:rPr>
          <w:rFonts w:hint="eastAsia"/>
          <w:color w:val="auto"/>
          <w:sz w:val="24"/>
          <w:szCs w:val="24"/>
          <w:lang w:val="en-US" w:eastAsia="zh-CN"/>
        </w:rPr>
        <w:t>11</w:t>
      </w:r>
      <w:r>
        <w:rPr>
          <w:rFonts w:hint="eastAsia"/>
          <w:color w:val="auto"/>
          <w:sz w:val="24"/>
          <w:szCs w:val="24"/>
        </w:rPr>
        <w:t>)</w:t>
      </w:r>
      <w:r>
        <w:rPr>
          <w:rFonts w:hint="eastAsia"/>
          <w:color w:val="auto"/>
          <w:sz w:val="24"/>
          <w:szCs w:val="24"/>
          <w:lang w:eastAsia="zh-CN"/>
        </w:rPr>
        <w:t>第三层</w:t>
      </w:r>
      <w:r>
        <w:rPr>
          <w:color w:val="auto"/>
          <w:sz w:val="24"/>
          <w:szCs w:val="24"/>
        </w:rPr>
        <w:t>检出值较高，最高值为</w:t>
      </w:r>
      <w:r>
        <w:rPr>
          <w:rFonts w:hint="eastAsia"/>
          <w:color w:val="auto"/>
          <w:sz w:val="24"/>
          <w:szCs w:val="24"/>
          <w:lang w:val="en-US" w:eastAsia="zh-CN"/>
        </w:rPr>
        <w:t>20.5</w:t>
      </w:r>
      <w:r>
        <w:rPr>
          <w:color w:val="auto"/>
          <w:sz w:val="24"/>
          <w:szCs w:val="24"/>
        </w:rPr>
        <w:t>mg/kg</w:t>
      </w:r>
      <w:r>
        <w:rPr>
          <w:rFonts w:hint="eastAsia"/>
          <w:color w:val="auto"/>
          <w:sz w:val="24"/>
          <w:szCs w:val="24"/>
          <w:lang w:eastAsia="zh-CN"/>
        </w:rPr>
        <w:t>；</w:t>
      </w:r>
      <w:r>
        <w:rPr>
          <w:color w:val="auto"/>
          <w:sz w:val="24"/>
          <w:szCs w:val="24"/>
        </w:rPr>
        <w:t>重金属</w:t>
      </w:r>
      <w:r>
        <w:rPr>
          <w:rFonts w:hint="eastAsia"/>
          <w:color w:val="auto"/>
          <w:sz w:val="24"/>
          <w:szCs w:val="24"/>
          <w:lang w:eastAsia="zh-CN"/>
        </w:rPr>
        <w:t>汞</w:t>
      </w:r>
      <w:r>
        <w:rPr>
          <w:color w:val="auto"/>
          <w:sz w:val="24"/>
          <w:szCs w:val="24"/>
        </w:rPr>
        <w:t>检出范围为</w:t>
      </w:r>
      <w:r>
        <w:rPr>
          <w:rFonts w:hint="eastAsia"/>
          <w:color w:val="auto"/>
          <w:sz w:val="24"/>
          <w:szCs w:val="24"/>
          <w:lang w:val="en-US" w:eastAsia="zh-CN"/>
        </w:rPr>
        <w:t>0.002</w:t>
      </w:r>
      <w:r>
        <w:rPr>
          <w:color w:val="auto"/>
          <w:sz w:val="24"/>
          <w:szCs w:val="24"/>
        </w:rPr>
        <w:t>mg/kg，</w:t>
      </w:r>
      <w:r>
        <w:rPr>
          <w:rFonts w:hint="eastAsia"/>
          <w:color w:val="auto"/>
          <w:sz w:val="24"/>
          <w:szCs w:val="24"/>
        </w:rPr>
        <w:t>（S</w:t>
      </w:r>
      <w:r>
        <w:rPr>
          <w:rFonts w:hint="eastAsia"/>
          <w:color w:val="auto"/>
          <w:sz w:val="24"/>
          <w:szCs w:val="24"/>
          <w:lang w:val="en-US" w:eastAsia="zh-CN"/>
        </w:rPr>
        <w:t>11</w:t>
      </w:r>
      <w:r>
        <w:rPr>
          <w:rFonts w:hint="eastAsia"/>
          <w:color w:val="auto"/>
          <w:sz w:val="24"/>
          <w:szCs w:val="24"/>
        </w:rPr>
        <w:t>)</w:t>
      </w:r>
      <w:r>
        <w:rPr>
          <w:rFonts w:hint="eastAsia"/>
          <w:color w:val="auto"/>
          <w:sz w:val="24"/>
          <w:szCs w:val="24"/>
          <w:lang w:eastAsia="zh-CN"/>
        </w:rPr>
        <w:t>第三层</w:t>
      </w:r>
      <w:r>
        <w:rPr>
          <w:color w:val="auto"/>
          <w:sz w:val="24"/>
          <w:szCs w:val="24"/>
        </w:rPr>
        <w:t>检出值较高，最高值为</w:t>
      </w:r>
      <w:r>
        <w:rPr>
          <w:rFonts w:hint="eastAsia"/>
          <w:color w:val="auto"/>
          <w:sz w:val="24"/>
          <w:szCs w:val="24"/>
          <w:lang w:val="en-US" w:eastAsia="zh-CN"/>
        </w:rPr>
        <w:t>0.043</w:t>
      </w:r>
      <w:r>
        <w:rPr>
          <w:color w:val="auto"/>
          <w:sz w:val="24"/>
          <w:szCs w:val="24"/>
        </w:rPr>
        <w:t>mg/kg；重金属镍检出范围为</w:t>
      </w:r>
      <w:r>
        <w:rPr>
          <w:rFonts w:hint="eastAsia"/>
          <w:color w:val="auto"/>
          <w:sz w:val="24"/>
          <w:szCs w:val="24"/>
        </w:rPr>
        <w:t>3</w:t>
      </w:r>
      <w:r>
        <w:rPr>
          <w:color w:val="auto"/>
          <w:sz w:val="24"/>
          <w:szCs w:val="24"/>
        </w:rPr>
        <w:t>mg/kg，</w:t>
      </w:r>
      <w:r>
        <w:rPr>
          <w:rFonts w:hint="eastAsia"/>
          <w:color w:val="auto"/>
          <w:sz w:val="24"/>
          <w:szCs w:val="24"/>
        </w:rPr>
        <w:t>（S</w:t>
      </w:r>
      <w:r>
        <w:rPr>
          <w:rFonts w:hint="eastAsia"/>
          <w:color w:val="auto"/>
          <w:sz w:val="24"/>
          <w:szCs w:val="24"/>
          <w:lang w:val="en-US" w:eastAsia="zh-CN"/>
        </w:rPr>
        <w:t>11</w:t>
      </w:r>
      <w:r>
        <w:rPr>
          <w:rFonts w:hint="eastAsia"/>
          <w:color w:val="auto"/>
          <w:sz w:val="24"/>
          <w:szCs w:val="24"/>
        </w:rPr>
        <w:t>)</w:t>
      </w:r>
      <w:r>
        <w:rPr>
          <w:rFonts w:hint="eastAsia"/>
          <w:color w:val="auto"/>
          <w:sz w:val="24"/>
          <w:szCs w:val="24"/>
          <w:lang w:eastAsia="zh-CN"/>
        </w:rPr>
        <w:t>第三层</w:t>
      </w:r>
      <w:r>
        <w:rPr>
          <w:color w:val="auto"/>
          <w:sz w:val="24"/>
          <w:szCs w:val="24"/>
        </w:rPr>
        <w:t>检出值较高，最高值为</w:t>
      </w:r>
      <w:r>
        <w:rPr>
          <w:rFonts w:hint="eastAsia"/>
          <w:color w:val="auto"/>
          <w:sz w:val="24"/>
          <w:szCs w:val="24"/>
          <w:lang w:val="en-US" w:eastAsia="zh-CN"/>
        </w:rPr>
        <w:t>42</w:t>
      </w:r>
      <w:r>
        <w:rPr>
          <w:color w:val="auto"/>
          <w:sz w:val="24"/>
          <w:szCs w:val="24"/>
        </w:rPr>
        <w:t>mg/kg。</w:t>
      </w:r>
    </w:p>
    <w:p w14:paraId="76E0BFA1">
      <w:pPr>
        <w:pStyle w:val="779"/>
        <w:rPr>
          <w:color w:val="auto"/>
          <w:sz w:val="24"/>
          <w:szCs w:val="24"/>
        </w:rPr>
      </w:pPr>
      <w:r>
        <w:rPr>
          <w:color w:val="auto"/>
          <w:sz w:val="24"/>
          <w:szCs w:val="24"/>
        </w:rPr>
        <w:t>综上所述，重金属</w:t>
      </w:r>
      <w:r>
        <w:rPr>
          <w:rFonts w:hint="eastAsia"/>
          <w:color w:val="auto"/>
          <w:sz w:val="24"/>
          <w:szCs w:val="24"/>
          <w:lang w:eastAsia="zh-CN"/>
        </w:rPr>
        <w:t>除六价铬外</w:t>
      </w:r>
      <w:r>
        <w:rPr>
          <w:color w:val="auto"/>
          <w:sz w:val="24"/>
          <w:szCs w:val="24"/>
        </w:rPr>
        <w:t>均有检出。按照《土壤环境质量 建设用地土壤污染风险管控标准（试行）》（GB36600-2018）第二类用地筛选值进行评价，所有土壤样品重金属含量均不超标。</w:t>
      </w:r>
      <w:bookmarkStart w:id="126" w:name="_Ref33456450"/>
    </w:p>
    <w:p w14:paraId="002A19C7">
      <w:pPr>
        <w:pStyle w:val="779"/>
        <w:rPr>
          <w:color w:val="auto"/>
          <w:sz w:val="24"/>
          <w:szCs w:val="24"/>
          <w:highlight w:val="none"/>
        </w:rPr>
      </w:pPr>
      <w:r>
        <w:rPr>
          <w:rFonts w:hint="eastAsia"/>
          <w:color w:val="auto"/>
          <w:sz w:val="24"/>
          <w:szCs w:val="24"/>
          <w:highlight w:val="none"/>
          <w:lang w:eastAsia="zh-CN"/>
        </w:rPr>
        <w:t>农用地本次</w:t>
      </w:r>
      <w:r>
        <w:rPr>
          <w:color w:val="auto"/>
          <w:sz w:val="24"/>
          <w:szCs w:val="24"/>
          <w:highlight w:val="none"/>
        </w:rPr>
        <w:t>本次调查地块共采集了</w:t>
      </w:r>
      <w:r>
        <w:rPr>
          <w:rFonts w:hint="eastAsia"/>
          <w:color w:val="auto"/>
          <w:sz w:val="24"/>
          <w:szCs w:val="24"/>
          <w:highlight w:val="none"/>
          <w:lang w:val="en-US" w:eastAsia="zh-CN"/>
        </w:rPr>
        <w:t>8</w:t>
      </w:r>
      <w:r>
        <w:rPr>
          <w:color w:val="auto"/>
          <w:sz w:val="24"/>
          <w:szCs w:val="24"/>
          <w:highlight w:val="none"/>
        </w:rPr>
        <w:t>个土壤点位，</w:t>
      </w:r>
      <w:r>
        <w:rPr>
          <w:rFonts w:hint="eastAsia"/>
          <w:color w:val="auto"/>
          <w:sz w:val="24"/>
          <w:szCs w:val="24"/>
          <w:highlight w:val="none"/>
          <w:lang w:val="en-US" w:eastAsia="zh-CN"/>
        </w:rPr>
        <w:t>8</w:t>
      </w:r>
      <w:r>
        <w:rPr>
          <w:color w:val="auto"/>
          <w:sz w:val="24"/>
          <w:szCs w:val="24"/>
          <w:highlight w:val="none"/>
        </w:rPr>
        <w:t>份土壤样品进行了土壤重金属含量的测定，检测了</w:t>
      </w:r>
      <w:r>
        <w:rPr>
          <w:rFonts w:hint="eastAsia"/>
          <w:color w:val="auto"/>
          <w:sz w:val="24"/>
          <w:szCs w:val="24"/>
          <w:highlight w:val="none"/>
          <w:lang w:eastAsia="zh-CN"/>
        </w:rPr>
        <w:t>镉</w:t>
      </w:r>
      <w:r>
        <w:rPr>
          <w:color w:val="auto"/>
          <w:sz w:val="24"/>
          <w:szCs w:val="24"/>
          <w:highlight w:val="none"/>
        </w:rPr>
        <w:t>、</w:t>
      </w:r>
      <w:r>
        <w:rPr>
          <w:rFonts w:hint="eastAsia"/>
          <w:color w:val="auto"/>
          <w:sz w:val="24"/>
          <w:szCs w:val="24"/>
          <w:highlight w:val="none"/>
          <w:lang w:eastAsia="zh-CN"/>
        </w:rPr>
        <w:t>汞</w:t>
      </w:r>
      <w:r>
        <w:rPr>
          <w:color w:val="auto"/>
          <w:sz w:val="24"/>
          <w:szCs w:val="24"/>
          <w:highlight w:val="none"/>
        </w:rPr>
        <w:t>、</w:t>
      </w:r>
      <w:r>
        <w:rPr>
          <w:rFonts w:hint="eastAsia"/>
          <w:color w:val="auto"/>
          <w:sz w:val="24"/>
          <w:szCs w:val="24"/>
          <w:highlight w:val="none"/>
          <w:lang w:eastAsia="zh-CN"/>
        </w:rPr>
        <w:t>砷</w:t>
      </w:r>
      <w:r>
        <w:rPr>
          <w:color w:val="auto"/>
          <w:sz w:val="24"/>
          <w:szCs w:val="24"/>
          <w:highlight w:val="none"/>
        </w:rPr>
        <w:t>、</w:t>
      </w:r>
      <w:r>
        <w:rPr>
          <w:rFonts w:hint="eastAsia"/>
          <w:color w:val="auto"/>
          <w:sz w:val="24"/>
          <w:szCs w:val="24"/>
          <w:highlight w:val="none"/>
          <w:lang w:eastAsia="zh-CN"/>
        </w:rPr>
        <w:t>铅</w:t>
      </w:r>
      <w:r>
        <w:rPr>
          <w:color w:val="auto"/>
          <w:sz w:val="24"/>
          <w:szCs w:val="24"/>
          <w:highlight w:val="none"/>
        </w:rPr>
        <w:t>、</w:t>
      </w:r>
      <w:r>
        <w:rPr>
          <w:rFonts w:hint="eastAsia"/>
          <w:color w:val="auto"/>
          <w:sz w:val="24"/>
          <w:szCs w:val="24"/>
          <w:highlight w:val="none"/>
          <w:lang w:eastAsia="zh-CN"/>
        </w:rPr>
        <w:t>铬</w:t>
      </w:r>
      <w:r>
        <w:rPr>
          <w:color w:val="auto"/>
          <w:sz w:val="24"/>
          <w:szCs w:val="24"/>
          <w:highlight w:val="none"/>
        </w:rPr>
        <w:t>、</w:t>
      </w:r>
      <w:r>
        <w:rPr>
          <w:rFonts w:hint="eastAsia"/>
          <w:color w:val="auto"/>
          <w:sz w:val="24"/>
          <w:szCs w:val="24"/>
          <w:highlight w:val="none"/>
          <w:lang w:eastAsia="zh-CN"/>
        </w:rPr>
        <w:t>铜</w:t>
      </w:r>
      <w:r>
        <w:rPr>
          <w:color w:val="auto"/>
          <w:sz w:val="24"/>
          <w:szCs w:val="24"/>
          <w:highlight w:val="none"/>
        </w:rPr>
        <w:t>、</w:t>
      </w:r>
      <w:r>
        <w:rPr>
          <w:rFonts w:hint="eastAsia"/>
          <w:color w:val="auto"/>
          <w:sz w:val="24"/>
          <w:szCs w:val="24"/>
          <w:highlight w:val="none"/>
          <w:lang w:eastAsia="zh-CN"/>
        </w:rPr>
        <w:t>镍、锌</w:t>
      </w:r>
      <w:r>
        <w:rPr>
          <w:rFonts w:hint="eastAsia"/>
          <w:color w:val="auto"/>
          <w:sz w:val="24"/>
          <w:szCs w:val="24"/>
          <w:highlight w:val="none"/>
          <w:lang w:val="en-US" w:eastAsia="zh-CN"/>
        </w:rPr>
        <w:t>8</w:t>
      </w:r>
      <w:r>
        <w:rPr>
          <w:color w:val="auto"/>
          <w:sz w:val="24"/>
          <w:szCs w:val="24"/>
          <w:highlight w:val="none"/>
        </w:rPr>
        <w:t>种重金属，</w:t>
      </w:r>
      <w:r>
        <w:rPr>
          <w:rFonts w:hint="eastAsia"/>
          <w:color w:val="auto"/>
          <w:sz w:val="24"/>
          <w:szCs w:val="24"/>
          <w:highlight w:val="none"/>
          <w:lang w:eastAsia="zh-CN"/>
        </w:rPr>
        <w:t>镉</w:t>
      </w:r>
      <w:r>
        <w:rPr>
          <w:color w:val="auto"/>
          <w:sz w:val="24"/>
          <w:szCs w:val="24"/>
          <w:highlight w:val="none"/>
        </w:rPr>
        <w:t>、</w:t>
      </w:r>
      <w:r>
        <w:rPr>
          <w:rFonts w:hint="eastAsia"/>
          <w:color w:val="auto"/>
          <w:sz w:val="24"/>
          <w:szCs w:val="24"/>
          <w:highlight w:val="none"/>
          <w:lang w:eastAsia="zh-CN"/>
        </w:rPr>
        <w:t>汞</w:t>
      </w:r>
      <w:r>
        <w:rPr>
          <w:color w:val="auto"/>
          <w:sz w:val="24"/>
          <w:szCs w:val="24"/>
          <w:highlight w:val="none"/>
        </w:rPr>
        <w:t>、</w:t>
      </w:r>
      <w:r>
        <w:rPr>
          <w:rFonts w:hint="eastAsia"/>
          <w:color w:val="auto"/>
          <w:sz w:val="24"/>
          <w:szCs w:val="24"/>
          <w:highlight w:val="none"/>
          <w:lang w:eastAsia="zh-CN"/>
        </w:rPr>
        <w:t>砷</w:t>
      </w:r>
      <w:r>
        <w:rPr>
          <w:color w:val="auto"/>
          <w:sz w:val="24"/>
          <w:szCs w:val="24"/>
          <w:highlight w:val="none"/>
        </w:rPr>
        <w:t>、</w:t>
      </w:r>
      <w:r>
        <w:rPr>
          <w:rFonts w:hint="eastAsia"/>
          <w:color w:val="auto"/>
          <w:sz w:val="24"/>
          <w:szCs w:val="24"/>
          <w:highlight w:val="none"/>
          <w:lang w:eastAsia="zh-CN"/>
        </w:rPr>
        <w:t>铅</w:t>
      </w:r>
      <w:r>
        <w:rPr>
          <w:color w:val="auto"/>
          <w:sz w:val="24"/>
          <w:szCs w:val="24"/>
          <w:highlight w:val="none"/>
        </w:rPr>
        <w:t>、</w:t>
      </w:r>
      <w:r>
        <w:rPr>
          <w:rFonts w:hint="eastAsia"/>
          <w:color w:val="auto"/>
          <w:sz w:val="24"/>
          <w:szCs w:val="24"/>
          <w:highlight w:val="none"/>
          <w:lang w:eastAsia="zh-CN"/>
        </w:rPr>
        <w:t>铜</w:t>
      </w:r>
      <w:r>
        <w:rPr>
          <w:color w:val="auto"/>
          <w:sz w:val="24"/>
          <w:szCs w:val="24"/>
          <w:highlight w:val="none"/>
        </w:rPr>
        <w:t>、</w:t>
      </w:r>
      <w:r>
        <w:rPr>
          <w:rFonts w:hint="eastAsia"/>
          <w:color w:val="auto"/>
          <w:sz w:val="24"/>
          <w:szCs w:val="24"/>
          <w:highlight w:val="none"/>
          <w:lang w:eastAsia="zh-CN"/>
        </w:rPr>
        <w:t>镍、锌</w:t>
      </w:r>
      <w:r>
        <w:rPr>
          <w:color w:val="auto"/>
          <w:sz w:val="24"/>
          <w:szCs w:val="24"/>
          <w:highlight w:val="none"/>
        </w:rPr>
        <w:t>在各土壤样品中均有检出，铬未检出。</w:t>
      </w:r>
    </w:p>
    <w:p w14:paraId="3DBC16C2">
      <w:pPr>
        <w:pStyle w:val="779"/>
        <w:rPr>
          <w:color w:val="auto"/>
          <w:sz w:val="24"/>
          <w:szCs w:val="24"/>
          <w:highlight w:val="none"/>
        </w:rPr>
      </w:pPr>
      <w:r>
        <w:rPr>
          <w:color w:val="auto"/>
          <w:sz w:val="24"/>
          <w:szCs w:val="24"/>
          <w:highlight w:val="none"/>
        </w:rPr>
        <w:t>由</w:t>
      </w:r>
      <w:r>
        <w:rPr>
          <w:rFonts w:hint="eastAsia"/>
          <w:color w:val="auto"/>
          <w:sz w:val="24"/>
          <w:szCs w:val="24"/>
          <w:highlight w:val="none"/>
        </w:rPr>
        <w:t>表4</w:t>
      </w:r>
      <w:r>
        <w:rPr>
          <w:color w:val="auto"/>
          <w:sz w:val="24"/>
          <w:szCs w:val="24"/>
          <w:highlight w:val="none"/>
        </w:rPr>
        <w:t>-2-11可知：重金属</w:t>
      </w:r>
      <w:r>
        <w:rPr>
          <w:rFonts w:hint="eastAsia"/>
          <w:color w:val="auto"/>
          <w:sz w:val="24"/>
          <w:szCs w:val="24"/>
          <w:highlight w:val="none"/>
          <w:lang w:eastAsia="zh-CN"/>
        </w:rPr>
        <w:t>镉</w:t>
      </w:r>
      <w:r>
        <w:rPr>
          <w:color w:val="auto"/>
          <w:sz w:val="24"/>
          <w:szCs w:val="24"/>
          <w:highlight w:val="none"/>
        </w:rPr>
        <w:t>在所有土壤样品中均有检出，检出范围为0.01mg/kg，</w:t>
      </w:r>
      <w:r>
        <w:rPr>
          <w:rFonts w:hint="eastAsia"/>
          <w:color w:val="auto"/>
          <w:sz w:val="24"/>
          <w:szCs w:val="24"/>
          <w:highlight w:val="none"/>
        </w:rPr>
        <w:t>（S</w:t>
      </w:r>
      <w:r>
        <w:rPr>
          <w:rFonts w:hint="eastAsia"/>
          <w:color w:val="auto"/>
          <w:sz w:val="24"/>
          <w:szCs w:val="24"/>
          <w:highlight w:val="none"/>
          <w:lang w:val="en-US" w:eastAsia="zh-CN"/>
        </w:rPr>
        <w:t>8</w:t>
      </w:r>
      <w:r>
        <w:rPr>
          <w:rFonts w:hint="eastAsia"/>
          <w:color w:val="auto"/>
          <w:sz w:val="24"/>
          <w:szCs w:val="24"/>
          <w:highlight w:val="none"/>
        </w:rPr>
        <w:t>)</w:t>
      </w:r>
      <w:r>
        <w:rPr>
          <w:color w:val="auto"/>
          <w:sz w:val="24"/>
          <w:szCs w:val="24"/>
          <w:highlight w:val="none"/>
        </w:rPr>
        <w:t>检出值较高，最高值为</w:t>
      </w:r>
      <w:r>
        <w:rPr>
          <w:rFonts w:hint="eastAsia"/>
          <w:color w:val="auto"/>
          <w:sz w:val="24"/>
          <w:szCs w:val="24"/>
          <w:highlight w:val="none"/>
          <w:lang w:val="en-US" w:eastAsia="zh-CN"/>
        </w:rPr>
        <w:t>0.2</w:t>
      </w:r>
      <w:r>
        <w:rPr>
          <w:color w:val="auto"/>
          <w:sz w:val="24"/>
          <w:szCs w:val="24"/>
          <w:highlight w:val="none"/>
        </w:rPr>
        <w:t>mg/kg；重金属</w:t>
      </w:r>
      <w:r>
        <w:rPr>
          <w:rFonts w:hint="eastAsia"/>
          <w:color w:val="auto"/>
          <w:sz w:val="24"/>
          <w:szCs w:val="24"/>
          <w:highlight w:val="none"/>
          <w:lang w:eastAsia="zh-CN"/>
        </w:rPr>
        <w:t>汞</w:t>
      </w:r>
      <w:r>
        <w:rPr>
          <w:color w:val="auto"/>
          <w:sz w:val="24"/>
          <w:szCs w:val="24"/>
          <w:highlight w:val="none"/>
        </w:rPr>
        <w:t>在所有土壤样品中均有检出，检出范围为0.01mg/kg，</w:t>
      </w:r>
      <w:r>
        <w:rPr>
          <w:rFonts w:hint="eastAsia"/>
          <w:color w:val="auto"/>
          <w:sz w:val="24"/>
          <w:szCs w:val="24"/>
          <w:highlight w:val="none"/>
          <w:lang w:val="en-US" w:eastAsia="zh-CN"/>
        </w:rPr>
        <w:t>(</w:t>
      </w:r>
      <w:r>
        <w:rPr>
          <w:rFonts w:hint="eastAsia"/>
          <w:color w:val="auto"/>
          <w:sz w:val="24"/>
          <w:szCs w:val="24"/>
          <w:highlight w:val="none"/>
        </w:rPr>
        <w:t>S</w:t>
      </w:r>
      <w:r>
        <w:rPr>
          <w:rFonts w:hint="eastAsia"/>
          <w:color w:val="auto"/>
          <w:sz w:val="24"/>
          <w:szCs w:val="24"/>
          <w:highlight w:val="none"/>
          <w:lang w:val="en-US" w:eastAsia="zh-CN"/>
        </w:rPr>
        <w:t>1</w:t>
      </w:r>
      <w:r>
        <w:rPr>
          <w:rFonts w:hint="eastAsia"/>
          <w:color w:val="auto"/>
          <w:sz w:val="24"/>
          <w:szCs w:val="24"/>
          <w:highlight w:val="none"/>
        </w:rPr>
        <w:t>2)</w:t>
      </w:r>
      <w:r>
        <w:rPr>
          <w:color w:val="auto"/>
          <w:sz w:val="24"/>
          <w:szCs w:val="24"/>
          <w:highlight w:val="none"/>
        </w:rPr>
        <w:t>检出值较高，最高值为</w:t>
      </w:r>
      <w:r>
        <w:rPr>
          <w:rFonts w:hint="eastAsia"/>
          <w:color w:val="auto"/>
          <w:sz w:val="24"/>
          <w:szCs w:val="24"/>
          <w:highlight w:val="none"/>
          <w:lang w:val="en-US" w:eastAsia="zh-CN"/>
        </w:rPr>
        <w:t>0.715</w:t>
      </w:r>
      <w:r>
        <w:rPr>
          <w:color w:val="auto"/>
          <w:sz w:val="24"/>
          <w:szCs w:val="24"/>
          <w:highlight w:val="none"/>
        </w:rPr>
        <w:t>mg/kg；重金属</w:t>
      </w:r>
      <w:r>
        <w:rPr>
          <w:rFonts w:hint="eastAsia"/>
          <w:color w:val="auto"/>
          <w:sz w:val="24"/>
          <w:szCs w:val="24"/>
          <w:highlight w:val="none"/>
          <w:lang w:eastAsia="zh-CN"/>
        </w:rPr>
        <w:t>砷</w:t>
      </w:r>
      <w:r>
        <w:rPr>
          <w:color w:val="auto"/>
          <w:sz w:val="24"/>
          <w:szCs w:val="24"/>
          <w:highlight w:val="none"/>
        </w:rPr>
        <w:t>在所有土壤样品中均有检出，检出范围为</w:t>
      </w:r>
      <w:r>
        <w:rPr>
          <w:rFonts w:hint="eastAsia"/>
          <w:color w:val="auto"/>
          <w:sz w:val="24"/>
          <w:szCs w:val="24"/>
          <w:highlight w:val="none"/>
        </w:rPr>
        <w:t>1</w:t>
      </w:r>
      <w:r>
        <w:rPr>
          <w:color w:val="auto"/>
          <w:sz w:val="24"/>
          <w:szCs w:val="24"/>
          <w:highlight w:val="none"/>
        </w:rPr>
        <w:t>mg/kg，</w:t>
      </w:r>
      <w:r>
        <w:rPr>
          <w:rFonts w:hint="eastAsia"/>
          <w:color w:val="auto"/>
          <w:sz w:val="24"/>
          <w:szCs w:val="24"/>
          <w:highlight w:val="none"/>
        </w:rPr>
        <w:t>1#地块（S</w:t>
      </w:r>
      <w:r>
        <w:rPr>
          <w:rFonts w:hint="eastAsia"/>
          <w:color w:val="auto"/>
          <w:sz w:val="24"/>
          <w:szCs w:val="24"/>
          <w:highlight w:val="none"/>
          <w:lang w:val="en-US" w:eastAsia="zh-CN"/>
        </w:rPr>
        <w:t>8</w:t>
      </w:r>
      <w:r>
        <w:rPr>
          <w:rFonts w:hint="eastAsia"/>
          <w:color w:val="auto"/>
          <w:sz w:val="24"/>
          <w:szCs w:val="24"/>
          <w:highlight w:val="none"/>
        </w:rPr>
        <w:t>)</w:t>
      </w:r>
      <w:r>
        <w:rPr>
          <w:color w:val="auto"/>
          <w:sz w:val="24"/>
          <w:szCs w:val="24"/>
          <w:highlight w:val="none"/>
        </w:rPr>
        <w:t>检出值较高，最高值为</w:t>
      </w:r>
      <w:r>
        <w:rPr>
          <w:rFonts w:hint="eastAsia"/>
          <w:color w:val="auto"/>
          <w:sz w:val="24"/>
          <w:szCs w:val="24"/>
          <w:highlight w:val="none"/>
          <w:lang w:val="en-US" w:eastAsia="zh-CN"/>
        </w:rPr>
        <w:t>0.18</w:t>
      </w:r>
      <w:r>
        <w:rPr>
          <w:color w:val="auto"/>
          <w:sz w:val="24"/>
          <w:szCs w:val="24"/>
          <w:highlight w:val="none"/>
        </w:rPr>
        <w:t>mg/kg；重金属铅在所有土壤样品中均有检出，检出范围为</w:t>
      </w:r>
      <w:r>
        <w:rPr>
          <w:rFonts w:hint="eastAsia"/>
          <w:color w:val="auto"/>
          <w:sz w:val="24"/>
          <w:szCs w:val="24"/>
          <w:highlight w:val="none"/>
          <w:lang w:val="en-US" w:eastAsia="zh-CN"/>
        </w:rPr>
        <w:t>0.1</w:t>
      </w:r>
      <w:r>
        <w:rPr>
          <w:color w:val="auto"/>
          <w:sz w:val="24"/>
          <w:szCs w:val="24"/>
          <w:highlight w:val="none"/>
        </w:rPr>
        <w:t>mg/kg，</w:t>
      </w:r>
      <w:r>
        <w:rPr>
          <w:rFonts w:hint="eastAsia"/>
          <w:color w:val="auto"/>
          <w:sz w:val="24"/>
          <w:szCs w:val="24"/>
          <w:highlight w:val="none"/>
        </w:rPr>
        <w:t>（S</w:t>
      </w:r>
      <w:r>
        <w:rPr>
          <w:rFonts w:hint="eastAsia"/>
          <w:color w:val="auto"/>
          <w:sz w:val="24"/>
          <w:szCs w:val="24"/>
          <w:highlight w:val="none"/>
          <w:lang w:val="en-US" w:eastAsia="zh-CN"/>
        </w:rPr>
        <w:t>6</w:t>
      </w:r>
      <w:r>
        <w:rPr>
          <w:rFonts w:hint="eastAsia"/>
          <w:color w:val="auto"/>
          <w:sz w:val="24"/>
          <w:szCs w:val="24"/>
          <w:highlight w:val="none"/>
        </w:rPr>
        <w:t>)</w:t>
      </w:r>
      <w:r>
        <w:rPr>
          <w:color w:val="auto"/>
          <w:sz w:val="24"/>
          <w:szCs w:val="24"/>
          <w:highlight w:val="none"/>
        </w:rPr>
        <w:t>检出值较高，最高值为</w:t>
      </w:r>
      <w:r>
        <w:rPr>
          <w:rFonts w:hint="eastAsia"/>
          <w:color w:val="auto"/>
          <w:sz w:val="24"/>
          <w:szCs w:val="24"/>
          <w:highlight w:val="none"/>
          <w:lang w:val="en-US" w:eastAsia="zh-CN"/>
        </w:rPr>
        <w:t>3.9</w:t>
      </w:r>
      <w:r>
        <w:rPr>
          <w:color w:val="auto"/>
          <w:sz w:val="24"/>
          <w:szCs w:val="24"/>
          <w:highlight w:val="none"/>
        </w:rPr>
        <w:t>mg/kg</w:t>
      </w:r>
      <w:r>
        <w:rPr>
          <w:rFonts w:hint="eastAsia"/>
          <w:color w:val="auto"/>
          <w:sz w:val="24"/>
          <w:szCs w:val="24"/>
          <w:highlight w:val="none"/>
          <w:lang w:eastAsia="zh-CN"/>
        </w:rPr>
        <w:t>；</w:t>
      </w:r>
      <w:r>
        <w:rPr>
          <w:color w:val="auto"/>
          <w:sz w:val="24"/>
          <w:szCs w:val="24"/>
          <w:highlight w:val="none"/>
        </w:rPr>
        <w:t>重金属</w:t>
      </w:r>
      <w:r>
        <w:rPr>
          <w:rFonts w:hint="eastAsia"/>
          <w:color w:val="auto"/>
          <w:sz w:val="24"/>
          <w:szCs w:val="24"/>
          <w:highlight w:val="none"/>
          <w:lang w:eastAsia="zh-CN"/>
        </w:rPr>
        <w:t>铜</w:t>
      </w:r>
      <w:r>
        <w:rPr>
          <w:color w:val="auto"/>
          <w:sz w:val="24"/>
          <w:szCs w:val="24"/>
          <w:highlight w:val="none"/>
        </w:rPr>
        <w:t>检出范围为</w:t>
      </w:r>
      <w:r>
        <w:rPr>
          <w:rFonts w:hint="eastAsia"/>
          <w:color w:val="auto"/>
          <w:sz w:val="24"/>
          <w:szCs w:val="24"/>
          <w:highlight w:val="none"/>
          <w:lang w:val="en-US" w:eastAsia="zh-CN"/>
        </w:rPr>
        <w:t>0.002</w:t>
      </w:r>
      <w:r>
        <w:rPr>
          <w:color w:val="auto"/>
          <w:sz w:val="24"/>
          <w:szCs w:val="24"/>
          <w:highlight w:val="none"/>
        </w:rPr>
        <w:t>mg/kg，</w:t>
      </w:r>
      <w:r>
        <w:rPr>
          <w:rFonts w:hint="eastAsia"/>
          <w:color w:val="auto"/>
          <w:sz w:val="24"/>
          <w:szCs w:val="24"/>
          <w:highlight w:val="none"/>
        </w:rPr>
        <w:t>（S</w:t>
      </w:r>
      <w:r>
        <w:rPr>
          <w:rFonts w:hint="eastAsia"/>
          <w:color w:val="auto"/>
          <w:sz w:val="24"/>
          <w:szCs w:val="24"/>
          <w:highlight w:val="none"/>
          <w:lang w:val="en-US" w:eastAsia="zh-CN"/>
        </w:rPr>
        <w:t>10</w:t>
      </w:r>
      <w:r>
        <w:rPr>
          <w:rFonts w:hint="eastAsia"/>
          <w:color w:val="auto"/>
          <w:sz w:val="24"/>
          <w:szCs w:val="24"/>
          <w:highlight w:val="none"/>
        </w:rPr>
        <w:t>)</w:t>
      </w:r>
      <w:r>
        <w:rPr>
          <w:color w:val="auto"/>
          <w:sz w:val="24"/>
          <w:szCs w:val="24"/>
          <w:highlight w:val="none"/>
        </w:rPr>
        <w:t>检出值较高，最高值为</w:t>
      </w:r>
      <w:r>
        <w:rPr>
          <w:rFonts w:hint="eastAsia"/>
          <w:color w:val="auto"/>
          <w:sz w:val="24"/>
          <w:szCs w:val="24"/>
          <w:highlight w:val="none"/>
          <w:lang w:val="en-US" w:eastAsia="zh-CN"/>
        </w:rPr>
        <w:t>41</w:t>
      </w:r>
      <w:r>
        <w:rPr>
          <w:color w:val="auto"/>
          <w:sz w:val="24"/>
          <w:szCs w:val="24"/>
          <w:highlight w:val="none"/>
        </w:rPr>
        <w:t>mg/kg</w:t>
      </w:r>
      <w:r>
        <w:rPr>
          <w:rFonts w:hint="eastAsia"/>
          <w:color w:val="auto"/>
          <w:sz w:val="24"/>
          <w:szCs w:val="24"/>
          <w:highlight w:val="none"/>
          <w:lang w:eastAsia="zh-CN"/>
        </w:rPr>
        <w:t>，</w:t>
      </w:r>
      <w:r>
        <w:rPr>
          <w:color w:val="auto"/>
          <w:sz w:val="24"/>
          <w:szCs w:val="24"/>
          <w:highlight w:val="none"/>
        </w:rPr>
        <w:t>金属镍检出范围为</w:t>
      </w:r>
      <w:r>
        <w:rPr>
          <w:rFonts w:hint="eastAsia"/>
          <w:color w:val="auto"/>
          <w:sz w:val="24"/>
          <w:szCs w:val="24"/>
          <w:highlight w:val="none"/>
        </w:rPr>
        <w:t>3</w:t>
      </w:r>
      <w:r>
        <w:rPr>
          <w:color w:val="auto"/>
          <w:sz w:val="24"/>
          <w:szCs w:val="24"/>
          <w:highlight w:val="none"/>
        </w:rPr>
        <w:t>mg/kg，</w:t>
      </w:r>
      <w:r>
        <w:rPr>
          <w:rFonts w:hint="eastAsia"/>
          <w:color w:val="auto"/>
          <w:sz w:val="24"/>
          <w:szCs w:val="24"/>
          <w:highlight w:val="none"/>
          <w:lang w:val="en-US" w:eastAsia="zh-CN"/>
        </w:rPr>
        <w:t>(</w:t>
      </w:r>
      <w:r>
        <w:rPr>
          <w:rFonts w:hint="eastAsia"/>
          <w:color w:val="auto"/>
          <w:sz w:val="24"/>
          <w:szCs w:val="24"/>
          <w:highlight w:val="none"/>
        </w:rPr>
        <w:t>S</w:t>
      </w:r>
      <w:r>
        <w:rPr>
          <w:rFonts w:hint="eastAsia"/>
          <w:color w:val="auto"/>
          <w:sz w:val="24"/>
          <w:szCs w:val="24"/>
          <w:highlight w:val="none"/>
          <w:lang w:val="en-US" w:eastAsia="zh-CN"/>
        </w:rPr>
        <w:t>9</w:t>
      </w:r>
      <w:r>
        <w:rPr>
          <w:rFonts w:hint="eastAsia"/>
          <w:color w:val="auto"/>
          <w:sz w:val="24"/>
          <w:szCs w:val="24"/>
          <w:highlight w:val="none"/>
        </w:rPr>
        <w:t>)</w:t>
      </w:r>
      <w:r>
        <w:rPr>
          <w:color w:val="auto"/>
          <w:sz w:val="24"/>
          <w:szCs w:val="24"/>
          <w:highlight w:val="none"/>
        </w:rPr>
        <w:t>检出值较高，最高值为</w:t>
      </w:r>
      <w:r>
        <w:rPr>
          <w:rFonts w:hint="eastAsia"/>
          <w:color w:val="auto"/>
          <w:sz w:val="24"/>
          <w:szCs w:val="24"/>
          <w:highlight w:val="none"/>
          <w:lang w:val="en-US" w:eastAsia="zh-CN"/>
        </w:rPr>
        <w:t>35</w:t>
      </w:r>
      <w:r>
        <w:rPr>
          <w:color w:val="auto"/>
          <w:sz w:val="24"/>
          <w:szCs w:val="24"/>
          <w:highlight w:val="none"/>
        </w:rPr>
        <w:t>mg/kg</w:t>
      </w:r>
      <w:r>
        <w:rPr>
          <w:rFonts w:hint="eastAsia"/>
          <w:color w:val="auto"/>
          <w:sz w:val="24"/>
          <w:szCs w:val="24"/>
          <w:highlight w:val="none"/>
          <w:lang w:eastAsia="zh-CN"/>
        </w:rPr>
        <w:t>，</w:t>
      </w:r>
      <w:r>
        <w:rPr>
          <w:color w:val="auto"/>
          <w:sz w:val="24"/>
          <w:szCs w:val="24"/>
          <w:highlight w:val="none"/>
        </w:rPr>
        <w:t>重金属</w:t>
      </w:r>
      <w:r>
        <w:rPr>
          <w:rFonts w:hint="eastAsia"/>
          <w:color w:val="auto"/>
          <w:sz w:val="24"/>
          <w:szCs w:val="24"/>
          <w:highlight w:val="none"/>
          <w:lang w:eastAsia="zh-CN"/>
        </w:rPr>
        <w:t>锌</w:t>
      </w:r>
      <w:r>
        <w:rPr>
          <w:color w:val="auto"/>
          <w:sz w:val="24"/>
          <w:szCs w:val="24"/>
          <w:highlight w:val="none"/>
        </w:rPr>
        <w:t>检出范围为</w:t>
      </w:r>
      <w:r>
        <w:rPr>
          <w:rFonts w:hint="eastAsia"/>
          <w:color w:val="auto"/>
          <w:sz w:val="24"/>
          <w:szCs w:val="24"/>
          <w:highlight w:val="none"/>
        </w:rPr>
        <w:t>3</w:t>
      </w:r>
      <w:r>
        <w:rPr>
          <w:color w:val="auto"/>
          <w:sz w:val="24"/>
          <w:szCs w:val="24"/>
          <w:highlight w:val="none"/>
        </w:rPr>
        <w:t>mg/kg，</w:t>
      </w:r>
      <w:r>
        <w:rPr>
          <w:rFonts w:hint="eastAsia"/>
          <w:color w:val="auto"/>
          <w:sz w:val="24"/>
          <w:szCs w:val="24"/>
          <w:highlight w:val="none"/>
          <w:lang w:val="en-US" w:eastAsia="zh-CN"/>
        </w:rPr>
        <w:t>(S8、S13、S2、</w:t>
      </w:r>
      <w:r>
        <w:rPr>
          <w:rFonts w:hint="eastAsia"/>
          <w:color w:val="auto"/>
          <w:sz w:val="24"/>
          <w:szCs w:val="24"/>
          <w:highlight w:val="none"/>
        </w:rPr>
        <w:t>S</w:t>
      </w:r>
      <w:r>
        <w:rPr>
          <w:rFonts w:hint="eastAsia"/>
          <w:color w:val="auto"/>
          <w:sz w:val="24"/>
          <w:szCs w:val="24"/>
          <w:highlight w:val="none"/>
          <w:lang w:val="en-US" w:eastAsia="zh-CN"/>
        </w:rPr>
        <w:t>9</w:t>
      </w:r>
      <w:r>
        <w:rPr>
          <w:rFonts w:hint="eastAsia"/>
          <w:color w:val="auto"/>
          <w:sz w:val="24"/>
          <w:szCs w:val="24"/>
          <w:highlight w:val="none"/>
        </w:rPr>
        <w:t>)</w:t>
      </w:r>
      <w:r>
        <w:rPr>
          <w:color w:val="auto"/>
          <w:sz w:val="24"/>
          <w:szCs w:val="24"/>
          <w:highlight w:val="none"/>
        </w:rPr>
        <w:t>检出值较高，最高值为</w:t>
      </w:r>
      <w:r>
        <w:rPr>
          <w:rFonts w:hint="eastAsia"/>
          <w:color w:val="auto"/>
          <w:sz w:val="24"/>
          <w:szCs w:val="24"/>
          <w:highlight w:val="none"/>
          <w:lang w:val="en-US" w:eastAsia="zh-CN"/>
        </w:rPr>
        <w:t>24</w:t>
      </w:r>
      <w:r>
        <w:rPr>
          <w:color w:val="auto"/>
          <w:sz w:val="24"/>
          <w:szCs w:val="24"/>
          <w:highlight w:val="none"/>
        </w:rPr>
        <w:t>mg/kg。</w:t>
      </w:r>
    </w:p>
    <w:p w14:paraId="79427B6A">
      <w:pPr>
        <w:pStyle w:val="779"/>
        <w:rPr>
          <w:rFonts w:hint="eastAsia" w:eastAsia="宋体"/>
          <w:color w:val="auto"/>
          <w:sz w:val="24"/>
          <w:szCs w:val="24"/>
          <w:highlight w:val="none"/>
          <w:lang w:eastAsia="zh-CN"/>
        </w:rPr>
      </w:pPr>
      <w:r>
        <w:rPr>
          <w:color w:val="auto"/>
          <w:sz w:val="24"/>
          <w:szCs w:val="24"/>
          <w:highlight w:val="none"/>
        </w:rPr>
        <w:t>综上所述，重金属</w:t>
      </w:r>
      <w:r>
        <w:rPr>
          <w:rFonts w:hint="eastAsia"/>
          <w:color w:val="auto"/>
          <w:sz w:val="24"/>
          <w:szCs w:val="24"/>
          <w:highlight w:val="none"/>
          <w:lang w:eastAsia="zh-CN"/>
        </w:rPr>
        <w:t>除铬外</w:t>
      </w:r>
      <w:r>
        <w:rPr>
          <w:color w:val="auto"/>
          <w:sz w:val="24"/>
          <w:szCs w:val="24"/>
          <w:highlight w:val="none"/>
        </w:rPr>
        <w:t>均有检出。按照</w:t>
      </w:r>
      <w:r>
        <w:rPr>
          <w:rFonts w:hint="eastAsia"/>
          <w:color w:val="auto"/>
          <w:sz w:val="24"/>
          <w:szCs w:val="24"/>
          <w:highlight w:val="none"/>
        </w:rPr>
        <w:t xml:space="preserve">《土壤环境质量 </w:t>
      </w:r>
      <w:r>
        <w:rPr>
          <w:rFonts w:hint="eastAsia"/>
          <w:color w:val="auto"/>
          <w:sz w:val="24"/>
          <w:szCs w:val="24"/>
          <w:highlight w:val="none"/>
          <w:lang w:eastAsia="zh-CN"/>
        </w:rPr>
        <w:t>农用</w:t>
      </w:r>
      <w:r>
        <w:rPr>
          <w:rFonts w:hint="eastAsia"/>
          <w:color w:val="auto"/>
          <w:sz w:val="24"/>
          <w:szCs w:val="24"/>
          <w:highlight w:val="none"/>
        </w:rPr>
        <w:t>地土壤污染风险管控标准（试行）》（GB</w:t>
      </w:r>
      <w:r>
        <w:rPr>
          <w:rFonts w:hint="eastAsia"/>
          <w:color w:val="auto"/>
          <w:sz w:val="24"/>
          <w:szCs w:val="24"/>
          <w:highlight w:val="none"/>
          <w:lang w:val="en-US" w:eastAsia="zh-CN"/>
        </w:rPr>
        <w:t>15618</w:t>
      </w:r>
      <w:r>
        <w:rPr>
          <w:rFonts w:hint="eastAsia"/>
          <w:color w:val="auto"/>
          <w:sz w:val="24"/>
          <w:szCs w:val="24"/>
          <w:highlight w:val="none"/>
        </w:rPr>
        <w:t>-2018）</w:t>
      </w:r>
      <w:r>
        <w:rPr>
          <w:rFonts w:hint="eastAsia"/>
          <w:color w:val="auto"/>
          <w:sz w:val="24"/>
          <w:szCs w:val="24"/>
          <w:highlight w:val="none"/>
          <w:lang w:eastAsia="zh-CN"/>
        </w:rPr>
        <w:t>表</w:t>
      </w:r>
      <w:r>
        <w:rPr>
          <w:rFonts w:hint="eastAsia"/>
          <w:color w:val="auto"/>
          <w:sz w:val="24"/>
          <w:szCs w:val="24"/>
          <w:highlight w:val="none"/>
          <w:lang w:val="en-US" w:eastAsia="zh-CN"/>
        </w:rPr>
        <w:t>1基本项目（其他）</w:t>
      </w:r>
      <w:r>
        <w:rPr>
          <w:color w:val="auto"/>
          <w:sz w:val="24"/>
          <w:szCs w:val="24"/>
          <w:highlight w:val="none"/>
        </w:rPr>
        <w:t>筛选值进行评价，所有土壤样品重金属含量均不超标。</w:t>
      </w:r>
    </w:p>
    <w:bookmarkEnd w:id="126"/>
    <w:p w14:paraId="0B21CF82">
      <w:pPr>
        <w:pStyle w:val="779"/>
        <w:rPr>
          <w:color w:val="auto"/>
          <w:sz w:val="24"/>
          <w:szCs w:val="24"/>
        </w:rPr>
      </w:pPr>
      <w:r>
        <w:rPr>
          <w:rFonts w:hint="eastAsia"/>
          <w:color w:val="auto"/>
          <w:sz w:val="24"/>
          <w:szCs w:val="24"/>
        </w:rPr>
        <w:t>（3）</w:t>
      </w:r>
      <w:r>
        <w:rPr>
          <w:color w:val="auto"/>
          <w:sz w:val="24"/>
          <w:szCs w:val="24"/>
        </w:rPr>
        <w:t>挥发性有机物</w:t>
      </w:r>
    </w:p>
    <w:p w14:paraId="2B22653A">
      <w:pPr>
        <w:pStyle w:val="779"/>
        <w:rPr>
          <w:color w:val="auto"/>
          <w:sz w:val="24"/>
          <w:szCs w:val="24"/>
        </w:rPr>
      </w:pPr>
      <w:r>
        <w:rPr>
          <w:color w:val="auto"/>
          <w:sz w:val="24"/>
          <w:szCs w:val="24"/>
        </w:rPr>
        <w:t>本次调查地块内共采集了</w:t>
      </w:r>
      <w:r>
        <w:rPr>
          <w:rFonts w:hint="eastAsia"/>
          <w:color w:val="auto"/>
          <w:sz w:val="24"/>
          <w:szCs w:val="24"/>
          <w:lang w:val="en-US" w:eastAsia="zh-CN"/>
        </w:rPr>
        <w:t>5</w:t>
      </w:r>
      <w:r>
        <w:rPr>
          <w:color w:val="auto"/>
          <w:sz w:val="24"/>
          <w:szCs w:val="24"/>
        </w:rPr>
        <w:t>个土壤点位，</w:t>
      </w:r>
      <w:r>
        <w:rPr>
          <w:rFonts w:hint="eastAsia"/>
          <w:color w:val="auto"/>
          <w:sz w:val="24"/>
          <w:szCs w:val="24"/>
          <w:lang w:val="en-US" w:eastAsia="zh-CN"/>
        </w:rPr>
        <w:t>11</w:t>
      </w:r>
      <w:r>
        <w:rPr>
          <w:color w:val="auto"/>
          <w:sz w:val="24"/>
          <w:szCs w:val="24"/>
        </w:rPr>
        <w:t>份土壤样品进行了土壤挥发性有机物含量的测定，测定了27种挥发性有机污染，由</w:t>
      </w:r>
      <w:r>
        <w:rPr>
          <w:color w:val="auto"/>
          <w:sz w:val="24"/>
          <w:szCs w:val="24"/>
        </w:rPr>
        <w:fldChar w:fldCharType="begin"/>
      </w:r>
      <w:r>
        <w:rPr>
          <w:color w:val="auto"/>
          <w:sz w:val="24"/>
          <w:szCs w:val="24"/>
        </w:rPr>
        <w:instrText xml:space="preserve"> REF _Ref33602930 \h  \* MERGEFORMAT </w:instrText>
      </w:r>
      <w:r>
        <w:rPr>
          <w:color w:val="auto"/>
          <w:sz w:val="24"/>
          <w:szCs w:val="24"/>
        </w:rPr>
        <w:fldChar w:fldCharType="separate"/>
      </w:r>
      <w:r>
        <w:rPr>
          <w:rFonts w:hint="eastAsia"/>
          <w:color w:val="auto"/>
          <w:sz w:val="24"/>
          <w:szCs w:val="24"/>
        </w:rPr>
        <w:t>检测结果</w:t>
      </w:r>
      <w:r>
        <w:rPr>
          <w:color w:val="auto"/>
          <w:sz w:val="24"/>
          <w:szCs w:val="24"/>
        </w:rPr>
        <w:fldChar w:fldCharType="end"/>
      </w:r>
      <w:r>
        <w:rPr>
          <w:color w:val="auto"/>
          <w:sz w:val="24"/>
          <w:szCs w:val="24"/>
        </w:rPr>
        <w:t>可知：在部分土壤样品中有检出</w:t>
      </w:r>
      <w:r>
        <w:rPr>
          <w:rFonts w:ascii="宋体" w:hAnsi="宋体" w:eastAsia="宋体" w:cs="宋体"/>
          <w:color w:val="auto"/>
          <w:sz w:val="24"/>
          <w:szCs w:val="24"/>
        </w:rPr>
        <w:t>氯仿</w:t>
      </w:r>
      <w:r>
        <w:rPr>
          <w:rFonts w:hint="eastAsia"/>
          <w:color w:val="auto"/>
          <w:sz w:val="24"/>
          <w:szCs w:val="24"/>
        </w:rPr>
        <w:t>、</w:t>
      </w:r>
      <w:r>
        <w:rPr>
          <w:rFonts w:ascii="宋体" w:hAnsi="宋体" w:eastAsia="宋体" w:cs="宋体"/>
          <w:color w:val="auto"/>
          <w:sz w:val="24"/>
          <w:szCs w:val="24"/>
        </w:rPr>
        <w:t>二氯甲烷</w:t>
      </w:r>
      <w:r>
        <w:rPr>
          <w:rFonts w:hint="eastAsia"/>
          <w:color w:val="auto"/>
          <w:sz w:val="24"/>
          <w:szCs w:val="24"/>
        </w:rPr>
        <w:t>、</w:t>
      </w:r>
      <w:r>
        <w:rPr>
          <w:rFonts w:ascii="宋体" w:hAnsi="宋体" w:eastAsia="宋体" w:cs="宋体"/>
          <w:color w:val="auto"/>
          <w:sz w:val="24"/>
          <w:szCs w:val="24"/>
        </w:rPr>
        <w:t>四氯乙烯</w:t>
      </w:r>
      <w:r>
        <w:rPr>
          <w:color w:val="auto"/>
          <w:sz w:val="24"/>
          <w:szCs w:val="24"/>
        </w:rPr>
        <w:t>，检出率分别为</w:t>
      </w:r>
      <w:r>
        <w:rPr>
          <w:rFonts w:hint="eastAsia"/>
          <w:color w:val="auto"/>
          <w:sz w:val="24"/>
          <w:szCs w:val="24"/>
          <w:lang w:val="en-US" w:eastAsia="zh-CN"/>
        </w:rPr>
        <w:t>18.18</w:t>
      </w:r>
      <w:r>
        <w:rPr>
          <w:color w:val="auto"/>
          <w:sz w:val="24"/>
          <w:szCs w:val="24"/>
        </w:rPr>
        <w:t>%、</w:t>
      </w:r>
      <w:r>
        <w:rPr>
          <w:rFonts w:hint="eastAsia"/>
          <w:color w:val="auto"/>
          <w:sz w:val="24"/>
          <w:szCs w:val="24"/>
          <w:lang w:val="en-US" w:eastAsia="zh-CN"/>
        </w:rPr>
        <w:t>72.73</w:t>
      </w:r>
      <w:r>
        <w:rPr>
          <w:color w:val="auto"/>
          <w:sz w:val="24"/>
          <w:szCs w:val="24"/>
        </w:rPr>
        <w:t>%、</w:t>
      </w:r>
      <w:r>
        <w:rPr>
          <w:rFonts w:hint="eastAsia"/>
          <w:color w:val="auto"/>
          <w:sz w:val="24"/>
          <w:szCs w:val="24"/>
          <w:lang w:val="en-US" w:eastAsia="zh-CN"/>
        </w:rPr>
        <w:t>9.09</w:t>
      </w:r>
      <w:r>
        <w:rPr>
          <w:color w:val="auto"/>
          <w:sz w:val="24"/>
          <w:szCs w:val="24"/>
        </w:rPr>
        <w:t>%，主要分布于</w:t>
      </w:r>
      <w:r>
        <w:rPr>
          <w:rFonts w:hint="eastAsia"/>
          <w:color w:val="auto"/>
          <w:sz w:val="24"/>
          <w:szCs w:val="24"/>
        </w:rPr>
        <w:t>（S3）、</w:t>
      </w:r>
      <w:r>
        <w:rPr>
          <w:rFonts w:hint="eastAsia"/>
          <w:color w:val="auto"/>
          <w:sz w:val="24"/>
          <w:szCs w:val="24"/>
          <w:lang w:eastAsia="zh-CN"/>
        </w:rPr>
        <w:t>（</w:t>
      </w:r>
      <w:r>
        <w:rPr>
          <w:rFonts w:hint="eastAsia"/>
          <w:color w:val="auto"/>
          <w:sz w:val="24"/>
          <w:szCs w:val="24"/>
          <w:lang w:val="en-US" w:eastAsia="zh-CN"/>
        </w:rPr>
        <w:t>S4</w:t>
      </w:r>
      <w:r>
        <w:rPr>
          <w:rFonts w:hint="eastAsia"/>
          <w:color w:val="auto"/>
          <w:sz w:val="24"/>
          <w:szCs w:val="24"/>
          <w:lang w:eastAsia="zh-CN"/>
        </w:rPr>
        <w:t>）、（</w:t>
      </w:r>
      <w:r>
        <w:rPr>
          <w:rFonts w:hint="eastAsia"/>
          <w:color w:val="auto"/>
          <w:sz w:val="24"/>
          <w:szCs w:val="24"/>
          <w:lang w:val="en-US" w:eastAsia="zh-CN"/>
        </w:rPr>
        <w:t>S5</w:t>
      </w:r>
      <w:r>
        <w:rPr>
          <w:rFonts w:hint="eastAsia"/>
          <w:color w:val="auto"/>
          <w:sz w:val="24"/>
          <w:szCs w:val="24"/>
          <w:lang w:eastAsia="zh-CN"/>
        </w:rPr>
        <w:t>）、</w:t>
      </w:r>
      <w:r>
        <w:rPr>
          <w:rFonts w:hint="eastAsia"/>
          <w:color w:val="auto"/>
          <w:sz w:val="24"/>
          <w:szCs w:val="24"/>
        </w:rPr>
        <w:t>（S</w:t>
      </w:r>
      <w:r>
        <w:rPr>
          <w:rFonts w:hint="eastAsia"/>
          <w:color w:val="auto"/>
          <w:sz w:val="24"/>
          <w:szCs w:val="24"/>
          <w:lang w:val="en-US" w:eastAsia="zh-CN"/>
        </w:rPr>
        <w:t>7</w:t>
      </w:r>
      <w:r>
        <w:rPr>
          <w:rFonts w:hint="eastAsia"/>
          <w:color w:val="auto"/>
          <w:sz w:val="24"/>
          <w:szCs w:val="24"/>
        </w:rPr>
        <w:t>）</w:t>
      </w:r>
      <w:r>
        <w:rPr>
          <w:rFonts w:hint="eastAsia"/>
          <w:color w:val="auto"/>
          <w:sz w:val="24"/>
          <w:szCs w:val="24"/>
          <w:lang w:eastAsia="zh-CN"/>
        </w:rPr>
        <w:t>、（</w:t>
      </w:r>
      <w:r>
        <w:rPr>
          <w:rFonts w:hint="eastAsia"/>
          <w:color w:val="auto"/>
          <w:sz w:val="24"/>
          <w:szCs w:val="24"/>
          <w:lang w:val="en-US" w:eastAsia="zh-CN"/>
        </w:rPr>
        <w:t>S11</w:t>
      </w:r>
      <w:r>
        <w:rPr>
          <w:rFonts w:hint="eastAsia"/>
          <w:color w:val="auto"/>
          <w:sz w:val="24"/>
          <w:szCs w:val="24"/>
          <w:lang w:eastAsia="zh-CN"/>
        </w:rPr>
        <w:t>）</w:t>
      </w:r>
      <w:r>
        <w:rPr>
          <w:color w:val="auto"/>
          <w:sz w:val="24"/>
          <w:szCs w:val="24"/>
        </w:rPr>
        <w:t>，在垂直方向上各检出的挥发性有机物无明显的分布规律。各检出值均未超过筛选值，其余挥发性有机物在土壤样品中均未检出。按照《土壤环境质量 建设用地土壤污染风险管控标准（试行）》（GB36600-2018）第二类用地筛选值进行评价，土壤样品中检出的挥发性有机物的含量均不超标。</w:t>
      </w:r>
    </w:p>
    <w:p w14:paraId="619221FC">
      <w:pPr>
        <w:pStyle w:val="779"/>
        <w:rPr>
          <w:color w:val="auto"/>
          <w:sz w:val="24"/>
          <w:szCs w:val="24"/>
        </w:rPr>
      </w:pPr>
      <w:r>
        <w:rPr>
          <w:rFonts w:hint="eastAsia"/>
          <w:color w:val="auto"/>
          <w:sz w:val="24"/>
          <w:szCs w:val="24"/>
        </w:rPr>
        <w:t>（4）</w:t>
      </w:r>
      <w:r>
        <w:rPr>
          <w:color w:val="auto"/>
          <w:sz w:val="24"/>
          <w:szCs w:val="24"/>
        </w:rPr>
        <w:t>半挥发有机物</w:t>
      </w:r>
    </w:p>
    <w:p w14:paraId="2FAC23FC">
      <w:pPr>
        <w:pStyle w:val="779"/>
        <w:rPr>
          <w:color w:val="auto"/>
          <w:szCs w:val="22"/>
        </w:rPr>
      </w:pPr>
      <w:r>
        <w:rPr>
          <w:color w:val="auto"/>
          <w:sz w:val="24"/>
          <w:szCs w:val="24"/>
        </w:rPr>
        <w:t>本次调查地块内共采集了</w:t>
      </w:r>
      <w:r>
        <w:rPr>
          <w:rFonts w:hint="eastAsia"/>
          <w:color w:val="auto"/>
          <w:sz w:val="24"/>
          <w:szCs w:val="24"/>
          <w:lang w:val="en-US" w:eastAsia="zh-CN"/>
        </w:rPr>
        <w:t>5</w:t>
      </w:r>
      <w:r>
        <w:rPr>
          <w:color w:val="auto"/>
          <w:sz w:val="24"/>
          <w:szCs w:val="24"/>
        </w:rPr>
        <w:t>个土壤点位，</w:t>
      </w:r>
      <w:r>
        <w:rPr>
          <w:rFonts w:hint="eastAsia"/>
          <w:color w:val="auto"/>
          <w:sz w:val="24"/>
          <w:szCs w:val="24"/>
          <w:lang w:val="en-US" w:eastAsia="zh-CN"/>
        </w:rPr>
        <w:t>11</w:t>
      </w:r>
      <w:r>
        <w:rPr>
          <w:color w:val="auto"/>
          <w:sz w:val="24"/>
          <w:szCs w:val="24"/>
        </w:rPr>
        <w:t>份土壤样品进行了土壤挥发性有机物含量的测定，由</w:t>
      </w:r>
      <w:r>
        <w:rPr>
          <w:rFonts w:hint="eastAsia"/>
          <w:color w:val="auto"/>
          <w:sz w:val="24"/>
          <w:szCs w:val="24"/>
        </w:rPr>
        <w:t>表4</w:t>
      </w:r>
      <w:r>
        <w:rPr>
          <w:color w:val="auto"/>
          <w:sz w:val="24"/>
          <w:szCs w:val="24"/>
        </w:rPr>
        <w:t>-2-11可知：</w:t>
      </w:r>
      <w:r>
        <w:rPr>
          <w:rFonts w:hint="eastAsia"/>
          <w:color w:val="auto"/>
          <w:sz w:val="24"/>
          <w:szCs w:val="24"/>
        </w:rPr>
        <w:t>半挥发性有机物</w:t>
      </w:r>
      <w:r>
        <w:rPr>
          <w:color w:val="auto"/>
          <w:sz w:val="24"/>
          <w:szCs w:val="24"/>
        </w:rPr>
        <w:t>在所有土壤样品中</w:t>
      </w:r>
      <w:r>
        <w:rPr>
          <w:rFonts w:hint="eastAsia"/>
          <w:color w:val="auto"/>
          <w:sz w:val="24"/>
          <w:szCs w:val="24"/>
          <w:lang w:eastAsia="zh-CN"/>
        </w:rPr>
        <w:t>除</w:t>
      </w:r>
      <w:r>
        <w:rPr>
          <w:rFonts w:ascii="宋体" w:hAnsi="宋体" w:eastAsia="宋体" w:cs="宋体"/>
          <w:color w:val="auto"/>
          <w:sz w:val="24"/>
          <w:szCs w:val="24"/>
        </w:rPr>
        <w:t>萘</w:t>
      </w:r>
      <w:r>
        <w:rPr>
          <w:rFonts w:hint="eastAsia" w:ascii="宋体" w:hAnsi="宋体" w:eastAsia="宋体" w:cs="宋体"/>
          <w:color w:val="auto"/>
          <w:sz w:val="24"/>
          <w:szCs w:val="24"/>
          <w:lang w:eastAsia="zh-CN"/>
        </w:rPr>
        <w:t>外</w:t>
      </w:r>
      <w:r>
        <w:rPr>
          <w:color w:val="auto"/>
          <w:sz w:val="24"/>
          <w:szCs w:val="24"/>
        </w:rPr>
        <w:t>均未检出</w:t>
      </w:r>
      <w:r>
        <w:rPr>
          <w:rFonts w:hint="eastAsia"/>
          <w:color w:val="auto"/>
          <w:sz w:val="24"/>
          <w:szCs w:val="24"/>
          <w:lang w:eastAsia="zh-CN"/>
        </w:rPr>
        <w:t>，</w:t>
      </w:r>
      <w:r>
        <w:rPr>
          <w:color w:val="auto"/>
          <w:sz w:val="24"/>
          <w:szCs w:val="24"/>
        </w:rPr>
        <w:t>检出率为</w:t>
      </w:r>
      <w:r>
        <w:rPr>
          <w:rFonts w:hint="eastAsia"/>
          <w:color w:val="auto"/>
          <w:sz w:val="24"/>
          <w:szCs w:val="24"/>
          <w:lang w:val="en-US" w:eastAsia="zh-CN"/>
        </w:rPr>
        <w:t>9.09</w:t>
      </w:r>
      <w:r>
        <w:rPr>
          <w:color w:val="auto"/>
          <w:sz w:val="24"/>
          <w:szCs w:val="24"/>
        </w:rPr>
        <w:t>%</w:t>
      </w:r>
      <w:r>
        <w:rPr>
          <w:rFonts w:hint="eastAsia"/>
          <w:color w:val="auto"/>
          <w:sz w:val="24"/>
          <w:szCs w:val="24"/>
          <w:lang w:eastAsia="zh-CN"/>
        </w:rPr>
        <w:t>，</w:t>
      </w:r>
      <w:r>
        <w:rPr>
          <w:color w:val="auto"/>
          <w:sz w:val="24"/>
          <w:szCs w:val="24"/>
        </w:rPr>
        <w:t>主要分布于</w:t>
      </w:r>
      <w:r>
        <w:rPr>
          <w:rFonts w:hint="eastAsia"/>
          <w:color w:val="auto"/>
          <w:sz w:val="24"/>
          <w:szCs w:val="24"/>
        </w:rPr>
        <w:t>（S</w:t>
      </w:r>
      <w:r>
        <w:rPr>
          <w:rFonts w:hint="eastAsia"/>
          <w:color w:val="auto"/>
          <w:sz w:val="24"/>
          <w:szCs w:val="24"/>
          <w:lang w:val="en-US" w:eastAsia="zh-CN"/>
        </w:rPr>
        <w:t>7</w:t>
      </w:r>
      <w:r>
        <w:rPr>
          <w:rFonts w:hint="eastAsia"/>
          <w:color w:val="auto"/>
          <w:sz w:val="24"/>
          <w:szCs w:val="24"/>
        </w:rPr>
        <w:t>）</w:t>
      </w:r>
      <w:r>
        <w:rPr>
          <w:color w:val="auto"/>
          <w:sz w:val="24"/>
          <w:szCs w:val="24"/>
        </w:rPr>
        <w:t>。按照《土壤环境质量 建设用地土壤污染风险管控标准（试行）》（GB36600-2018）第二类用地筛选值进行评价，土壤样品中检出的半挥发性有机物的含量均不超标。</w:t>
      </w:r>
    </w:p>
    <w:p w14:paraId="167B1181">
      <w:pPr>
        <w:pStyle w:val="137"/>
        <w:rPr>
          <w:color w:val="auto"/>
        </w:rPr>
      </w:pPr>
      <w:r>
        <w:rPr>
          <w:color w:val="auto"/>
        </w:rPr>
        <w:t>4.</w:t>
      </w:r>
      <w:r>
        <w:rPr>
          <w:rFonts w:hint="eastAsia"/>
          <w:color w:val="auto"/>
        </w:rPr>
        <w:t>2</w:t>
      </w:r>
      <w:r>
        <w:rPr>
          <w:color w:val="auto"/>
        </w:rPr>
        <w:t>.6生态环境现状调查</w:t>
      </w:r>
    </w:p>
    <w:p w14:paraId="60122037">
      <w:pPr>
        <w:pStyle w:val="135"/>
        <w:rPr>
          <w:rStyle w:val="772"/>
          <w:rFonts w:hint="default" w:ascii="Times New Roman" w:eastAsia="宋体" w:cs="Times New Roman"/>
          <w:color w:val="auto"/>
          <w:szCs w:val="22"/>
        </w:rPr>
      </w:pPr>
      <w:r>
        <w:rPr>
          <w:rStyle w:val="772"/>
          <w:rFonts w:hint="default" w:ascii="Times New Roman" w:eastAsia="宋体" w:cs="Times New Roman"/>
          <w:color w:val="auto"/>
          <w:szCs w:val="22"/>
        </w:rPr>
        <w:t>4.2.6.1调查范围</w:t>
      </w:r>
    </w:p>
    <w:p w14:paraId="06835F80">
      <w:pPr>
        <w:pStyle w:val="59"/>
        <w:ind w:firstLine="480"/>
        <w:rPr>
          <w:color w:val="auto"/>
        </w:rPr>
      </w:pPr>
      <w:r>
        <w:rPr>
          <w:color w:val="auto"/>
        </w:rPr>
        <w:t>根据《环境影响评价技术导则 生态影响》（HJ19-20</w:t>
      </w:r>
      <w:r>
        <w:rPr>
          <w:rFonts w:hint="eastAsia"/>
          <w:color w:val="auto"/>
        </w:rPr>
        <w:t>22</w:t>
      </w:r>
      <w:r>
        <w:rPr>
          <w:color w:val="auto"/>
        </w:rPr>
        <w:t>）及项目所在区域环境特征，本项目生态环境调查范围</w:t>
      </w:r>
      <w:r>
        <w:rPr>
          <w:rFonts w:hint="eastAsia"/>
          <w:color w:val="auto"/>
        </w:rPr>
        <w:t>为回填区</w:t>
      </w:r>
      <w:r>
        <w:rPr>
          <w:color w:val="auto"/>
        </w:rPr>
        <w:t>外延2</w:t>
      </w:r>
      <w:r>
        <w:rPr>
          <w:rFonts w:hint="eastAsia"/>
          <w:color w:val="auto"/>
        </w:rPr>
        <w:t>00</w:t>
      </w:r>
      <w:r>
        <w:rPr>
          <w:color w:val="auto"/>
        </w:rPr>
        <w:t>m。</w:t>
      </w:r>
    </w:p>
    <w:p w14:paraId="2459E40A">
      <w:pPr>
        <w:pStyle w:val="135"/>
        <w:rPr>
          <w:rStyle w:val="772"/>
          <w:rFonts w:hint="default" w:ascii="Times New Roman" w:eastAsia="宋体" w:cs="Times New Roman"/>
          <w:color w:val="auto"/>
          <w:szCs w:val="22"/>
        </w:rPr>
      </w:pPr>
      <w:r>
        <w:rPr>
          <w:rStyle w:val="772"/>
          <w:rFonts w:hint="default" w:ascii="Times New Roman" w:eastAsia="宋体" w:cs="Times New Roman"/>
          <w:color w:val="auto"/>
          <w:szCs w:val="22"/>
        </w:rPr>
        <w:t>4.2.6.2调查方法</w:t>
      </w:r>
    </w:p>
    <w:p w14:paraId="008DE628">
      <w:pPr>
        <w:pStyle w:val="59"/>
        <w:ind w:firstLine="480"/>
        <w:rPr>
          <w:color w:val="auto"/>
        </w:rPr>
      </w:pPr>
      <w:r>
        <w:rPr>
          <w:rFonts w:hint="eastAsia"/>
          <w:color w:val="auto"/>
        </w:rPr>
        <w:t>根据项目所在区域特征，本项目调查方法主要采用资料收集和现场调查。</w:t>
      </w:r>
    </w:p>
    <w:p w14:paraId="4D0D3B6F">
      <w:pPr>
        <w:pStyle w:val="135"/>
        <w:rPr>
          <w:color w:val="auto"/>
        </w:rPr>
      </w:pPr>
      <w:r>
        <w:rPr>
          <w:rFonts w:hint="eastAsia"/>
          <w:color w:val="auto"/>
        </w:rPr>
        <w:t>4</w:t>
      </w:r>
      <w:r>
        <w:rPr>
          <w:color w:val="auto"/>
        </w:rPr>
        <w:t>.2.6.3</w:t>
      </w:r>
      <w:r>
        <w:rPr>
          <w:rFonts w:hint="eastAsia"/>
          <w:color w:val="auto"/>
        </w:rPr>
        <w:t>生态功能区划</w:t>
      </w:r>
    </w:p>
    <w:p w14:paraId="6B0FACB8">
      <w:pPr>
        <w:spacing w:line="500" w:lineRule="exact"/>
        <w:ind w:firstLine="480" w:firstLineChars="200"/>
        <w:rPr>
          <w:color w:val="auto"/>
          <w:sz w:val="24"/>
          <w:lang w:val="zh-CN"/>
        </w:rPr>
      </w:pPr>
      <w:r>
        <w:rPr>
          <w:rFonts w:hint="eastAsia"/>
          <w:color w:val="auto"/>
          <w:sz w:val="24"/>
          <w:lang w:val="zh-CN"/>
        </w:rPr>
        <w:t>根据《黑龙江省生态功能区划》，本项目位于</w:t>
      </w:r>
      <w:r>
        <w:rPr>
          <w:color w:val="auto"/>
          <w:sz w:val="24"/>
          <w:lang w:val="zh-CN"/>
        </w:rPr>
        <w:fldChar w:fldCharType="begin"/>
      </w:r>
      <w:r>
        <w:rPr>
          <w:color w:val="auto"/>
          <w:sz w:val="24"/>
          <w:lang w:val="zh-CN"/>
        </w:rPr>
        <w:instrText xml:space="preserve"> = 1 \* ROMAN </w:instrText>
      </w:r>
      <w:r>
        <w:rPr>
          <w:color w:val="auto"/>
          <w:sz w:val="24"/>
          <w:lang w:val="zh-CN"/>
        </w:rPr>
        <w:fldChar w:fldCharType="separate"/>
      </w:r>
      <w:r>
        <w:rPr>
          <w:color w:val="auto"/>
          <w:sz w:val="24"/>
          <w:lang w:val="zh-CN"/>
        </w:rPr>
        <w:t>I</w:t>
      </w:r>
      <w:r>
        <w:rPr>
          <w:color w:val="auto"/>
          <w:sz w:val="24"/>
          <w:lang w:val="zh-CN"/>
        </w:rPr>
        <w:fldChar w:fldCharType="end"/>
      </w:r>
      <w:r>
        <w:rPr>
          <w:color w:val="auto"/>
          <w:sz w:val="24"/>
          <w:lang w:val="zh-CN"/>
        </w:rPr>
        <w:t>-3-2-6</w:t>
      </w:r>
      <w:r>
        <w:rPr>
          <w:rFonts w:hint="eastAsia"/>
          <w:color w:val="auto"/>
          <w:sz w:val="24"/>
          <w:lang w:val="zh-CN"/>
        </w:rPr>
        <w:t>鸡西矿、农、林业生态功能区，主要生态环境问题为植被覆盖率低，矿产开采的生态恢复措施未跟上，引发严重的次生生态环境问题；该区南部小片地区土壤侵蚀敏感性为高度敏感；主要生态系统服务功能为土壤保持、林矿农业生产；保护措施与发展方向为合理的进行矿产开发，禁止野蛮开采的情况出现，大力发展生态林业和生态农业。</w:t>
      </w:r>
    </w:p>
    <w:p w14:paraId="31D04343">
      <w:pPr>
        <w:pStyle w:val="135"/>
        <w:rPr>
          <w:rStyle w:val="772"/>
          <w:rFonts w:hint="default" w:ascii="Times New Roman" w:eastAsia="宋体" w:cs="Times New Roman"/>
          <w:color w:val="auto"/>
          <w:szCs w:val="22"/>
        </w:rPr>
      </w:pPr>
      <w:r>
        <w:rPr>
          <w:rStyle w:val="772"/>
          <w:rFonts w:hint="default" w:ascii="Times New Roman" w:eastAsia="宋体" w:cs="Times New Roman"/>
          <w:color w:val="auto"/>
          <w:szCs w:val="22"/>
        </w:rPr>
        <w:t>4.2.6.4土地利用现状</w:t>
      </w:r>
    </w:p>
    <w:p w14:paraId="148F99C0">
      <w:pPr>
        <w:pStyle w:val="59"/>
        <w:ind w:firstLine="480"/>
        <w:rPr>
          <w:rFonts w:hint="eastAsia"/>
          <w:color w:val="auto"/>
        </w:rPr>
      </w:pPr>
      <w:r>
        <w:rPr>
          <w:rFonts w:hint="eastAsia"/>
          <w:color w:val="auto"/>
          <w:highlight w:val="none"/>
        </w:rPr>
        <w:t>根据本项目建设内容、环境污染物排放特征及建设地点等具体情况，对项目周围的生态环境现状进行了调查，调查主要以收集区域相关生态条件资料和现场踏勘相结合的方法。</w:t>
      </w:r>
      <w:r>
        <w:rPr>
          <w:color w:val="auto"/>
          <w:highlight w:val="none"/>
        </w:rPr>
        <w:t>本项目建设地点位于</w:t>
      </w:r>
      <w:r>
        <w:rPr>
          <w:bCs/>
          <w:color w:val="auto"/>
          <w:highlight w:val="none"/>
        </w:rPr>
        <w:t>鸡西市</w:t>
      </w:r>
      <w:r>
        <w:rPr>
          <w:snapToGrid w:val="0"/>
          <w:color w:val="auto"/>
          <w:kern w:val="0"/>
          <w:highlight w:val="none"/>
        </w:rPr>
        <w:t>鸡东县</w:t>
      </w:r>
      <w:r>
        <w:rPr>
          <w:rFonts w:hint="eastAsia"/>
          <w:snapToGrid w:val="0"/>
          <w:color w:val="auto"/>
          <w:kern w:val="0"/>
          <w:highlight w:val="none"/>
          <w:lang w:eastAsia="zh-CN"/>
        </w:rPr>
        <w:t>东海镇新泉村五队</w:t>
      </w:r>
      <w:r>
        <w:rPr>
          <w:color w:val="auto"/>
          <w:highlight w:val="none"/>
        </w:rPr>
        <w:t>，占地类型为</w:t>
      </w:r>
      <w:r>
        <w:rPr>
          <w:rFonts w:hint="eastAsia"/>
          <w:bCs/>
          <w:color w:val="auto"/>
          <w:highlight w:val="none"/>
        </w:rPr>
        <w:t>采矿用地和旱地</w:t>
      </w:r>
      <w:r>
        <w:rPr>
          <w:bCs/>
          <w:color w:val="auto"/>
          <w:highlight w:val="none"/>
        </w:rPr>
        <w:t>，</w:t>
      </w:r>
      <w:r>
        <w:rPr>
          <w:color w:val="auto"/>
          <w:highlight w:val="none"/>
        </w:rPr>
        <w:t>占地面积为</w:t>
      </w:r>
      <w:r>
        <w:rPr>
          <w:rFonts w:hint="eastAsia"/>
          <w:color w:val="auto"/>
          <w:highlight w:val="none"/>
          <w:lang w:val="en-US" w:eastAsia="zh-CN"/>
        </w:rPr>
        <w:t>78594</w:t>
      </w:r>
      <w:r>
        <w:rPr>
          <w:color w:val="auto"/>
          <w:highlight w:val="none"/>
        </w:rPr>
        <w:t>m</w:t>
      </w:r>
      <w:r>
        <w:rPr>
          <w:color w:val="auto"/>
          <w:highlight w:val="none"/>
          <w:vertAlign w:val="superscript"/>
        </w:rPr>
        <w:t>2</w:t>
      </w:r>
      <w:r>
        <w:rPr>
          <w:color w:val="auto"/>
          <w:highlight w:val="none"/>
        </w:rPr>
        <w:t>。</w:t>
      </w:r>
      <w:r>
        <w:rPr>
          <w:rFonts w:hint="eastAsia"/>
          <w:color w:val="auto"/>
          <w:highlight w:val="none"/>
        </w:rPr>
        <w:t>生态评价范围内主要用地现状主要为采矿用地，其次为旱地和</w:t>
      </w:r>
      <w:r>
        <w:rPr>
          <w:rFonts w:hint="eastAsia"/>
          <w:color w:val="auto"/>
          <w:highlight w:val="none"/>
          <w:lang w:eastAsia="zh-CN"/>
        </w:rPr>
        <w:t>农村道路</w:t>
      </w:r>
      <w:r>
        <w:rPr>
          <w:rFonts w:hint="eastAsia"/>
          <w:color w:val="auto"/>
          <w:highlight w:val="none"/>
        </w:rPr>
        <w:t>等。</w:t>
      </w:r>
      <w:r>
        <w:rPr>
          <w:color w:val="auto"/>
          <w:highlight w:val="none"/>
        </w:rPr>
        <w:t>根据土地利用现状图</w:t>
      </w:r>
      <w:r>
        <w:rPr>
          <w:rFonts w:hint="eastAsia"/>
          <w:color w:val="auto"/>
          <w:highlight w:val="none"/>
        </w:rPr>
        <w:t>及实地调查，</w:t>
      </w:r>
      <w:r>
        <w:rPr>
          <w:color w:val="auto"/>
          <w:highlight w:val="none"/>
        </w:rPr>
        <w:t>区域内无国家、省、市级自然保护区、风景名胜区等保护目标</w:t>
      </w:r>
      <w:r>
        <w:rPr>
          <w:rFonts w:hint="eastAsia"/>
          <w:color w:val="auto"/>
          <w:highlight w:val="none"/>
        </w:rPr>
        <w:t>，周边</w:t>
      </w:r>
      <w:r>
        <w:rPr>
          <w:color w:val="auto"/>
          <w:highlight w:val="none"/>
        </w:rPr>
        <w:t>林地为一般林地，非公益林及天然林。</w:t>
      </w:r>
    </w:p>
    <w:p w14:paraId="6A767E6E">
      <w:pPr>
        <w:pStyle w:val="135"/>
        <w:rPr>
          <w:color w:val="auto"/>
        </w:rPr>
      </w:pPr>
      <w:r>
        <w:rPr>
          <w:rFonts w:hint="eastAsia"/>
          <w:color w:val="auto"/>
        </w:rPr>
        <w:t>4</w:t>
      </w:r>
      <w:r>
        <w:rPr>
          <w:color w:val="auto"/>
        </w:rPr>
        <w:t>.2.6.5</w:t>
      </w:r>
      <w:r>
        <w:rPr>
          <w:rStyle w:val="772"/>
          <w:rFonts w:hint="default" w:ascii="Times New Roman" w:eastAsia="宋体" w:cs="Times New Roman"/>
          <w:color w:val="auto"/>
          <w:szCs w:val="22"/>
        </w:rPr>
        <w:t>植被现状</w:t>
      </w:r>
    </w:p>
    <w:p w14:paraId="793BB01D">
      <w:pPr>
        <w:pStyle w:val="59"/>
        <w:ind w:firstLine="480"/>
        <w:rPr>
          <w:color w:val="auto"/>
        </w:rPr>
      </w:pPr>
      <w:bookmarkStart w:id="127" w:name="_Toc490807013"/>
      <w:bookmarkStart w:id="128" w:name="_Toc514938163"/>
      <w:r>
        <w:rPr>
          <w:rFonts w:hint="eastAsia"/>
          <w:color w:val="auto"/>
        </w:rPr>
        <w:t>评价范围</w:t>
      </w:r>
      <w:r>
        <w:rPr>
          <w:color w:val="auto"/>
        </w:rPr>
        <w:t>内的植被以农田植被</w:t>
      </w:r>
      <w:r>
        <w:rPr>
          <w:rFonts w:hint="eastAsia"/>
          <w:color w:val="auto"/>
        </w:rPr>
        <w:t>和林地</w:t>
      </w:r>
      <w:r>
        <w:rPr>
          <w:color w:val="auto"/>
        </w:rPr>
        <w:t>为主，无野生珍稀或濒危植物分布，植物群落的物种组成及结构较为单一，均为该地区的广布种、常见种。</w:t>
      </w:r>
      <w:r>
        <w:rPr>
          <w:rFonts w:hint="eastAsia"/>
          <w:color w:val="auto"/>
        </w:rPr>
        <w:t>耕地种植作物主要是大豆、玉米等，乔木林地主要树种为松树</w:t>
      </w:r>
      <w:r>
        <w:rPr>
          <w:color w:val="auto"/>
        </w:rPr>
        <w:t>，</w:t>
      </w:r>
      <w:r>
        <w:rPr>
          <w:rFonts w:hint="eastAsia"/>
          <w:color w:val="auto"/>
        </w:rPr>
        <w:t>草本植物</w:t>
      </w:r>
      <w:r>
        <w:rPr>
          <w:rFonts w:hint="eastAsia"/>
          <w:color w:val="auto"/>
          <w:lang w:eastAsia="zh-CN"/>
        </w:rPr>
        <w:t>为</w:t>
      </w:r>
      <w:r>
        <w:rPr>
          <w:color w:val="auto"/>
        </w:rPr>
        <w:t>青蒿、狗尾巴草、白羊草、三叶草等草本植物。</w:t>
      </w:r>
    </w:p>
    <w:p w14:paraId="00AED41D">
      <w:pPr>
        <w:pStyle w:val="135"/>
        <w:rPr>
          <w:color w:val="auto"/>
        </w:rPr>
      </w:pPr>
      <w:r>
        <w:rPr>
          <w:rFonts w:hint="eastAsia"/>
          <w:color w:val="auto"/>
        </w:rPr>
        <w:t>4</w:t>
      </w:r>
      <w:r>
        <w:rPr>
          <w:color w:val="auto"/>
        </w:rPr>
        <w:t>.2.6.6</w:t>
      </w:r>
      <w:r>
        <w:rPr>
          <w:rFonts w:hint="eastAsia"/>
          <w:color w:val="auto"/>
        </w:rPr>
        <w:t>野生动物</w:t>
      </w:r>
    </w:p>
    <w:p w14:paraId="1EF0391E">
      <w:pPr>
        <w:pStyle w:val="59"/>
        <w:ind w:firstLine="480"/>
        <w:rPr>
          <w:color w:val="auto"/>
        </w:rPr>
      </w:pPr>
      <w:r>
        <w:rPr>
          <w:color w:val="auto"/>
        </w:rPr>
        <w:t>野生动物主要有麻雀、家燕、喜鹊、乌鸦等。工程沿线范围内的野生动物主要有松鼠、</w:t>
      </w:r>
      <w:r>
        <w:rPr>
          <w:rFonts w:hint="eastAsia"/>
          <w:color w:val="auto"/>
        </w:rPr>
        <w:t>田</w:t>
      </w:r>
      <w:r>
        <w:rPr>
          <w:color w:val="auto"/>
        </w:rPr>
        <w:t>鼠以及小型啮齿类动物，广泛分布于农田与居民集中居住的村屯周围区域中。</w:t>
      </w:r>
    </w:p>
    <w:p w14:paraId="1128C4F9">
      <w:pPr>
        <w:pStyle w:val="135"/>
        <w:rPr>
          <w:color w:val="auto"/>
        </w:rPr>
      </w:pPr>
      <w:r>
        <w:rPr>
          <w:rFonts w:hint="eastAsia"/>
          <w:color w:val="auto"/>
        </w:rPr>
        <w:t>4</w:t>
      </w:r>
      <w:r>
        <w:rPr>
          <w:color w:val="auto"/>
        </w:rPr>
        <w:t>.2.6.7</w:t>
      </w:r>
      <w:r>
        <w:rPr>
          <w:rFonts w:hint="eastAsia"/>
          <w:color w:val="auto"/>
        </w:rPr>
        <w:t>水生生态</w:t>
      </w:r>
    </w:p>
    <w:p w14:paraId="4C8BA800">
      <w:pPr>
        <w:pStyle w:val="59"/>
        <w:ind w:firstLine="480"/>
        <w:rPr>
          <w:color w:val="auto"/>
        </w:rPr>
      </w:pPr>
      <w:r>
        <w:rPr>
          <w:color w:val="auto"/>
        </w:rPr>
        <w:t>穆棱河</w:t>
      </w:r>
      <w:r>
        <w:rPr>
          <w:rFonts w:hint="eastAsia"/>
          <w:color w:val="auto"/>
        </w:rPr>
        <w:t>内鱼类</w:t>
      </w:r>
      <w:r>
        <w:rPr>
          <w:color w:val="auto"/>
        </w:rPr>
        <w:t>主要为</w:t>
      </w:r>
      <w:r>
        <w:rPr>
          <w:bCs/>
          <w:color w:val="auto"/>
        </w:rPr>
        <w:t>鲤鱼、鲫鱼、鲶鱼等</w:t>
      </w:r>
      <w:r>
        <w:rPr>
          <w:rFonts w:hint="eastAsia"/>
          <w:color w:val="auto"/>
        </w:rPr>
        <w:t>，</w:t>
      </w:r>
      <w:r>
        <w:rPr>
          <w:rFonts w:cs="Times New Roman"/>
          <w:bCs/>
          <w:color w:val="auto"/>
        </w:rPr>
        <w:t>本项目所在地区</w:t>
      </w:r>
      <w:r>
        <w:rPr>
          <w:rFonts w:cs="Times New Roman"/>
          <w:color w:val="auto"/>
        </w:rPr>
        <w:t>没有野生动物保护品种，也未发现濒危、</w:t>
      </w:r>
      <w:r>
        <w:rPr>
          <w:rFonts w:hint="eastAsia" w:cs="Times New Roman"/>
          <w:color w:val="auto"/>
        </w:rPr>
        <w:t>珍稀</w:t>
      </w:r>
      <w:r>
        <w:rPr>
          <w:rFonts w:cs="Times New Roman"/>
          <w:color w:val="auto"/>
        </w:rPr>
        <w:t>动物栖息场所、</w:t>
      </w:r>
      <w:r>
        <w:rPr>
          <w:bCs/>
          <w:color w:val="auto"/>
        </w:rPr>
        <w:t>濒危鱼类及其繁育场</w:t>
      </w:r>
      <w:r>
        <w:rPr>
          <w:rFonts w:cs="Times New Roman"/>
          <w:color w:val="auto"/>
        </w:rPr>
        <w:t>，区域整体生态环境质量较好</w:t>
      </w:r>
      <w:r>
        <w:rPr>
          <w:color w:val="auto"/>
        </w:rPr>
        <w:t>。</w:t>
      </w:r>
      <w:bookmarkStart w:id="129" w:name="_Toc119316803"/>
    </w:p>
    <w:p w14:paraId="51ED553E">
      <w:pPr>
        <w:pStyle w:val="548"/>
        <w:rPr>
          <w:color w:val="auto"/>
        </w:rPr>
      </w:pPr>
      <w:bookmarkStart w:id="130" w:name="_Toc149054206"/>
      <w:r>
        <w:rPr>
          <w:color w:val="auto"/>
        </w:rPr>
        <w:t>4.</w:t>
      </w:r>
      <w:r>
        <w:rPr>
          <w:rFonts w:hint="eastAsia"/>
          <w:color w:val="auto"/>
        </w:rPr>
        <w:t>3</w:t>
      </w:r>
      <w:r>
        <w:rPr>
          <w:color w:val="auto"/>
        </w:rPr>
        <w:t>区域污染源调查</w:t>
      </w:r>
      <w:bookmarkEnd w:id="129"/>
      <w:bookmarkEnd w:id="130"/>
    </w:p>
    <w:bookmarkEnd w:id="127"/>
    <w:bookmarkEnd w:id="128"/>
    <w:p w14:paraId="5DED5A5F">
      <w:pPr>
        <w:keepNext/>
        <w:keepLines/>
        <w:adjustRightInd w:val="0"/>
        <w:snapToGrid w:val="0"/>
        <w:spacing w:line="500" w:lineRule="exact"/>
        <w:outlineLvl w:val="2"/>
        <w:rPr>
          <w:rFonts w:eastAsia="黑体"/>
          <w:bCs/>
          <w:color w:val="auto"/>
          <w:sz w:val="24"/>
          <w:szCs w:val="32"/>
        </w:rPr>
      </w:pPr>
      <w:bookmarkStart w:id="131" w:name="_Toc17296951"/>
      <w:r>
        <w:rPr>
          <w:rFonts w:hint="eastAsia" w:eastAsia="黑体"/>
          <w:bCs/>
          <w:snapToGrid w:val="0"/>
          <w:color w:val="auto"/>
          <w:sz w:val="24"/>
          <w:szCs w:val="32"/>
        </w:rPr>
        <w:t>4.3.1大气污染源</w:t>
      </w:r>
      <w:bookmarkEnd w:id="131"/>
    </w:p>
    <w:p w14:paraId="64833D24">
      <w:pPr>
        <w:spacing w:line="500" w:lineRule="exact"/>
        <w:ind w:firstLine="480" w:firstLineChars="200"/>
        <w:rPr>
          <w:color w:val="auto"/>
          <w:sz w:val="24"/>
          <w:szCs w:val="22"/>
        </w:rPr>
      </w:pPr>
      <w:r>
        <w:rPr>
          <w:rFonts w:hint="eastAsia"/>
          <w:color w:val="auto"/>
          <w:sz w:val="24"/>
          <w:szCs w:val="22"/>
        </w:rPr>
        <w:t>项目区周边为耕地和林地，大气污染源主要为农业机械作业时尾气，排放污染物主要为C</w:t>
      </w:r>
      <w:r>
        <w:rPr>
          <w:color w:val="auto"/>
          <w:sz w:val="24"/>
          <w:szCs w:val="22"/>
        </w:rPr>
        <w:t>O</w:t>
      </w:r>
      <w:r>
        <w:rPr>
          <w:rFonts w:hint="eastAsia"/>
          <w:color w:val="auto"/>
          <w:sz w:val="24"/>
          <w:szCs w:val="22"/>
        </w:rPr>
        <w:t>、H</w:t>
      </w:r>
      <w:r>
        <w:rPr>
          <w:color w:val="auto"/>
          <w:sz w:val="24"/>
          <w:szCs w:val="22"/>
        </w:rPr>
        <w:t>C</w:t>
      </w:r>
      <w:r>
        <w:rPr>
          <w:rFonts w:hint="eastAsia"/>
          <w:color w:val="auto"/>
          <w:sz w:val="24"/>
          <w:szCs w:val="22"/>
        </w:rPr>
        <w:t>、N</w:t>
      </w:r>
      <w:r>
        <w:rPr>
          <w:color w:val="auto"/>
          <w:sz w:val="24"/>
          <w:szCs w:val="22"/>
        </w:rPr>
        <w:t>O</w:t>
      </w:r>
      <w:r>
        <w:rPr>
          <w:rFonts w:hint="eastAsia"/>
          <w:color w:val="auto"/>
          <w:sz w:val="24"/>
          <w:szCs w:val="22"/>
        </w:rPr>
        <w:t>x、颗粒物。</w:t>
      </w:r>
    </w:p>
    <w:p w14:paraId="32AAD223">
      <w:pPr>
        <w:keepNext/>
        <w:keepLines/>
        <w:adjustRightInd w:val="0"/>
        <w:snapToGrid w:val="0"/>
        <w:spacing w:line="500" w:lineRule="exact"/>
        <w:outlineLvl w:val="2"/>
        <w:rPr>
          <w:rFonts w:eastAsia="黑体"/>
          <w:bCs/>
          <w:color w:val="auto"/>
          <w:sz w:val="24"/>
          <w:szCs w:val="32"/>
        </w:rPr>
      </w:pPr>
      <w:bookmarkStart w:id="132" w:name="_Toc17296952"/>
      <w:r>
        <w:rPr>
          <w:rFonts w:hint="eastAsia" w:eastAsia="黑体"/>
          <w:bCs/>
          <w:snapToGrid w:val="0"/>
          <w:color w:val="auto"/>
          <w:sz w:val="24"/>
          <w:szCs w:val="32"/>
        </w:rPr>
        <w:t>4.3.2地表水</w:t>
      </w:r>
      <w:r>
        <w:rPr>
          <w:rFonts w:eastAsia="黑体"/>
          <w:bCs/>
          <w:snapToGrid w:val="0"/>
          <w:color w:val="auto"/>
          <w:sz w:val="24"/>
          <w:szCs w:val="32"/>
        </w:rPr>
        <w:t>污染源</w:t>
      </w:r>
      <w:bookmarkEnd w:id="132"/>
    </w:p>
    <w:p w14:paraId="35CF93D2">
      <w:pPr>
        <w:spacing w:line="500" w:lineRule="exact"/>
        <w:ind w:firstLine="480" w:firstLineChars="200"/>
        <w:rPr>
          <w:color w:val="auto"/>
          <w:sz w:val="24"/>
          <w:szCs w:val="22"/>
        </w:rPr>
      </w:pPr>
      <w:r>
        <w:rPr>
          <w:rFonts w:hint="eastAsia"/>
          <w:color w:val="auto"/>
          <w:sz w:val="24"/>
          <w:szCs w:val="22"/>
        </w:rPr>
        <w:t>本项目地表水污染主要为生活污水和化肥农药地表径流形成的面源污染。</w:t>
      </w:r>
    </w:p>
    <w:p w14:paraId="61D3B5FF">
      <w:pPr>
        <w:keepNext/>
        <w:keepLines/>
        <w:adjustRightInd w:val="0"/>
        <w:snapToGrid w:val="0"/>
        <w:spacing w:line="500" w:lineRule="exact"/>
        <w:outlineLvl w:val="2"/>
        <w:rPr>
          <w:rFonts w:eastAsia="黑体"/>
          <w:bCs/>
          <w:color w:val="auto"/>
          <w:sz w:val="24"/>
          <w:szCs w:val="32"/>
        </w:rPr>
      </w:pPr>
      <w:bookmarkStart w:id="133" w:name="_Toc17296953"/>
      <w:r>
        <w:rPr>
          <w:rFonts w:eastAsia="黑体"/>
          <w:bCs/>
          <w:snapToGrid w:val="0"/>
          <w:color w:val="auto"/>
          <w:sz w:val="24"/>
          <w:szCs w:val="32"/>
        </w:rPr>
        <w:t>4.3.3</w:t>
      </w:r>
      <w:r>
        <w:rPr>
          <w:rFonts w:hint="eastAsia" w:eastAsia="黑体"/>
          <w:bCs/>
          <w:snapToGrid w:val="0"/>
          <w:color w:val="auto"/>
          <w:sz w:val="24"/>
          <w:szCs w:val="32"/>
        </w:rPr>
        <w:t>地下水污染源</w:t>
      </w:r>
      <w:bookmarkEnd w:id="133"/>
    </w:p>
    <w:p w14:paraId="4C716A3D">
      <w:pPr>
        <w:spacing w:line="500" w:lineRule="exact"/>
        <w:ind w:firstLine="480" w:firstLineChars="200"/>
        <w:rPr>
          <w:color w:val="auto"/>
          <w:sz w:val="24"/>
          <w:szCs w:val="22"/>
        </w:rPr>
      </w:pPr>
      <w:r>
        <w:rPr>
          <w:rFonts w:hint="eastAsia"/>
          <w:color w:val="auto"/>
          <w:sz w:val="24"/>
          <w:szCs w:val="22"/>
        </w:rPr>
        <w:t>本项目地下水污染源主要为农药化肥污染，经降雨随水淋溶进入地下水，对地下水造成污染。</w:t>
      </w:r>
    </w:p>
    <w:p w14:paraId="74529E62">
      <w:pPr>
        <w:keepNext/>
        <w:keepLines/>
        <w:adjustRightInd w:val="0"/>
        <w:snapToGrid w:val="0"/>
        <w:spacing w:line="500" w:lineRule="exact"/>
        <w:outlineLvl w:val="2"/>
        <w:rPr>
          <w:rFonts w:eastAsia="黑体"/>
          <w:bCs/>
          <w:color w:val="auto"/>
          <w:sz w:val="24"/>
          <w:szCs w:val="32"/>
        </w:rPr>
      </w:pPr>
      <w:bookmarkStart w:id="134" w:name="_Toc17296954"/>
      <w:r>
        <w:rPr>
          <w:rFonts w:eastAsia="黑体"/>
          <w:bCs/>
          <w:snapToGrid w:val="0"/>
          <w:color w:val="auto"/>
          <w:sz w:val="24"/>
          <w:szCs w:val="32"/>
        </w:rPr>
        <w:t>4.3.4</w:t>
      </w:r>
      <w:r>
        <w:rPr>
          <w:rFonts w:hint="eastAsia" w:eastAsia="黑体"/>
          <w:bCs/>
          <w:snapToGrid w:val="0"/>
          <w:color w:val="auto"/>
          <w:sz w:val="24"/>
          <w:szCs w:val="32"/>
        </w:rPr>
        <w:t>噪声</w:t>
      </w:r>
      <w:r>
        <w:rPr>
          <w:rFonts w:eastAsia="黑体"/>
          <w:bCs/>
          <w:snapToGrid w:val="0"/>
          <w:color w:val="auto"/>
          <w:sz w:val="24"/>
          <w:szCs w:val="32"/>
        </w:rPr>
        <w:t>污染</w:t>
      </w:r>
      <w:r>
        <w:rPr>
          <w:rFonts w:hint="eastAsia" w:eastAsia="黑体"/>
          <w:bCs/>
          <w:snapToGrid w:val="0"/>
          <w:color w:val="auto"/>
          <w:sz w:val="24"/>
          <w:szCs w:val="32"/>
        </w:rPr>
        <w:t>源</w:t>
      </w:r>
      <w:bookmarkEnd w:id="134"/>
    </w:p>
    <w:p w14:paraId="420FE422">
      <w:pPr>
        <w:spacing w:line="500" w:lineRule="exact"/>
        <w:ind w:firstLine="480" w:firstLineChars="200"/>
        <w:rPr>
          <w:color w:val="auto"/>
          <w:sz w:val="24"/>
          <w:szCs w:val="22"/>
        </w:rPr>
      </w:pPr>
      <w:r>
        <w:rPr>
          <w:rFonts w:hint="eastAsia"/>
          <w:color w:val="auto"/>
          <w:sz w:val="24"/>
          <w:szCs w:val="22"/>
        </w:rPr>
        <w:t>拟建项目属《声环境质量标准》(GB3096-2008)规定的</w:t>
      </w:r>
      <w:r>
        <w:rPr>
          <w:color w:val="auto"/>
          <w:sz w:val="24"/>
          <w:szCs w:val="22"/>
        </w:rPr>
        <w:t>1类</w:t>
      </w:r>
      <w:r>
        <w:rPr>
          <w:rFonts w:hint="eastAsia"/>
          <w:color w:val="auto"/>
          <w:sz w:val="24"/>
          <w:szCs w:val="22"/>
        </w:rPr>
        <w:t>声环境功能区，本项目周边区域噪声主要污染源为农业机械作业噪声。</w:t>
      </w:r>
    </w:p>
    <w:p w14:paraId="27C97650">
      <w:pPr>
        <w:pStyle w:val="548"/>
        <w:rPr>
          <w:color w:val="auto"/>
        </w:rPr>
      </w:pPr>
      <w:bookmarkStart w:id="135" w:name="_Toc140149427"/>
      <w:bookmarkStart w:id="136" w:name="_Toc149054207"/>
      <w:bookmarkStart w:id="137" w:name="_Toc7335752"/>
      <w:r>
        <w:rPr>
          <w:color w:val="auto"/>
        </w:rPr>
        <w:t>4.4</w:t>
      </w:r>
      <w:r>
        <w:rPr>
          <w:rFonts w:hint="eastAsia"/>
          <w:color w:val="auto"/>
        </w:rPr>
        <w:t>环境敏感保护目标调查</w:t>
      </w:r>
      <w:bookmarkEnd w:id="135"/>
      <w:bookmarkEnd w:id="136"/>
      <w:bookmarkEnd w:id="137"/>
    </w:p>
    <w:p w14:paraId="5231CFC4">
      <w:pPr>
        <w:pStyle w:val="137"/>
        <w:rPr>
          <w:color w:val="auto"/>
        </w:rPr>
      </w:pPr>
      <w:r>
        <w:rPr>
          <w:rFonts w:hint="eastAsia"/>
          <w:color w:val="auto"/>
        </w:rPr>
        <w:t>4</w:t>
      </w:r>
      <w:r>
        <w:rPr>
          <w:color w:val="auto"/>
        </w:rPr>
        <w:t>.4.1</w:t>
      </w:r>
      <w:r>
        <w:rPr>
          <w:rFonts w:hint="eastAsia"/>
          <w:color w:val="auto"/>
        </w:rPr>
        <w:t>环境功能区划</w:t>
      </w:r>
    </w:p>
    <w:p w14:paraId="693DCE11">
      <w:pPr>
        <w:pStyle w:val="59"/>
        <w:ind w:firstLine="480"/>
        <w:rPr>
          <w:color w:val="auto"/>
        </w:rPr>
      </w:pPr>
      <w:r>
        <w:rPr>
          <w:rFonts w:hint="eastAsia"/>
          <w:color w:val="auto"/>
        </w:rPr>
        <w:t>（</w:t>
      </w:r>
      <w:r>
        <w:rPr>
          <w:color w:val="auto"/>
        </w:rPr>
        <w:t>1）空气环境：根据环境空气质量功能区划，项目区位于《环境空气质量标准》（GB3095-2012）及修改单的二类区。本工程所在区域不在酸雨和二氧化硫控制区内。</w:t>
      </w:r>
    </w:p>
    <w:p w14:paraId="360D910A">
      <w:pPr>
        <w:pStyle w:val="59"/>
        <w:ind w:firstLine="480"/>
        <w:rPr>
          <w:color w:val="auto"/>
        </w:rPr>
      </w:pPr>
      <w:r>
        <w:rPr>
          <w:rStyle w:val="60"/>
          <w:rFonts w:hint="eastAsia"/>
          <w:color w:val="auto"/>
        </w:rPr>
        <w:t>（</w:t>
      </w:r>
      <w:r>
        <w:rPr>
          <w:rStyle w:val="60"/>
          <w:color w:val="auto"/>
        </w:rPr>
        <w:t>2）地表水环境：</w:t>
      </w:r>
      <w:r>
        <w:rPr>
          <w:rFonts w:hint="eastAsia"/>
          <w:color w:val="auto"/>
          <w:kern w:val="0"/>
          <w:sz w:val="24"/>
        </w:rPr>
        <w:t>本项目所处区域主要地表水为</w:t>
      </w:r>
      <w:r>
        <w:rPr>
          <w:rFonts w:hint="eastAsia"/>
          <w:color w:val="auto"/>
          <w:kern w:val="0"/>
          <w:sz w:val="24"/>
          <w:lang w:val="en-US" w:eastAsia="zh-CN"/>
        </w:rPr>
        <w:t>三新沟</w:t>
      </w:r>
      <w:r>
        <w:rPr>
          <w:rFonts w:hint="eastAsia"/>
          <w:color w:val="auto"/>
          <w:kern w:val="0"/>
          <w:sz w:val="24"/>
        </w:rPr>
        <w:t>，无规划水体类别。</w:t>
      </w:r>
      <w:r>
        <w:rPr>
          <w:rFonts w:hint="eastAsia"/>
          <w:color w:val="auto"/>
          <w:kern w:val="0"/>
          <w:sz w:val="24"/>
          <w:lang w:val="en-US" w:eastAsia="zh-CN"/>
        </w:rPr>
        <w:t>三新沟最终</w:t>
      </w:r>
      <w:r>
        <w:rPr>
          <w:rFonts w:hint="eastAsia"/>
          <w:color w:val="auto"/>
          <w:kern w:val="0"/>
          <w:sz w:val="24"/>
        </w:rPr>
        <w:t>汇入穆棱河</w:t>
      </w:r>
      <w:r>
        <w:rPr>
          <w:rFonts w:hint="eastAsia"/>
          <w:color w:val="auto"/>
        </w:rPr>
        <w:t>。</w:t>
      </w:r>
      <w:r>
        <w:rPr>
          <w:color w:val="auto"/>
        </w:rPr>
        <w:t>根据《全国重要江河湖泊水功能区划（2011-2030年）》，本项目</w:t>
      </w:r>
      <w:r>
        <w:rPr>
          <w:rFonts w:hint="eastAsia"/>
          <w:color w:val="auto"/>
        </w:rPr>
        <w:t>所在穆棱河一级水功能区名称为穆棱河鸡西市开发利用区，二级水功能区名称为穆棱河鸡东县、密山市农业用水区，起始断面为</w:t>
      </w:r>
      <w:r>
        <w:rPr>
          <w:color w:val="auto"/>
        </w:rPr>
        <w:t>鸡古路西100m</w:t>
      </w:r>
      <w:r>
        <w:rPr>
          <w:rFonts w:hint="eastAsia"/>
          <w:color w:val="auto"/>
        </w:rPr>
        <w:t>，终止断面为</w:t>
      </w:r>
      <w:r>
        <w:rPr>
          <w:color w:val="auto"/>
        </w:rPr>
        <w:t>凯北站，水质类别为Ⅲ类</w:t>
      </w:r>
      <w:r>
        <w:rPr>
          <w:rFonts w:hint="eastAsia"/>
          <w:color w:val="auto"/>
        </w:rPr>
        <w:t>。</w:t>
      </w:r>
    </w:p>
    <w:p w14:paraId="569E442D">
      <w:pPr>
        <w:pStyle w:val="59"/>
        <w:ind w:firstLine="480"/>
        <w:rPr>
          <w:color w:val="auto"/>
        </w:rPr>
      </w:pPr>
      <w:r>
        <w:rPr>
          <w:rFonts w:hint="eastAsia"/>
          <w:color w:val="auto"/>
        </w:rPr>
        <w:t>（</w:t>
      </w:r>
      <w:r>
        <w:rPr>
          <w:color w:val="auto"/>
        </w:rPr>
        <w:t>3）声环境：所在区域现状执行《声环境质量标准》（GB3096-2008）中1类标准。</w:t>
      </w:r>
    </w:p>
    <w:p w14:paraId="4ED01979">
      <w:pPr>
        <w:pStyle w:val="59"/>
        <w:ind w:firstLine="480"/>
        <w:rPr>
          <w:color w:val="auto"/>
          <w:highlight w:val="none"/>
        </w:rPr>
      </w:pPr>
      <w:r>
        <w:rPr>
          <w:rFonts w:hint="eastAsia"/>
          <w:color w:val="auto"/>
        </w:rPr>
        <w:t>（</w:t>
      </w:r>
      <w:r>
        <w:rPr>
          <w:color w:val="auto"/>
        </w:rPr>
        <w:t>4）地下水环境：本项目所在区域地下水执行《地下水质量标准》</w:t>
      </w:r>
      <w:r>
        <w:rPr>
          <w:color w:val="auto"/>
          <w:highlight w:val="none"/>
        </w:rPr>
        <w:t>（GB/T14848-2017）中III类标准。</w:t>
      </w:r>
    </w:p>
    <w:p w14:paraId="0528C880">
      <w:pPr>
        <w:pStyle w:val="137"/>
        <w:rPr>
          <w:color w:val="auto"/>
          <w:highlight w:val="none"/>
        </w:rPr>
      </w:pPr>
      <w:r>
        <w:rPr>
          <w:rFonts w:hint="eastAsia"/>
          <w:color w:val="auto"/>
          <w:highlight w:val="none"/>
        </w:rPr>
        <w:t>4</w:t>
      </w:r>
      <w:r>
        <w:rPr>
          <w:color w:val="auto"/>
          <w:highlight w:val="none"/>
        </w:rPr>
        <w:t>.4.2</w:t>
      </w:r>
      <w:r>
        <w:rPr>
          <w:rFonts w:hint="eastAsia"/>
          <w:color w:val="auto"/>
          <w:highlight w:val="none"/>
        </w:rPr>
        <w:t>环境敏感区调查</w:t>
      </w:r>
    </w:p>
    <w:p w14:paraId="4B3C9C63">
      <w:pPr>
        <w:pStyle w:val="59"/>
        <w:ind w:firstLine="480"/>
        <w:rPr>
          <w:color w:val="auto"/>
          <w:highlight w:val="none"/>
        </w:rPr>
      </w:pPr>
      <w:r>
        <w:rPr>
          <w:rFonts w:hint="eastAsia"/>
          <w:color w:val="auto"/>
          <w:highlight w:val="none"/>
        </w:rPr>
        <w:t>调查过程：根据《建设项目环境影响评价技术导则 总纲》（</w:t>
      </w:r>
      <w:r>
        <w:rPr>
          <w:color w:val="auto"/>
          <w:highlight w:val="none"/>
        </w:rPr>
        <w:t>HJ2.1-2016</w:t>
      </w:r>
      <w:r>
        <w:rPr>
          <w:rFonts w:hint="eastAsia"/>
          <w:color w:val="auto"/>
          <w:highlight w:val="none"/>
        </w:rPr>
        <w:t>），环境保护目标调查应调查评价范围内的环境功能区划和主要的环境敏感区，详细了解环境保护目标的地理位置、服务功能、四至范围、保护对象和保护要求等。调查过程如下：</w:t>
      </w:r>
    </w:p>
    <w:p w14:paraId="1080737C">
      <w:pPr>
        <w:pStyle w:val="59"/>
        <w:ind w:firstLine="480"/>
        <w:rPr>
          <w:rStyle w:val="60"/>
          <w:color w:val="auto"/>
          <w:highlight w:val="none"/>
        </w:rPr>
      </w:pPr>
      <w:r>
        <w:rPr>
          <w:rFonts w:hint="eastAsia"/>
          <w:color w:val="auto"/>
          <w:highlight w:val="none"/>
        </w:rPr>
        <w:t>（1）本项目位于鸡西市鸡东县</w:t>
      </w:r>
      <w:r>
        <w:rPr>
          <w:rFonts w:hint="eastAsia"/>
          <w:color w:val="auto"/>
          <w:highlight w:val="none"/>
          <w:lang w:eastAsia="zh-CN"/>
        </w:rPr>
        <w:t>东海镇新泉村五队新泉</w:t>
      </w:r>
      <w:r>
        <w:rPr>
          <w:rFonts w:hint="eastAsia"/>
          <w:color w:val="auto"/>
          <w:highlight w:val="none"/>
        </w:rPr>
        <w:t>采石场废弃采坑，项目东侧</w:t>
      </w:r>
      <w:r>
        <w:rPr>
          <w:rFonts w:hint="eastAsia"/>
          <w:color w:val="auto"/>
          <w:highlight w:val="none"/>
          <w:lang w:eastAsia="zh-CN"/>
        </w:rPr>
        <w:t>、</w:t>
      </w:r>
      <w:r>
        <w:rPr>
          <w:rFonts w:hint="eastAsia"/>
          <w:color w:val="auto"/>
          <w:highlight w:val="none"/>
          <w:lang w:val="en-US" w:eastAsia="zh-CN"/>
        </w:rPr>
        <w:t>西侧</w:t>
      </w:r>
      <w:r>
        <w:rPr>
          <w:rFonts w:hint="eastAsia"/>
          <w:color w:val="auto"/>
          <w:highlight w:val="none"/>
        </w:rPr>
        <w:t>为农田和林地；</w:t>
      </w:r>
      <w:r>
        <w:rPr>
          <w:rFonts w:hint="eastAsia"/>
          <w:color w:val="auto"/>
          <w:highlight w:val="none"/>
          <w:lang w:val="en-US" w:eastAsia="zh-CN"/>
        </w:rPr>
        <w:t>北侧、南侧为农田</w:t>
      </w:r>
      <w:r>
        <w:rPr>
          <w:rFonts w:hint="eastAsia"/>
          <w:color w:val="auto"/>
          <w:highlight w:val="none"/>
        </w:rPr>
        <w:t>。项目选址周边最近敏感点为</w:t>
      </w:r>
      <w:r>
        <w:rPr>
          <w:rFonts w:hint="eastAsia"/>
          <w:color w:val="auto"/>
          <w:highlight w:val="none"/>
          <w:lang w:eastAsia="zh-CN"/>
        </w:rPr>
        <w:t>东侧</w:t>
      </w:r>
      <w:r>
        <w:rPr>
          <w:rFonts w:hint="eastAsia"/>
          <w:color w:val="auto"/>
          <w:highlight w:val="none"/>
        </w:rPr>
        <w:t>侧</w:t>
      </w:r>
      <w:r>
        <w:rPr>
          <w:rFonts w:hint="eastAsia"/>
          <w:color w:val="auto"/>
          <w:highlight w:val="none"/>
          <w:lang w:val="en-US" w:eastAsia="zh-CN"/>
        </w:rPr>
        <w:t>530</w:t>
      </w:r>
      <w:r>
        <w:rPr>
          <w:rFonts w:hint="eastAsia"/>
          <w:color w:val="auto"/>
          <w:highlight w:val="none"/>
        </w:rPr>
        <w:t>m处</w:t>
      </w:r>
      <w:r>
        <w:rPr>
          <w:rFonts w:hint="eastAsia"/>
          <w:color w:val="auto"/>
          <w:highlight w:val="none"/>
          <w:lang w:eastAsia="zh-CN"/>
        </w:rPr>
        <w:t>新泉村五队</w:t>
      </w:r>
      <w:r>
        <w:rPr>
          <w:rFonts w:hint="eastAsia"/>
          <w:color w:val="auto"/>
          <w:highlight w:val="none"/>
        </w:rPr>
        <w:t>，</w:t>
      </w:r>
      <w:r>
        <w:rPr>
          <w:rStyle w:val="60"/>
          <w:color w:val="auto"/>
          <w:highlight w:val="none"/>
        </w:rPr>
        <w:t>项目区域常年主导风向为W，</w:t>
      </w:r>
      <w:r>
        <w:rPr>
          <w:rStyle w:val="60"/>
          <w:rFonts w:hint="eastAsia"/>
          <w:color w:val="auto"/>
          <w:highlight w:val="none"/>
          <w:lang w:eastAsia="zh-CN"/>
        </w:rPr>
        <w:t>新泉村</w:t>
      </w:r>
      <w:r>
        <w:rPr>
          <w:rFonts w:hint="eastAsia"/>
          <w:color w:val="auto"/>
          <w:highlight w:val="none"/>
        </w:rPr>
        <w:t>位于常年主导风向侧风向。</w:t>
      </w:r>
    </w:p>
    <w:p w14:paraId="20BA03E1">
      <w:pPr>
        <w:pStyle w:val="59"/>
        <w:ind w:firstLine="480"/>
        <w:rPr>
          <w:rFonts w:hint="eastAsia"/>
          <w:snapToGrid w:val="0"/>
          <w:color w:val="auto"/>
          <w:kern w:val="0"/>
          <w:sz w:val="24"/>
          <w:szCs w:val="22"/>
          <w:highlight w:val="none"/>
        </w:rPr>
      </w:pPr>
      <w:r>
        <w:rPr>
          <w:rFonts w:hint="eastAsia"/>
          <w:color w:val="auto"/>
          <w:highlight w:val="none"/>
        </w:rPr>
        <w:t>（2）</w:t>
      </w:r>
      <w:r>
        <w:rPr>
          <w:rFonts w:hint="eastAsia"/>
          <w:snapToGrid w:val="0"/>
          <w:color w:val="auto"/>
          <w:highlight w:val="none"/>
        </w:rPr>
        <w:t>本项目评价范围内无集中式饮用水源保护区、分散式水源地和其他特殊地下水资源（如矿泉水、温泉等）保护区</w:t>
      </w:r>
      <w:r>
        <w:rPr>
          <w:snapToGrid w:val="0"/>
          <w:color w:val="auto"/>
          <w:highlight w:val="none"/>
        </w:rPr>
        <w:t>。</w:t>
      </w:r>
      <w:r>
        <w:rPr>
          <w:rFonts w:hint="eastAsia"/>
          <w:color w:val="auto"/>
          <w:highlight w:val="none"/>
          <w:lang w:val="en-US" w:eastAsia="zh-CN"/>
        </w:rPr>
        <w:t>项目周边村屯分布有新泉村五队、兴复村、泉眼村。均为集中式饮用水源，为有管网输送的单井，主要服务该地点村民，供水人数小于</w:t>
      </w:r>
      <w:r>
        <w:rPr>
          <w:rFonts w:hint="default"/>
          <w:color w:val="auto"/>
          <w:highlight w:val="none"/>
          <w:lang w:val="en-US" w:eastAsia="zh-CN"/>
        </w:rPr>
        <w:t xml:space="preserve">1000 </w:t>
      </w:r>
      <w:r>
        <w:rPr>
          <w:rFonts w:hint="eastAsia"/>
          <w:color w:val="auto"/>
          <w:highlight w:val="none"/>
          <w:lang w:val="en-US" w:eastAsia="zh-CN"/>
        </w:rPr>
        <w:t>人，属于分散式饮用水水源地。取水层位为</w:t>
      </w:r>
      <w:r>
        <w:rPr>
          <w:color w:val="auto"/>
          <w:highlight w:val="none"/>
        </w:rPr>
        <w:t>第四系孔隙潜水</w:t>
      </w:r>
      <w:r>
        <w:rPr>
          <w:rFonts w:hint="eastAsia"/>
          <w:color w:val="auto"/>
          <w:highlight w:val="none"/>
          <w:lang w:val="en-US" w:eastAsia="zh-CN"/>
        </w:rPr>
        <w:t>，分别位于本项目地下水流向侧游900m、侧游530m、下游1300m。</w:t>
      </w:r>
    </w:p>
    <w:p w14:paraId="2C99CD0B">
      <w:pPr>
        <w:pStyle w:val="59"/>
        <w:ind w:firstLine="480"/>
        <w:rPr>
          <w:color w:val="auto"/>
          <w:highlight w:val="none"/>
        </w:rPr>
      </w:pPr>
      <w:r>
        <w:rPr>
          <w:rFonts w:hint="eastAsia"/>
          <w:color w:val="auto"/>
          <w:highlight w:val="none"/>
        </w:rPr>
        <w:t>（</w:t>
      </w:r>
      <w:r>
        <w:rPr>
          <w:color w:val="auto"/>
          <w:highlight w:val="none"/>
        </w:rPr>
        <w:t>3</w:t>
      </w:r>
      <w:r>
        <w:rPr>
          <w:rFonts w:hint="eastAsia"/>
          <w:color w:val="auto"/>
          <w:highlight w:val="none"/>
        </w:rPr>
        <w:t>）本项目距离</w:t>
      </w:r>
      <w:r>
        <w:rPr>
          <w:rFonts w:hint="eastAsia"/>
          <w:color w:val="auto"/>
          <w:highlight w:val="none"/>
          <w:lang w:eastAsia="zh-CN"/>
        </w:rPr>
        <w:t>东</w:t>
      </w:r>
      <w:r>
        <w:rPr>
          <w:rFonts w:hint="eastAsia"/>
          <w:color w:val="auto"/>
          <w:highlight w:val="none"/>
        </w:rPr>
        <w:t>侧</w:t>
      </w:r>
      <w:r>
        <w:rPr>
          <w:rFonts w:hint="eastAsia"/>
          <w:color w:val="auto"/>
          <w:highlight w:val="none"/>
          <w:lang w:eastAsia="zh-CN"/>
        </w:rPr>
        <w:t>三新沟</w:t>
      </w:r>
      <w:r>
        <w:rPr>
          <w:rFonts w:hint="eastAsia"/>
          <w:color w:val="auto"/>
          <w:highlight w:val="none"/>
          <w:lang w:val="en-US" w:eastAsia="zh-CN"/>
        </w:rPr>
        <w:t>4</w:t>
      </w:r>
      <w:r>
        <w:rPr>
          <w:rFonts w:hint="eastAsia"/>
          <w:color w:val="auto"/>
          <w:highlight w:val="none"/>
        </w:rPr>
        <w:t>km，距离南侧穆棱河</w:t>
      </w:r>
      <w:r>
        <w:rPr>
          <w:rFonts w:hint="eastAsia"/>
          <w:color w:val="auto"/>
          <w:highlight w:val="none"/>
          <w:lang w:val="en-US" w:eastAsia="zh-CN"/>
        </w:rPr>
        <w:t>7</w:t>
      </w:r>
      <w:r>
        <w:rPr>
          <w:rFonts w:hint="eastAsia"/>
          <w:color w:val="auto"/>
          <w:highlight w:val="none"/>
        </w:rPr>
        <w:t>km。</w:t>
      </w:r>
    </w:p>
    <w:p w14:paraId="29A9C2B1">
      <w:pPr>
        <w:pStyle w:val="59"/>
        <w:ind w:firstLine="480"/>
        <w:rPr>
          <w:color w:val="auto"/>
          <w:highlight w:val="none"/>
        </w:rPr>
      </w:pPr>
      <w:r>
        <w:rPr>
          <w:rFonts w:hint="eastAsia"/>
          <w:color w:val="auto"/>
          <w:highlight w:val="none"/>
        </w:rPr>
        <w:t>（</w:t>
      </w:r>
      <w:r>
        <w:rPr>
          <w:color w:val="auto"/>
          <w:highlight w:val="none"/>
        </w:rPr>
        <w:t>4</w:t>
      </w:r>
      <w:r>
        <w:rPr>
          <w:rFonts w:hint="eastAsia"/>
          <w:color w:val="auto"/>
          <w:highlight w:val="none"/>
        </w:rPr>
        <w:t>）本项目评价范围内无森林公园、地质公园、天然林、野生动物重要栖息地、重点保护野生植物生长繁殖地，不涉及生态保护红线。</w:t>
      </w:r>
    </w:p>
    <w:p w14:paraId="6F79CCF0">
      <w:pPr>
        <w:pStyle w:val="59"/>
        <w:ind w:firstLine="480"/>
        <w:rPr>
          <w:rFonts w:hint="eastAsia" w:eastAsia="宋体"/>
          <w:snapToGrid w:val="0"/>
          <w:color w:val="auto"/>
          <w:kern w:val="0"/>
          <w:highlight w:val="none"/>
          <w:lang w:eastAsia="zh-CN"/>
        </w:rPr>
      </w:pPr>
      <w:r>
        <w:rPr>
          <w:rFonts w:hint="eastAsia"/>
          <w:color w:val="auto"/>
          <w:highlight w:val="none"/>
        </w:rPr>
        <w:t>（</w:t>
      </w:r>
      <w:r>
        <w:rPr>
          <w:color w:val="auto"/>
          <w:highlight w:val="none"/>
        </w:rPr>
        <w:t>5</w:t>
      </w:r>
      <w:r>
        <w:rPr>
          <w:rFonts w:hint="eastAsia"/>
          <w:color w:val="auto"/>
          <w:highlight w:val="none"/>
        </w:rPr>
        <w:t>）本项目评价范围5km内的大气环境保护目标为</w:t>
      </w:r>
      <w:r>
        <w:rPr>
          <w:rFonts w:hint="eastAsia"/>
          <w:color w:val="auto"/>
          <w:highlight w:val="none"/>
          <w:lang w:eastAsia="zh-CN"/>
        </w:rPr>
        <w:t>东海煤矿、兴富村、繁荣屯、郭家屯、新泉五队、泉眼屯、兴隆村、泉北屯、泉西屯、松树林屯</w:t>
      </w:r>
      <w:r>
        <w:rPr>
          <w:rFonts w:hint="eastAsia"/>
          <w:color w:val="auto"/>
          <w:highlight w:val="none"/>
        </w:rPr>
        <w:t>；场区周边2</w:t>
      </w:r>
      <w:r>
        <w:rPr>
          <w:color w:val="auto"/>
          <w:highlight w:val="none"/>
        </w:rPr>
        <w:t>00</w:t>
      </w:r>
      <w:r>
        <w:rPr>
          <w:rFonts w:hint="eastAsia"/>
          <w:color w:val="auto"/>
          <w:highlight w:val="none"/>
        </w:rPr>
        <w:t>m范围内无声环境保护目标</w:t>
      </w:r>
      <w:r>
        <w:rPr>
          <w:rFonts w:hint="eastAsia"/>
          <w:color w:val="auto"/>
          <w:highlight w:val="none"/>
          <w:lang w:eastAsia="zh-CN"/>
        </w:rPr>
        <w:t>。</w:t>
      </w:r>
    </w:p>
    <w:p w14:paraId="124E8FF8">
      <w:pPr>
        <w:pStyle w:val="18"/>
        <w:rPr>
          <w:color w:val="auto"/>
          <w:highlight w:val="none"/>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C88A599">
      <w:pPr>
        <w:pStyle w:val="759"/>
        <w:rPr>
          <w:color w:val="auto"/>
        </w:rPr>
      </w:pPr>
      <w:bookmarkStart w:id="138" w:name="_Toc477954569"/>
      <w:bookmarkStart w:id="139" w:name="_Toc494017090"/>
      <w:bookmarkStart w:id="140" w:name="_Toc119316804"/>
      <w:bookmarkStart w:id="141" w:name="_Toc149054208"/>
      <w:bookmarkStart w:id="142" w:name="_Toc488925382"/>
      <w:r>
        <w:rPr>
          <w:color w:val="auto"/>
        </w:rPr>
        <w:t>5环境影响预测与评价</w:t>
      </w:r>
      <w:bookmarkEnd w:id="138"/>
      <w:bookmarkEnd w:id="139"/>
      <w:bookmarkEnd w:id="140"/>
      <w:bookmarkEnd w:id="141"/>
      <w:bookmarkEnd w:id="142"/>
    </w:p>
    <w:p w14:paraId="73DF3B57">
      <w:pPr>
        <w:pStyle w:val="548"/>
        <w:rPr>
          <w:color w:val="auto"/>
        </w:rPr>
      </w:pPr>
      <w:bookmarkStart w:id="143" w:name="_Toc149054209"/>
      <w:bookmarkStart w:id="144" w:name="_Toc119316805"/>
      <w:bookmarkStart w:id="145" w:name="_Toc494017091"/>
      <w:r>
        <w:rPr>
          <w:color w:val="auto"/>
        </w:rPr>
        <w:t>5.1施工期环境影响分析</w:t>
      </w:r>
      <w:bookmarkEnd w:id="143"/>
      <w:bookmarkEnd w:id="144"/>
      <w:bookmarkEnd w:id="145"/>
    </w:p>
    <w:p w14:paraId="725351DB">
      <w:pPr>
        <w:pStyle w:val="137"/>
        <w:rPr>
          <w:color w:val="auto"/>
        </w:rPr>
      </w:pPr>
      <w:r>
        <w:rPr>
          <w:color w:val="auto"/>
        </w:rPr>
        <w:t>5.1.1施工期大气环境影响评价</w:t>
      </w:r>
    </w:p>
    <w:p w14:paraId="123C03BA">
      <w:pPr>
        <w:pStyle w:val="59"/>
        <w:ind w:firstLine="480"/>
        <w:rPr>
          <w:color w:val="auto"/>
        </w:rPr>
      </w:pPr>
      <w:r>
        <w:rPr>
          <w:color w:val="auto"/>
        </w:rPr>
        <w:t>施工期主要的废气为施工扬尘、燃油废气。建设施工过程中，场地平整、土方和建材运输装卸堆放、车辆行驶等作业环节，都会给周围环境空气带来污染。污染大气的主要因子是NO</w:t>
      </w:r>
      <w:r>
        <w:rPr>
          <w:color w:val="auto"/>
          <w:vertAlign w:val="subscript"/>
        </w:rPr>
        <w:t>2</w:t>
      </w:r>
      <w:r>
        <w:rPr>
          <w:color w:val="auto"/>
        </w:rPr>
        <w:t>、CO、SO</w:t>
      </w:r>
      <w:r>
        <w:rPr>
          <w:color w:val="auto"/>
          <w:vertAlign w:val="subscript"/>
        </w:rPr>
        <w:t>2</w:t>
      </w:r>
      <w:r>
        <w:rPr>
          <w:color w:val="auto"/>
        </w:rPr>
        <w:t>和扬尘等，尤其扬尘污染最为严重。</w:t>
      </w:r>
    </w:p>
    <w:p w14:paraId="53242085">
      <w:pPr>
        <w:spacing w:line="500" w:lineRule="exact"/>
        <w:ind w:firstLine="480" w:firstLineChars="200"/>
        <w:rPr>
          <w:color w:val="auto"/>
          <w:sz w:val="24"/>
          <w:szCs w:val="22"/>
        </w:rPr>
      </w:pPr>
      <w:r>
        <w:rPr>
          <w:rFonts w:hint="eastAsia"/>
          <w:color w:val="auto"/>
          <w:sz w:val="24"/>
          <w:szCs w:val="22"/>
        </w:rPr>
        <w:t>1、施工扬尘影响分析</w:t>
      </w:r>
    </w:p>
    <w:p w14:paraId="191D975F">
      <w:pPr>
        <w:spacing w:line="500" w:lineRule="exact"/>
        <w:ind w:firstLine="480" w:firstLineChars="200"/>
        <w:rPr>
          <w:color w:val="auto"/>
          <w:sz w:val="24"/>
          <w:szCs w:val="22"/>
        </w:rPr>
      </w:pPr>
      <w:r>
        <w:rPr>
          <w:color w:val="auto"/>
          <w:sz w:val="24"/>
          <w:szCs w:val="22"/>
        </w:rPr>
        <w:t>施工过程扬尘污染的危害不容忽视。在施工现场的作业人员，如长时间吸入大量微细尘埃，不但会引起各种呼吸道疾病，而且，扬尘会夹带大量的</w:t>
      </w:r>
      <w:r>
        <w:rPr>
          <w:rFonts w:hint="eastAsia"/>
          <w:color w:val="auto"/>
          <w:sz w:val="24"/>
          <w:szCs w:val="22"/>
        </w:rPr>
        <w:t>病原菌</w:t>
      </w:r>
      <w:r>
        <w:rPr>
          <w:color w:val="auto"/>
          <w:sz w:val="24"/>
          <w:szCs w:val="22"/>
        </w:rPr>
        <w:t>，还会传染其它各种疾病，严重威胁施工人员的身体健康。此外，扬尘飘落在各种建筑物和绿叶植被上，将会影响景观。</w:t>
      </w:r>
    </w:p>
    <w:p w14:paraId="729D066A">
      <w:pPr>
        <w:spacing w:line="500" w:lineRule="exact"/>
        <w:ind w:firstLine="480" w:firstLineChars="200"/>
        <w:rPr>
          <w:color w:val="auto"/>
          <w:sz w:val="24"/>
          <w:szCs w:val="22"/>
        </w:rPr>
      </w:pPr>
      <w:r>
        <w:rPr>
          <w:rFonts w:hint="eastAsia"/>
          <w:color w:val="auto"/>
          <w:sz w:val="24"/>
          <w:szCs w:val="22"/>
        </w:rPr>
        <w:t>项目施工期主要产尘点为：土方挖掘、堆放、清运、回填以及场地平整等过程中产生的粉尘；作业机械及运输车辆造成的地面扬尘；建筑粉料在装卸、运输、堆放等过程中的扬尘；施工垃圾在堆放、清运过程中的扬尘</w:t>
      </w:r>
      <w:r>
        <w:rPr>
          <w:color w:val="auto"/>
          <w:sz w:val="24"/>
          <w:szCs w:val="22"/>
        </w:rPr>
        <w:t>。按起尘的原因可分为风力起尘和动力起尘，其中风力起尘主要是由于露天堆放的建材(如沙土等)及裸露的施工区表层浮尘因天气干燥及大风，产生风尘扬尘；而动力起尘，主要是在</w:t>
      </w:r>
      <w:r>
        <w:rPr>
          <w:rFonts w:hint="eastAsia"/>
          <w:color w:val="auto"/>
          <w:sz w:val="24"/>
          <w:szCs w:val="22"/>
        </w:rPr>
        <w:t>材料</w:t>
      </w:r>
      <w:r>
        <w:rPr>
          <w:color w:val="auto"/>
          <w:sz w:val="24"/>
          <w:szCs w:val="22"/>
        </w:rPr>
        <w:t>的装卸、搅拌过程中，由于外力而产生的尘粒再悬浮而造成，其中施工及装卸车辆造成的扬尘最为严重。据有关文献资料介绍，车辆行驶产生的扬尘占总扬尘的60</w:t>
      </w:r>
      <w:r>
        <w:rPr>
          <w:rFonts w:hint="eastAsia"/>
          <w:color w:val="auto"/>
          <w:sz w:val="24"/>
          <w:szCs w:val="22"/>
          <w:lang w:eastAsia="zh-CN"/>
        </w:rPr>
        <w:t>%以</w:t>
      </w:r>
      <w:r>
        <w:rPr>
          <w:color w:val="auto"/>
          <w:sz w:val="24"/>
          <w:szCs w:val="22"/>
        </w:rPr>
        <w:t>上。不同车速和地面清洁程度的汽车扬尘产生情况见表5-1-1。</w:t>
      </w:r>
    </w:p>
    <w:p w14:paraId="3961DF37">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表5-1-1不同车速和地面清洁程度的汽车扬尘      单位：kg/辆·km</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8"/>
        <w:gridCol w:w="1183"/>
        <w:gridCol w:w="1183"/>
        <w:gridCol w:w="1181"/>
        <w:gridCol w:w="1181"/>
        <w:gridCol w:w="1181"/>
        <w:gridCol w:w="1179"/>
      </w:tblGrid>
      <w:tr w14:paraId="5C56E9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shd w:val="clear" w:color="auto" w:fill="auto"/>
            <w:vAlign w:val="center"/>
          </w:tcPr>
          <w:p w14:paraId="2485BF1C">
            <w:pPr>
              <w:jc w:val="center"/>
              <w:rPr>
                <w:color w:val="auto"/>
                <w:szCs w:val="22"/>
                <w:lang w:val="zh-CN"/>
              </w:rPr>
            </w:pPr>
            <w:r>
              <w:rPr>
                <w:color w:val="auto"/>
                <w:szCs w:val="22"/>
                <w:lang w:val="zh-CN"/>
              </w:rPr>
              <w:t xml:space="preserve"> P(kg/m</w:t>
            </w:r>
            <w:r>
              <w:rPr>
                <w:color w:val="auto"/>
                <w:szCs w:val="22"/>
                <w:vertAlign w:val="superscript"/>
                <w:lang w:val="zh-CN"/>
              </w:rPr>
              <w:t>2</w:t>
            </w:r>
            <w:r>
              <w:rPr>
                <w:color w:val="auto"/>
                <w:szCs w:val="22"/>
                <w:lang w:val="zh-CN"/>
              </w:rPr>
              <w:t>)</w:t>
            </w:r>
          </w:p>
          <w:p w14:paraId="028C3460">
            <w:pPr>
              <w:jc w:val="center"/>
              <w:rPr>
                <w:color w:val="auto"/>
                <w:szCs w:val="22"/>
                <w:lang w:val="zh-CN"/>
              </w:rPr>
            </w:pPr>
            <w:r>
              <w:rPr>
                <w:color w:val="auto"/>
                <w:szCs w:val="22"/>
                <w:lang w:val="zh-CN"/>
              </w:rPr>
              <w:t>车速</w:t>
            </w:r>
          </w:p>
        </w:tc>
        <w:tc>
          <w:tcPr>
            <w:tcW w:w="712" w:type="pct"/>
            <w:shd w:val="clear" w:color="auto" w:fill="auto"/>
            <w:vAlign w:val="center"/>
          </w:tcPr>
          <w:p w14:paraId="35877454">
            <w:pPr>
              <w:jc w:val="center"/>
              <w:rPr>
                <w:color w:val="auto"/>
                <w:szCs w:val="22"/>
                <w:lang w:val="zh-CN"/>
              </w:rPr>
            </w:pPr>
            <w:r>
              <w:rPr>
                <w:color w:val="auto"/>
                <w:szCs w:val="22"/>
                <w:lang w:val="zh-CN"/>
              </w:rPr>
              <w:t>0.1</w:t>
            </w:r>
          </w:p>
        </w:tc>
        <w:tc>
          <w:tcPr>
            <w:tcW w:w="712" w:type="pct"/>
            <w:shd w:val="clear" w:color="auto" w:fill="auto"/>
            <w:vAlign w:val="center"/>
          </w:tcPr>
          <w:p w14:paraId="767D8C39">
            <w:pPr>
              <w:jc w:val="center"/>
              <w:rPr>
                <w:color w:val="auto"/>
                <w:szCs w:val="22"/>
                <w:lang w:val="zh-CN"/>
              </w:rPr>
            </w:pPr>
            <w:r>
              <w:rPr>
                <w:color w:val="auto"/>
                <w:szCs w:val="22"/>
                <w:lang w:val="zh-CN"/>
              </w:rPr>
              <w:t>0.2</w:t>
            </w:r>
          </w:p>
        </w:tc>
        <w:tc>
          <w:tcPr>
            <w:tcW w:w="711" w:type="pct"/>
            <w:shd w:val="clear" w:color="auto" w:fill="auto"/>
            <w:vAlign w:val="center"/>
          </w:tcPr>
          <w:p w14:paraId="0243695D">
            <w:pPr>
              <w:jc w:val="center"/>
              <w:rPr>
                <w:color w:val="auto"/>
                <w:szCs w:val="22"/>
                <w:lang w:val="zh-CN"/>
              </w:rPr>
            </w:pPr>
            <w:r>
              <w:rPr>
                <w:color w:val="auto"/>
                <w:szCs w:val="22"/>
                <w:lang w:val="zh-CN"/>
              </w:rPr>
              <w:t>0.3</w:t>
            </w:r>
          </w:p>
        </w:tc>
        <w:tc>
          <w:tcPr>
            <w:tcW w:w="711" w:type="pct"/>
            <w:shd w:val="clear" w:color="auto" w:fill="auto"/>
            <w:vAlign w:val="center"/>
          </w:tcPr>
          <w:p w14:paraId="1F0E4A77">
            <w:pPr>
              <w:jc w:val="center"/>
              <w:rPr>
                <w:color w:val="auto"/>
                <w:szCs w:val="22"/>
                <w:lang w:val="zh-CN"/>
              </w:rPr>
            </w:pPr>
            <w:r>
              <w:rPr>
                <w:color w:val="auto"/>
                <w:szCs w:val="22"/>
                <w:lang w:val="zh-CN"/>
              </w:rPr>
              <w:t>0.4</w:t>
            </w:r>
          </w:p>
        </w:tc>
        <w:tc>
          <w:tcPr>
            <w:tcW w:w="711" w:type="pct"/>
            <w:shd w:val="clear" w:color="auto" w:fill="auto"/>
            <w:vAlign w:val="center"/>
          </w:tcPr>
          <w:p w14:paraId="220BD617">
            <w:pPr>
              <w:jc w:val="center"/>
              <w:rPr>
                <w:color w:val="auto"/>
                <w:szCs w:val="22"/>
                <w:lang w:val="zh-CN"/>
              </w:rPr>
            </w:pPr>
            <w:r>
              <w:rPr>
                <w:color w:val="auto"/>
                <w:szCs w:val="22"/>
                <w:lang w:val="zh-CN"/>
              </w:rPr>
              <w:t>0.5</w:t>
            </w:r>
          </w:p>
        </w:tc>
        <w:tc>
          <w:tcPr>
            <w:tcW w:w="711" w:type="pct"/>
            <w:shd w:val="clear" w:color="auto" w:fill="auto"/>
            <w:vAlign w:val="center"/>
          </w:tcPr>
          <w:p w14:paraId="792C65D4">
            <w:pPr>
              <w:jc w:val="center"/>
              <w:rPr>
                <w:color w:val="auto"/>
                <w:szCs w:val="22"/>
                <w:lang w:val="zh-CN"/>
              </w:rPr>
            </w:pPr>
            <w:r>
              <w:rPr>
                <w:color w:val="auto"/>
                <w:szCs w:val="22"/>
                <w:lang w:val="zh-CN"/>
              </w:rPr>
              <w:t>1.0</w:t>
            </w:r>
          </w:p>
        </w:tc>
      </w:tr>
      <w:tr w14:paraId="301725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shd w:val="clear" w:color="auto" w:fill="auto"/>
            <w:vAlign w:val="center"/>
          </w:tcPr>
          <w:p w14:paraId="092F3731">
            <w:pPr>
              <w:jc w:val="center"/>
              <w:rPr>
                <w:color w:val="auto"/>
                <w:szCs w:val="22"/>
                <w:lang w:val="zh-CN"/>
              </w:rPr>
            </w:pPr>
            <w:r>
              <w:rPr>
                <w:color w:val="auto"/>
                <w:szCs w:val="22"/>
                <w:lang w:val="zh-CN"/>
              </w:rPr>
              <w:t>5(km/hr)</w:t>
            </w:r>
          </w:p>
        </w:tc>
        <w:tc>
          <w:tcPr>
            <w:tcW w:w="712" w:type="pct"/>
            <w:shd w:val="clear" w:color="auto" w:fill="auto"/>
            <w:vAlign w:val="center"/>
          </w:tcPr>
          <w:p w14:paraId="372A6946">
            <w:pPr>
              <w:jc w:val="center"/>
              <w:rPr>
                <w:color w:val="auto"/>
                <w:szCs w:val="22"/>
                <w:lang w:val="zh-CN"/>
              </w:rPr>
            </w:pPr>
            <w:r>
              <w:rPr>
                <w:color w:val="auto"/>
                <w:szCs w:val="22"/>
                <w:lang w:val="zh-CN"/>
              </w:rPr>
              <w:t>0.051056</w:t>
            </w:r>
          </w:p>
        </w:tc>
        <w:tc>
          <w:tcPr>
            <w:tcW w:w="712" w:type="pct"/>
            <w:shd w:val="clear" w:color="auto" w:fill="auto"/>
            <w:vAlign w:val="center"/>
          </w:tcPr>
          <w:p w14:paraId="393895F2">
            <w:pPr>
              <w:jc w:val="center"/>
              <w:rPr>
                <w:color w:val="auto"/>
                <w:szCs w:val="22"/>
                <w:lang w:val="zh-CN"/>
              </w:rPr>
            </w:pPr>
            <w:r>
              <w:rPr>
                <w:color w:val="auto"/>
                <w:szCs w:val="22"/>
                <w:lang w:val="zh-CN"/>
              </w:rPr>
              <w:t>0.085865</w:t>
            </w:r>
          </w:p>
        </w:tc>
        <w:tc>
          <w:tcPr>
            <w:tcW w:w="711" w:type="pct"/>
            <w:shd w:val="clear" w:color="auto" w:fill="auto"/>
            <w:vAlign w:val="center"/>
          </w:tcPr>
          <w:p w14:paraId="15C20018">
            <w:pPr>
              <w:jc w:val="center"/>
              <w:rPr>
                <w:color w:val="auto"/>
                <w:szCs w:val="22"/>
                <w:lang w:val="zh-CN"/>
              </w:rPr>
            </w:pPr>
            <w:r>
              <w:rPr>
                <w:color w:val="auto"/>
                <w:szCs w:val="22"/>
                <w:lang w:val="zh-CN"/>
              </w:rPr>
              <w:t>0.116382</w:t>
            </w:r>
          </w:p>
        </w:tc>
        <w:tc>
          <w:tcPr>
            <w:tcW w:w="711" w:type="pct"/>
            <w:shd w:val="clear" w:color="auto" w:fill="auto"/>
            <w:vAlign w:val="center"/>
          </w:tcPr>
          <w:p w14:paraId="1E40DA15">
            <w:pPr>
              <w:jc w:val="center"/>
              <w:rPr>
                <w:color w:val="auto"/>
                <w:szCs w:val="22"/>
                <w:lang w:val="zh-CN"/>
              </w:rPr>
            </w:pPr>
            <w:r>
              <w:rPr>
                <w:color w:val="auto"/>
                <w:szCs w:val="22"/>
                <w:lang w:val="zh-CN"/>
              </w:rPr>
              <w:t>0.144408</w:t>
            </w:r>
          </w:p>
        </w:tc>
        <w:tc>
          <w:tcPr>
            <w:tcW w:w="711" w:type="pct"/>
            <w:shd w:val="clear" w:color="auto" w:fill="auto"/>
            <w:vAlign w:val="center"/>
          </w:tcPr>
          <w:p w14:paraId="50243578">
            <w:pPr>
              <w:jc w:val="center"/>
              <w:rPr>
                <w:color w:val="auto"/>
                <w:szCs w:val="22"/>
                <w:lang w:val="zh-CN"/>
              </w:rPr>
            </w:pPr>
            <w:r>
              <w:rPr>
                <w:color w:val="auto"/>
                <w:szCs w:val="22"/>
                <w:lang w:val="zh-CN"/>
              </w:rPr>
              <w:t>0.170715</w:t>
            </w:r>
          </w:p>
        </w:tc>
        <w:tc>
          <w:tcPr>
            <w:tcW w:w="711" w:type="pct"/>
            <w:shd w:val="clear" w:color="auto" w:fill="auto"/>
            <w:vAlign w:val="center"/>
          </w:tcPr>
          <w:p w14:paraId="0052DCBC">
            <w:pPr>
              <w:jc w:val="center"/>
              <w:rPr>
                <w:color w:val="auto"/>
                <w:szCs w:val="22"/>
                <w:lang w:val="zh-CN"/>
              </w:rPr>
            </w:pPr>
            <w:r>
              <w:rPr>
                <w:color w:val="auto"/>
                <w:szCs w:val="22"/>
                <w:lang w:val="zh-CN"/>
              </w:rPr>
              <w:t>0.287108</w:t>
            </w:r>
          </w:p>
        </w:tc>
      </w:tr>
      <w:tr w14:paraId="35163D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shd w:val="clear" w:color="auto" w:fill="auto"/>
            <w:vAlign w:val="center"/>
          </w:tcPr>
          <w:p w14:paraId="29F4B5AC">
            <w:pPr>
              <w:jc w:val="center"/>
              <w:rPr>
                <w:color w:val="auto"/>
                <w:szCs w:val="22"/>
                <w:lang w:val="zh-CN"/>
              </w:rPr>
            </w:pPr>
            <w:r>
              <w:rPr>
                <w:color w:val="auto"/>
                <w:szCs w:val="22"/>
                <w:lang w:val="zh-CN"/>
              </w:rPr>
              <w:t>10(km/hr)</w:t>
            </w:r>
          </w:p>
        </w:tc>
        <w:tc>
          <w:tcPr>
            <w:tcW w:w="712" w:type="pct"/>
            <w:shd w:val="clear" w:color="auto" w:fill="auto"/>
            <w:vAlign w:val="center"/>
          </w:tcPr>
          <w:p w14:paraId="6154EDCB">
            <w:pPr>
              <w:jc w:val="center"/>
              <w:rPr>
                <w:color w:val="auto"/>
                <w:szCs w:val="22"/>
                <w:lang w:val="zh-CN"/>
              </w:rPr>
            </w:pPr>
            <w:r>
              <w:rPr>
                <w:color w:val="auto"/>
                <w:szCs w:val="22"/>
                <w:lang w:val="zh-CN"/>
              </w:rPr>
              <w:t>0.102112</w:t>
            </w:r>
          </w:p>
        </w:tc>
        <w:tc>
          <w:tcPr>
            <w:tcW w:w="712" w:type="pct"/>
            <w:shd w:val="clear" w:color="auto" w:fill="auto"/>
            <w:vAlign w:val="center"/>
          </w:tcPr>
          <w:p w14:paraId="11E2389C">
            <w:pPr>
              <w:jc w:val="center"/>
              <w:rPr>
                <w:color w:val="auto"/>
                <w:szCs w:val="22"/>
                <w:lang w:val="zh-CN"/>
              </w:rPr>
            </w:pPr>
            <w:r>
              <w:rPr>
                <w:color w:val="auto"/>
                <w:szCs w:val="22"/>
                <w:lang w:val="zh-CN"/>
              </w:rPr>
              <w:t>0.171731</w:t>
            </w:r>
          </w:p>
        </w:tc>
        <w:tc>
          <w:tcPr>
            <w:tcW w:w="711" w:type="pct"/>
            <w:shd w:val="clear" w:color="auto" w:fill="auto"/>
            <w:vAlign w:val="center"/>
          </w:tcPr>
          <w:p w14:paraId="3CFC0945">
            <w:pPr>
              <w:jc w:val="center"/>
              <w:rPr>
                <w:color w:val="auto"/>
                <w:szCs w:val="22"/>
                <w:lang w:val="zh-CN"/>
              </w:rPr>
            </w:pPr>
            <w:r>
              <w:rPr>
                <w:color w:val="auto"/>
                <w:szCs w:val="22"/>
                <w:lang w:val="zh-CN"/>
              </w:rPr>
              <w:t>0.232764</w:t>
            </w:r>
          </w:p>
        </w:tc>
        <w:tc>
          <w:tcPr>
            <w:tcW w:w="711" w:type="pct"/>
            <w:shd w:val="clear" w:color="auto" w:fill="auto"/>
            <w:vAlign w:val="center"/>
          </w:tcPr>
          <w:p w14:paraId="07F4E310">
            <w:pPr>
              <w:jc w:val="center"/>
              <w:rPr>
                <w:color w:val="auto"/>
                <w:szCs w:val="22"/>
                <w:lang w:val="zh-CN"/>
              </w:rPr>
            </w:pPr>
            <w:r>
              <w:rPr>
                <w:color w:val="auto"/>
                <w:szCs w:val="22"/>
                <w:lang w:val="zh-CN"/>
              </w:rPr>
              <w:t>0.288815</w:t>
            </w:r>
          </w:p>
        </w:tc>
        <w:tc>
          <w:tcPr>
            <w:tcW w:w="711" w:type="pct"/>
            <w:shd w:val="clear" w:color="auto" w:fill="auto"/>
            <w:vAlign w:val="center"/>
          </w:tcPr>
          <w:p w14:paraId="7E3CA346">
            <w:pPr>
              <w:jc w:val="center"/>
              <w:rPr>
                <w:color w:val="auto"/>
                <w:szCs w:val="22"/>
                <w:lang w:val="zh-CN"/>
              </w:rPr>
            </w:pPr>
            <w:r>
              <w:rPr>
                <w:color w:val="auto"/>
                <w:szCs w:val="22"/>
                <w:lang w:val="zh-CN"/>
              </w:rPr>
              <w:t>0.341431</w:t>
            </w:r>
          </w:p>
        </w:tc>
        <w:tc>
          <w:tcPr>
            <w:tcW w:w="711" w:type="pct"/>
            <w:shd w:val="clear" w:color="auto" w:fill="auto"/>
            <w:vAlign w:val="center"/>
          </w:tcPr>
          <w:p w14:paraId="093D1C03">
            <w:pPr>
              <w:jc w:val="center"/>
              <w:rPr>
                <w:color w:val="auto"/>
                <w:szCs w:val="22"/>
                <w:lang w:val="zh-CN"/>
              </w:rPr>
            </w:pPr>
            <w:r>
              <w:rPr>
                <w:color w:val="auto"/>
                <w:szCs w:val="22"/>
                <w:lang w:val="zh-CN"/>
              </w:rPr>
              <w:t>0.574216</w:t>
            </w:r>
          </w:p>
        </w:tc>
      </w:tr>
      <w:tr w14:paraId="4975A3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shd w:val="clear" w:color="auto" w:fill="auto"/>
            <w:vAlign w:val="center"/>
          </w:tcPr>
          <w:p w14:paraId="6065E61A">
            <w:pPr>
              <w:jc w:val="center"/>
              <w:rPr>
                <w:color w:val="auto"/>
                <w:szCs w:val="22"/>
                <w:lang w:val="zh-CN"/>
              </w:rPr>
            </w:pPr>
            <w:r>
              <w:rPr>
                <w:color w:val="auto"/>
                <w:szCs w:val="22"/>
                <w:lang w:val="zh-CN"/>
              </w:rPr>
              <w:t>15(km/hr)</w:t>
            </w:r>
          </w:p>
        </w:tc>
        <w:tc>
          <w:tcPr>
            <w:tcW w:w="712" w:type="pct"/>
            <w:shd w:val="clear" w:color="auto" w:fill="auto"/>
            <w:vAlign w:val="center"/>
          </w:tcPr>
          <w:p w14:paraId="0A84699E">
            <w:pPr>
              <w:jc w:val="center"/>
              <w:rPr>
                <w:color w:val="auto"/>
                <w:szCs w:val="22"/>
                <w:lang w:val="zh-CN"/>
              </w:rPr>
            </w:pPr>
            <w:r>
              <w:rPr>
                <w:color w:val="auto"/>
                <w:szCs w:val="22"/>
                <w:lang w:val="zh-CN"/>
              </w:rPr>
              <w:t>0.153167</w:t>
            </w:r>
          </w:p>
        </w:tc>
        <w:tc>
          <w:tcPr>
            <w:tcW w:w="712" w:type="pct"/>
            <w:shd w:val="clear" w:color="auto" w:fill="auto"/>
            <w:vAlign w:val="center"/>
          </w:tcPr>
          <w:p w14:paraId="1F96A7A3">
            <w:pPr>
              <w:jc w:val="center"/>
              <w:rPr>
                <w:color w:val="auto"/>
                <w:szCs w:val="22"/>
                <w:lang w:val="zh-CN"/>
              </w:rPr>
            </w:pPr>
            <w:r>
              <w:rPr>
                <w:color w:val="auto"/>
                <w:szCs w:val="22"/>
                <w:lang w:val="zh-CN"/>
              </w:rPr>
              <w:t>0.257596</w:t>
            </w:r>
          </w:p>
        </w:tc>
        <w:tc>
          <w:tcPr>
            <w:tcW w:w="711" w:type="pct"/>
            <w:shd w:val="clear" w:color="auto" w:fill="auto"/>
            <w:vAlign w:val="center"/>
          </w:tcPr>
          <w:p w14:paraId="62B9E719">
            <w:pPr>
              <w:jc w:val="center"/>
              <w:rPr>
                <w:color w:val="auto"/>
                <w:szCs w:val="22"/>
                <w:lang w:val="zh-CN"/>
              </w:rPr>
            </w:pPr>
            <w:r>
              <w:rPr>
                <w:color w:val="auto"/>
                <w:szCs w:val="22"/>
                <w:lang w:val="zh-CN"/>
              </w:rPr>
              <w:t>0.349146</w:t>
            </w:r>
          </w:p>
        </w:tc>
        <w:tc>
          <w:tcPr>
            <w:tcW w:w="711" w:type="pct"/>
            <w:shd w:val="clear" w:color="auto" w:fill="auto"/>
            <w:vAlign w:val="center"/>
          </w:tcPr>
          <w:p w14:paraId="01ED66B3">
            <w:pPr>
              <w:jc w:val="center"/>
              <w:rPr>
                <w:color w:val="auto"/>
                <w:szCs w:val="22"/>
                <w:lang w:val="zh-CN"/>
              </w:rPr>
            </w:pPr>
            <w:r>
              <w:rPr>
                <w:color w:val="auto"/>
                <w:szCs w:val="22"/>
                <w:lang w:val="zh-CN"/>
              </w:rPr>
              <w:t>0.433223</w:t>
            </w:r>
          </w:p>
        </w:tc>
        <w:tc>
          <w:tcPr>
            <w:tcW w:w="711" w:type="pct"/>
            <w:shd w:val="clear" w:color="auto" w:fill="auto"/>
            <w:vAlign w:val="center"/>
          </w:tcPr>
          <w:p w14:paraId="41E49553">
            <w:pPr>
              <w:jc w:val="center"/>
              <w:rPr>
                <w:color w:val="auto"/>
                <w:szCs w:val="22"/>
                <w:lang w:val="zh-CN"/>
              </w:rPr>
            </w:pPr>
            <w:r>
              <w:rPr>
                <w:color w:val="auto"/>
                <w:szCs w:val="22"/>
                <w:lang w:val="zh-CN"/>
              </w:rPr>
              <w:t>0.512146</w:t>
            </w:r>
          </w:p>
        </w:tc>
        <w:tc>
          <w:tcPr>
            <w:tcW w:w="711" w:type="pct"/>
            <w:shd w:val="clear" w:color="auto" w:fill="auto"/>
            <w:vAlign w:val="center"/>
          </w:tcPr>
          <w:p w14:paraId="1A6852DE">
            <w:pPr>
              <w:jc w:val="center"/>
              <w:rPr>
                <w:color w:val="auto"/>
                <w:szCs w:val="22"/>
                <w:lang w:val="zh-CN"/>
              </w:rPr>
            </w:pPr>
            <w:r>
              <w:rPr>
                <w:color w:val="auto"/>
                <w:szCs w:val="22"/>
                <w:lang w:val="zh-CN"/>
              </w:rPr>
              <w:t>0.861323</w:t>
            </w:r>
          </w:p>
        </w:tc>
      </w:tr>
      <w:tr w14:paraId="0CBD5A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shd w:val="clear" w:color="auto" w:fill="auto"/>
            <w:vAlign w:val="center"/>
          </w:tcPr>
          <w:p w14:paraId="0178F988">
            <w:pPr>
              <w:jc w:val="center"/>
              <w:rPr>
                <w:color w:val="auto"/>
                <w:szCs w:val="22"/>
                <w:lang w:val="zh-CN"/>
              </w:rPr>
            </w:pPr>
            <w:r>
              <w:rPr>
                <w:color w:val="auto"/>
                <w:szCs w:val="22"/>
                <w:lang w:val="zh-CN"/>
              </w:rPr>
              <w:t>25(km/hr)</w:t>
            </w:r>
          </w:p>
        </w:tc>
        <w:tc>
          <w:tcPr>
            <w:tcW w:w="712" w:type="pct"/>
            <w:shd w:val="clear" w:color="auto" w:fill="auto"/>
            <w:vAlign w:val="center"/>
          </w:tcPr>
          <w:p w14:paraId="73AA59F1">
            <w:pPr>
              <w:jc w:val="center"/>
              <w:rPr>
                <w:color w:val="auto"/>
                <w:szCs w:val="22"/>
                <w:lang w:val="zh-CN"/>
              </w:rPr>
            </w:pPr>
            <w:r>
              <w:rPr>
                <w:color w:val="auto"/>
                <w:szCs w:val="22"/>
                <w:lang w:val="zh-CN"/>
              </w:rPr>
              <w:t>0.255279</w:t>
            </w:r>
          </w:p>
        </w:tc>
        <w:tc>
          <w:tcPr>
            <w:tcW w:w="712" w:type="pct"/>
            <w:shd w:val="clear" w:color="auto" w:fill="auto"/>
            <w:vAlign w:val="center"/>
          </w:tcPr>
          <w:p w14:paraId="6D2034A3">
            <w:pPr>
              <w:jc w:val="center"/>
              <w:rPr>
                <w:color w:val="auto"/>
                <w:szCs w:val="22"/>
                <w:lang w:val="zh-CN"/>
              </w:rPr>
            </w:pPr>
            <w:r>
              <w:rPr>
                <w:color w:val="auto"/>
                <w:szCs w:val="22"/>
                <w:lang w:val="zh-CN"/>
              </w:rPr>
              <w:t>0.429326</w:t>
            </w:r>
          </w:p>
        </w:tc>
        <w:tc>
          <w:tcPr>
            <w:tcW w:w="711" w:type="pct"/>
            <w:shd w:val="clear" w:color="auto" w:fill="auto"/>
            <w:vAlign w:val="center"/>
          </w:tcPr>
          <w:p w14:paraId="6EB3D04B">
            <w:pPr>
              <w:jc w:val="center"/>
              <w:rPr>
                <w:color w:val="auto"/>
                <w:szCs w:val="22"/>
                <w:lang w:val="zh-CN"/>
              </w:rPr>
            </w:pPr>
            <w:r>
              <w:rPr>
                <w:color w:val="auto"/>
                <w:szCs w:val="22"/>
                <w:lang w:val="zh-CN"/>
              </w:rPr>
              <w:t>0.58191</w:t>
            </w:r>
          </w:p>
        </w:tc>
        <w:tc>
          <w:tcPr>
            <w:tcW w:w="711" w:type="pct"/>
            <w:shd w:val="clear" w:color="auto" w:fill="auto"/>
            <w:vAlign w:val="center"/>
          </w:tcPr>
          <w:p w14:paraId="325B714B">
            <w:pPr>
              <w:jc w:val="center"/>
              <w:rPr>
                <w:color w:val="auto"/>
                <w:szCs w:val="22"/>
                <w:lang w:val="zh-CN"/>
              </w:rPr>
            </w:pPr>
            <w:r>
              <w:rPr>
                <w:color w:val="auto"/>
                <w:szCs w:val="22"/>
                <w:lang w:val="zh-CN"/>
              </w:rPr>
              <w:t>0.722038</w:t>
            </w:r>
          </w:p>
        </w:tc>
        <w:tc>
          <w:tcPr>
            <w:tcW w:w="711" w:type="pct"/>
            <w:shd w:val="clear" w:color="auto" w:fill="auto"/>
            <w:vAlign w:val="center"/>
          </w:tcPr>
          <w:p w14:paraId="418CA923">
            <w:pPr>
              <w:jc w:val="center"/>
              <w:rPr>
                <w:color w:val="auto"/>
                <w:szCs w:val="22"/>
                <w:lang w:val="zh-CN"/>
              </w:rPr>
            </w:pPr>
            <w:r>
              <w:rPr>
                <w:color w:val="auto"/>
                <w:szCs w:val="22"/>
                <w:lang w:val="zh-CN"/>
              </w:rPr>
              <w:t>0.853577</w:t>
            </w:r>
          </w:p>
        </w:tc>
        <w:tc>
          <w:tcPr>
            <w:tcW w:w="711" w:type="pct"/>
            <w:shd w:val="clear" w:color="auto" w:fill="auto"/>
            <w:vAlign w:val="center"/>
          </w:tcPr>
          <w:p w14:paraId="35DFEDBE">
            <w:pPr>
              <w:jc w:val="center"/>
              <w:rPr>
                <w:color w:val="auto"/>
                <w:szCs w:val="22"/>
                <w:lang w:val="zh-CN"/>
              </w:rPr>
            </w:pPr>
            <w:r>
              <w:rPr>
                <w:color w:val="auto"/>
                <w:szCs w:val="22"/>
                <w:lang w:val="zh-CN"/>
              </w:rPr>
              <w:t>1.435539</w:t>
            </w:r>
          </w:p>
        </w:tc>
      </w:tr>
    </w:tbl>
    <w:p w14:paraId="1C66E5FD">
      <w:pPr>
        <w:spacing w:line="500" w:lineRule="exact"/>
        <w:ind w:firstLine="480" w:firstLineChars="200"/>
        <w:rPr>
          <w:color w:val="auto"/>
          <w:sz w:val="24"/>
          <w:szCs w:val="22"/>
        </w:rPr>
      </w:pPr>
      <w:r>
        <w:rPr>
          <w:color w:val="auto"/>
          <w:sz w:val="24"/>
          <w:szCs w:val="22"/>
        </w:rPr>
        <w:t>施工期扬尘的另一个主要原因是露天堆场和裸露场地的风力扬尘。由于施工的需要，一些建材需露天堆放；一些施工点表层土壤需人工开挖、堆放，在气候干燥又有风的情况下，会产生扬尘。不同粒径尘粒的沉降速度见表5-1-2。</w:t>
      </w:r>
    </w:p>
    <w:p w14:paraId="6C19B17D">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表5-1-2不同粒径尘粒的沉降速度</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827"/>
        <w:gridCol w:w="925"/>
        <w:gridCol w:w="925"/>
        <w:gridCol w:w="925"/>
        <w:gridCol w:w="925"/>
        <w:gridCol w:w="925"/>
        <w:gridCol w:w="926"/>
        <w:gridCol w:w="928"/>
      </w:tblGrid>
      <w:tr w14:paraId="02E439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0" w:type="pct"/>
            <w:shd w:val="clear" w:color="auto" w:fill="auto"/>
            <w:vAlign w:val="center"/>
          </w:tcPr>
          <w:p w14:paraId="3885EA1F">
            <w:pPr>
              <w:jc w:val="center"/>
              <w:rPr>
                <w:color w:val="auto"/>
                <w:szCs w:val="22"/>
                <w:lang w:val="zh-CN"/>
              </w:rPr>
            </w:pPr>
            <w:r>
              <w:rPr>
                <w:color w:val="auto"/>
                <w:szCs w:val="22"/>
                <w:lang w:val="zh-CN"/>
              </w:rPr>
              <w:t>粒径（μm）</w:t>
            </w:r>
          </w:p>
        </w:tc>
        <w:tc>
          <w:tcPr>
            <w:tcW w:w="557" w:type="pct"/>
            <w:shd w:val="clear" w:color="auto" w:fill="auto"/>
            <w:vAlign w:val="center"/>
          </w:tcPr>
          <w:p w14:paraId="7A9DC7BD">
            <w:pPr>
              <w:jc w:val="center"/>
              <w:rPr>
                <w:color w:val="auto"/>
                <w:szCs w:val="22"/>
                <w:lang w:val="zh-CN"/>
              </w:rPr>
            </w:pPr>
            <w:r>
              <w:rPr>
                <w:color w:val="auto"/>
                <w:szCs w:val="22"/>
                <w:lang w:val="zh-CN"/>
              </w:rPr>
              <w:t>10</w:t>
            </w:r>
          </w:p>
        </w:tc>
        <w:tc>
          <w:tcPr>
            <w:tcW w:w="557" w:type="pct"/>
            <w:shd w:val="clear" w:color="auto" w:fill="auto"/>
            <w:vAlign w:val="center"/>
          </w:tcPr>
          <w:p w14:paraId="47697C1E">
            <w:pPr>
              <w:jc w:val="center"/>
              <w:rPr>
                <w:color w:val="auto"/>
                <w:szCs w:val="22"/>
                <w:lang w:val="zh-CN"/>
              </w:rPr>
            </w:pPr>
            <w:r>
              <w:rPr>
                <w:color w:val="auto"/>
                <w:szCs w:val="22"/>
                <w:lang w:val="zh-CN"/>
              </w:rPr>
              <w:t>20</w:t>
            </w:r>
          </w:p>
        </w:tc>
        <w:tc>
          <w:tcPr>
            <w:tcW w:w="557" w:type="pct"/>
            <w:shd w:val="clear" w:color="auto" w:fill="auto"/>
            <w:vAlign w:val="center"/>
          </w:tcPr>
          <w:p w14:paraId="11CB3A26">
            <w:pPr>
              <w:jc w:val="center"/>
              <w:rPr>
                <w:color w:val="auto"/>
                <w:szCs w:val="22"/>
                <w:lang w:val="zh-CN"/>
              </w:rPr>
            </w:pPr>
            <w:r>
              <w:rPr>
                <w:color w:val="auto"/>
                <w:szCs w:val="22"/>
                <w:lang w:val="zh-CN"/>
              </w:rPr>
              <w:t>30</w:t>
            </w:r>
          </w:p>
        </w:tc>
        <w:tc>
          <w:tcPr>
            <w:tcW w:w="557" w:type="pct"/>
            <w:shd w:val="clear" w:color="auto" w:fill="auto"/>
            <w:vAlign w:val="center"/>
          </w:tcPr>
          <w:p w14:paraId="5F72D6FA">
            <w:pPr>
              <w:jc w:val="center"/>
              <w:rPr>
                <w:color w:val="auto"/>
                <w:szCs w:val="22"/>
                <w:lang w:val="zh-CN"/>
              </w:rPr>
            </w:pPr>
            <w:r>
              <w:rPr>
                <w:color w:val="auto"/>
                <w:szCs w:val="22"/>
                <w:lang w:val="zh-CN"/>
              </w:rPr>
              <w:t>40</w:t>
            </w:r>
          </w:p>
        </w:tc>
        <w:tc>
          <w:tcPr>
            <w:tcW w:w="557" w:type="pct"/>
            <w:shd w:val="clear" w:color="auto" w:fill="auto"/>
            <w:vAlign w:val="center"/>
          </w:tcPr>
          <w:p w14:paraId="6F698579">
            <w:pPr>
              <w:jc w:val="center"/>
              <w:rPr>
                <w:color w:val="auto"/>
                <w:szCs w:val="22"/>
                <w:lang w:val="zh-CN"/>
              </w:rPr>
            </w:pPr>
            <w:r>
              <w:rPr>
                <w:color w:val="auto"/>
                <w:szCs w:val="22"/>
                <w:lang w:val="zh-CN"/>
              </w:rPr>
              <w:t>50</w:t>
            </w:r>
          </w:p>
        </w:tc>
        <w:tc>
          <w:tcPr>
            <w:tcW w:w="557" w:type="pct"/>
            <w:shd w:val="clear" w:color="auto" w:fill="auto"/>
            <w:vAlign w:val="center"/>
          </w:tcPr>
          <w:p w14:paraId="7C95A055">
            <w:pPr>
              <w:jc w:val="center"/>
              <w:rPr>
                <w:color w:val="auto"/>
                <w:szCs w:val="22"/>
                <w:lang w:val="zh-CN"/>
              </w:rPr>
            </w:pPr>
            <w:r>
              <w:rPr>
                <w:color w:val="auto"/>
                <w:szCs w:val="22"/>
                <w:lang w:val="zh-CN"/>
              </w:rPr>
              <w:t>60</w:t>
            </w:r>
          </w:p>
        </w:tc>
        <w:tc>
          <w:tcPr>
            <w:tcW w:w="558" w:type="pct"/>
            <w:shd w:val="clear" w:color="auto" w:fill="auto"/>
            <w:vAlign w:val="center"/>
          </w:tcPr>
          <w:p w14:paraId="154E6BC9">
            <w:pPr>
              <w:jc w:val="center"/>
              <w:rPr>
                <w:color w:val="auto"/>
                <w:szCs w:val="22"/>
                <w:lang w:val="zh-CN"/>
              </w:rPr>
            </w:pPr>
            <w:r>
              <w:rPr>
                <w:color w:val="auto"/>
                <w:szCs w:val="22"/>
                <w:lang w:val="zh-CN"/>
              </w:rPr>
              <w:t>70</w:t>
            </w:r>
          </w:p>
        </w:tc>
      </w:tr>
      <w:tr w14:paraId="7F0D27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0" w:type="pct"/>
            <w:shd w:val="clear" w:color="auto" w:fill="auto"/>
            <w:vAlign w:val="center"/>
          </w:tcPr>
          <w:p w14:paraId="0440F079">
            <w:pPr>
              <w:jc w:val="center"/>
              <w:rPr>
                <w:color w:val="auto"/>
                <w:szCs w:val="22"/>
                <w:lang w:val="zh-CN"/>
              </w:rPr>
            </w:pPr>
            <w:r>
              <w:rPr>
                <w:color w:val="auto"/>
                <w:szCs w:val="22"/>
                <w:lang w:val="zh-CN"/>
              </w:rPr>
              <w:t>沉降速度（m/s）</w:t>
            </w:r>
          </w:p>
        </w:tc>
        <w:tc>
          <w:tcPr>
            <w:tcW w:w="557" w:type="pct"/>
            <w:shd w:val="clear" w:color="auto" w:fill="auto"/>
            <w:vAlign w:val="center"/>
          </w:tcPr>
          <w:p w14:paraId="1489A912">
            <w:pPr>
              <w:jc w:val="center"/>
              <w:rPr>
                <w:color w:val="auto"/>
                <w:szCs w:val="22"/>
                <w:lang w:val="zh-CN"/>
              </w:rPr>
            </w:pPr>
            <w:r>
              <w:rPr>
                <w:color w:val="auto"/>
                <w:szCs w:val="22"/>
                <w:lang w:val="zh-CN"/>
              </w:rPr>
              <w:t>0.003</w:t>
            </w:r>
          </w:p>
        </w:tc>
        <w:tc>
          <w:tcPr>
            <w:tcW w:w="557" w:type="pct"/>
            <w:shd w:val="clear" w:color="auto" w:fill="auto"/>
            <w:vAlign w:val="center"/>
          </w:tcPr>
          <w:p w14:paraId="2F2C0283">
            <w:pPr>
              <w:jc w:val="center"/>
              <w:rPr>
                <w:color w:val="auto"/>
                <w:szCs w:val="22"/>
                <w:lang w:val="zh-CN"/>
              </w:rPr>
            </w:pPr>
            <w:r>
              <w:rPr>
                <w:color w:val="auto"/>
                <w:szCs w:val="22"/>
                <w:lang w:val="zh-CN"/>
              </w:rPr>
              <w:t>0.012</w:t>
            </w:r>
          </w:p>
        </w:tc>
        <w:tc>
          <w:tcPr>
            <w:tcW w:w="557" w:type="pct"/>
            <w:shd w:val="clear" w:color="auto" w:fill="auto"/>
            <w:vAlign w:val="center"/>
          </w:tcPr>
          <w:p w14:paraId="551D9294">
            <w:pPr>
              <w:jc w:val="center"/>
              <w:rPr>
                <w:color w:val="auto"/>
                <w:szCs w:val="22"/>
                <w:lang w:val="zh-CN"/>
              </w:rPr>
            </w:pPr>
            <w:r>
              <w:rPr>
                <w:color w:val="auto"/>
                <w:szCs w:val="22"/>
                <w:lang w:val="zh-CN"/>
              </w:rPr>
              <w:t>0.027</w:t>
            </w:r>
          </w:p>
        </w:tc>
        <w:tc>
          <w:tcPr>
            <w:tcW w:w="557" w:type="pct"/>
            <w:shd w:val="clear" w:color="auto" w:fill="auto"/>
            <w:vAlign w:val="center"/>
          </w:tcPr>
          <w:p w14:paraId="763D9CD1">
            <w:pPr>
              <w:jc w:val="center"/>
              <w:rPr>
                <w:color w:val="auto"/>
                <w:szCs w:val="22"/>
                <w:lang w:val="zh-CN"/>
              </w:rPr>
            </w:pPr>
            <w:r>
              <w:rPr>
                <w:color w:val="auto"/>
                <w:szCs w:val="22"/>
                <w:lang w:val="zh-CN"/>
              </w:rPr>
              <w:t>0.048</w:t>
            </w:r>
          </w:p>
        </w:tc>
        <w:tc>
          <w:tcPr>
            <w:tcW w:w="557" w:type="pct"/>
            <w:shd w:val="clear" w:color="auto" w:fill="auto"/>
            <w:vAlign w:val="center"/>
          </w:tcPr>
          <w:p w14:paraId="3AC8BA89">
            <w:pPr>
              <w:jc w:val="center"/>
              <w:rPr>
                <w:color w:val="auto"/>
                <w:szCs w:val="22"/>
                <w:lang w:val="zh-CN"/>
              </w:rPr>
            </w:pPr>
            <w:r>
              <w:rPr>
                <w:color w:val="auto"/>
                <w:szCs w:val="22"/>
                <w:lang w:val="zh-CN"/>
              </w:rPr>
              <w:t>0.075</w:t>
            </w:r>
          </w:p>
        </w:tc>
        <w:tc>
          <w:tcPr>
            <w:tcW w:w="557" w:type="pct"/>
            <w:shd w:val="clear" w:color="auto" w:fill="auto"/>
            <w:vAlign w:val="center"/>
          </w:tcPr>
          <w:p w14:paraId="3E920BA3">
            <w:pPr>
              <w:jc w:val="center"/>
              <w:rPr>
                <w:color w:val="auto"/>
                <w:szCs w:val="22"/>
                <w:lang w:val="zh-CN"/>
              </w:rPr>
            </w:pPr>
            <w:r>
              <w:rPr>
                <w:color w:val="auto"/>
                <w:szCs w:val="22"/>
                <w:lang w:val="zh-CN"/>
              </w:rPr>
              <w:t>0.108</w:t>
            </w:r>
          </w:p>
        </w:tc>
        <w:tc>
          <w:tcPr>
            <w:tcW w:w="558" w:type="pct"/>
            <w:shd w:val="clear" w:color="auto" w:fill="auto"/>
            <w:vAlign w:val="center"/>
          </w:tcPr>
          <w:p w14:paraId="4148EA96">
            <w:pPr>
              <w:jc w:val="center"/>
              <w:rPr>
                <w:color w:val="auto"/>
                <w:szCs w:val="22"/>
                <w:lang w:val="zh-CN"/>
              </w:rPr>
            </w:pPr>
            <w:r>
              <w:rPr>
                <w:color w:val="auto"/>
                <w:szCs w:val="22"/>
                <w:lang w:val="zh-CN"/>
              </w:rPr>
              <w:t>0.147</w:t>
            </w:r>
          </w:p>
        </w:tc>
      </w:tr>
      <w:tr w14:paraId="66DA5C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0" w:type="pct"/>
            <w:shd w:val="clear" w:color="auto" w:fill="auto"/>
            <w:vAlign w:val="center"/>
          </w:tcPr>
          <w:p w14:paraId="6DBCB2C5">
            <w:pPr>
              <w:jc w:val="center"/>
              <w:rPr>
                <w:color w:val="auto"/>
                <w:szCs w:val="22"/>
                <w:lang w:val="zh-CN"/>
              </w:rPr>
            </w:pPr>
            <w:r>
              <w:rPr>
                <w:color w:val="auto"/>
                <w:szCs w:val="22"/>
                <w:lang w:val="zh-CN"/>
              </w:rPr>
              <w:t>粒径（μm）</w:t>
            </w:r>
          </w:p>
        </w:tc>
        <w:tc>
          <w:tcPr>
            <w:tcW w:w="557" w:type="pct"/>
            <w:shd w:val="clear" w:color="auto" w:fill="auto"/>
            <w:vAlign w:val="center"/>
          </w:tcPr>
          <w:p w14:paraId="58E2FB22">
            <w:pPr>
              <w:jc w:val="center"/>
              <w:rPr>
                <w:color w:val="auto"/>
                <w:szCs w:val="22"/>
                <w:lang w:val="zh-CN"/>
              </w:rPr>
            </w:pPr>
            <w:r>
              <w:rPr>
                <w:color w:val="auto"/>
                <w:szCs w:val="22"/>
                <w:lang w:val="zh-CN"/>
              </w:rPr>
              <w:t>80</w:t>
            </w:r>
          </w:p>
        </w:tc>
        <w:tc>
          <w:tcPr>
            <w:tcW w:w="557" w:type="pct"/>
            <w:shd w:val="clear" w:color="auto" w:fill="auto"/>
            <w:vAlign w:val="center"/>
          </w:tcPr>
          <w:p w14:paraId="16BAD1DB">
            <w:pPr>
              <w:jc w:val="center"/>
              <w:rPr>
                <w:color w:val="auto"/>
                <w:szCs w:val="22"/>
                <w:lang w:val="zh-CN"/>
              </w:rPr>
            </w:pPr>
            <w:r>
              <w:rPr>
                <w:color w:val="auto"/>
                <w:szCs w:val="22"/>
                <w:lang w:val="zh-CN"/>
              </w:rPr>
              <w:t>90</w:t>
            </w:r>
          </w:p>
        </w:tc>
        <w:tc>
          <w:tcPr>
            <w:tcW w:w="557" w:type="pct"/>
            <w:shd w:val="clear" w:color="auto" w:fill="auto"/>
            <w:vAlign w:val="center"/>
          </w:tcPr>
          <w:p w14:paraId="77422711">
            <w:pPr>
              <w:jc w:val="center"/>
              <w:rPr>
                <w:color w:val="auto"/>
                <w:szCs w:val="22"/>
                <w:lang w:val="zh-CN"/>
              </w:rPr>
            </w:pPr>
            <w:r>
              <w:rPr>
                <w:color w:val="auto"/>
                <w:szCs w:val="22"/>
                <w:lang w:val="zh-CN"/>
              </w:rPr>
              <w:t>100</w:t>
            </w:r>
          </w:p>
        </w:tc>
        <w:tc>
          <w:tcPr>
            <w:tcW w:w="557" w:type="pct"/>
            <w:shd w:val="clear" w:color="auto" w:fill="auto"/>
            <w:vAlign w:val="center"/>
          </w:tcPr>
          <w:p w14:paraId="759435F8">
            <w:pPr>
              <w:jc w:val="center"/>
              <w:rPr>
                <w:color w:val="auto"/>
                <w:szCs w:val="22"/>
                <w:lang w:val="zh-CN"/>
              </w:rPr>
            </w:pPr>
            <w:r>
              <w:rPr>
                <w:color w:val="auto"/>
                <w:szCs w:val="22"/>
                <w:lang w:val="zh-CN"/>
              </w:rPr>
              <w:t>150</w:t>
            </w:r>
          </w:p>
        </w:tc>
        <w:tc>
          <w:tcPr>
            <w:tcW w:w="557" w:type="pct"/>
            <w:shd w:val="clear" w:color="auto" w:fill="auto"/>
            <w:vAlign w:val="center"/>
          </w:tcPr>
          <w:p w14:paraId="33F87D9C">
            <w:pPr>
              <w:jc w:val="center"/>
              <w:rPr>
                <w:color w:val="auto"/>
                <w:szCs w:val="22"/>
                <w:lang w:val="zh-CN"/>
              </w:rPr>
            </w:pPr>
            <w:r>
              <w:rPr>
                <w:color w:val="auto"/>
                <w:szCs w:val="22"/>
                <w:lang w:val="zh-CN"/>
              </w:rPr>
              <w:t>200</w:t>
            </w:r>
          </w:p>
        </w:tc>
        <w:tc>
          <w:tcPr>
            <w:tcW w:w="557" w:type="pct"/>
            <w:shd w:val="clear" w:color="auto" w:fill="auto"/>
            <w:vAlign w:val="center"/>
          </w:tcPr>
          <w:p w14:paraId="26FDDBFF">
            <w:pPr>
              <w:jc w:val="center"/>
              <w:rPr>
                <w:color w:val="auto"/>
                <w:szCs w:val="22"/>
                <w:lang w:val="zh-CN"/>
              </w:rPr>
            </w:pPr>
            <w:r>
              <w:rPr>
                <w:color w:val="auto"/>
                <w:szCs w:val="22"/>
                <w:lang w:val="zh-CN"/>
              </w:rPr>
              <w:t>250</w:t>
            </w:r>
          </w:p>
        </w:tc>
        <w:tc>
          <w:tcPr>
            <w:tcW w:w="558" w:type="pct"/>
            <w:shd w:val="clear" w:color="auto" w:fill="auto"/>
            <w:vAlign w:val="center"/>
          </w:tcPr>
          <w:p w14:paraId="57F42278">
            <w:pPr>
              <w:jc w:val="center"/>
              <w:rPr>
                <w:color w:val="auto"/>
                <w:szCs w:val="22"/>
                <w:lang w:val="zh-CN"/>
              </w:rPr>
            </w:pPr>
            <w:r>
              <w:rPr>
                <w:color w:val="auto"/>
                <w:szCs w:val="22"/>
                <w:lang w:val="zh-CN"/>
              </w:rPr>
              <w:t>350</w:t>
            </w:r>
          </w:p>
        </w:tc>
      </w:tr>
      <w:tr w14:paraId="245734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0" w:type="pct"/>
            <w:shd w:val="clear" w:color="auto" w:fill="auto"/>
            <w:vAlign w:val="center"/>
          </w:tcPr>
          <w:p w14:paraId="36BD9FBB">
            <w:pPr>
              <w:jc w:val="center"/>
              <w:rPr>
                <w:color w:val="auto"/>
                <w:szCs w:val="22"/>
                <w:lang w:val="zh-CN"/>
              </w:rPr>
            </w:pPr>
            <w:r>
              <w:rPr>
                <w:color w:val="auto"/>
                <w:szCs w:val="22"/>
                <w:lang w:val="zh-CN"/>
              </w:rPr>
              <w:t>沉降速度（m/s）</w:t>
            </w:r>
          </w:p>
        </w:tc>
        <w:tc>
          <w:tcPr>
            <w:tcW w:w="557" w:type="pct"/>
            <w:shd w:val="clear" w:color="auto" w:fill="auto"/>
            <w:vAlign w:val="center"/>
          </w:tcPr>
          <w:p w14:paraId="2F9E1F4D">
            <w:pPr>
              <w:jc w:val="center"/>
              <w:rPr>
                <w:color w:val="auto"/>
                <w:szCs w:val="22"/>
                <w:lang w:val="zh-CN"/>
              </w:rPr>
            </w:pPr>
            <w:r>
              <w:rPr>
                <w:color w:val="auto"/>
                <w:szCs w:val="22"/>
                <w:lang w:val="zh-CN"/>
              </w:rPr>
              <w:t>0.158</w:t>
            </w:r>
          </w:p>
        </w:tc>
        <w:tc>
          <w:tcPr>
            <w:tcW w:w="557" w:type="pct"/>
            <w:shd w:val="clear" w:color="auto" w:fill="auto"/>
            <w:vAlign w:val="center"/>
          </w:tcPr>
          <w:p w14:paraId="6F268F11">
            <w:pPr>
              <w:jc w:val="center"/>
              <w:rPr>
                <w:color w:val="auto"/>
                <w:szCs w:val="22"/>
                <w:lang w:val="zh-CN"/>
              </w:rPr>
            </w:pPr>
            <w:r>
              <w:rPr>
                <w:color w:val="auto"/>
                <w:szCs w:val="22"/>
                <w:lang w:val="zh-CN"/>
              </w:rPr>
              <w:t>0.170</w:t>
            </w:r>
          </w:p>
        </w:tc>
        <w:tc>
          <w:tcPr>
            <w:tcW w:w="557" w:type="pct"/>
            <w:shd w:val="clear" w:color="auto" w:fill="auto"/>
            <w:vAlign w:val="center"/>
          </w:tcPr>
          <w:p w14:paraId="1DF7AA28">
            <w:pPr>
              <w:jc w:val="center"/>
              <w:rPr>
                <w:color w:val="auto"/>
                <w:szCs w:val="22"/>
                <w:lang w:val="zh-CN"/>
              </w:rPr>
            </w:pPr>
            <w:r>
              <w:rPr>
                <w:color w:val="auto"/>
                <w:szCs w:val="22"/>
                <w:lang w:val="zh-CN"/>
              </w:rPr>
              <w:t>0.182</w:t>
            </w:r>
          </w:p>
        </w:tc>
        <w:tc>
          <w:tcPr>
            <w:tcW w:w="557" w:type="pct"/>
            <w:shd w:val="clear" w:color="auto" w:fill="auto"/>
            <w:vAlign w:val="center"/>
          </w:tcPr>
          <w:p w14:paraId="2EA3E6D5">
            <w:pPr>
              <w:jc w:val="center"/>
              <w:rPr>
                <w:color w:val="auto"/>
                <w:szCs w:val="22"/>
                <w:lang w:val="zh-CN"/>
              </w:rPr>
            </w:pPr>
            <w:r>
              <w:rPr>
                <w:color w:val="auto"/>
                <w:szCs w:val="22"/>
                <w:lang w:val="zh-CN"/>
              </w:rPr>
              <w:t>0.239</w:t>
            </w:r>
          </w:p>
        </w:tc>
        <w:tc>
          <w:tcPr>
            <w:tcW w:w="557" w:type="pct"/>
            <w:shd w:val="clear" w:color="auto" w:fill="auto"/>
            <w:vAlign w:val="center"/>
          </w:tcPr>
          <w:p w14:paraId="67862E0C">
            <w:pPr>
              <w:jc w:val="center"/>
              <w:rPr>
                <w:color w:val="auto"/>
                <w:szCs w:val="22"/>
                <w:lang w:val="zh-CN"/>
              </w:rPr>
            </w:pPr>
            <w:r>
              <w:rPr>
                <w:color w:val="auto"/>
                <w:szCs w:val="22"/>
                <w:lang w:val="zh-CN"/>
              </w:rPr>
              <w:t>0.804</w:t>
            </w:r>
          </w:p>
        </w:tc>
        <w:tc>
          <w:tcPr>
            <w:tcW w:w="557" w:type="pct"/>
            <w:shd w:val="clear" w:color="auto" w:fill="auto"/>
            <w:vAlign w:val="center"/>
          </w:tcPr>
          <w:p w14:paraId="4BB37216">
            <w:pPr>
              <w:jc w:val="center"/>
              <w:rPr>
                <w:color w:val="auto"/>
                <w:szCs w:val="22"/>
                <w:lang w:val="zh-CN"/>
              </w:rPr>
            </w:pPr>
            <w:r>
              <w:rPr>
                <w:color w:val="auto"/>
                <w:szCs w:val="22"/>
                <w:lang w:val="zh-CN"/>
              </w:rPr>
              <w:t>1.005</w:t>
            </w:r>
          </w:p>
        </w:tc>
        <w:tc>
          <w:tcPr>
            <w:tcW w:w="558" w:type="pct"/>
            <w:shd w:val="clear" w:color="auto" w:fill="auto"/>
            <w:vAlign w:val="center"/>
          </w:tcPr>
          <w:p w14:paraId="03B5800D">
            <w:pPr>
              <w:jc w:val="center"/>
              <w:rPr>
                <w:color w:val="auto"/>
                <w:szCs w:val="22"/>
                <w:lang w:val="zh-CN"/>
              </w:rPr>
            </w:pPr>
            <w:r>
              <w:rPr>
                <w:color w:val="auto"/>
                <w:szCs w:val="22"/>
                <w:lang w:val="zh-CN"/>
              </w:rPr>
              <w:t>1.829</w:t>
            </w:r>
          </w:p>
        </w:tc>
      </w:tr>
      <w:tr w14:paraId="0DB2EA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0" w:type="pct"/>
            <w:shd w:val="clear" w:color="auto" w:fill="auto"/>
            <w:vAlign w:val="center"/>
          </w:tcPr>
          <w:p w14:paraId="0196BEA3">
            <w:pPr>
              <w:jc w:val="center"/>
              <w:rPr>
                <w:color w:val="auto"/>
                <w:szCs w:val="22"/>
                <w:lang w:val="zh-CN"/>
              </w:rPr>
            </w:pPr>
            <w:r>
              <w:rPr>
                <w:color w:val="auto"/>
                <w:szCs w:val="22"/>
                <w:lang w:val="zh-CN"/>
              </w:rPr>
              <w:t>粒径（μm）</w:t>
            </w:r>
          </w:p>
        </w:tc>
        <w:tc>
          <w:tcPr>
            <w:tcW w:w="557" w:type="pct"/>
            <w:shd w:val="clear" w:color="auto" w:fill="auto"/>
            <w:vAlign w:val="center"/>
          </w:tcPr>
          <w:p w14:paraId="4CBB27D4">
            <w:pPr>
              <w:jc w:val="center"/>
              <w:rPr>
                <w:color w:val="auto"/>
                <w:szCs w:val="22"/>
                <w:lang w:val="zh-CN"/>
              </w:rPr>
            </w:pPr>
            <w:r>
              <w:rPr>
                <w:color w:val="auto"/>
                <w:szCs w:val="22"/>
                <w:lang w:val="zh-CN"/>
              </w:rPr>
              <w:t>450</w:t>
            </w:r>
          </w:p>
        </w:tc>
        <w:tc>
          <w:tcPr>
            <w:tcW w:w="557" w:type="pct"/>
            <w:shd w:val="clear" w:color="auto" w:fill="auto"/>
            <w:vAlign w:val="center"/>
          </w:tcPr>
          <w:p w14:paraId="3D4F2E5C">
            <w:pPr>
              <w:jc w:val="center"/>
              <w:rPr>
                <w:color w:val="auto"/>
                <w:szCs w:val="22"/>
                <w:lang w:val="zh-CN"/>
              </w:rPr>
            </w:pPr>
            <w:r>
              <w:rPr>
                <w:color w:val="auto"/>
                <w:szCs w:val="22"/>
                <w:lang w:val="zh-CN"/>
              </w:rPr>
              <w:t>550</w:t>
            </w:r>
          </w:p>
        </w:tc>
        <w:tc>
          <w:tcPr>
            <w:tcW w:w="557" w:type="pct"/>
            <w:shd w:val="clear" w:color="auto" w:fill="auto"/>
            <w:vAlign w:val="center"/>
          </w:tcPr>
          <w:p w14:paraId="273139C5">
            <w:pPr>
              <w:jc w:val="center"/>
              <w:rPr>
                <w:color w:val="auto"/>
                <w:szCs w:val="22"/>
                <w:lang w:val="zh-CN"/>
              </w:rPr>
            </w:pPr>
            <w:r>
              <w:rPr>
                <w:color w:val="auto"/>
                <w:szCs w:val="22"/>
                <w:lang w:val="zh-CN"/>
              </w:rPr>
              <w:t>650</w:t>
            </w:r>
          </w:p>
        </w:tc>
        <w:tc>
          <w:tcPr>
            <w:tcW w:w="557" w:type="pct"/>
            <w:shd w:val="clear" w:color="auto" w:fill="auto"/>
            <w:vAlign w:val="center"/>
          </w:tcPr>
          <w:p w14:paraId="11CD47B6">
            <w:pPr>
              <w:jc w:val="center"/>
              <w:rPr>
                <w:color w:val="auto"/>
                <w:szCs w:val="22"/>
                <w:lang w:val="zh-CN"/>
              </w:rPr>
            </w:pPr>
            <w:r>
              <w:rPr>
                <w:color w:val="auto"/>
                <w:szCs w:val="22"/>
                <w:lang w:val="zh-CN"/>
              </w:rPr>
              <w:t>750</w:t>
            </w:r>
          </w:p>
        </w:tc>
        <w:tc>
          <w:tcPr>
            <w:tcW w:w="557" w:type="pct"/>
            <w:shd w:val="clear" w:color="auto" w:fill="auto"/>
            <w:vAlign w:val="center"/>
          </w:tcPr>
          <w:p w14:paraId="061273DF">
            <w:pPr>
              <w:jc w:val="center"/>
              <w:rPr>
                <w:color w:val="auto"/>
                <w:szCs w:val="22"/>
                <w:lang w:val="zh-CN"/>
              </w:rPr>
            </w:pPr>
            <w:r>
              <w:rPr>
                <w:color w:val="auto"/>
                <w:szCs w:val="22"/>
                <w:lang w:val="zh-CN"/>
              </w:rPr>
              <w:t>850</w:t>
            </w:r>
          </w:p>
        </w:tc>
        <w:tc>
          <w:tcPr>
            <w:tcW w:w="557" w:type="pct"/>
            <w:shd w:val="clear" w:color="auto" w:fill="auto"/>
            <w:vAlign w:val="center"/>
          </w:tcPr>
          <w:p w14:paraId="71991279">
            <w:pPr>
              <w:jc w:val="center"/>
              <w:rPr>
                <w:color w:val="auto"/>
                <w:szCs w:val="22"/>
                <w:lang w:val="zh-CN"/>
              </w:rPr>
            </w:pPr>
            <w:r>
              <w:rPr>
                <w:color w:val="auto"/>
                <w:szCs w:val="22"/>
                <w:lang w:val="zh-CN"/>
              </w:rPr>
              <w:t>950</w:t>
            </w:r>
          </w:p>
        </w:tc>
        <w:tc>
          <w:tcPr>
            <w:tcW w:w="558" w:type="pct"/>
            <w:shd w:val="clear" w:color="auto" w:fill="auto"/>
            <w:vAlign w:val="center"/>
          </w:tcPr>
          <w:p w14:paraId="2FD240C0">
            <w:pPr>
              <w:jc w:val="center"/>
              <w:rPr>
                <w:color w:val="auto"/>
                <w:szCs w:val="22"/>
                <w:lang w:val="zh-CN"/>
              </w:rPr>
            </w:pPr>
            <w:r>
              <w:rPr>
                <w:color w:val="auto"/>
                <w:szCs w:val="22"/>
                <w:lang w:val="zh-CN"/>
              </w:rPr>
              <w:t>1050</w:t>
            </w:r>
          </w:p>
        </w:tc>
      </w:tr>
      <w:tr w14:paraId="621102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100" w:type="pct"/>
            <w:shd w:val="clear" w:color="auto" w:fill="auto"/>
            <w:vAlign w:val="center"/>
          </w:tcPr>
          <w:p w14:paraId="12C845F6">
            <w:pPr>
              <w:jc w:val="center"/>
              <w:rPr>
                <w:color w:val="auto"/>
                <w:szCs w:val="22"/>
                <w:lang w:val="zh-CN"/>
              </w:rPr>
            </w:pPr>
            <w:r>
              <w:rPr>
                <w:color w:val="auto"/>
                <w:szCs w:val="22"/>
                <w:lang w:val="zh-CN"/>
              </w:rPr>
              <w:t>沉降速度（m/s）</w:t>
            </w:r>
          </w:p>
        </w:tc>
        <w:tc>
          <w:tcPr>
            <w:tcW w:w="557" w:type="pct"/>
            <w:shd w:val="clear" w:color="auto" w:fill="auto"/>
            <w:vAlign w:val="center"/>
          </w:tcPr>
          <w:p w14:paraId="0B8C5EA5">
            <w:pPr>
              <w:jc w:val="center"/>
              <w:rPr>
                <w:color w:val="auto"/>
                <w:szCs w:val="22"/>
                <w:lang w:val="zh-CN"/>
              </w:rPr>
            </w:pPr>
            <w:r>
              <w:rPr>
                <w:color w:val="auto"/>
                <w:szCs w:val="22"/>
                <w:lang w:val="zh-CN"/>
              </w:rPr>
              <w:t>2.211</w:t>
            </w:r>
          </w:p>
        </w:tc>
        <w:tc>
          <w:tcPr>
            <w:tcW w:w="557" w:type="pct"/>
            <w:shd w:val="clear" w:color="auto" w:fill="auto"/>
            <w:vAlign w:val="center"/>
          </w:tcPr>
          <w:p w14:paraId="11F249B2">
            <w:pPr>
              <w:jc w:val="center"/>
              <w:rPr>
                <w:color w:val="auto"/>
                <w:szCs w:val="22"/>
                <w:lang w:val="zh-CN"/>
              </w:rPr>
            </w:pPr>
            <w:r>
              <w:rPr>
                <w:color w:val="auto"/>
                <w:szCs w:val="22"/>
                <w:lang w:val="zh-CN"/>
              </w:rPr>
              <w:t>2.614</w:t>
            </w:r>
          </w:p>
        </w:tc>
        <w:tc>
          <w:tcPr>
            <w:tcW w:w="557" w:type="pct"/>
            <w:shd w:val="clear" w:color="auto" w:fill="auto"/>
            <w:vAlign w:val="center"/>
          </w:tcPr>
          <w:p w14:paraId="642EE8D0">
            <w:pPr>
              <w:jc w:val="center"/>
              <w:rPr>
                <w:color w:val="auto"/>
                <w:szCs w:val="22"/>
                <w:lang w:val="zh-CN"/>
              </w:rPr>
            </w:pPr>
            <w:r>
              <w:rPr>
                <w:color w:val="auto"/>
                <w:szCs w:val="22"/>
                <w:lang w:val="zh-CN"/>
              </w:rPr>
              <w:t>3.016</w:t>
            </w:r>
          </w:p>
        </w:tc>
        <w:tc>
          <w:tcPr>
            <w:tcW w:w="557" w:type="pct"/>
            <w:shd w:val="clear" w:color="auto" w:fill="auto"/>
            <w:vAlign w:val="center"/>
          </w:tcPr>
          <w:p w14:paraId="7CE7B985">
            <w:pPr>
              <w:jc w:val="center"/>
              <w:rPr>
                <w:color w:val="auto"/>
                <w:szCs w:val="22"/>
                <w:lang w:val="zh-CN"/>
              </w:rPr>
            </w:pPr>
            <w:r>
              <w:rPr>
                <w:color w:val="auto"/>
                <w:szCs w:val="22"/>
                <w:lang w:val="zh-CN"/>
              </w:rPr>
              <w:t>3.418</w:t>
            </w:r>
          </w:p>
        </w:tc>
        <w:tc>
          <w:tcPr>
            <w:tcW w:w="557" w:type="pct"/>
            <w:shd w:val="clear" w:color="auto" w:fill="auto"/>
            <w:vAlign w:val="center"/>
          </w:tcPr>
          <w:p w14:paraId="5A0BB192">
            <w:pPr>
              <w:jc w:val="center"/>
              <w:rPr>
                <w:color w:val="auto"/>
                <w:szCs w:val="22"/>
                <w:lang w:val="zh-CN"/>
              </w:rPr>
            </w:pPr>
            <w:r>
              <w:rPr>
                <w:color w:val="auto"/>
                <w:szCs w:val="22"/>
                <w:lang w:val="zh-CN"/>
              </w:rPr>
              <w:t>3.820</w:t>
            </w:r>
          </w:p>
        </w:tc>
        <w:tc>
          <w:tcPr>
            <w:tcW w:w="557" w:type="pct"/>
            <w:shd w:val="clear" w:color="auto" w:fill="auto"/>
            <w:vAlign w:val="center"/>
          </w:tcPr>
          <w:p w14:paraId="6A2CF78F">
            <w:pPr>
              <w:jc w:val="center"/>
              <w:rPr>
                <w:color w:val="auto"/>
                <w:szCs w:val="22"/>
                <w:lang w:val="zh-CN"/>
              </w:rPr>
            </w:pPr>
            <w:r>
              <w:rPr>
                <w:color w:val="auto"/>
                <w:szCs w:val="22"/>
                <w:lang w:val="zh-CN"/>
              </w:rPr>
              <w:t>4.222</w:t>
            </w:r>
          </w:p>
        </w:tc>
        <w:tc>
          <w:tcPr>
            <w:tcW w:w="558" w:type="pct"/>
            <w:shd w:val="clear" w:color="auto" w:fill="auto"/>
            <w:vAlign w:val="center"/>
          </w:tcPr>
          <w:p w14:paraId="54E591FC">
            <w:pPr>
              <w:jc w:val="center"/>
              <w:rPr>
                <w:color w:val="auto"/>
                <w:szCs w:val="22"/>
                <w:lang w:val="zh-CN"/>
              </w:rPr>
            </w:pPr>
            <w:r>
              <w:rPr>
                <w:color w:val="auto"/>
                <w:szCs w:val="22"/>
                <w:lang w:val="zh-CN"/>
              </w:rPr>
              <w:t>4.624</w:t>
            </w:r>
          </w:p>
        </w:tc>
      </w:tr>
    </w:tbl>
    <w:p w14:paraId="6ECA3A39">
      <w:pPr>
        <w:spacing w:line="500" w:lineRule="exact"/>
        <w:ind w:firstLine="480" w:firstLineChars="200"/>
        <w:rPr>
          <w:color w:val="auto"/>
          <w:sz w:val="24"/>
          <w:szCs w:val="22"/>
        </w:rPr>
      </w:pPr>
      <w:r>
        <w:rPr>
          <w:color w:val="auto"/>
          <w:sz w:val="24"/>
          <w:szCs w:val="22"/>
        </w:rPr>
        <w:t>从表5-1-2可以看出，尘粒的沉降速度随粒径的增大而迅速增大。当粒径为250μm时，沉降速度为1.005m/s，因此可以认为当尘粒大于250μm时，主要影响范围在扬尘点下风向近距离范围内，而真正对外环境产生影响的是一些微小尘粒。在有风的情况下，施工扬尘会对该区域造成一定的影响。由起尘计算公式可知，V</w:t>
      </w:r>
      <w:r>
        <w:rPr>
          <w:color w:val="auto"/>
          <w:sz w:val="24"/>
          <w:szCs w:val="22"/>
          <w:vertAlign w:val="subscript"/>
        </w:rPr>
        <w:t>0</w:t>
      </w:r>
      <w:r>
        <w:rPr>
          <w:color w:val="auto"/>
          <w:sz w:val="24"/>
          <w:szCs w:val="22"/>
        </w:rPr>
        <w:t>与粒径和含水率有关，因此，通过采取减少露天堆放和保证一定的含水率及减少裸露地面等措施后，风力起尘对环境的影响较小。</w:t>
      </w:r>
    </w:p>
    <w:p w14:paraId="35E2118A">
      <w:pPr>
        <w:spacing w:line="500" w:lineRule="exact"/>
        <w:ind w:firstLine="480" w:firstLineChars="200"/>
        <w:rPr>
          <w:color w:val="auto"/>
          <w:sz w:val="24"/>
          <w:szCs w:val="22"/>
        </w:rPr>
      </w:pPr>
      <w:r>
        <w:rPr>
          <w:color w:val="auto"/>
          <w:sz w:val="24"/>
          <w:szCs w:val="22"/>
        </w:rPr>
        <w:t>总之，只要加强管理、切实落实好这些措施，施工场地扬尘对环境的影响将会大大降低，同时其对环境的影响也将随施工的结束而消失。</w:t>
      </w:r>
    </w:p>
    <w:p w14:paraId="3865A0A7">
      <w:pPr>
        <w:spacing w:line="500" w:lineRule="exact"/>
        <w:ind w:firstLine="480" w:firstLineChars="200"/>
        <w:rPr>
          <w:color w:val="auto"/>
          <w:sz w:val="24"/>
          <w:szCs w:val="22"/>
        </w:rPr>
      </w:pPr>
      <w:r>
        <w:rPr>
          <w:rFonts w:hint="eastAsia"/>
          <w:color w:val="auto"/>
          <w:sz w:val="24"/>
          <w:szCs w:val="22"/>
        </w:rPr>
        <w:t>2、施工机械和车辆尾气影响分析</w:t>
      </w:r>
    </w:p>
    <w:p w14:paraId="60A8C5B5">
      <w:pPr>
        <w:spacing w:line="500" w:lineRule="exact"/>
        <w:ind w:firstLine="480" w:firstLineChars="200"/>
        <w:rPr>
          <w:color w:val="auto"/>
          <w:sz w:val="24"/>
          <w:szCs w:val="22"/>
        </w:rPr>
      </w:pPr>
      <w:r>
        <w:rPr>
          <w:rFonts w:hint="eastAsia"/>
          <w:color w:val="auto"/>
          <w:sz w:val="24"/>
          <w:szCs w:val="22"/>
        </w:rPr>
        <w:t>此外，</w:t>
      </w:r>
      <w:r>
        <w:rPr>
          <w:color w:val="auto"/>
          <w:sz w:val="24"/>
          <w:szCs w:val="22"/>
        </w:rPr>
        <w:t>施工过程中废气</w:t>
      </w:r>
      <w:r>
        <w:rPr>
          <w:rFonts w:hint="eastAsia"/>
          <w:color w:val="auto"/>
          <w:sz w:val="24"/>
          <w:szCs w:val="22"/>
        </w:rPr>
        <w:t>还</w:t>
      </w:r>
      <w:r>
        <w:rPr>
          <w:color w:val="auto"/>
          <w:sz w:val="24"/>
          <w:szCs w:val="22"/>
        </w:rPr>
        <w:t>来源于施工机械和运输车辆所排放的废气。施工废气主要为各种燃油机械的废气排放、运输车辆产生的尾气。主要污染物为：氮氧化物（NOx）、一氧化碳（CO）和碳氢化合物（HC）等。这些污染物量都很小，影响范围仅局限在施工作业区内，除对施工人员会产生轻微的影响外，对外环境影响不大。</w:t>
      </w:r>
    </w:p>
    <w:p w14:paraId="724FA8BE">
      <w:pPr>
        <w:pStyle w:val="137"/>
        <w:rPr>
          <w:color w:val="auto"/>
        </w:rPr>
      </w:pPr>
      <w:r>
        <w:rPr>
          <w:color w:val="auto"/>
        </w:rPr>
        <w:t>5.1.2施工期水环境影响评价</w:t>
      </w:r>
    </w:p>
    <w:p w14:paraId="155873B7">
      <w:pPr>
        <w:pStyle w:val="59"/>
        <w:ind w:firstLine="480"/>
        <w:rPr>
          <w:color w:val="auto"/>
        </w:rPr>
      </w:pPr>
      <w:r>
        <w:rPr>
          <w:rFonts w:hint="eastAsia"/>
          <w:color w:val="auto"/>
        </w:rPr>
        <w:t>本项目施工期废水主要包括施工人员的生活污水、施工废水。现场不设机械和车辆冲洗装置，不设置生产生活辅助区，施工人员生活依托周边村屯。</w:t>
      </w:r>
    </w:p>
    <w:p w14:paraId="1F671124">
      <w:pPr>
        <w:pStyle w:val="59"/>
        <w:ind w:firstLine="480"/>
        <w:rPr>
          <w:color w:val="auto"/>
        </w:rPr>
      </w:pPr>
      <w:r>
        <w:rPr>
          <w:color w:val="auto"/>
        </w:rPr>
        <w:t>项目施工期生活污水排放量约为0.5m</w:t>
      </w:r>
      <w:r>
        <w:rPr>
          <w:color w:val="auto"/>
          <w:vertAlign w:val="superscript"/>
        </w:rPr>
        <w:t>3</w:t>
      </w:r>
      <w:r>
        <w:rPr>
          <w:color w:val="auto"/>
        </w:rPr>
        <w:t>/d。施工人员日常生活产生的生活污</w:t>
      </w:r>
      <w:r>
        <w:rPr>
          <w:rFonts w:hint="eastAsia"/>
          <w:color w:val="auto"/>
        </w:rPr>
        <w:t>水排入青山村民房的防渗旱厕，定期清掏，外运积肥，不外排，因此对周围水环境影响很小。</w:t>
      </w:r>
    </w:p>
    <w:p w14:paraId="683B78D4">
      <w:pPr>
        <w:pStyle w:val="59"/>
        <w:ind w:firstLine="480"/>
        <w:rPr>
          <w:color w:val="auto"/>
        </w:rPr>
      </w:pPr>
      <w:r>
        <w:rPr>
          <w:color w:val="auto"/>
        </w:rPr>
        <w:t>施工废水</w:t>
      </w:r>
      <w:r>
        <w:rPr>
          <w:rFonts w:hint="eastAsia"/>
          <w:color w:val="auto"/>
        </w:rPr>
        <w:t>主要为强降雨时的泥浆</w:t>
      </w:r>
      <w:r>
        <w:rPr>
          <w:color w:val="auto"/>
        </w:rPr>
        <w:t>废水，</w:t>
      </w:r>
      <w:r>
        <w:rPr>
          <w:rFonts w:hint="eastAsia"/>
          <w:color w:val="auto"/>
        </w:rPr>
        <w:t>暂存池施工将产生少量的混凝土养护废水，产生量与</w:t>
      </w:r>
      <w:r>
        <w:rPr>
          <w:color w:val="auto"/>
        </w:rPr>
        <w:t>排放量较难估算，主要污染因子为SS，最高可达10%左右，一般平均浓度约为2000mg/L。要求在施工场地内设置临时沉</w:t>
      </w:r>
      <w:r>
        <w:rPr>
          <w:rFonts w:hint="eastAsia"/>
          <w:color w:val="auto"/>
        </w:rPr>
        <w:t>淀</w:t>
      </w:r>
      <w:r>
        <w:rPr>
          <w:color w:val="auto"/>
        </w:rPr>
        <w:t>池，对施工废水进行</w:t>
      </w:r>
      <w:r>
        <w:rPr>
          <w:rFonts w:hint="eastAsia"/>
          <w:color w:val="auto"/>
        </w:rPr>
        <w:t>沉淀</w:t>
      </w:r>
      <w:r>
        <w:rPr>
          <w:color w:val="auto"/>
        </w:rPr>
        <w:t>后回用</w:t>
      </w:r>
      <w:r>
        <w:rPr>
          <w:rFonts w:hint="eastAsia"/>
          <w:color w:val="auto"/>
        </w:rPr>
        <w:t>周边</w:t>
      </w:r>
      <w:r>
        <w:rPr>
          <w:color w:val="auto"/>
        </w:rPr>
        <w:t>洒水</w:t>
      </w:r>
      <w:r>
        <w:rPr>
          <w:rFonts w:hint="eastAsia"/>
          <w:color w:val="auto"/>
        </w:rPr>
        <w:t>降尘</w:t>
      </w:r>
      <w:r>
        <w:rPr>
          <w:color w:val="auto"/>
        </w:rPr>
        <w:t>。</w:t>
      </w:r>
    </w:p>
    <w:p w14:paraId="559F8E56">
      <w:pPr>
        <w:pStyle w:val="59"/>
        <w:ind w:firstLine="480"/>
        <w:rPr>
          <w:color w:val="auto"/>
        </w:rPr>
      </w:pPr>
      <w:r>
        <w:rPr>
          <w:rFonts w:hint="eastAsia"/>
          <w:color w:val="auto"/>
        </w:rPr>
        <w:t>综上，本项目施工期产生废水经相应措施处理后均不外排，不会对周围水环</w:t>
      </w:r>
      <w:r>
        <w:rPr>
          <w:color w:val="auto"/>
        </w:rPr>
        <w:t xml:space="preserve"> 境造成影响。</w:t>
      </w:r>
    </w:p>
    <w:p w14:paraId="76BDB8F9">
      <w:pPr>
        <w:pStyle w:val="137"/>
        <w:rPr>
          <w:color w:val="auto"/>
        </w:rPr>
      </w:pPr>
      <w:r>
        <w:rPr>
          <w:color w:val="auto"/>
        </w:rPr>
        <w:t>5.1.3施工期噪声环境影响评价</w:t>
      </w:r>
    </w:p>
    <w:p w14:paraId="7F9152D3">
      <w:pPr>
        <w:spacing w:line="500" w:lineRule="exact"/>
        <w:ind w:firstLine="480" w:firstLineChars="200"/>
        <w:rPr>
          <w:color w:val="auto"/>
          <w:sz w:val="24"/>
          <w:szCs w:val="22"/>
        </w:rPr>
      </w:pPr>
      <w:r>
        <w:rPr>
          <w:rFonts w:hint="eastAsia"/>
          <w:color w:val="auto"/>
          <w:sz w:val="24"/>
          <w:szCs w:val="22"/>
        </w:rPr>
        <w:t>施工期噪声源主要可分为机械噪声和施工车辆噪声。机械噪声主要由施工机械所造成的，如挖土机、装载机、推土机等，多为点源噪声源；施工车辆的噪声属于交通噪声。这些施工噪声中对声环境影响最大的是机械噪声。部分施工机械的噪声源强见表</w:t>
      </w:r>
      <w:r>
        <w:rPr>
          <w:color w:val="auto"/>
          <w:sz w:val="24"/>
          <w:szCs w:val="22"/>
        </w:rPr>
        <w:t>3-3-1</w:t>
      </w:r>
      <w:r>
        <w:rPr>
          <w:rFonts w:hint="eastAsia"/>
          <w:color w:val="auto"/>
          <w:sz w:val="24"/>
          <w:szCs w:val="22"/>
        </w:rPr>
        <w:t>。</w:t>
      </w:r>
    </w:p>
    <w:p w14:paraId="7BEC755B">
      <w:pPr>
        <w:spacing w:line="500" w:lineRule="exact"/>
        <w:ind w:firstLine="480" w:firstLineChars="200"/>
        <w:rPr>
          <w:color w:val="auto"/>
          <w:sz w:val="24"/>
          <w:szCs w:val="22"/>
        </w:rPr>
      </w:pPr>
      <w:r>
        <w:rPr>
          <w:rFonts w:hint="eastAsia"/>
          <w:color w:val="auto"/>
          <w:sz w:val="24"/>
          <w:szCs w:val="22"/>
        </w:rPr>
        <w:t>施工期噪声主要属中低频噪声，故施工期噪声对周边环境的影响只考虑扩散衰减，采用点源噪声衰减模式进行预测，预测模式为：</w:t>
      </w:r>
    </w:p>
    <w:p w14:paraId="0A4C6702">
      <w:pPr>
        <w:spacing w:before="90"/>
        <w:ind w:left="600"/>
        <w:jc w:val="right"/>
        <w:rPr>
          <w:rFonts w:eastAsia="Times New Roman"/>
          <w:color w:val="auto"/>
          <w:kern w:val="0"/>
          <w:sz w:val="24"/>
          <w:lang w:eastAsia="en-US"/>
        </w:rPr>
      </w:pPr>
      <w:r>
        <w:rPr>
          <w:rFonts w:hAnsi="Calibri"/>
          <w:color w:val="auto"/>
          <w:spacing w:val="-3"/>
          <w:kern w:val="0"/>
          <w:sz w:val="24"/>
          <w:szCs w:val="22"/>
          <w:lang w:eastAsia="en-US"/>
        </w:rPr>
        <w:t>L</w:t>
      </w:r>
      <w:r>
        <w:rPr>
          <w:rFonts w:hAnsi="Calibri"/>
          <w:color w:val="auto"/>
          <w:spacing w:val="-3"/>
          <w:kern w:val="0"/>
          <w:position w:val="-2"/>
          <w:sz w:val="16"/>
          <w:szCs w:val="22"/>
          <w:lang w:eastAsia="en-US"/>
        </w:rPr>
        <w:t xml:space="preserve">2 </w:t>
      </w:r>
      <w:r>
        <w:rPr>
          <w:rFonts w:hAnsi="Calibri"/>
          <w:color w:val="auto"/>
          <w:kern w:val="0"/>
          <w:sz w:val="24"/>
          <w:szCs w:val="22"/>
          <w:lang w:eastAsia="en-US"/>
        </w:rPr>
        <w:t>=L</w:t>
      </w:r>
      <w:r>
        <w:rPr>
          <w:rFonts w:hAnsi="Calibri"/>
          <w:color w:val="auto"/>
          <w:kern w:val="0"/>
          <w:position w:val="-2"/>
          <w:sz w:val="16"/>
          <w:szCs w:val="22"/>
          <w:lang w:eastAsia="en-US"/>
        </w:rPr>
        <w:t>1</w:t>
      </w:r>
      <w:r>
        <w:rPr>
          <w:rFonts w:hAnsi="Calibri"/>
          <w:color w:val="auto"/>
          <w:kern w:val="0"/>
          <w:sz w:val="24"/>
          <w:szCs w:val="22"/>
          <w:lang w:eastAsia="en-US"/>
        </w:rPr>
        <w:t>-20lg(r</w:t>
      </w:r>
      <w:r>
        <w:rPr>
          <w:rFonts w:hAnsi="Calibri"/>
          <w:color w:val="auto"/>
          <w:kern w:val="0"/>
          <w:position w:val="-2"/>
          <w:sz w:val="16"/>
          <w:szCs w:val="22"/>
          <w:lang w:eastAsia="en-US"/>
        </w:rPr>
        <w:t xml:space="preserve">2 </w:t>
      </w:r>
      <w:r>
        <w:rPr>
          <w:rFonts w:hAnsi="Calibri"/>
          <w:color w:val="auto"/>
          <w:kern w:val="0"/>
          <w:sz w:val="24"/>
          <w:szCs w:val="22"/>
          <w:lang w:eastAsia="en-US"/>
        </w:rPr>
        <w:t>/r</w:t>
      </w:r>
      <w:r>
        <w:rPr>
          <w:rFonts w:hAnsi="Calibri"/>
          <w:color w:val="auto"/>
          <w:kern w:val="0"/>
          <w:position w:val="-2"/>
          <w:sz w:val="16"/>
          <w:szCs w:val="22"/>
          <w:lang w:eastAsia="en-US"/>
        </w:rPr>
        <w:t>1</w:t>
      </w:r>
      <w:r>
        <w:rPr>
          <w:rFonts w:hAnsi="Calibri"/>
          <w:color w:val="auto"/>
          <w:kern w:val="0"/>
          <w:sz w:val="24"/>
          <w:szCs w:val="22"/>
          <w:lang w:eastAsia="en-US"/>
        </w:rPr>
        <w:t>)                        (r</w:t>
      </w:r>
      <w:r>
        <w:rPr>
          <w:rFonts w:hAnsi="Calibri"/>
          <w:color w:val="auto"/>
          <w:kern w:val="0"/>
          <w:position w:val="-2"/>
          <w:sz w:val="16"/>
          <w:szCs w:val="22"/>
          <w:lang w:eastAsia="en-US"/>
        </w:rPr>
        <w:t xml:space="preserve">2 </w:t>
      </w:r>
      <w:r>
        <w:rPr>
          <w:rFonts w:hAnsi="Calibri"/>
          <w:color w:val="auto"/>
          <w:kern w:val="0"/>
          <w:sz w:val="24"/>
          <w:szCs w:val="22"/>
          <w:lang w:eastAsia="en-US"/>
        </w:rPr>
        <w:t>&gt;</w:t>
      </w:r>
      <w:r>
        <w:rPr>
          <w:rFonts w:hAnsi="Calibri"/>
          <w:color w:val="auto"/>
          <w:spacing w:val="-32"/>
          <w:kern w:val="0"/>
          <w:sz w:val="24"/>
          <w:szCs w:val="22"/>
          <w:lang w:eastAsia="en-US"/>
        </w:rPr>
        <w:t xml:space="preserve"> </w:t>
      </w:r>
      <w:r>
        <w:rPr>
          <w:rFonts w:hAnsi="Calibri"/>
          <w:color w:val="auto"/>
          <w:kern w:val="0"/>
          <w:sz w:val="24"/>
          <w:szCs w:val="22"/>
          <w:lang w:eastAsia="en-US"/>
        </w:rPr>
        <w:t>r</w:t>
      </w:r>
      <w:r>
        <w:rPr>
          <w:rFonts w:hAnsi="Calibri"/>
          <w:color w:val="auto"/>
          <w:kern w:val="0"/>
          <w:position w:val="-2"/>
          <w:sz w:val="16"/>
          <w:szCs w:val="22"/>
          <w:lang w:eastAsia="en-US"/>
        </w:rPr>
        <w:t>1</w:t>
      </w:r>
      <w:r>
        <w:rPr>
          <w:rFonts w:hAnsi="Calibri"/>
          <w:color w:val="auto"/>
          <w:kern w:val="0"/>
          <w:sz w:val="24"/>
          <w:szCs w:val="22"/>
          <w:lang w:eastAsia="en-US"/>
        </w:rPr>
        <w:t>)</w:t>
      </w:r>
    </w:p>
    <w:p w14:paraId="258D66E5">
      <w:pPr>
        <w:spacing w:before="125"/>
        <w:ind w:left="600"/>
        <w:jc w:val="left"/>
        <w:rPr>
          <w:rFonts w:ascii="宋体" w:hAnsi="宋体"/>
          <w:color w:val="auto"/>
          <w:kern w:val="0"/>
          <w:sz w:val="24"/>
          <w:lang w:eastAsia="en-US"/>
        </w:rPr>
      </w:pPr>
      <w:r>
        <w:rPr>
          <w:rFonts w:hint="eastAsia" w:ascii="宋体" w:hAnsi="宋体"/>
          <w:color w:val="auto"/>
          <w:kern w:val="0"/>
          <w:sz w:val="24"/>
          <w:lang w:eastAsia="en-US"/>
        </w:rPr>
        <w:t>由上式可推出：</w:t>
      </w:r>
    </w:p>
    <w:p w14:paraId="6D42858F">
      <w:pPr>
        <w:spacing w:before="207"/>
        <w:ind w:left="600"/>
        <w:jc w:val="right"/>
        <w:rPr>
          <w:rFonts w:eastAsia="Times New Roman"/>
          <w:color w:val="auto"/>
          <w:kern w:val="0"/>
          <w:sz w:val="24"/>
          <w:lang w:eastAsia="en-US"/>
        </w:rPr>
      </w:pPr>
      <w:r>
        <w:rPr>
          <w:color w:val="auto"/>
          <w:kern w:val="0"/>
          <w:sz w:val="24"/>
          <w:szCs w:val="22"/>
          <w:lang w:eastAsia="en-US"/>
        </w:rPr>
        <w:t>ΔL=L</w:t>
      </w:r>
      <w:r>
        <w:rPr>
          <w:color w:val="auto"/>
          <w:kern w:val="0"/>
          <w:position w:val="-2"/>
          <w:sz w:val="16"/>
          <w:szCs w:val="22"/>
          <w:lang w:eastAsia="en-US"/>
        </w:rPr>
        <w:t>1</w:t>
      </w:r>
      <w:r>
        <w:rPr>
          <w:color w:val="auto"/>
          <w:kern w:val="0"/>
          <w:sz w:val="24"/>
          <w:szCs w:val="22"/>
          <w:lang w:eastAsia="en-US"/>
        </w:rPr>
        <w:t>-L</w:t>
      </w:r>
      <w:r>
        <w:rPr>
          <w:color w:val="auto"/>
          <w:kern w:val="0"/>
          <w:position w:val="-2"/>
          <w:sz w:val="16"/>
          <w:szCs w:val="22"/>
          <w:lang w:eastAsia="en-US"/>
        </w:rPr>
        <w:t xml:space="preserve">2 </w:t>
      </w:r>
      <w:r>
        <w:rPr>
          <w:color w:val="auto"/>
          <w:kern w:val="0"/>
          <w:sz w:val="24"/>
          <w:szCs w:val="22"/>
          <w:lang w:eastAsia="en-US"/>
        </w:rPr>
        <w:t>=20 lg(r</w:t>
      </w:r>
      <w:r>
        <w:rPr>
          <w:color w:val="auto"/>
          <w:kern w:val="0"/>
          <w:position w:val="-2"/>
          <w:sz w:val="16"/>
          <w:szCs w:val="22"/>
          <w:lang w:eastAsia="en-US"/>
        </w:rPr>
        <w:t xml:space="preserve">2 </w:t>
      </w:r>
      <w:r>
        <w:rPr>
          <w:color w:val="auto"/>
          <w:kern w:val="0"/>
          <w:sz w:val="24"/>
          <w:szCs w:val="22"/>
          <w:lang w:eastAsia="en-US"/>
        </w:rPr>
        <w:t>/r</w:t>
      </w:r>
      <w:r>
        <w:rPr>
          <w:color w:val="auto"/>
          <w:kern w:val="0"/>
          <w:position w:val="-2"/>
          <w:sz w:val="16"/>
          <w:szCs w:val="22"/>
          <w:lang w:eastAsia="en-US"/>
        </w:rPr>
        <w:t>1</w:t>
      </w:r>
      <w:r>
        <w:rPr>
          <w:color w:val="auto"/>
          <w:kern w:val="0"/>
          <w:sz w:val="24"/>
          <w:szCs w:val="22"/>
          <w:lang w:eastAsia="en-US"/>
        </w:rPr>
        <w:t>)                      r</w:t>
      </w:r>
      <w:r>
        <w:rPr>
          <w:color w:val="auto"/>
          <w:kern w:val="0"/>
          <w:position w:val="-2"/>
          <w:sz w:val="16"/>
          <w:szCs w:val="22"/>
          <w:lang w:eastAsia="en-US"/>
        </w:rPr>
        <w:t xml:space="preserve">2 </w:t>
      </w:r>
      <w:r>
        <w:rPr>
          <w:color w:val="auto"/>
          <w:kern w:val="0"/>
          <w:sz w:val="24"/>
          <w:szCs w:val="22"/>
          <w:lang w:eastAsia="en-US"/>
        </w:rPr>
        <w:t>&gt;</w:t>
      </w:r>
      <w:r>
        <w:rPr>
          <w:color w:val="auto"/>
          <w:spacing w:val="44"/>
          <w:kern w:val="0"/>
          <w:sz w:val="24"/>
          <w:szCs w:val="22"/>
          <w:lang w:eastAsia="en-US"/>
        </w:rPr>
        <w:t xml:space="preserve"> </w:t>
      </w:r>
      <w:r>
        <w:rPr>
          <w:color w:val="auto"/>
          <w:kern w:val="0"/>
          <w:sz w:val="24"/>
          <w:szCs w:val="22"/>
          <w:lang w:eastAsia="en-US"/>
        </w:rPr>
        <w:t>r</w:t>
      </w:r>
      <w:r>
        <w:rPr>
          <w:color w:val="auto"/>
          <w:kern w:val="0"/>
          <w:position w:val="-2"/>
          <w:sz w:val="16"/>
          <w:szCs w:val="22"/>
          <w:lang w:eastAsia="en-US"/>
        </w:rPr>
        <w:t>1</w:t>
      </w:r>
      <w:r>
        <w:rPr>
          <w:color w:val="auto"/>
          <w:kern w:val="0"/>
          <w:sz w:val="24"/>
          <w:szCs w:val="22"/>
          <w:lang w:eastAsia="en-US"/>
        </w:rPr>
        <w:t>)</w:t>
      </w:r>
    </w:p>
    <w:p w14:paraId="621AEF90">
      <w:pPr>
        <w:spacing w:line="500" w:lineRule="exact"/>
        <w:ind w:firstLine="480" w:firstLineChars="200"/>
        <w:rPr>
          <w:color w:val="auto"/>
          <w:sz w:val="24"/>
          <w:szCs w:val="22"/>
          <w:lang w:eastAsia="en-US"/>
        </w:rPr>
      </w:pPr>
      <w:r>
        <w:rPr>
          <w:rFonts w:hint="eastAsia"/>
          <w:color w:val="auto"/>
          <w:sz w:val="24"/>
          <w:szCs w:val="22"/>
          <w:lang w:eastAsia="en-US"/>
        </w:rPr>
        <w:t>式中：</w:t>
      </w:r>
      <w:r>
        <w:rPr>
          <w:rFonts w:eastAsia="Times New Roman"/>
          <w:color w:val="auto"/>
          <w:sz w:val="24"/>
          <w:szCs w:val="22"/>
          <w:lang w:eastAsia="en-US"/>
        </w:rPr>
        <w:t>ΔL——</w:t>
      </w:r>
      <w:r>
        <w:rPr>
          <w:rFonts w:hint="eastAsia"/>
          <w:color w:val="auto"/>
          <w:sz w:val="24"/>
          <w:szCs w:val="22"/>
          <w:lang w:eastAsia="en-US"/>
        </w:rPr>
        <w:t>噪声随距离增加的衰减量，</w:t>
      </w:r>
      <w:r>
        <w:rPr>
          <w:rFonts w:eastAsia="Times New Roman"/>
          <w:color w:val="auto"/>
          <w:sz w:val="24"/>
          <w:szCs w:val="22"/>
          <w:lang w:eastAsia="en-US"/>
        </w:rPr>
        <w:t>dB(A)</w:t>
      </w:r>
      <w:r>
        <w:rPr>
          <w:rFonts w:hint="eastAsia"/>
          <w:color w:val="auto"/>
          <w:sz w:val="24"/>
          <w:szCs w:val="22"/>
          <w:lang w:eastAsia="en-US"/>
        </w:rPr>
        <w:t>；</w:t>
      </w:r>
    </w:p>
    <w:p w14:paraId="724F7CA4">
      <w:pPr>
        <w:spacing w:line="500" w:lineRule="exact"/>
        <w:ind w:firstLine="480" w:firstLineChars="200"/>
        <w:rPr>
          <w:color w:val="auto"/>
          <w:sz w:val="24"/>
          <w:szCs w:val="22"/>
          <w:lang w:eastAsia="en-US"/>
        </w:rPr>
      </w:pPr>
      <w:r>
        <w:rPr>
          <w:rFonts w:eastAsia="Times New Roman"/>
          <w:color w:val="auto"/>
          <w:sz w:val="24"/>
          <w:szCs w:val="22"/>
          <w:lang w:eastAsia="en-US"/>
        </w:rPr>
        <w:t>r</w:t>
      </w:r>
      <w:r>
        <w:rPr>
          <w:rFonts w:eastAsia="Times New Roman"/>
          <w:color w:val="auto"/>
          <w:position w:val="-2"/>
          <w:sz w:val="16"/>
          <w:szCs w:val="16"/>
          <w:lang w:eastAsia="en-US"/>
        </w:rPr>
        <w:t>1</w:t>
      </w:r>
      <w:r>
        <w:rPr>
          <w:rFonts w:hint="eastAsia"/>
          <w:color w:val="auto"/>
          <w:sz w:val="24"/>
          <w:szCs w:val="22"/>
          <w:lang w:eastAsia="en-US"/>
        </w:rPr>
        <w:t>、</w:t>
      </w:r>
      <w:r>
        <w:rPr>
          <w:rFonts w:eastAsia="Times New Roman"/>
          <w:color w:val="auto"/>
          <w:sz w:val="24"/>
          <w:szCs w:val="22"/>
          <w:lang w:eastAsia="en-US"/>
        </w:rPr>
        <w:t>r</w:t>
      </w:r>
      <w:r>
        <w:rPr>
          <w:rFonts w:eastAsia="Times New Roman"/>
          <w:color w:val="auto"/>
          <w:position w:val="-2"/>
          <w:sz w:val="16"/>
          <w:szCs w:val="16"/>
          <w:lang w:eastAsia="en-US"/>
        </w:rPr>
        <w:t>2</w:t>
      </w:r>
      <w:r>
        <w:rPr>
          <w:rFonts w:eastAsia="Times New Roman"/>
          <w:color w:val="auto"/>
          <w:sz w:val="24"/>
          <w:szCs w:val="22"/>
          <w:lang w:eastAsia="en-US"/>
        </w:rPr>
        <w:t>——</w:t>
      </w:r>
      <w:r>
        <w:rPr>
          <w:rFonts w:hint="eastAsia"/>
          <w:color w:val="auto"/>
          <w:sz w:val="24"/>
          <w:szCs w:val="22"/>
          <w:lang w:eastAsia="en-US"/>
        </w:rPr>
        <w:t>距声源的距离；</w:t>
      </w:r>
    </w:p>
    <w:p w14:paraId="559B7D6A">
      <w:pPr>
        <w:spacing w:line="500" w:lineRule="exact"/>
        <w:ind w:firstLine="480" w:firstLineChars="200"/>
        <w:rPr>
          <w:color w:val="auto"/>
          <w:w w:val="99"/>
          <w:sz w:val="24"/>
          <w:szCs w:val="22"/>
          <w:lang w:eastAsia="en-US"/>
        </w:rPr>
      </w:pPr>
      <w:r>
        <w:rPr>
          <w:rFonts w:eastAsia="Times New Roman"/>
          <w:color w:val="auto"/>
          <w:sz w:val="24"/>
          <w:szCs w:val="22"/>
          <w:lang w:eastAsia="en-US"/>
        </w:rPr>
        <w:t>L</w:t>
      </w:r>
      <w:r>
        <w:rPr>
          <w:rFonts w:eastAsia="Times New Roman"/>
          <w:color w:val="auto"/>
          <w:position w:val="-2"/>
          <w:sz w:val="16"/>
          <w:szCs w:val="16"/>
          <w:lang w:eastAsia="en-US"/>
        </w:rPr>
        <w:t>1</w:t>
      </w:r>
      <w:r>
        <w:rPr>
          <w:rFonts w:eastAsia="Times New Roman"/>
          <w:color w:val="auto"/>
          <w:sz w:val="24"/>
          <w:szCs w:val="22"/>
          <w:lang w:eastAsia="en-US"/>
        </w:rPr>
        <w:t>——</w:t>
      </w:r>
      <w:r>
        <w:rPr>
          <w:rFonts w:hint="eastAsia"/>
          <w:color w:val="auto"/>
          <w:sz w:val="24"/>
          <w:szCs w:val="22"/>
          <w:lang w:eastAsia="en-US"/>
        </w:rPr>
        <w:t>距声源</w:t>
      </w:r>
      <w:r>
        <w:rPr>
          <w:rFonts w:eastAsia="Times New Roman"/>
          <w:color w:val="auto"/>
          <w:sz w:val="24"/>
          <w:szCs w:val="22"/>
          <w:lang w:eastAsia="en-US"/>
        </w:rPr>
        <w:t>r</w:t>
      </w:r>
      <w:r>
        <w:rPr>
          <w:rFonts w:eastAsia="Times New Roman"/>
          <w:color w:val="auto"/>
          <w:position w:val="-2"/>
          <w:sz w:val="16"/>
          <w:szCs w:val="16"/>
          <w:lang w:eastAsia="en-US"/>
        </w:rPr>
        <w:t>1</w:t>
      </w:r>
      <w:r>
        <w:rPr>
          <w:rFonts w:hint="eastAsia"/>
          <w:color w:val="auto"/>
          <w:sz w:val="24"/>
          <w:szCs w:val="22"/>
          <w:lang w:eastAsia="en-US"/>
        </w:rPr>
        <w:t>处声级，</w:t>
      </w:r>
      <w:r>
        <w:rPr>
          <w:rFonts w:eastAsia="Times New Roman"/>
          <w:color w:val="auto"/>
          <w:sz w:val="24"/>
          <w:szCs w:val="22"/>
          <w:lang w:eastAsia="en-US"/>
        </w:rPr>
        <w:t>dB(A)</w:t>
      </w:r>
      <w:r>
        <w:rPr>
          <w:rFonts w:hint="eastAsia"/>
          <w:color w:val="auto"/>
          <w:sz w:val="24"/>
          <w:szCs w:val="22"/>
          <w:lang w:eastAsia="en-US"/>
        </w:rPr>
        <w:t>；</w:t>
      </w:r>
    </w:p>
    <w:p w14:paraId="3FDBF241">
      <w:pPr>
        <w:spacing w:line="500" w:lineRule="exact"/>
        <w:ind w:firstLine="468" w:firstLineChars="200"/>
        <w:rPr>
          <w:color w:val="auto"/>
          <w:sz w:val="24"/>
          <w:szCs w:val="22"/>
        </w:rPr>
      </w:pPr>
      <w:r>
        <w:rPr>
          <w:rFonts w:eastAsia="Times New Roman"/>
          <w:color w:val="auto"/>
          <w:spacing w:val="-3"/>
          <w:sz w:val="24"/>
          <w:szCs w:val="22"/>
        </w:rPr>
        <w:t>L</w:t>
      </w:r>
      <w:r>
        <w:rPr>
          <w:rFonts w:eastAsia="Times New Roman"/>
          <w:color w:val="auto"/>
          <w:spacing w:val="-3"/>
          <w:position w:val="-2"/>
          <w:sz w:val="16"/>
          <w:szCs w:val="16"/>
        </w:rPr>
        <w:t xml:space="preserve">2  </w:t>
      </w:r>
      <w:r>
        <w:rPr>
          <w:rFonts w:eastAsia="Times New Roman"/>
          <w:color w:val="auto"/>
          <w:sz w:val="24"/>
          <w:szCs w:val="22"/>
        </w:rPr>
        <w:t>——</w:t>
      </w:r>
      <w:r>
        <w:rPr>
          <w:rFonts w:hint="eastAsia"/>
          <w:color w:val="auto"/>
          <w:sz w:val="24"/>
          <w:szCs w:val="22"/>
        </w:rPr>
        <w:t xml:space="preserve">距声源 </w:t>
      </w:r>
      <w:r>
        <w:rPr>
          <w:rFonts w:eastAsia="Times New Roman"/>
          <w:color w:val="auto"/>
          <w:sz w:val="24"/>
          <w:szCs w:val="22"/>
        </w:rPr>
        <w:t>r</w:t>
      </w:r>
      <w:r>
        <w:rPr>
          <w:rFonts w:eastAsia="Times New Roman"/>
          <w:color w:val="auto"/>
          <w:position w:val="-2"/>
          <w:sz w:val="16"/>
          <w:szCs w:val="16"/>
        </w:rPr>
        <w:t>2</w:t>
      </w:r>
      <w:r>
        <w:rPr>
          <w:rFonts w:eastAsia="Times New Roman"/>
          <w:color w:val="auto"/>
          <w:spacing w:val="7"/>
          <w:position w:val="-2"/>
          <w:sz w:val="16"/>
          <w:szCs w:val="16"/>
        </w:rPr>
        <w:t xml:space="preserve"> </w:t>
      </w:r>
      <w:r>
        <w:rPr>
          <w:rFonts w:hint="eastAsia"/>
          <w:color w:val="auto"/>
          <w:sz w:val="24"/>
          <w:szCs w:val="22"/>
        </w:rPr>
        <w:t>处声级，</w:t>
      </w:r>
      <w:r>
        <w:rPr>
          <w:rFonts w:eastAsia="Times New Roman"/>
          <w:color w:val="auto"/>
          <w:sz w:val="24"/>
          <w:szCs w:val="22"/>
        </w:rPr>
        <w:t>dB(A)</w:t>
      </w:r>
      <w:r>
        <w:rPr>
          <w:rFonts w:hint="eastAsia"/>
          <w:color w:val="auto"/>
          <w:sz w:val="24"/>
          <w:szCs w:val="22"/>
        </w:rPr>
        <w:t>。</w:t>
      </w:r>
    </w:p>
    <w:p w14:paraId="791BDE24">
      <w:pPr>
        <w:spacing w:line="500" w:lineRule="exact"/>
        <w:ind w:firstLine="480" w:firstLineChars="200"/>
        <w:rPr>
          <w:color w:val="auto"/>
          <w:sz w:val="24"/>
          <w:szCs w:val="22"/>
        </w:rPr>
      </w:pPr>
      <w:r>
        <w:rPr>
          <w:rFonts w:hint="eastAsia"/>
          <w:color w:val="auto"/>
          <w:sz w:val="24"/>
          <w:szCs w:val="22"/>
        </w:rPr>
        <w:t>各主要施工设备在不同距离处的噪声值</w:t>
      </w:r>
      <w:r>
        <w:rPr>
          <w:color w:val="auto"/>
          <w:sz w:val="24"/>
          <w:szCs w:val="22"/>
        </w:rPr>
        <w:t>(</w:t>
      </w:r>
      <w:r>
        <w:rPr>
          <w:rFonts w:hint="eastAsia"/>
          <w:color w:val="auto"/>
          <w:sz w:val="24"/>
          <w:szCs w:val="22"/>
        </w:rPr>
        <w:t>未与现状值叠加</w:t>
      </w:r>
      <w:r>
        <w:rPr>
          <w:color w:val="auto"/>
          <w:sz w:val="24"/>
          <w:szCs w:val="22"/>
        </w:rPr>
        <w:t>)</w:t>
      </w:r>
      <w:r>
        <w:rPr>
          <w:rFonts w:hint="eastAsia"/>
          <w:color w:val="auto"/>
          <w:sz w:val="24"/>
          <w:szCs w:val="22"/>
        </w:rPr>
        <w:t>预测结果见</w:t>
      </w:r>
      <w:r>
        <w:rPr>
          <w:color w:val="auto"/>
          <w:sz w:val="24"/>
          <w:szCs w:val="22"/>
        </w:rPr>
        <w:t>5-1-3</w:t>
      </w:r>
      <w:r>
        <w:rPr>
          <w:rFonts w:hint="eastAsia"/>
          <w:color w:val="auto"/>
          <w:sz w:val="24"/>
          <w:szCs w:val="22"/>
        </w:rPr>
        <w:t>。</w:t>
      </w:r>
    </w:p>
    <w:p w14:paraId="469EDEA6">
      <w:pPr>
        <w:adjustRightInd w:val="0"/>
        <w:snapToGrid w:val="0"/>
        <w:spacing w:line="500" w:lineRule="exact"/>
        <w:jc w:val="center"/>
        <w:rPr>
          <w:rFonts w:eastAsia="黑体"/>
          <w:color w:val="auto"/>
          <w:sz w:val="24"/>
          <w:szCs w:val="22"/>
          <w:lang w:val="zh-CN"/>
        </w:rPr>
      </w:pPr>
      <w:r>
        <w:rPr>
          <w:rFonts w:hint="eastAsia" w:eastAsia="黑体"/>
          <w:color w:val="auto"/>
          <w:sz w:val="24"/>
          <w:szCs w:val="22"/>
          <w:lang w:val="zh-CN"/>
        </w:rPr>
        <w:t>表</w:t>
      </w:r>
      <w:r>
        <w:rPr>
          <w:rFonts w:eastAsia="黑体"/>
          <w:color w:val="auto"/>
          <w:sz w:val="24"/>
          <w:szCs w:val="22"/>
          <w:lang w:val="zh-CN"/>
        </w:rPr>
        <w:t>5</w:t>
      </w:r>
      <w:r>
        <w:rPr>
          <w:rFonts w:hint="eastAsia" w:eastAsia="黑体"/>
          <w:color w:val="auto"/>
          <w:sz w:val="24"/>
          <w:szCs w:val="22"/>
          <w:lang w:val="zh-CN"/>
        </w:rPr>
        <w:t>-</w:t>
      </w:r>
      <w:r>
        <w:rPr>
          <w:rFonts w:eastAsia="黑体"/>
          <w:color w:val="auto"/>
          <w:sz w:val="24"/>
          <w:szCs w:val="22"/>
          <w:lang w:val="zh-CN"/>
        </w:rPr>
        <w:t>1</w:t>
      </w:r>
      <w:r>
        <w:rPr>
          <w:rFonts w:hint="eastAsia" w:eastAsia="黑体"/>
          <w:color w:val="auto"/>
          <w:sz w:val="24"/>
          <w:szCs w:val="22"/>
          <w:lang w:val="zh-CN"/>
        </w:rPr>
        <w:t>-</w:t>
      </w:r>
      <w:r>
        <w:rPr>
          <w:rFonts w:eastAsia="黑体"/>
          <w:color w:val="auto"/>
          <w:sz w:val="24"/>
          <w:szCs w:val="22"/>
          <w:lang w:val="zh-CN"/>
        </w:rPr>
        <w:t>3</w:t>
      </w:r>
      <w:r>
        <w:rPr>
          <w:rFonts w:hint="eastAsia" w:eastAsia="黑体"/>
          <w:color w:val="auto"/>
          <w:sz w:val="24"/>
          <w:szCs w:val="22"/>
          <w:lang w:val="zh-CN"/>
        </w:rPr>
        <w:t>各类施工机械在不同距离处的噪声预测值</w:t>
      </w:r>
      <w:r>
        <w:rPr>
          <w:rFonts w:hint="eastAsia" w:eastAsia="黑体"/>
          <w:color w:val="auto"/>
          <w:sz w:val="24"/>
          <w:szCs w:val="22"/>
          <w:lang w:val="zh-CN"/>
        </w:rPr>
        <w:tab/>
      </w:r>
      <w:r>
        <w:rPr>
          <w:rFonts w:hint="eastAsia" w:eastAsia="黑体"/>
          <w:color w:val="auto"/>
          <w:sz w:val="24"/>
          <w:szCs w:val="22"/>
          <w:lang w:val="zh-CN"/>
        </w:rPr>
        <w:t>单位：</w:t>
      </w:r>
      <w:r>
        <w:rPr>
          <w:rFonts w:eastAsia="黑体"/>
          <w:color w:val="auto"/>
          <w:sz w:val="24"/>
          <w:szCs w:val="22"/>
          <w:lang w:val="zh-CN"/>
        </w:rPr>
        <w:t>dB(A)</w:t>
      </w:r>
    </w:p>
    <w:tbl>
      <w:tblPr>
        <w:tblStyle w:val="774"/>
        <w:tblW w:w="0" w:type="auto"/>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26"/>
        <w:gridCol w:w="934"/>
        <w:gridCol w:w="654"/>
        <w:gridCol w:w="655"/>
        <w:gridCol w:w="655"/>
        <w:gridCol w:w="655"/>
        <w:gridCol w:w="655"/>
        <w:gridCol w:w="655"/>
        <w:gridCol w:w="655"/>
        <w:gridCol w:w="655"/>
        <w:gridCol w:w="655"/>
        <w:gridCol w:w="655"/>
      </w:tblGrid>
      <w:tr w14:paraId="6BD4A7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6" w:type="dxa"/>
            <w:vMerge w:val="restart"/>
            <w:vAlign w:val="center"/>
          </w:tcPr>
          <w:p w14:paraId="2A84B729">
            <w:pPr>
              <w:adjustRightInd w:val="0"/>
              <w:snapToGrid w:val="0"/>
              <w:jc w:val="center"/>
              <w:rPr>
                <w:snapToGrid w:val="0"/>
                <w:color w:val="auto"/>
                <w:szCs w:val="22"/>
                <w:lang w:val="zh-CN"/>
              </w:rPr>
            </w:pPr>
            <w:r>
              <w:rPr>
                <w:rFonts w:hint="eastAsia"/>
                <w:snapToGrid w:val="0"/>
                <w:color w:val="auto"/>
                <w:szCs w:val="22"/>
                <w:lang w:val="zh-CN"/>
              </w:rPr>
              <w:t>序号</w:t>
            </w:r>
          </w:p>
        </w:tc>
        <w:tc>
          <w:tcPr>
            <w:tcW w:w="934" w:type="dxa"/>
            <w:vMerge w:val="restart"/>
            <w:vAlign w:val="center"/>
          </w:tcPr>
          <w:p w14:paraId="016D622B">
            <w:pPr>
              <w:adjustRightInd w:val="0"/>
              <w:snapToGrid w:val="0"/>
              <w:jc w:val="center"/>
              <w:rPr>
                <w:snapToGrid w:val="0"/>
                <w:color w:val="auto"/>
                <w:szCs w:val="22"/>
                <w:lang w:val="zh-CN"/>
              </w:rPr>
            </w:pPr>
            <w:r>
              <w:rPr>
                <w:rFonts w:hint="eastAsia"/>
                <w:snapToGrid w:val="0"/>
                <w:color w:val="auto"/>
                <w:szCs w:val="22"/>
                <w:lang w:val="zh-CN"/>
              </w:rPr>
              <w:t>机械类型</w:t>
            </w:r>
          </w:p>
        </w:tc>
        <w:tc>
          <w:tcPr>
            <w:tcW w:w="6549" w:type="dxa"/>
            <w:gridSpan w:val="10"/>
            <w:vAlign w:val="center"/>
          </w:tcPr>
          <w:p w14:paraId="716E1304">
            <w:pPr>
              <w:adjustRightInd w:val="0"/>
              <w:snapToGrid w:val="0"/>
              <w:jc w:val="center"/>
              <w:rPr>
                <w:snapToGrid w:val="0"/>
                <w:color w:val="auto"/>
                <w:szCs w:val="22"/>
                <w:lang w:val="zh-CN"/>
              </w:rPr>
            </w:pPr>
            <w:r>
              <w:rPr>
                <w:rFonts w:hint="eastAsia"/>
                <w:snapToGrid w:val="0"/>
                <w:color w:val="auto"/>
                <w:szCs w:val="22"/>
                <w:lang w:val="zh-CN"/>
              </w:rPr>
              <w:t>噪声预测值</w:t>
            </w:r>
          </w:p>
        </w:tc>
      </w:tr>
      <w:tr w14:paraId="6F81F4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6" w:type="dxa"/>
            <w:vMerge w:val="continue"/>
            <w:vAlign w:val="center"/>
          </w:tcPr>
          <w:p w14:paraId="3331F02F">
            <w:pPr>
              <w:adjustRightInd w:val="0"/>
              <w:snapToGrid w:val="0"/>
              <w:jc w:val="center"/>
              <w:rPr>
                <w:snapToGrid w:val="0"/>
                <w:color w:val="auto"/>
                <w:szCs w:val="22"/>
                <w:lang w:val="zh-CN"/>
              </w:rPr>
            </w:pPr>
          </w:p>
        </w:tc>
        <w:tc>
          <w:tcPr>
            <w:tcW w:w="934" w:type="dxa"/>
            <w:vMerge w:val="continue"/>
            <w:vAlign w:val="center"/>
          </w:tcPr>
          <w:p w14:paraId="2303A073">
            <w:pPr>
              <w:adjustRightInd w:val="0"/>
              <w:snapToGrid w:val="0"/>
              <w:jc w:val="center"/>
              <w:rPr>
                <w:snapToGrid w:val="0"/>
                <w:color w:val="auto"/>
                <w:szCs w:val="22"/>
                <w:lang w:val="zh-CN"/>
              </w:rPr>
            </w:pPr>
          </w:p>
        </w:tc>
        <w:tc>
          <w:tcPr>
            <w:tcW w:w="654" w:type="dxa"/>
            <w:vAlign w:val="center"/>
          </w:tcPr>
          <w:p w14:paraId="62E1313B">
            <w:pPr>
              <w:adjustRightInd w:val="0"/>
              <w:snapToGrid w:val="0"/>
              <w:jc w:val="center"/>
              <w:rPr>
                <w:rFonts w:eastAsia="Times New Roman"/>
                <w:snapToGrid w:val="0"/>
                <w:color w:val="auto"/>
                <w:szCs w:val="22"/>
                <w:lang w:val="zh-CN"/>
              </w:rPr>
            </w:pPr>
            <w:r>
              <w:rPr>
                <w:rFonts w:hAnsi="Calibri"/>
                <w:snapToGrid w:val="0"/>
                <w:color w:val="auto"/>
                <w:szCs w:val="22"/>
                <w:lang w:val="zh-CN"/>
              </w:rPr>
              <w:t>5m</w:t>
            </w:r>
          </w:p>
        </w:tc>
        <w:tc>
          <w:tcPr>
            <w:tcW w:w="655" w:type="dxa"/>
            <w:vAlign w:val="center"/>
          </w:tcPr>
          <w:p w14:paraId="6ADE523B">
            <w:pPr>
              <w:adjustRightInd w:val="0"/>
              <w:snapToGrid w:val="0"/>
              <w:jc w:val="center"/>
              <w:rPr>
                <w:rFonts w:eastAsia="Times New Roman"/>
                <w:snapToGrid w:val="0"/>
                <w:color w:val="auto"/>
                <w:szCs w:val="22"/>
                <w:lang w:val="zh-CN"/>
              </w:rPr>
            </w:pPr>
            <w:r>
              <w:rPr>
                <w:rFonts w:hAnsi="Calibri"/>
                <w:snapToGrid w:val="0"/>
                <w:color w:val="auto"/>
                <w:szCs w:val="22"/>
                <w:lang w:val="zh-CN"/>
              </w:rPr>
              <w:t>12m</w:t>
            </w:r>
          </w:p>
        </w:tc>
        <w:tc>
          <w:tcPr>
            <w:tcW w:w="655" w:type="dxa"/>
            <w:vAlign w:val="center"/>
          </w:tcPr>
          <w:p w14:paraId="271FC4A8">
            <w:pPr>
              <w:adjustRightInd w:val="0"/>
              <w:snapToGrid w:val="0"/>
              <w:jc w:val="center"/>
              <w:rPr>
                <w:rFonts w:eastAsia="Times New Roman"/>
                <w:snapToGrid w:val="0"/>
                <w:color w:val="auto"/>
                <w:szCs w:val="22"/>
                <w:lang w:val="zh-CN"/>
              </w:rPr>
            </w:pPr>
            <w:r>
              <w:rPr>
                <w:rFonts w:hAnsi="Calibri"/>
                <w:snapToGrid w:val="0"/>
                <w:color w:val="auto"/>
                <w:szCs w:val="22"/>
                <w:lang w:val="zh-CN"/>
              </w:rPr>
              <w:t>20</w:t>
            </w:r>
            <w:r>
              <w:rPr>
                <w:rFonts w:hint="eastAsia" w:hAnsi="Calibri"/>
                <w:snapToGrid w:val="0"/>
                <w:color w:val="auto"/>
                <w:szCs w:val="22"/>
                <w:lang w:val="zh-CN"/>
              </w:rPr>
              <w:t>m</w:t>
            </w:r>
          </w:p>
        </w:tc>
        <w:tc>
          <w:tcPr>
            <w:tcW w:w="655" w:type="dxa"/>
            <w:vAlign w:val="center"/>
          </w:tcPr>
          <w:p w14:paraId="71BA6FBB">
            <w:pPr>
              <w:adjustRightInd w:val="0"/>
              <w:snapToGrid w:val="0"/>
              <w:jc w:val="center"/>
              <w:rPr>
                <w:rFonts w:eastAsia="Times New Roman"/>
                <w:snapToGrid w:val="0"/>
                <w:color w:val="auto"/>
                <w:szCs w:val="22"/>
                <w:lang w:val="zh-CN"/>
              </w:rPr>
            </w:pPr>
            <w:r>
              <w:rPr>
                <w:rFonts w:hAnsi="Calibri"/>
                <w:snapToGrid w:val="0"/>
                <w:color w:val="auto"/>
                <w:szCs w:val="22"/>
                <w:lang w:val="zh-CN"/>
              </w:rPr>
              <w:t>40m</w:t>
            </w:r>
          </w:p>
        </w:tc>
        <w:tc>
          <w:tcPr>
            <w:tcW w:w="655" w:type="dxa"/>
            <w:vAlign w:val="center"/>
          </w:tcPr>
          <w:p w14:paraId="7CF90198">
            <w:pPr>
              <w:adjustRightInd w:val="0"/>
              <w:snapToGrid w:val="0"/>
              <w:jc w:val="center"/>
              <w:rPr>
                <w:rFonts w:eastAsia="Times New Roman"/>
                <w:snapToGrid w:val="0"/>
                <w:color w:val="auto"/>
                <w:szCs w:val="22"/>
                <w:lang w:val="zh-CN"/>
              </w:rPr>
            </w:pPr>
            <w:r>
              <w:rPr>
                <w:rFonts w:hAnsi="Calibri"/>
                <w:snapToGrid w:val="0"/>
                <w:color w:val="auto"/>
                <w:szCs w:val="22"/>
                <w:lang w:val="zh-CN"/>
              </w:rPr>
              <w:t>50m</w:t>
            </w:r>
          </w:p>
        </w:tc>
        <w:tc>
          <w:tcPr>
            <w:tcW w:w="655" w:type="dxa"/>
            <w:vAlign w:val="center"/>
          </w:tcPr>
          <w:p w14:paraId="450BB038">
            <w:pPr>
              <w:adjustRightInd w:val="0"/>
              <w:snapToGrid w:val="0"/>
              <w:jc w:val="center"/>
              <w:rPr>
                <w:rFonts w:eastAsia="Times New Roman"/>
                <w:snapToGrid w:val="0"/>
                <w:color w:val="auto"/>
                <w:szCs w:val="22"/>
                <w:lang w:val="zh-CN"/>
              </w:rPr>
            </w:pPr>
            <w:r>
              <w:rPr>
                <w:rFonts w:hAnsi="Calibri"/>
                <w:snapToGrid w:val="0"/>
                <w:color w:val="auto"/>
                <w:szCs w:val="22"/>
                <w:lang w:val="zh-CN"/>
              </w:rPr>
              <w:t>80m</w:t>
            </w:r>
          </w:p>
        </w:tc>
        <w:tc>
          <w:tcPr>
            <w:tcW w:w="655" w:type="dxa"/>
            <w:vAlign w:val="center"/>
          </w:tcPr>
          <w:p w14:paraId="65CB77D5">
            <w:pPr>
              <w:adjustRightInd w:val="0"/>
              <w:snapToGrid w:val="0"/>
              <w:jc w:val="center"/>
              <w:rPr>
                <w:rFonts w:eastAsia="Times New Roman"/>
                <w:snapToGrid w:val="0"/>
                <w:color w:val="auto"/>
                <w:szCs w:val="22"/>
                <w:lang w:val="zh-CN"/>
              </w:rPr>
            </w:pPr>
            <w:r>
              <w:rPr>
                <w:rFonts w:hAnsi="Calibri"/>
                <w:snapToGrid w:val="0"/>
                <w:color w:val="auto"/>
                <w:szCs w:val="22"/>
                <w:lang w:val="zh-CN"/>
              </w:rPr>
              <w:t>120m</w:t>
            </w:r>
          </w:p>
        </w:tc>
        <w:tc>
          <w:tcPr>
            <w:tcW w:w="655" w:type="dxa"/>
            <w:vAlign w:val="center"/>
          </w:tcPr>
          <w:p w14:paraId="58D588FF">
            <w:pPr>
              <w:adjustRightInd w:val="0"/>
              <w:snapToGrid w:val="0"/>
              <w:jc w:val="center"/>
              <w:rPr>
                <w:rFonts w:eastAsia="Times New Roman"/>
                <w:snapToGrid w:val="0"/>
                <w:color w:val="auto"/>
                <w:szCs w:val="22"/>
                <w:lang w:val="zh-CN"/>
              </w:rPr>
            </w:pPr>
            <w:r>
              <w:rPr>
                <w:rFonts w:hAnsi="Calibri"/>
                <w:snapToGrid w:val="0"/>
                <w:color w:val="auto"/>
                <w:szCs w:val="22"/>
                <w:lang w:val="zh-CN"/>
              </w:rPr>
              <w:t>150m</w:t>
            </w:r>
          </w:p>
        </w:tc>
        <w:tc>
          <w:tcPr>
            <w:tcW w:w="655" w:type="dxa"/>
            <w:vAlign w:val="center"/>
          </w:tcPr>
          <w:p w14:paraId="4808F8E3">
            <w:pPr>
              <w:adjustRightInd w:val="0"/>
              <w:snapToGrid w:val="0"/>
              <w:jc w:val="center"/>
              <w:rPr>
                <w:rFonts w:eastAsia="Times New Roman"/>
                <w:snapToGrid w:val="0"/>
                <w:color w:val="auto"/>
                <w:szCs w:val="22"/>
                <w:lang w:val="zh-CN"/>
              </w:rPr>
            </w:pPr>
            <w:r>
              <w:rPr>
                <w:rFonts w:hAnsi="Calibri"/>
                <w:snapToGrid w:val="0"/>
                <w:color w:val="auto"/>
                <w:szCs w:val="22"/>
                <w:lang w:val="zh-CN"/>
              </w:rPr>
              <w:t>200m</w:t>
            </w:r>
          </w:p>
        </w:tc>
        <w:tc>
          <w:tcPr>
            <w:tcW w:w="655" w:type="dxa"/>
            <w:vAlign w:val="center"/>
          </w:tcPr>
          <w:p w14:paraId="017E4B9A">
            <w:pPr>
              <w:adjustRightInd w:val="0"/>
              <w:snapToGrid w:val="0"/>
              <w:jc w:val="center"/>
              <w:rPr>
                <w:rFonts w:eastAsia="Times New Roman"/>
                <w:snapToGrid w:val="0"/>
                <w:color w:val="auto"/>
                <w:szCs w:val="22"/>
                <w:lang w:val="zh-CN"/>
              </w:rPr>
            </w:pPr>
            <w:r>
              <w:rPr>
                <w:rFonts w:hAnsi="Calibri"/>
                <w:snapToGrid w:val="0"/>
                <w:color w:val="auto"/>
                <w:szCs w:val="22"/>
                <w:lang w:val="zh-CN"/>
              </w:rPr>
              <w:t>300m</w:t>
            </w:r>
          </w:p>
        </w:tc>
      </w:tr>
      <w:tr w14:paraId="242351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6" w:type="dxa"/>
            <w:vAlign w:val="center"/>
          </w:tcPr>
          <w:p w14:paraId="34CEFFAD">
            <w:pPr>
              <w:adjustRightInd w:val="0"/>
              <w:snapToGrid w:val="0"/>
              <w:jc w:val="center"/>
              <w:rPr>
                <w:rFonts w:eastAsia="Times New Roman"/>
                <w:snapToGrid w:val="0"/>
                <w:color w:val="auto"/>
                <w:szCs w:val="22"/>
                <w:lang w:val="zh-CN"/>
              </w:rPr>
            </w:pPr>
            <w:r>
              <w:rPr>
                <w:rFonts w:hAnsi="Calibri"/>
                <w:snapToGrid w:val="0"/>
                <w:color w:val="auto"/>
                <w:szCs w:val="22"/>
                <w:lang w:val="zh-CN"/>
              </w:rPr>
              <w:t>1</w:t>
            </w:r>
          </w:p>
        </w:tc>
        <w:tc>
          <w:tcPr>
            <w:tcW w:w="934" w:type="dxa"/>
            <w:vAlign w:val="center"/>
          </w:tcPr>
          <w:p w14:paraId="3D364924">
            <w:pPr>
              <w:adjustRightInd w:val="0"/>
              <w:snapToGrid w:val="0"/>
              <w:jc w:val="center"/>
              <w:rPr>
                <w:snapToGrid w:val="0"/>
                <w:color w:val="auto"/>
                <w:szCs w:val="22"/>
                <w:lang w:val="zh-CN"/>
              </w:rPr>
            </w:pPr>
            <w:r>
              <w:rPr>
                <w:rFonts w:hint="eastAsia"/>
                <w:snapToGrid w:val="0"/>
                <w:color w:val="auto"/>
                <w:szCs w:val="22"/>
                <w:lang w:val="zh-CN"/>
              </w:rPr>
              <w:t>推土机</w:t>
            </w:r>
          </w:p>
        </w:tc>
        <w:tc>
          <w:tcPr>
            <w:tcW w:w="654" w:type="dxa"/>
            <w:vAlign w:val="center"/>
          </w:tcPr>
          <w:p w14:paraId="6BD4638E">
            <w:pPr>
              <w:adjustRightInd w:val="0"/>
              <w:snapToGrid w:val="0"/>
              <w:jc w:val="center"/>
              <w:rPr>
                <w:rFonts w:eastAsia="Times New Roman"/>
                <w:snapToGrid w:val="0"/>
                <w:color w:val="auto"/>
                <w:szCs w:val="22"/>
                <w:lang w:val="zh-CN"/>
              </w:rPr>
            </w:pPr>
            <w:r>
              <w:rPr>
                <w:rFonts w:hAnsi="Calibri"/>
                <w:snapToGrid w:val="0"/>
                <w:color w:val="auto"/>
                <w:szCs w:val="22"/>
                <w:lang w:val="zh-CN"/>
              </w:rPr>
              <w:t>86</w:t>
            </w:r>
          </w:p>
        </w:tc>
        <w:tc>
          <w:tcPr>
            <w:tcW w:w="655" w:type="dxa"/>
            <w:vAlign w:val="center"/>
          </w:tcPr>
          <w:p w14:paraId="3A7E57D0">
            <w:pPr>
              <w:adjustRightInd w:val="0"/>
              <w:snapToGrid w:val="0"/>
              <w:jc w:val="center"/>
              <w:rPr>
                <w:rFonts w:eastAsia="Times New Roman"/>
                <w:snapToGrid w:val="0"/>
                <w:color w:val="auto"/>
                <w:szCs w:val="22"/>
                <w:lang w:val="zh-CN"/>
              </w:rPr>
            </w:pPr>
            <w:r>
              <w:rPr>
                <w:rFonts w:hAnsi="Calibri"/>
                <w:snapToGrid w:val="0"/>
                <w:color w:val="auto"/>
                <w:szCs w:val="22"/>
                <w:lang w:val="zh-CN"/>
              </w:rPr>
              <w:t>80</w:t>
            </w:r>
          </w:p>
        </w:tc>
        <w:tc>
          <w:tcPr>
            <w:tcW w:w="655" w:type="dxa"/>
            <w:vAlign w:val="center"/>
          </w:tcPr>
          <w:p w14:paraId="3E1B9B34">
            <w:pPr>
              <w:adjustRightInd w:val="0"/>
              <w:snapToGrid w:val="0"/>
              <w:jc w:val="center"/>
              <w:rPr>
                <w:rFonts w:eastAsia="Times New Roman"/>
                <w:snapToGrid w:val="0"/>
                <w:color w:val="auto"/>
                <w:szCs w:val="22"/>
                <w:lang w:val="zh-CN"/>
              </w:rPr>
            </w:pPr>
            <w:r>
              <w:rPr>
                <w:rFonts w:hAnsi="Calibri"/>
                <w:snapToGrid w:val="0"/>
                <w:color w:val="auto"/>
                <w:szCs w:val="22"/>
                <w:lang w:val="zh-CN"/>
              </w:rPr>
              <w:t>74</w:t>
            </w:r>
          </w:p>
        </w:tc>
        <w:tc>
          <w:tcPr>
            <w:tcW w:w="655" w:type="dxa"/>
            <w:vAlign w:val="center"/>
          </w:tcPr>
          <w:p w14:paraId="251912D2">
            <w:pPr>
              <w:adjustRightInd w:val="0"/>
              <w:snapToGrid w:val="0"/>
              <w:jc w:val="center"/>
              <w:rPr>
                <w:rFonts w:eastAsia="Times New Roman"/>
                <w:snapToGrid w:val="0"/>
                <w:color w:val="auto"/>
                <w:szCs w:val="22"/>
                <w:lang w:val="zh-CN"/>
              </w:rPr>
            </w:pPr>
            <w:r>
              <w:rPr>
                <w:rFonts w:hAnsi="Calibri"/>
                <w:snapToGrid w:val="0"/>
                <w:color w:val="auto"/>
                <w:szCs w:val="22"/>
                <w:lang w:val="zh-CN"/>
              </w:rPr>
              <w:t>68</w:t>
            </w:r>
          </w:p>
        </w:tc>
        <w:tc>
          <w:tcPr>
            <w:tcW w:w="655" w:type="dxa"/>
            <w:vAlign w:val="center"/>
          </w:tcPr>
          <w:p w14:paraId="5698E6CB">
            <w:pPr>
              <w:adjustRightInd w:val="0"/>
              <w:snapToGrid w:val="0"/>
              <w:jc w:val="center"/>
              <w:rPr>
                <w:rFonts w:eastAsia="Times New Roman"/>
                <w:snapToGrid w:val="0"/>
                <w:color w:val="auto"/>
                <w:szCs w:val="22"/>
                <w:lang w:val="zh-CN"/>
              </w:rPr>
            </w:pPr>
            <w:r>
              <w:rPr>
                <w:rFonts w:hAnsi="Calibri"/>
                <w:snapToGrid w:val="0"/>
                <w:color w:val="auto"/>
                <w:szCs w:val="22"/>
                <w:lang w:val="zh-CN"/>
              </w:rPr>
              <w:t>66</w:t>
            </w:r>
          </w:p>
        </w:tc>
        <w:tc>
          <w:tcPr>
            <w:tcW w:w="655" w:type="dxa"/>
            <w:vAlign w:val="center"/>
          </w:tcPr>
          <w:p w14:paraId="25745607">
            <w:pPr>
              <w:adjustRightInd w:val="0"/>
              <w:snapToGrid w:val="0"/>
              <w:jc w:val="center"/>
              <w:rPr>
                <w:rFonts w:eastAsia="Times New Roman"/>
                <w:snapToGrid w:val="0"/>
                <w:color w:val="auto"/>
                <w:szCs w:val="22"/>
                <w:lang w:val="zh-CN"/>
              </w:rPr>
            </w:pPr>
            <w:r>
              <w:rPr>
                <w:rFonts w:hAnsi="Calibri"/>
                <w:snapToGrid w:val="0"/>
                <w:color w:val="auto"/>
                <w:szCs w:val="22"/>
                <w:lang w:val="zh-CN"/>
              </w:rPr>
              <w:t>62</w:t>
            </w:r>
          </w:p>
        </w:tc>
        <w:tc>
          <w:tcPr>
            <w:tcW w:w="655" w:type="dxa"/>
            <w:vAlign w:val="center"/>
          </w:tcPr>
          <w:p w14:paraId="09303512">
            <w:pPr>
              <w:adjustRightInd w:val="0"/>
              <w:snapToGrid w:val="0"/>
              <w:jc w:val="center"/>
              <w:rPr>
                <w:rFonts w:eastAsia="Times New Roman"/>
                <w:snapToGrid w:val="0"/>
                <w:color w:val="auto"/>
                <w:szCs w:val="22"/>
                <w:lang w:val="zh-CN"/>
              </w:rPr>
            </w:pPr>
            <w:r>
              <w:rPr>
                <w:rFonts w:hAnsi="Calibri"/>
                <w:snapToGrid w:val="0"/>
                <w:color w:val="auto"/>
                <w:szCs w:val="22"/>
                <w:lang w:val="zh-CN"/>
              </w:rPr>
              <w:t>60</w:t>
            </w:r>
          </w:p>
        </w:tc>
        <w:tc>
          <w:tcPr>
            <w:tcW w:w="655" w:type="dxa"/>
            <w:vAlign w:val="center"/>
          </w:tcPr>
          <w:p w14:paraId="45E4421D">
            <w:pPr>
              <w:adjustRightInd w:val="0"/>
              <w:snapToGrid w:val="0"/>
              <w:jc w:val="center"/>
              <w:rPr>
                <w:rFonts w:eastAsia="Times New Roman"/>
                <w:snapToGrid w:val="0"/>
                <w:color w:val="auto"/>
                <w:szCs w:val="22"/>
                <w:lang w:val="zh-CN"/>
              </w:rPr>
            </w:pPr>
            <w:r>
              <w:rPr>
                <w:rFonts w:hAnsi="Calibri"/>
                <w:snapToGrid w:val="0"/>
                <w:color w:val="auto"/>
                <w:szCs w:val="22"/>
                <w:lang w:val="zh-CN"/>
              </w:rPr>
              <w:t>56.5</w:t>
            </w:r>
          </w:p>
        </w:tc>
        <w:tc>
          <w:tcPr>
            <w:tcW w:w="655" w:type="dxa"/>
            <w:vAlign w:val="center"/>
          </w:tcPr>
          <w:p w14:paraId="1122D07A">
            <w:pPr>
              <w:adjustRightInd w:val="0"/>
              <w:snapToGrid w:val="0"/>
              <w:jc w:val="center"/>
              <w:rPr>
                <w:rFonts w:eastAsia="Times New Roman"/>
                <w:snapToGrid w:val="0"/>
                <w:color w:val="auto"/>
                <w:szCs w:val="22"/>
                <w:lang w:val="zh-CN"/>
              </w:rPr>
            </w:pPr>
            <w:r>
              <w:rPr>
                <w:rFonts w:hAnsi="Calibri"/>
                <w:snapToGrid w:val="0"/>
                <w:color w:val="auto"/>
                <w:szCs w:val="22"/>
                <w:lang w:val="zh-CN"/>
              </w:rPr>
              <w:t>54</w:t>
            </w:r>
          </w:p>
        </w:tc>
        <w:tc>
          <w:tcPr>
            <w:tcW w:w="655" w:type="dxa"/>
            <w:vAlign w:val="center"/>
          </w:tcPr>
          <w:p w14:paraId="0B8EB7DB">
            <w:pPr>
              <w:adjustRightInd w:val="0"/>
              <w:snapToGrid w:val="0"/>
              <w:jc w:val="center"/>
              <w:rPr>
                <w:rFonts w:eastAsia="Times New Roman"/>
                <w:snapToGrid w:val="0"/>
                <w:color w:val="auto"/>
                <w:szCs w:val="22"/>
                <w:lang w:val="zh-CN"/>
              </w:rPr>
            </w:pPr>
            <w:r>
              <w:rPr>
                <w:rFonts w:hAnsi="Calibri"/>
                <w:snapToGrid w:val="0"/>
                <w:color w:val="auto"/>
                <w:szCs w:val="22"/>
                <w:lang w:val="zh-CN"/>
              </w:rPr>
              <w:t>50.5</w:t>
            </w:r>
          </w:p>
        </w:tc>
      </w:tr>
      <w:tr w14:paraId="1B9514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6" w:type="dxa"/>
            <w:vAlign w:val="center"/>
          </w:tcPr>
          <w:p w14:paraId="6458C14F">
            <w:pPr>
              <w:adjustRightInd w:val="0"/>
              <w:snapToGrid w:val="0"/>
              <w:jc w:val="center"/>
              <w:rPr>
                <w:rFonts w:eastAsia="Times New Roman"/>
                <w:snapToGrid w:val="0"/>
                <w:color w:val="auto"/>
                <w:szCs w:val="22"/>
                <w:lang w:val="zh-CN"/>
              </w:rPr>
            </w:pPr>
            <w:r>
              <w:rPr>
                <w:rFonts w:hAnsi="Calibri"/>
                <w:snapToGrid w:val="0"/>
                <w:color w:val="auto"/>
                <w:szCs w:val="22"/>
                <w:lang w:val="zh-CN"/>
              </w:rPr>
              <w:t>2</w:t>
            </w:r>
          </w:p>
        </w:tc>
        <w:tc>
          <w:tcPr>
            <w:tcW w:w="934" w:type="dxa"/>
            <w:vAlign w:val="center"/>
          </w:tcPr>
          <w:p w14:paraId="30931E37">
            <w:pPr>
              <w:adjustRightInd w:val="0"/>
              <w:snapToGrid w:val="0"/>
              <w:jc w:val="center"/>
              <w:rPr>
                <w:snapToGrid w:val="0"/>
                <w:color w:val="auto"/>
                <w:szCs w:val="22"/>
                <w:lang w:val="zh-CN"/>
              </w:rPr>
            </w:pPr>
            <w:r>
              <w:rPr>
                <w:rFonts w:hint="eastAsia"/>
                <w:snapToGrid w:val="0"/>
                <w:color w:val="auto"/>
                <w:szCs w:val="22"/>
                <w:lang w:val="zh-CN"/>
              </w:rPr>
              <w:t>装载机</w:t>
            </w:r>
          </w:p>
        </w:tc>
        <w:tc>
          <w:tcPr>
            <w:tcW w:w="654" w:type="dxa"/>
            <w:vAlign w:val="center"/>
          </w:tcPr>
          <w:p w14:paraId="0814A7F3">
            <w:pPr>
              <w:adjustRightInd w:val="0"/>
              <w:snapToGrid w:val="0"/>
              <w:jc w:val="center"/>
              <w:rPr>
                <w:rFonts w:eastAsia="Times New Roman"/>
                <w:snapToGrid w:val="0"/>
                <w:color w:val="auto"/>
                <w:szCs w:val="22"/>
                <w:lang w:val="zh-CN"/>
              </w:rPr>
            </w:pPr>
            <w:r>
              <w:rPr>
                <w:rFonts w:hAnsi="Calibri"/>
                <w:snapToGrid w:val="0"/>
                <w:color w:val="auto"/>
                <w:szCs w:val="22"/>
                <w:lang w:val="zh-CN"/>
              </w:rPr>
              <w:t>86</w:t>
            </w:r>
          </w:p>
        </w:tc>
        <w:tc>
          <w:tcPr>
            <w:tcW w:w="655" w:type="dxa"/>
            <w:vAlign w:val="center"/>
          </w:tcPr>
          <w:p w14:paraId="0EAA9ACD">
            <w:pPr>
              <w:adjustRightInd w:val="0"/>
              <w:snapToGrid w:val="0"/>
              <w:jc w:val="center"/>
              <w:rPr>
                <w:rFonts w:eastAsia="Times New Roman"/>
                <w:snapToGrid w:val="0"/>
                <w:color w:val="auto"/>
                <w:szCs w:val="22"/>
                <w:lang w:val="zh-CN"/>
              </w:rPr>
            </w:pPr>
            <w:r>
              <w:rPr>
                <w:rFonts w:hAnsi="Calibri"/>
                <w:snapToGrid w:val="0"/>
                <w:color w:val="auto"/>
                <w:szCs w:val="22"/>
                <w:lang w:val="zh-CN"/>
              </w:rPr>
              <w:t>80</w:t>
            </w:r>
          </w:p>
        </w:tc>
        <w:tc>
          <w:tcPr>
            <w:tcW w:w="655" w:type="dxa"/>
            <w:vAlign w:val="center"/>
          </w:tcPr>
          <w:p w14:paraId="2C6374B5">
            <w:pPr>
              <w:adjustRightInd w:val="0"/>
              <w:snapToGrid w:val="0"/>
              <w:jc w:val="center"/>
              <w:rPr>
                <w:rFonts w:eastAsia="Times New Roman"/>
                <w:snapToGrid w:val="0"/>
                <w:color w:val="auto"/>
                <w:szCs w:val="22"/>
                <w:lang w:val="zh-CN"/>
              </w:rPr>
            </w:pPr>
            <w:r>
              <w:rPr>
                <w:rFonts w:hAnsi="Calibri"/>
                <w:snapToGrid w:val="0"/>
                <w:color w:val="auto"/>
                <w:szCs w:val="22"/>
                <w:lang w:val="zh-CN"/>
              </w:rPr>
              <w:t>74</w:t>
            </w:r>
          </w:p>
        </w:tc>
        <w:tc>
          <w:tcPr>
            <w:tcW w:w="655" w:type="dxa"/>
            <w:vAlign w:val="center"/>
          </w:tcPr>
          <w:p w14:paraId="479156F7">
            <w:pPr>
              <w:adjustRightInd w:val="0"/>
              <w:snapToGrid w:val="0"/>
              <w:jc w:val="center"/>
              <w:rPr>
                <w:rFonts w:eastAsia="Times New Roman"/>
                <w:snapToGrid w:val="0"/>
                <w:color w:val="auto"/>
                <w:szCs w:val="22"/>
                <w:lang w:val="zh-CN"/>
              </w:rPr>
            </w:pPr>
            <w:r>
              <w:rPr>
                <w:rFonts w:hAnsi="Calibri"/>
                <w:snapToGrid w:val="0"/>
                <w:color w:val="auto"/>
                <w:szCs w:val="22"/>
                <w:lang w:val="zh-CN"/>
              </w:rPr>
              <w:t>68</w:t>
            </w:r>
          </w:p>
        </w:tc>
        <w:tc>
          <w:tcPr>
            <w:tcW w:w="655" w:type="dxa"/>
            <w:vAlign w:val="center"/>
          </w:tcPr>
          <w:p w14:paraId="0298DFB4">
            <w:pPr>
              <w:adjustRightInd w:val="0"/>
              <w:snapToGrid w:val="0"/>
              <w:jc w:val="center"/>
              <w:rPr>
                <w:rFonts w:eastAsia="Times New Roman"/>
                <w:snapToGrid w:val="0"/>
                <w:color w:val="auto"/>
                <w:szCs w:val="22"/>
                <w:lang w:val="zh-CN"/>
              </w:rPr>
            </w:pPr>
            <w:r>
              <w:rPr>
                <w:rFonts w:hAnsi="Calibri"/>
                <w:snapToGrid w:val="0"/>
                <w:color w:val="auto"/>
                <w:szCs w:val="22"/>
                <w:lang w:val="zh-CN"/>
              </w:rPr>
              <w:t>66</w:t>
            </w:r>
          </w:p>
        </w:tc>
        <w:tc>
          <w:tcPr>
            <w:tcW w:w="655" w:type="dxa"/>
            <w:vAlign w:val="center"/>
          </w:tcPr>
          <w:p w14:paraId="66ED6A00">
            <w:pPr>
              <w:adjustRightInd w:val="0"/>
              <w:snapToGrid w:val="0"/>
              <w:jc w:val="center"/>
              <w:rPr>
                <w:rFonts w:eastAsia="Times New Roman"/>
                <w:snapToGrid w:val="0"/>
                <w:color w:val="auto"/>
                <w:szCs w:val="22"/>
                <w:lang w:val="zh-CN"/>
              </w:rPr>
            </w:pPr>
            <w:r>
              <w:rPr>
                <w:rFonts w:hAnsi="Calibri"/>
                <w:snapToGrid w:val="0"/>
                <w:color w:val="auto"/>
                <w:szCs w:val="22"/>
                <w:lang w:val="zh-CN"/>
              </w:rPr>
              <w:t>62</w:t>
            </w:r>
          </w:p>
        </w:tc>
        <w:tc>
          <w:tcPr>
            <w:tcW w:w="655" w:type="dxa"/>
            <w:vAlign w:val="center"/>
          </w:tcPr>
          <w:p w14:paraId="032C088C">
            <w:pPr>
              <w:adjustRightInd w:val="0"/>
              <w:snapToGrid w:val="0"/>
              <w:jc w:val="center"/>
              <w:rPr>
                <w:rFonts w:eastAsia="Times New Roman"/>
                <w:snapToGrid w:val="0"/>
                <w:color w:val="auto"/>
                <w:szCs w:val="22"/>
                <w:lang w:val="zh-CN"/>
              </w:rPr>
            </w:pPr>
            <w:r>
              <w:rPr>
                <w:rFonts w:hAnsi="Calibri"/>
                <w:snapToGrid w:val="0"/>
                <w:color w:val="auto"/>
                <w:szCs w:val="22"/>
                <w:lang w:val="zh-CN"/>
              </w:rPr>
              <w:t>60</w:t>
            </w:r>
          </w:p>
        </w:tc>
        <w:tc>
          <w:tcPr>
            <w:tcW w:w="655" w:type="dxa"/>
            <w:vAlign w:val="center"/>
          </w:tcPr>
          <w:p w14:paraId="089CFED2">
            <w:pPr>
              <w:adjustRightInd w:val="0"/>
              <w:snapToGrid w:val="0"/>
              <w:jc w:val="center"/>
              <w:rPr>
                <w:rFonts w:eastAsia="Times New Roman"/>
                <w:snapToGrid w:val="0"/>
                <w:color w:val="auto"/>
                <w:szCs w:val="22"/>
                <w:lang w:val="zh-CN"/>
              </w:rPr>
            </w:pPr>
            <w:r>
              <w:rPr>
                <w:rFonts w:hAnsi="Calibri"/>
                <w:snapToGrid w:val="0"/>
                <w:color w:val="auto"/>
                <w:szCs w:val="22"/>
                <w:lang w:val="zh-CN"/>
              </w:rPr>
              <w:t>56.5</w:t>
            </w:r>
          </w:p>
        </w:tc>
        <w:tc>
          <w:tcPr>
            <w:tcW w:w="655" w:type="dxa"/>
            <w:vAlign w:val="center"/>
          </w:tcPr>
          <w:p w14:paraId="454D3629">
            <w:pPr>
              <w:adjustRightInd w:val="0"/>
              <w:snapToGrid w:val="0"/>
              <w:jc w:val="center"/>
              <w:rPr>
                <w:rFonts w:eastAsia="Times New Roman"/>
                <w:snapToGrid w:val="0"/>
                <w:color w:val="auto"/>
                <w:szCs w:val="22"/>
                <w:lang w:val="zh-CN"/>
              </w:rPr>
            </w:pPr>
            <w:r>
              <w:rPr>
                <w:rFonts w:hAnsi="Calibri"/>
                <w:snapToGrid w:val="0"/>
                <w:color w:val="auto"/>
                <w:szCs w:val="22"/>
                <w:lang w:val="zh-CN"/>
              </w:rPr>
              <w:t>54</w:t>
            </w:r>
          </w:p>
        </w:tc>
        <w:tc>
          <w:tcPr>
            <w:tcW w:w="655" w:type="dxa"/>
            <w:vAlign w:val="center"/>
          </w:tcPr>
          <w:p w14:paraId="33FCDB59">
            <w:pPr>
              <w:adjustRightInd w:val="0"/>
              <w:snapToGrid w:val="0"/>
              <w:jc w:val="center"/>
              <w:rPr>
                <w:rFonts w:eastAsia="Times New Roman"/>
                <w:snapToGrid w:val="0"/>
                <w:color w:val="auto"/>
                <w:szCs w:val="22"/>
                <w:lang w:val="zh-CN"/>
              </w:rPr>
            </w:pPr>
            <w:r>
              <w:rPr>
                <w:rFonts w:hAnsi="Calibri"/>
                <w:snapToGrid w:val="0"/>
                <w:color w:val="auto"/>
                <w:szCs w:val="22"/>
                <w:lang w:val="zh-CN"/>
              </w:rPr>
              <w:t>50.5</w:t>
            </w:r>
          </w:p>
        </w:tc>
      </w:tr>
      <w:tr w14:paraId="27A678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26" w:type="dxa"/>
            <w:vAlign w:val="center"/>
          </w:tcPr>
          <w:p w14:paraId="05E7538F">
            <w:pPr>
              <w:adjustRightInd w:val="0"/>
              <w:snapToGrid w:val="0"/>
              <w:jc w:val="center"/>
              <w:rPr>
                <w:rFonts w:eastAsia="Times New Roman"/>
                <w:snapToGrid w:val="0"/>
                <w:color w:val="auto"/>
                <w:szCs w:val="22"/>
                <w:lang w:val="zh-CN"/>
              </w:rPr>
            </w:pPr>
            <w:r>
              <w:rPr>
                <w:rFonts w:hAnsi="Calibri"/>
                <w:snapToGrid w:val="0"/>
                <w:color w:val="auto"/>
                <w:szCs w:val="22"/>
                <w:lang w:val="zh-CN"/>
              </w:rPr>
              <w:t>3</w:t>
            </w:r>
          </w:p>
        </w:tc>
        <w:tc>
          <w:tcPr>
            <w:tcW w:w="934" w:type="dxa"/>
            <w:vAlign w:val="center"/>
          </w:tcPr>
          <w:p w14:paraId="215A1741">
            <w:pPr>
              <w:adjustRightInd w:val="0"/>
              <w:snapToGrid w:val="0"/>
              <w:jc w:val="center"/>
              <w:rPr>
                <w:snapToGrid w:val="0"/>
                <w:color w:val="auto"/>
                <w:szCs w:val="22"/>
                <w:lang w:val="zh-CN"/>
              </w:rPr>
            </w:pPr>
            <w:r>
              <w:rPr>
                <w:rFonts w:hint="eastAsia"/>
                <w:snapToGrid w:val="0"/>
                <w:color w:val="auto"/>
                <w:szCs w:val="22"/>
                <w:lang w:val="zh-CN"/>
              </w:rPr>
              <w:t>挖掘机</w:t>
            </w:r>
          </w:p>
        </w:tc>
        <w:tc>
          <w:tcPr>
            <w:tcW w:w="654" w:type="dxa"/>
            <w:vAlign w:val="center"/>
          </w:tcPr>
          <w:p w14:paraId="319640EF">
            <w:pPr>
              <w:adjustRightInd w:val="0"/>
              <w:snapToGrid w:val="0"/>
              <w:jc w:val="center"/>
              <w:rPr>
                <w:rFonts w:eastAsia="Times New Roman"/>
                <w:snapToGrid w:val="0"/>
                <w:color w:val="auto"/>
                <w:szCs w:val="22"/>
                <w:lang w:val="zh-CN"/>
              </w:rPr>
            </w:pPr>
            <w:r>
              <w:rPr>
                <w:rFonts w:hAnsi="Calibri"/>
                <w:snapToGrid w:val="0"/>
                <w:color w:val="auto"/>
                <w:szCs w:val="22"/>
                <w:lang w:val="zh-CN"/>
              </w:rPr>
              <w:t>84</w:t>
            </w:r>
          </w:p>
        </w:tc>
        <w:tc>
          <w:tcPr>
            <w:tcW w:w="655" w:type="dxa"/>
            <w:vAlign w:val="center"/>
          </w:tcPr>
          <w:p w14:paraId="7CCCB324">
            <w:pPr>
              <w:adjustRightInd w:val="0"/>
              <w:snapToGrid w:val="0"/>
              <w:jc w:val="center"/>
              <w:rPr>
                <w:rFonts w:eastAsia="Times New Roman"/>
                <w:snapToGrid w:val="0"/>
                <w:color w:val="auto"/>
                <w:szCs w:val="22"/>
                <w:lang w:val="zh-CN"/>
              </w:rPr>
            </w:pPr>
            <w:r>
              <w:rPr>
                <w:rFonts w:hAnsi="Calibri"/>
                <w:snapToGrid w:val="0"/>
                <w:color w:val="auto"/>
                <w:szCs w:val="22"/>
                <w:lang w:val="zh-CN"/>
              </w:rPr>
              <w:t>78</w:t>
            </w:r>
          </w:p>
        </w:tc>
        <w:tc>
          <w:tcPr>
            <w:tcW w:w="655" w:type="dxa"/>
            <w:vAlign w:val="center"/>
          </w:tcPr>
          <w:p w14:paraId="77398DC3">
            <w:pPr>
              <w:adjustRightInd w:val="0"/>
              <w:snapToGrid w:val="0"/>
              <w:jc w:val="center"/>
              <w:rPr>
                <w:rFonts w:eastAsia="Times New Roman"/>
                <w:snapToGrid w:val="0"/>
                <w:color w:val="auto"/>
                <w:szCs w:val="22"/>
                <w:lang w:val="zh-CN"/>
              </w:rPr>
            </w:pPr>
            <w:r>
              <w:rPr>
                <w:rFonts w:hAnsi="Calibri"/>
                <w:snapToGrid w:val="0"/>
                <w:color w:val="auto"/>
                <w:szCs w:val="22"/>
                <w:lang w:val="zh-CN"/>
              </w:rPr>
              <w:t>72</w:t>
            </w:r>
          </w:p>
        </w:tc>
        <w:tc>
          <w:tcPr>
            <w:tcW w:w="655" w:type="dxa"/>
            <w:vAlign w:val="center"/>
          </w:tcPr>
          <w:p w14:paraId="3BF94DF9">
            <w:pPr>
              <w:adjustRightInd w:val="0"/>
              <w:snapToGrid w:val="0"/>
              <w:jc w:val="center"/>
              <w:rPr>
                <w:rFonts w:eastAsia="Times New Roman"/>
                <w:snapToGrid w:val="0"/>
                <w:color w:val="auto"/>
                <w:szCs w:val="22"/>
                <w:lang w:val="zh-CN"/>
              </w:rPr>
            </w:pPr>
            <w:r>
              <w:rPr>
                <w:rFonts w:hAnsi="Calibri"/>
                <w:snapToGrid w:val="0"/>
                <w:color w:val="auto"/>
                <w:szCs w:val="22"/>
                <w:lang w:val="zh-CN"/>
              </w:rPr>
              <w:t>66</w:t>
            </w:r>
          </w:p>
        </w:tc>
        <w:tc>
          <w:tcPr>
            <w:tcW w:w="655" w:type="dxa"/>
            <w:vAlign w:val="center"/>
          </w:tcPr>
          <w:p w14:paraId="4EDFB80C">
            <w:pPr>
              <w:adjustRightInd w:val="0"/>
              <w:snapToGrid w:val="0"/>
              <w:jc w:val="center"/>
              <w:rPr>
                <w:rFonts w:eastAsia="Times New Roman"/>
                <w:snapToGrid w:val="0"/>
                <w:color w:val="auto"/>
                <w:szCs w:val="22"/>
                <w:lang w:val="zh-CN"/>
              </w:rPr>
            </w:pPr>
            <w:r>
              <w:rPr>
                <w:rFonts w:hAnsi="Calibri"/>
                <w:snapToGrid w:val="0"/>
                <w:color w:val="auto"/>
                <w:szCs w:val="22"/>
                <w:lang w:val="zh-CN"/>
              </w:rPr>
              <w:t>64</w:t>
            </w:r>
          </w:p>
        </w:tc>
        <w:tc>
          <w:tcPr>
            <w:tcW w:w="655" w:type="dxa"/>
            <w:vAlign w:val="center"/>
          </w:tcPr>
          <w:p w14:paraId="34239E63">
            <w:pPr>
              <w:adjustRightInd w:val="0"/>
              <w:snapToGrid w:val="0"/>
              <w:jc w:val="center"/>
              <w:rPr>
                <w:rFonts w:eastAsia="Times New Roman"/>
                <w:snapToGrid w:val="0"/>
                <w:color w:val="auto"/>
                <w:szCs w:val="22"/>
                <w:lang w:val="zh-CN"/>
              </w:rPr>
            </w:pPr>
            <w:r>
              <w:rPr>
                <w:rFonts w:hAnsi="Calibri"/>
                <w:snapToGrid w:val="0"/>
                <w:color w:val="auto"/>
                <w:szCs w:val="22"/>
                <w:lang w:val="zh-CN"/>
              </w:rPr>
              <w:t>60</w:t>
            </w:r>
          </w:p>
        </w:tc>
        <w:tc>
          <w:tcPr>
            <w:tcW w:w="655" w:type="dxa"/>
            <w:vAlign w:val="center"/>
          </w:tcPr>
          <w:p w14:paraId="7C7A4583">
            <w:pPr>
              <w:adjustRightInd w:val="0"/>
              <w:snapToGrid w:val="0"/>
              <w:jc w:val="center"/>
              <w:rPr>
                <w:rFonts w:eastAsia="Times New Roman"/>
                <w:snapToGrid w:val="0"/>
                <w:color w:val="auto"/>
                <w:szCs w:val="22"/>
                <w:lang w:val="zh-CN"/>
              </w:rPr>
            </w:pPr>
            <w:r>
              <w:rPr>
                <w:rFonts w:hAnsi="Calibri"/>
                <w:snapToGrid w:val="0"/>
                <w:color w:val="auto"/>
                <w:szCs w:val="22"/>
                <w:lang w:val="zh-CN"/>
              </w:rPr>
              <w:t>58</w:t>
            </w:r>
          </w:p>
        </w:tc>
        <w:tc>
          <w:tcPr>
            <w:tcW w:w="655" w:type="dxa"/>
            <w:vAlign w:val="center"/>
          </w:tcPr>
          <w:p w14:paraId="1868FCF9">
            <w:pPr>
              <w:adjustRightInd w:val="0"/>
              <w:snapToGrid w:val="0"/>
              <w:jc w:val="center"/>
              <w:rPr>
                <w:rFonts w:eastAsia="Times New Roman"/>
                <w:snapToGrid w:val="0"/>
                <w:color w:val="auto"/>
                <w:szCs w:val="22"/>
                <w:lang w:val="zh-CN"/>
              </w:rPr>
            </w:pPr>
            <w:r>
              <w:rPr>
                <w:rFonts w:hAnsi="Calibri"/>
                <w:snapToGrid w:val="0"/>
                <w:color w:val="auto"/>
                <w:szCs w:val="22"/>
                <w:lang w:val="zh-CN"/>
              </w:rPr>
              <w:t>54.5</w:t>
            </w:r>
          </w:p>
        </w:tc>
        <w:tc>
          <w:tcPr>
            <w:tcW w:w="655" w:type="dxa"/>
            <w:vAlign w:val="center"/>
          </w:tcPr>
          <w:p w14:paraId="42C2AD8B">
            <w:pPr>
              <w:adjustRightInd w:val="0"/>
              <w:snapToGrid w:val="0"/>
              <w:jc w:val="center"/>
              <w:rPr>
                <w:rFonts w:eastAsia="Times New Roman"/>
                <w:snapToGrid w:val="0"/>
                <w:color w:val="auto"/>
                <w:szCs w:val="22"/>
                <w:lang w:val="zh-CN"/>
              </w:rPr>
            </w:pPr>
            <w:r>
              <w:rPr>
                <w:rFonts w:hAnsi="Calibri"/>
                <w:snapToGrid w:val="0"/>
                <w:color w:val="auto"/>
                <w:szCs w:val="22"/>
                <w:lang w:val="zh-CN"/>
              </w:rPr>
              <w:t>52</w:t>
            </w:r>
          </w:p>
        </w:tc>
        <w:tc>
          <w:tcPr>
            <w:tcW w:w="655" w:type="dxa"/>
            <w:vAlign w:val="center"/>
          </w:tcPr>
          <w:p w14:paraId="7A671048">
            <w:pPr>
              <w:adjustRightInd w:val="0"/>
              <w:snapToGrid w:val="0"/>
              <w:jc w:val="center"/>
              <w:rPr>
                <w:rFonts w:eastAsia="Times New Roman"/>
                <w:snapToGrid w:val="0"/>
                <w:color w:val="auto"/>
                <w:szCs w:val="22"/>
                <w:lang w:val="zh-CN"/>
              </w:rPr>
            </w:pPr>
            <w:r>
              <w:rPr>
                <w:rFonts w:hAnsi="Calibri"/>
                <w:snapToGrid w:val="0"/>
                <w:color w:val="auto"/>
                <w:szCs w:val="22"/>
                <w:lang w:val="zh-CN"/>
              </w:rPr>
              <w:t>48.5</w:t>
            </w:r>
          </w:p>
        </w:tc>
      </w:tr>
    </w:tbl>
    <w:p w14:paraId="42AF2E48">
      <w:pPr>
        <w:spacing w:line="500" w:lineRule="exact"/>
        <w:ind w:firstLine="480" w:firstLineChars="200"/>
        <w:rPr>
          <w:color w:val="auto"/>
          <w:sz w:val="24"/>
          <w:szCs w:val="22"/>
        </w:rPr>
      </w:pPr>
      <w:r>
        <w:rPr>
          <w:rFonts w:hint="eastAsia"/>
          <w:color w:val="auto"/>
          <w:sz w:val="24"/>
          <w:szCs w:val="22"/>
        </w:rPr>
        <w:t>以</w:t>
      </w:r>
      <w:r>
        <w:rPr>
          <w:rFonts w:hint="eastAsia"/>
          <w:color w:val="auto"/>
          <w:sz w:val="24"/>
          <w:szCs w:val="22"/>
          <w:lang w:eastAsia="zh-CN"/>
        </w:rPr>
        <w:t>《建筑施工噪声排放标准》（GB12523-2025）</w:t>
      </w:r>
      <w:r>
        <w:rPr>
          <w:rFonts w:hint="eastAsia"/>
          <w:color w:val="auto"/>
          <w:sz w:val="24"/>
          <w:szCs w:val="22"/>
        </w:rPr>
        <w:t>评价，距主要设备</w:t>
      </w:r>
      <w:r>
        <w:rPr>
          <w:color w:val="auto"/>
          <w:sz w:val="24"/>
          <w:szCs w:val="22"/>
        </w:rPr>
        <w:t>120m</w:t>
      </w:r>
      <w:r>
        <w:rPr>
          <w:rFonts w:hint="eastAsia"/>
          <w:color w:val="auto"/>
          <w:sz w:val="24"/>
          <w:szCs w:val="22"/>
        </w:rPr>
        <w:t>处的昼间噪声可以达到</w:t>
      </w:r>
      <w:r>
        <w:rPr>
          <w:color w:val="auto"/>
          <w:sz w:val="24"/>
          <w:szCs w:val="22"/>
        </w:rPr>
        <w:t>70dB(A)</w:t>
      </w:r>
      <w:r>
        <w:rPr>
          <w:rFonts w:hint="eastAsia"/>
          <w:color w:val="auto"/>
          <w:sz w:val="24"/>
          <w:szCs w:val="22"/>
        </w:rPr>
        <w:t>的要求；若夜间施工，</w:t>
      </w:r>
      <w:r>
        <w:rPr>
          <w:color w:val="auto"/>
          <w:sz w:val="24"/>
          <w:szCs w:val="22"/>
        </w:rPr>
        <w:t>300m</w:t>
      </w:r>
      <w:r>
        <w:rPr>
          <w:rFonts w:hint="eastAsia"/>
          <w:color w:val="auto"/>
          <w:sz w:val="24"/>
          <w:szCs w:val="22"/>
        </w:rPr>
        <w:t>以外的环境噪声基本能满足</w:t>
      </w:r>
      <w:r>
        <w:rPr>
          <w:color w:val="auto"/>
          <w:sz w:val="24"/>
          <w:szCs w:val="22"/>
        </w:rPr>
        <w:t>55dB(A)</w:t>
      </w:r>
      <w:r>
        <w:rPr>
          <w:rFonts w:hint="eastAsia"/>
          <w:color w:val="auto"/>
          <w:sz w:val="24"/>
          <w:szCs w:val="22"/>
        </w:rPr>
        <w:t>的夜间标准值，本次环评要求建设单位禁止夜间施工。施工噪声影响特点为短期性、暂时性，一旦施工活动结束，施工噪声也就随之结束。为最大限度地减小噪声的影响，建议施工期采取以下噪声防治措施：</w:t>
      </w:r>
    </w:p>
    <w:p w14:paraId="6672C264">
      <w:pPr>
        <w:spacing w:line="500" w:lineRule="exact"/>
        <w:ind w:firstLine="480" w:firstLineChars="200"/>
        <w:rPr>
          <w:color w:val="auto"/>
          <w:sz w:val="24"/>
          <w:szCs w:val="22"/>
        </w:rPr>
      </w:pPr>
      <w:r>
        <w:rPr>
          <w:rFonts w:hint="eastAsia"/>
          <w:color w:val="auto"/>
          <w:sz w:val="24"/>
          <w:szCs w:val="22"/>
        </w:rPr>
        <w:t>（</w:t>
      </w:r>
      <w:r>
        <w:rPr>
          <w:color w:val="auto"/>
          <w:sz w:val="24"/>
          <w:szCs w:val="22"/>
        </w:rPr>
        <w:t>1</w:t>
      </w:r>
      <w:r>
        <w:rPr>
          <w:rFonts w:hint="eastAsia"/>
          <w:color w:val="auto"/>
          <w:sz w:val="24"/>
          <w:szCs w:val="22"/>
        </w:rPr>
        <w:t>）合理安排工作时间，制定施工计划，尽可能避免大量高噪声设备同时施工，高噪声设备施工时间安排在日间，禁止夜间施工。</w:t>
      </w:r>
    </w:p>
    <w:p w14:paraId="243BC034">
      <w:pPr>
        <w:spacing w:line="500" w:lineRule="exact"/>
        <w:ind w:firstLine="480" w:firstLineChars="200"/>
        <w:rPr>
          <w:color w:val="auto"/>
          <w:sz w:val="24"/>
          <w:szCs w:val="22"/>
        </w:rPr>
      </w:pPr>
      <w:r>
        <w:rPr>
          <w:rFonts w:hint="eastAsia"/>
          <w:color w:val="auto"/>
          <w:sz w:val="24"/>
          <w:szCs w:val="22"/>
        </w:rPr>
        <w:t>（</w:t>
      </w:r>
      <w:r>
        <w:rPr>
          <w:color w:val="auto"/>
          <w:sz w:val="24"/>
          <w:szCs w:val="22"/>
        </w:rPr>
        <w:t>2</w:t>
      </w:r>
      <w:r>
        <w:rPr>
          <w:rFonts w:hint="eastAsia"/>
          <w:color w:val="auto"/>
          <w:sz w:val="24"/>
          <w:szCs w:val="22"/>
        </w:rPr>
        <w:t>）合理布置施工现场，避免在同一地点安排大量的动力机械设备以避免局部</w:t>
      </w:r>
      <w:r>
        <w:rPr>
          <w:rFonts w:hint="eastAsia"/>
          <w:color w:val="auto"/>
          <w:sz w:val="24"/>
          <w:szCs w:val="22"/>
          <w:lang w:eastAsia="zh-CN"/>
        </w:rPr>
        <w:t>噪声</w:t>
      </w:r>
      <w:r>
        <w:rPr>
          <w:rFonts w:hint="eastAsia"/>
          <w:color w:val="auto"/>
          <w:sz w:val="24"/>
          <w:szCs w:val="22"/>
        </w:rPr>
        <w:t>过高。</w:t>
      </w:r>
    </w:p>
    <w:p w14:paraId="0C08D504">
      <w:pPr>
        <w:spacing w:line="500" w:lineRule="exact"/>
        <w:ind w:firstLine="480" w:firstLineChars="200"/>
        <w:rPr>
          <w:color w:val="auto"/>
          <w:sz w:val="24"/>
          <w:szCs w:val="22"/>
        </w:rPr>
      </w:pPr>
      <w:r>
        <w:rPr>
          <w:rFonts w:hint="eastAsia"/>
          <w:color w:val="auto"/>
          <w:sz w:val="24"/>
          <w:szCs w:val="22"/>
        </w:rPr>
        <w:t>（</w:t>
      </w:r>
      <w:r>
        <w:rPr>
          <w:color w:val="auto"/>
          <w:sz w:val="24"/>
          <w:szCs w:val="22"/>
        </w:rPr>
        <w:t>3</w:t>
      </w:r>
      <w:r>
        <w:rPr>
          <w:rFonts w:hint="eastAsia"/>
          <w:color w:val="auto"/>
          <w:sz w:val="24"/>
          <w:szCs w:val="22"/>
        </w:rPr>
        <w:t>）降低设备声级，选用低噪声设备和工艺，从根本上降低源强；同时加强检查，维护和保养机械设备减少运行噪声。</w:t>
      </w:r>
    </w:p>
    <w:p w14:paraId="2DB5405C">
      <w:pPr>
        <w:spacing w:line="500" w:lineRule="exact"/>
        <w:ind w:firstLine="480" w:firstLineChars="200"/>
        <w:rPr>
          <w:color w:val="auto"/>
          <w:sz w:val="24"/>
          <w:szCs w:val="22"/>
        </w:rPr>
      </w:pPr>
      <w:r>
        <w:rPr>
          <w:rFonts w:hint="eastAsia"/>
          <w:color w:val="auto"/>
          <w:sz w:val="24"/>
          <w:szCs w:val="22"/>
        </w:rPr>
        <w:t>（</w:t>
      </w:r>
      <w:r>
        <w:rPr>
          <w:color w:val="auto"/>
          <w:sz w:val="24"/>
          <w:szCs w:val="22"/>
        </w:rPr>
        <w:t>4</w:t>
      </w:r>
      <w:r>
        <w:rPr>
          <w:rFonts w:hint="eastAsia"/>
          <w:color w:val="auto"/>
          <w:sz w:val="24"/>
          <w:szCs w:val="22"/>
        </w:rPr>
        <w:t>）采取个人防护措施，合理安排工作人员轮流操作施工机械，减少接触时间并按要求规范操作，对高噪声设备的工作人员，应</w:t>
      </w:r>
      <w:r>
        <w:rPr>
          <w:rFonts w:hint="eastAsia"/>
          <w:color w:val="auto"/>
          <w:sz w:val="24"/>
          <w:szCs w:val="22"/>
          <w:lang w:eastAsia="zh-CN"/>
        </w:rPr>
        <w:t>佩戴</w:t>
      </w:r>
      <w:r>
        <w:rPr>
          <w:rFonts w:hint="eastAsia"/>
          <w:color w:val="auto"/>
          <w:sz w:val="24"/>
          <w:szCs w:val="22"/>
        </w:rPr>
        <w:t>耳套等防护用具，以减轻噪声的危害。</w:t>
      </w:r>
    </w:p>
    <w:p w14:paraId="2CD3575B">
      <w:pPr>
        <w:pStyle w:val="137"/>
        <w:rPr>
          <w:color w:val="auto"/>
        </w:rPr>
      </w:pPr>
      <w:r>
        <w:rPr>
          <w:color w:val="auto"/>
        </w:rPr>
        <w:t>5.1.4施工期固体废物环境影响评价</w:t>
      </w:r>
    </w:p>
    <w:p w14:paraId="099A63DE">
      <w:pPr>
        <w:spacing w:line="500" w:lineRule="exact"/>
        <w:ind w:firstLine="480" w:firstLineChars="200"/>
        <w:rPr>
          <w:color w:val="auto"/>
          <w:sz w:val="24"/>
          <w:szCs w:val="22"/>
        </w:rPr>
      </w:pPr>
      <w:bookmarkStart w:id="146" w:name="_Toc486255087"/>
      <w:bookmarkStart w:id="147" w:name="_Toc15991680"/>
      <w:r>
        <w:rPr>
          <w:color w:val="auto"/>
          <w:sz w:val="24"/>
          <w:szCs w:val="22"/>
        </w:rPr>
        <w:t>固体废物主要</w:t>
      </w:r>
      <w:r>
        <w:rPr>
          <w:rFonts w:hint="eastAsia"/>
          <w:color w:val="auto"/>
          <w:sz w:val="24"/>
          <w:szCs w:val="22"/>
        </w:rPr>
        <w:t>为暂存池和排水沟</w:t>
      </w:r>
      <w:r>
        <w:rPr>
          <w:color w:val="auto"/>
          <w:sz w:val="24"/>
          <w:szCs w:val="22"/>
        </w:rPr>
        <w:t>开挖产生的</w:t>
      </w:r>
      <w:r>
        <w:rPr>
          <w:rFonts w:hint="eastAsia"/>
          <w:color w:val="auto"/>
          <w:sz w:val="24"/>
          <w:szCs w:val="22"/>
        </w:rPr>
        <w:t>土方、建筑</w:t>
      </w:r>
      <w:r>
        <w:rPr>
          <w:color w:val="auto"/>
          <w:sz w:val="24"/>
          <w:szCs w:val="22"/>
        </w:rPr>
        <w:t>废弃物、</w:t>
      </w:r>
      <w:r>
        <w:rPr>
          <w:rFonts w:hint="eastAsia"/>
          <w:color w:val="auto"/>
          <w:sz w:val="24"/>
          <w:szCs w:val="22"/>
        </w:rPr>
        <w:t>清基杂物</w:t>
      </w:r>
      <w:r>
        <w:rPr>
          <w:color w:val="auto"/>
          <w:sz w:val="24"/>
          <w:szCs w:val="22"/>
        </w:rPr>
        <w:t>和生活垃圾。施工中的固废均为一般固体废物。</w:t>
      </w:r>
    </w:p>
    <w:p w14:paraId="6812B7E8">
      <w:pPr>
        <w:spacing w:line="500" w:lineRule="exact"/>
        <w:ind w:firstLine="480" w:firstLineChars="200"/>
        <w:rPr>
          <w:bCs/>
          <w:color w:val="auto"/>
          <w:sz w:val="24"/>
          <w:szCs w:val="22"/>
        </w:rPr>
      </w:pPr>
      <w:r>
        <w:rPr>
          <w:rFonts w:hint="eastAsia"/>
          <w:color w:val="auto"/>
          <w:sz w:val="24"/>
          <w:szCs w:val="22"/>
        </w:rPr>
        <w:t>开挖土方作为防渗工程用土回填，无弃方；清基杂物</w:t>
      </w:r>
      <w:r>
        <w:rPr>
          <w:color w:val="auto"/>
          <w:sz w:val="24"/>
          <w:szCs w:val="22"/>
        </w:rPr>
        <w:t>和生活垃圾</w:t>
      </w:r>
      <w:r>
        <w:rPr>
          <w:rFonts w:hint="eastAsia"/>
          <w:color w:val="auto"/>
          <w:sz w:val="24"/>
          <w:szCs w:val="22"/>
        </w:rPr>
        <w:t>由市政部门统一处理。</w:t>
      </w:r>
      <w:r>
        <w:rPr>
          <w:color w:val="auto"/>
          <w:sz w:val="24"/>
          <w:szCs w:val="22"/>
        </w:rPr>
        <w:t>生活垃圾产生量约为2.5kg/d，利用场区设施收集清运</w:t>
      </w:r>
      <w:r>
        <w:rPr>
          <w:rFonts w:hint="eastAsia"/>
          <w:color w:val="auto"/>
          <w:sz w:val="24"/>
          <w:szCs w:val="22"/>
        </w:rPr>
        <w:t>，</w:t>
      </w:r>
      <w:r>
        <w:rPr>
          <w:color w:val="auto"/>
          <w:sz w:val="24"/>
          <w:szCs w:val="22"/>
        </w:rPr>
        <w:t>定期送市政环卫部门</w:t>
      </w:r>
      <w:r>
        <w:rPr>
          <w:rFonts w:hint="eastAsia"/>
          <w:color w:val="auto"/>
          <w:sz w:val="24"/>
          <w:szCs w:val="22"/>
        </w:rPr>
        <w:t>统一</w:t>
      </w:r>
      <w:r>
        <w:rPr>
          <w:color w:val="auto"/>
          <w:sz w:val="24"/>
          <w:szCs w:val="22"/>
        </w:rPr>
        <w:t>处理。</w:t>
      </w:r>
      <w:r>
        <w:rPr>
          <w:bCs/>
          <w:color w:val="auto"/>
          <w:sz w:val="24"/>
          <w:szCs w:val="22"/>
        </w:rPr>
        <w:t>施工作业</w:t>
      </w:r>
      <w:r>
        <w:rPr>
          <w:rFonts w:hint="eastAsia"/>
          <w:bCs/>
          <w:color w:val="auto"/>
          <w:sz w:val="24"/>
          <w:szCs w:val="22"/>
        </w:rPr>
        <w:t>建筑</w:t>
      </w:r>
      <w:r>
        <w:rPr>
          <w:bCs/>
          <w:color w:val="auto"/>
          <w:sz w:val="24"/>
          <w:szCs w:val="22"/>
        </w:rPr>
        <w:t>废弃物包括下脚料、包装袋等，</w:t>
      </w:r>
      <w:r>
        <w:rPr>
          <w:rFonts w:hint="eastAsia"/>
          <w:bCs/>
          <w:color w:val="auto"/>
          <w:sz w:val="24"/>
          <w:szCs w:val="22"/>
        </w:rPr>
        <w:t>外售废品</w:t>
      </w:r>
      <w:r>
        <w:rPr>
          <w:bCs/>
          <w:color w:val="auto"/>
          <w:sz w:val="24"/>
          <w:szCs w:val="22"/>
        </w:rPr>
        <w:t>回收部门</w:t>
      </w:r>
      <w:r>
        <w:rPr>
          <w:rFonts w:hint="eastAsia"/>
          <w:bCs/>
          <w:color w:val="auto"/>
          <w:sz w:val="24"/>
          <w:szCs w:val="22"/>
        </w:rPr>
        <w:t>综合利用</w:t>
      </w:r>
      <w:r>
        <w:rPr>
          <w:bCs/>
          <w:color w:val="auto"/>
          <w:sz w:val="24"/>
          <w:szCs w:val="22"/>
        </w:rPr>
        <w:t>。</w:t>
      </w:r>
    </w:p>
    <w:p w14:paraId="5C530408">
      <w:pPr>
        <w:pStyle w:val="59"/>
        <w:ind w:firstLine="480"/>
        <w:rPr>
          <w:color w:val="auto"/>
        </w:rPr>
      </w:pPr>
      <w:r>
        <w:rPr>
          <w:rFonts w:hint="eastAsia"/>
          <w:color w:val="auto"/>
        </w:rPr>
        <w:t>本项目建设期产生的固体废物均不直接外排环境，不会造成二次污染。</w:t>
      </w:r>
    </w:p>
    <w:p w14:paraId="3A662176">
      <w:pPr>
        <w:pStyle w:val="137"/>
        <w:rPr>
          <w:color w:val="auto"/>
        </w:rPr>
      </w:pPr>
      <w:r>
        <w:rPr>
          <w:color w:val="auto"/>
        </w:rPr>
        <w:t>5.1.5施工期生态环境影响</w:t>
      </w:r>
      <w:bookmarkEnd w:id="146"/>
      <w:r>
        <w:rPr>
          <w:color w:val="auto"/>
        </w:rPr>
        <w:t>预测与评价</w:t>
      </w:r>
      <w:bookmarkEnd w:id="147"/>
    </w:p>
    <w:p w14:paraId="2C2F8437">
      <w:pPr>
        <w:pStyle w:val="59"/>
        <w:ind w:firstLine="480"/>
        <w:rPr>
          <w:snapToGrid w:val="0"/>
          <w:color w:val="auto"/>
        </w:rPr>
      </w:pPr>
      <w:r>
        <w:rPr>
          <w:snapToGrid w:val="0"/>
          <w:color w:val="auto"/>
        </w:rPr>
        <w:t>本工程在施工过程中，将导致土壤和植被破坏，会对自然景观、水土流失、生物多样性、土地利用功能等产生影响。</w:t>
      </w:r>
    </w:p>
    <w:p w14:paraId="6FD59B33">
      <w:pPr>
        <w:pStyle w:val="59"/>
        <w:ind w:firstLine="480"/>
        <w:rPr>
          <w:color w:val="auto"/>
        </w:rPr>
      </w:pPr>
      <w:r>
        <w:rPr>
          <w:color w:val="auto"/>
        </w:rPr>
        <w:t>本项目建设地点位于</w:t>
      </w:r>
      <w:r>
        <w:rPr>
          <w:bCs/>
          <w:color w:val="auto"/>
        </w:rPr>
        <w:t>鸡西市</w:t>
      </w:r>
      <w:r>
        <w:rPr>
          <w:snapToGrid w:val="0"/>
          <w:color w:val="auto"/>
          <w:kern w:val="0"/>
        </w:rPr>
        <w:t>鸡东县</w:t>
      </w:r>
      <w:r>
        <w:rPr>
          <w:rFonts w:hint="eastAsia"/>
          <w:snapToGrid w:val="0"/>
          <w:color w:val="auto"/>
          <w:kern w:val="0"/>
          <w:lang w:eastAsia="zh-CN"/>
        </w:rPr>
        <w:t>东海镇新泉村五队，采矿面积</w:t>
      </w:r>
      <w:r>
        <w:rPr>
          <w:rFonts w:hint="eastAsia"/>
          <w:color w:val="auto"/>
        </w:rPr>
        <w:t>永久</w:t>
      </w:r>
      <w:r>
        <w:rPr>
          <w:color w:val="auto"/>
        </w:rPr>
        <w:t>占地类型为</w:t>
      </w:r>
      <w:r>
        <w:rPr>
          <w:rFonts w:hint="eastAsia"/>
          <w:bCs/>
          <w:color w:val="auto"/>
        </w:rPr>
        <w:t>采矿用地和旱地</w:t>
      </w:r>
      <w:r>
        <w:rPr>
          <w:bCs/>
          <w:color w:val="auto"/>
        </w:rPr>
        <w:t>，</w:t>
      </w:r>
      <w:r>
        <w:rPr>
          <w:color w:val="auto"/>
        </w:rPr>
        <w:t>占地面积为</w:t>
      </w:r>
      <w:r>
        <w:rPr>
          <w:rFonts w:hint="eastAsia"/>
          <w:snapToGrid w:val="0"/>
          <w:color w:val="auto"/>
          <w:lang w:val="en-US" w:eastAsia="zh-CN"/>
        </w:rPr>
        <w:t>78594</w:t>
      </w:r>
      <w:r>
        <w:rPr>
          <w:color w:val="auto"/>
        </w:rPr>
        <w:t>m</w:t>
      </w:r>
      <w:r>
        <w:rPr>
          <w:color w:val="auto"/>
          <w:vertAlign w:val="superscript"/>
        </w:rPr>
        <w:t>2</w:t>
      </w:r>
      <w:r>
        <w:rPr>
          <w:rFonts w:hint="eastAsia"/>
          <w:color w:val="auto"/>
        </w:rPr>
        <w:t>。</w:t>
      </w:r>
      <w:r>
        <w:rPr>
          <w:color w:val="auto"/>
        </w:rPr>
        <w:t>施工期生态环境影响主要表现为工程施工扰动地表，导致临时占地土地利用功能的改变，加重土壤侵蚀和水土流失及发生生物群落变化，施工期振动地貌单元上栖息的小型动物将被迫迁移，污染增加，环境质量下降，施工结束后需要采取相应措施恢复景观及减少环境污染的措施</w:t>
      </w:r>
      <w:r>
        <w:rPr>
          <w:rFonts w:hint="eastAsia"/>
          <w:color w:val="auto"/>
        </w:rPr>
        <w:t>。</w:t>
      </w:r>
      <w:r>
        <w:rPr>
          <w:rFonts w:hint="eastAsia"/>
          <w:snapToGrid w:val="0"/>
          <w:color w:val="auto"/>
        </w:rPr>
        <w:t>项目所在区域植物种类较少，且没有不可恢复或者</w:t>
      </w:r>
      <w:r>
        <w:rPr>
          <w:rFonts w:hint="eastAsia"/>
          <w:snapToGrid w:val="0"/>
          <w:color w:val="auto"/>
          <w:lang w:eastAsia="zh-CN"/>
        </w:rPr>
        <w:t>珍稀</w:t>
      </w:r>
      <w:r>
        <w:rPr>
          <w:rFonts w:hint="eastAsia"/>
          <w:snapToGrid w:val="0"/>
          <w:color w:val="auto"/>
        </w:rPr>
        <w:t>植物。施工结束后，进行生态恢复，复垦面积为</w:t>
      </w:r>
      <w:r>
        <w:rPr>
          <w:rFonts w:hint="eastAsia"/>
          <w:snapToGrid w:val="0"/>
          <w:color w:val="auto"/>
          <w:lang w:val="en-US" w:eastAsia="zh-CN"/>
        </w:rPr>
        <w:t>78594</w:t>
      </w:r>
      <w:r>
        <w:rPr>
          <w:color w:val="auto"/>
        </w:rPr>
        <w:t>m</w:t>
      </w:r>
      <w:r>
        <w:rPr>
          <w:color w:val="auto"/>
          <w:vertAlign w:val="superscript"/>
        </w:rPr>
        <w:t>2</w:t>
      </w:r>
      <w:r>
        <w:rPr>
          <w:color w:val="auto"/>
        </w:rPr>
        <w:t>，</w:t>
      </w:r>
      <w:r>
        <w:rPr>
          <w:rFonts w:hint="eastAsia"/>
          <w:snapToGrid w:val="0"/>
          <w:color w:val="auto"/>
        </w:rPr>
        <w:t>通过土地复垦，将有利于植被的保护与恢复，起到水土保持、防风固沙的效果，会增加占地内的植被覆盖率和生物产量，并有利于植物的生长。随着采取有效的人工措施，以及植物的自我恢复能力，项目周边被影响或破坏的植物逐渐得到恢复。建设单位为</w:t>
      </w:r>
      <w:r>
        <w:rPr>
          <w:rFonts w:hint="eastAsia" w:eastAsiaTheme="majorEastAsia"/>
          <w:color w:val="auto"/>
        </w:rPr>
        <w:t>生态恢复工程实施主体。</w:t>
      </w:r>
    </w:p>
    <w:p w14:paraId="3D995A14">
      <w:pPr>
        <w:pStyle w:val="59"/>
        <w:ind w:firstLine="480"/>
        <w:rPr>
          <w:color w:val="auto"/>
        </w:rPr>
      </w:pPr>
      <w:r>
        <w:rPr>
          <w:color w:val="auto"/>
        </w:rPr>
        <w:t>（1）对植被、野生动物、生物多样性的影响</w:t>
      </w:r>
    </w:p>
    <w:p w14:paraId="3EDF4BA5">
      <w:pPr>
        <w:pStyle w:val="59"/>
        <w:ind w:firstLine="480"/>
        <w:rPr>
          <w:color w:val="auto"/>
        </w:rPr>
      </w:pPr>
      <w:r>
        <w:rPr>
          <w:color w:val="auto"/>
        </w:rPr>
        <w:t>项目区内没有国家重点保护野生植物，灌木及草本植被也为该区域地带性植被</w:t>
      </w:r>
      <w:r>
        <w:rPr>
          <w:rFonts w:hint="eastAsia"/>
          <w:color w:val="auto"/>
        </w:rPr>
        <w:t>，</w:t>
      </w:r>
      <w:r>
        <w:rPr>
          <w:color w:val="auto"/>
        </w:rPr>
        <w:t>项目</w:t>
      </w:r>
      <w:r>
        <w:rPr>
          <w:rFonts w:hint="eastAsia"/>
          <w:color w:val="auto"/>
        </w:rPr>
        <w:t>的</w:t>
      </w:r>
      <w:r>
        <w:rPr>
          <w:color w:val="auto"/>
        </w:rPr>
        <w:t>建设</w:t>
      </w:r>
      <w:r>
        <w:rPr>
          <w:rFonts w:hint="eastAsia"/>
          <w:color w:val="auto"/>
        </w:rPr>
        <w:t>不会导致</w:t>
      </w:r>
      <w:r>
        <w:rPr>
          <w:color w:val="auto"/>
        </w:rPr>
        <w:t>植被种类</w:t>
      </w:r>
      <w:r>
        <w:rPr>
          <w:rFonts w:hint="eastAsia"/>
          <w:color w:val="auto"/>
        </w:rPr>
        <w:t>的减少</w:t>
      </w:r>
      <w:r>
        <w:rPr>
          <w:color w:val="auto"/>
        </w:rPr>
        <w:t>。因此，项目的建设对植被、生物多样性的影响很小。</w:t>
      </w:r>
    </w:p>
    <w:p w14:paraId="0E85924D">
      <w:pPr>
        <w:pStyle w:val="59"/>
        <w:ind w:firstLine="480"/>
        <w:rPr>
          <w:color w:val="auto"/>
        </w:rPr>
      </w:pPr>
      <w:r>
        <w:rPr>
          <w:color w:val="auto"/>
        </w:rPr>
        <w:t>项目区域内没有国家级重点保护野生动物和鸟类，没有发现国家和省级重点保护两栖、爬行类动物活体。项目施工使部分小动物栖息地受到破坏减少了其生存空间，致使野生动物被迫迁移、回避。因而可能使项目区域内野生动物的数量减少，但野生动物将前往附近同类环境，动物迁徙能力强，且同类生境易于在附近寻找，物种种群与数量不会受到明显影响。</w:t>
      </w:r>
    </w:p>
    <w:p w14:paraId="0182CB58">
      <w:pPr>
        <w:pStyle w:val="59"/>
        <w:ind w:firstLine="480"/>
        <w:rPr>
          <w:color w:val="auto"/>
        </w:rPr>
      </w:pPr>
      <w:r>
        <w:rPr>
          <w:color w:val="auto"/>
        </w:rPr>
        <w:t>因此，项目建设不会对植被、野生动物、生物多样性产生较大影响，这种影响是可控的，可以接受的。</w:t>
      </w:r>
    </w:p>
    <w:p w14:paraId="3650C2ED">
      <w:pPr>
        <w:pStyle w:val="59"/>
        <w:ind w:firstLine="480"/>
        <w:rPr>
          <w:color w:val="auto"/>
        </w:rPr>
      </w:pPr>
      <w:r>
        <w:rPr>
          <w:rFonts w:hint="eastAsia"/>
          <w:color w:val="auto"/>
          <w:kern w:val="24"/>
        </w:rPr>
        <w:t>（</w:t>
      </w:r>
      <w:r>
        <w:rPr>
          <w:color w:val="auto"/>
          <w:kern w:val="24"/>
        </w:rPr>
        <w:t>2</w:t>
      </w:r>
      <w:r>
        <w:rPr>
          <w:rFonts w:hint="eastAsia"/>
          <w:color w:val="auto"/>
          <w:kern w:val="24"/>
        </w:rPr>
        <w:t>）水土流失影响分析</w:t>
      </w:r>
    </w:p>
    <w:p w14:paraId="09C02992">
      <w:pPr>
        <w:pStyle w:val="59"/>
        <w:ind w:firstLine="480"/>
        <w:rPr>
          <w:color w:val="auto"/>
        </w:rPr>
      </w:pPr>
      <w:r>
        <w:rPr>
          <w:rFonts w:hint="eastAsia"/>
          <w:color w:val="auto"/>
        </w:rPr>
        <w:t>项目的建设过程</w:t>
      </w:r>
      <w:r>
        <w:rPr>
          <w:color w:val="auto"/>
        </w:rPr>
        <w:t>扰动原地貌、占压土地、损坏植被等活动，减弱了地表的抗蚀抗冲能力，若产生的水土流失得不到有效的治理，就会对区域生态环境造成不利影响</w:t>
      </w:r>
      <w:r>
        <w:rPr>
          <w:rFonts w:hint="eastAsia"/>
          <w:color w:val="auto"/>
        </w:rPr>
        <w:t>。</w:t>
      </w:r>
    </w:p>
    <w:p w14:paraId="4228E1C3">
      <w:pPr>
        <w:pStyle w:val="59"/>
        <w:ind w:firstLine="480"/>
        <w:rPr>
          <w:color w:val="auto"/>
        </w:rPr>
      </w:pPr>
      <w:r>
        <w:rPr>
          <w:rFonts w:hint="eastAsia"/>
          <w:color w:val="auto"/>
        </w:rPr>
        <w:t>项目施工建设过程中，施工区无植被覆盖，土体结构疏松，容易造成水土流失，由于该项目建设时间不长，所以应采取有效的预防和保护措施，防止引起生态环境的破坏和恶化。</w:t>
      </w:r>
    </w:p>
    <w:p w14:paraId="4DB1E3E2">
      <w:pPr>
        <w:pStyle w:val="137"/>
        <w:rPr>
          <w:color w:val="auto"/>
        </w:rPr>
      </w:pPr>
      <w:r>
        <w:rPr>
          <w:rFonts w:hint="eastAsia"/>
          <w:color w:val="auto"/>
        </w:rPr>
        <w:t>5</w:t>
      </w:r>
      <w:r>
        <w:rPr>
          <w:color w:val="auto"/>
        </w:rPr>
        <w:t>.1.6</w:t>
      </w:r>
      <w:r>
        <w:rPr>
          <w:rFonts w:hint="eastAsia"/>
          <w:color w:val="auto"/>
        </w:rPr>
        <w:t>施工期土壤影响分析</w:t>
      </w:r>
    </w:p>
    <w:p w14:paraId="0892070E">
      <w:pPr>
        <w:pStyle w:val="59"/>
        <w:ind w:firstLine="480"/>
        <w:rPr>
          <w:color w:val="auto"/>
        </w:rPr>
      </w:pPr>
      <w:r>
        <w:rPr>
          <w:rFonts w:hint="eastAsia"/>
          <w:color w:val="auto"/>
        </w:rPr>
        <w:t>建设期工程对土壤的影响主要是由</w:t>
      </w:r>
      <w:r>
        <w:rPr>
          <w:color w:val="auto"/>
        </w:rPr>
        <w:t>于挖方堆放、填方、土层扰乱以及对土壤肥力和性质的破坏，使占地区土壤失去其原有的植物生长能力。根据项目的工程内容，施工过程的土石方开挖、回填对土壤的影响最大。工程对土壤的影响，主要表现为对土壤性质、土壤肥力的影响和土壤污染三个方面。</w:t>
      </w:r>
    </w:p>
    <w:p w14:paraId="129F8C21">
      <w:pPr>
        <w:pStyle w:val="59"/>
        <w:ind w:firstLine="480"/>
        <w:rPr>
          <w:color w:val="auto"/>
        </w:rPr>
      </w:pPr>
      <w:r>
        <w:rPr>
          <w:rFonts w:hint="eastAsia"/>
          <w:color w:val="auto"/>
        </w:rPr>
        <w:t>（</w:t>
      </w:r>
      <w:r>
        <w:rPr>
          <w:color w:val="auto"/>
        </w:rPr>
        <w:t>1）土壤性质的影响分析</w:t>
      </w:r>
    </w:p>
    <w:p w14:paraId="74DCA33F">
      <w:pPr>
        <w:pStyle w:val="59"/>
        <w:ind w:firstLine="480"/>
        <w:rPr>
          <w:color w:val="auto"/>
        </w:rPr>
      </w:pPr>
      <w:r>
        <w:rPr>
          <w:color w:val="auto"/>
        </w:rPr>
        <w:t>施工过程中，土方开挖、堆放、回填及材料堆放、人工践踏、机械设备碾</w:t>
      </w:r>
      <w:r>
        <w:rPr>
          <w:rFonts w:hint="eastAsia"/>
          <w:color w:val="auto"/>
        </w:rPr>
        <w:t>压等活动将对土壤理化性质产生影响，但因项目位于废弃采坑场地内，</w:t>
      </w:r>
      <w:r>
        <w:rPr>
          <w:color w:val="auto"/>
        </w:rPr>
        <w:t>对土壤相关的生产实际影响较小。</w:t>
      </w:r>
    </w:p>
    <w:p w14:paraId="3FC14157">
      <w:pPr>
        <w:pStyle w:val="59"/>
        <w:ind w:firstLine="480"/>
        <w:rPr>
          <w:color w:val="auto"/>
        </w:rPr>
      </w:pPr>
      <w:r>
        <w:rPr>
          <w:rFonts w:hint="eastAsia"/>
          <w:color w:val="auto"/>
        </w:rPr>
        <w:t>（</w:t>
      </w:r>
      <w:r>
        <w:rPr>
          <w:color w:val="auto"/>
        </w:rPr>
        <w:t>2）土壤污染的影响分析</w:t>
      </w:r>
    </w:p>
    <w:p w14:paraId="7CE77F8A">
      <w:pPr>
        <w:pStyle w:val="59"/>
        <w:ind w:firstLine="480"/>
        <w:rPr>
          <w:color w:val="auto"/>
        </w:rPr>
      </w:pPr>
      <w:r>
        <w:rPr>
          <w:rFonts w:hint="eastAsia"/>
          <w:color w:val="auto"/>
        </w:rPr>
        <w:t>暂存池</w:t>
      </w:r>
      <w:r>
        <w:rPr>
          <w:color w:val="auto"/>
        </w:rPr>
        <w:t>施工过程中，将产生泥浆等各类施工垃圾，如不注意及时收</w:t>
      </w:r>
      <w:r>
        <w:rPr>
          <w:rFonts w:hint="eastAsia"/>
          <w:color w:val="auto"/>
        </w:rPr>
        <w:t>集而任意排放，则会明显对附近土壤造成一定程度的污染。工程施工过程中将产生施工垃圾、生活垃圾和污水，包括泥浆、废弃余料、施工人员的一次性餐具、</w:t>
      </w:r>
      <w:r>
        <w:rPr>
          <w:color w:val="auto"/>
        </w:rPr>
        <w:t>饮料瓶等废物残留于土壤中，这些在土壤中难以生物降解的固体废物，影响土壤耕作和农作物生长。</w:t>
      </w:r>
    </w:p>
    <w:p w14:paraId="75A10616">
      <w:pPr>
        <w:pStyle w:val="59"/>
        <w:ind w:firstLine="480"/>
        <w:rPr>
          <w:color w:val="auto"/>
        </w:rPr>
      </w:pPr>
      <w:r>
        <w:rPr>
          <w:rFonts w:hint="eastAsia"/>
          <w:color w:val="auto"/>
        </w:rPr>
        <w:t>因此，施工时必须对固体废物实施管理措施，进行统一回收和处置，不得随</w:t>
      </w:r>
      <w:r>
        <w:rPr>
          <w:color w:val="auto"/>
        </w:rPr>
        <w:t>意</w:t>
      </w:r>
      <w:r>
        <w:rPr>
          <w:rFonts w:hint="eastAsia"/>
          <w:color w:val="auto"/>
          <w:lang w:eastAsia="zh-CN"/>
        </w:rPr>
        <w:t>抛洒</w:t>
      </w:r>
      <w:r>
        <w:rPr>
          <w:color w:val="auto"/>
        </w:rPr>
        <w:t>。</w:t>
      </w:r>
    </w:p>
    <w:p w14:paraId="04E0AC63">
      <w:pPr>
        <w:pStyle w:val="59"/>
        <w:ind w:firstLine="480"/>
        <w:rPr>
          <w:color w:val="auto"/>
        </w:rPr>
      </w:pPr>
      <w:r>
        <w:rPr>
          <w:rFonts w:hint="eastAsia"/>
          <w:color w:val="auto"/>
        </w:rPr>
        <w:t>综上所述，项目</w:t>
      </w:r>
      <w:r>
        <w:rPr>
          <w:color w:val="auto"/>
        </w:rPr>
        <w:t>在施工过程中产生的废气、废水、噪声和固体废物将会对周围环境带来一定不利影响</w:t>
      </w:r>
      <w:r>
        <w:rPr>
          <w:rFonts w:hint="eastAsia"/>
          <w:color w:val="auto"/>
        </w:rPr>
        <w:t>。</w:t>
      </w:r>
      <w:r>
        <w:rPr>
          <w:color w:val="auto"/>
        </w:rPr>
        <w:t>施工单位</w:t>
      </w:r>
      <w:r>
        <w:rPr>
          <w:rFonts w:hint="eastAsia"/>
          <w:color w:val="auto"/>
        </w:rPr>
        <w:t>应</w:t>
      </w:r>
      <w:r>
        <w:rPr>
          <w:color w:val="auto"/>
        </w:rPr>
        <w:t>加强施工期间的环境保护意识，并从设备技术与施工管理两方面做到文明施工，施工期间产生的扬尘、施工废水、噪声、固体废物等不利因素可得到有效控制，对项目及其周边的影响是局部的、暂时的，施工结束后，施工期间的影响逐渐消失，对环境的影响不大。</w:t>
      </w:r>
    </w:p>
    <w:p w14:paraId="1EF8D425">
      <w:pPr>
        <w:pStyle w:val="548"/>
        <w:rPr>
          <w:color w:val="auto"/>
        </w:rPr>
      </w:pPr>
      <w:bookmarkStart w:id="148" w:name="_Toc494017092"/>
      <w:bookmarkStart w:id="149" w:name="_Toc149054210"/>
      <w:bookmarkStart w:id="150" w:name="_Toc119316806"/>
      <w:bookmarkStart w:id="151" w:name="_Toc415146703"/>
      <w:r>
        <w:rPr>
          <w:color w:val="auto"/>
        </w:rPr>
        <w:t>5.2</w:t>
      </w:r>
      <w:r>
        <w:rPr>
          <w:rFonts w:hint="eastAsia"/>
          <w:color w:val="auto"/>
        </w:rPr>
        <w:t>回填复垦</w:t>
      </w:r>
      <w:r>
        <w:rPr>
          <w:color w:val="auto"/>
        </w:rPr>
        <w:t>期环境影响预测与评价</w:t>
      </w:r>
      <w:bookmarkEnd w:id="148"/>
      <w:bookmarkEnd w:id="149"/>
      <w:bookmarkEnd w:id="150"/>
      <w:bookmarkEnd w:id="151"/>
    </w:p>
    <w:p w14:paraId="6817EA97">
      <w:pPr>
        <w:pStyle w:val="137"/>
        <w:rPr>
          <w:color w:val="auto"/>
        </w:rPr>
      </w:pPr>
      <w:r>
        <w:rPr>
          <w:color w:val="auto"/>
        </w:rPr>
        <w:t>5.2.1大气环境影响评价</w:t>
      </w:r>
    </w:p>
    <w:p w14:paraId="14B2AAA2">
      <w:pPr>
        <w:keepNext/>
        <w:keepLines/>
        <w:adjustRightInd w:val="0"/>
        <w:snapToGrid w:val="0"/>
        <w:spacing w:line="500" w:lineRule="exact"/>
        <w:outlineLvl w:val="3"/>
        <w:rPr>
          <w:color w:val="auto"/>
          <w:sz w:val="24"/>
          <w:szCs w:val="20"/>
          <w:lang w:val="zh-CN"/>
        </w:rPr>
      </w:pPr>
      <w:r>
        <w:rPr>
          <w:snapToGrid w:val="0"/>
          <w:color w:val="auto"/>
          <w:kern w:val="0"/>
          <w:sz w:val="24"/>
          <w:szCs w:val="20"/>
          <w:lang w:val="zh-CN"/>
        </w:rPr>
        <w:t>5.2.1.1</w:t>
      </w:r>
      <w:r>
        <w:rPr>
          <w:rFonts w:hint="eastAsia"/>
          <w:color w:val="auto"/>
          <w:sz w:val="24"/>
          <w:szCs w:val="20"/>
          <w:lang w:val="zh-CN"/>
        </w:rPr>
        <w:t>污染物排放量核算</w:t>
      </w:r>
    </w:p>
    <w:p w14:paraId="7F53A657">
      <w:pPr>
        <w:spacing w:line="500" w:lineRule="exact"/>
        <w:ind w:firstLine="480" w:firstLineChars="200"/>
        <w:rPr>
          <w:color w:val="auto"/>
          <w:sz w:val="24"/>
          <w:szCs w:val="22"/>
        </w:rPr>
      </w:pPr>
      <w:r>
        <w:rPr>
          <w:rFonts w:hint="eastAsia"/>
          <w:color w:val="auto"/>
          <w:sz w:val="24"/>
          <w:szCs w:val="22"/>
        </w:rPr>
        <w:t>本项目废气排放参数见表2-</w:t>
      </w:r>
      <w:r>
        <w:rPr>
          <w:color w:val="auto"/>
          <w:sz w:val="24"/>
          <w:szCs w:val="22"/>
        </w:rPr>
        <w:t>6</w:t>
      </w:r>
      <w:r>
        <w:rPr>
          <w:rFonts w:hint="eastAsia"/>
          <w:color w:val="auto"/>
          <w:sz w:val="24"/>
          <w:szCs w:val="22"/>
        </w:rPr>
        <w:t>-</w:t>
      </w:r>
      <w:r>
        <w:rPr>
          <w:color w:val="auto"/>
          <w:sz w:val="24"/>
          <w:szCs w:val="22"/>
        </w:rPr>
        <w:t>2</w:t>
      </w:r>
      <w:r>
        <w:rPr>
          <w:rFonts w:hint="eastAsia"/>
          <w:color w:val="auto"/>
          <w:sz w:val="24"/>
          <w:szCs w:val="22"/>
        </w:rPr>
        <w:t>，采用AERSCREEN估算模式预测结果见表</w:t>
      </w:r>
      <w:r>
        <w:rPr>
          <w:color w:val="auto"/>
          <w:sz w:val="24"/>
          <w:szCs w:val="22"/>
        </w:rPr>
        <w:t>2</w:t>
      </w:r>
      <w:r>
        <w:rPr>
          <w:rFonts w:hint="eastAsia"/>
          <w:color w:val="auto"/>
          <w:sz w:val="24"/>
          <w:szCs w:val="22"/>
        </w:rPr>
        <w:t>-</w:t>
      </w:r>
      <w:r>
        <w:rPr>
          <w:color w:val="auto"/>
          <w:sz w:val="24"/>
          <w:szCs w:val="22"/>
        </w:rPr>
        <w:t>6</w:t>
      </w:r>
      <w:r>
        <w:rPr>
          <w:rFonts w:hint="eastAsia"/>
          <w:color w:val="auto"/>
          <w:sz w:val="24"/>
          <w:szCs w:val="22"/>
        </w:rPr>
        <w:t>-</w:t>
      </w:r>
      <w:r>
        <w:rPr>
          <w:color w:val="auto"/>
          <w:sz w:val="24"/>
          <w:szCs w:val="22"/>
        </w:rPr>
        <w:t>4</w:t>
      </w:r>
      <w:r>
        <w:rPr>
          <w:rFonts w:hint="eastAsia"/>
          <w:color w:val="auto"/>
          <w:sz w:val="24"/>
          <w:szCs w:val="22"/>
        </w:rPr>
        <w:t>所示。</w:t>
      </w:r>
    </w:p>
    <w:p w14:paraId="0EFB840A">
      <w:pPr>
        <w:spacing w:line="500" w:lineRule="exact"/>
        <w:ind w:firstLine="480" w:firstLineChars="200"/>
        <w:rPr>
          <w:snapToGrid w:val="0"/>
          <w:color w:val="auto"/>
          <w:sz w:val="24"/>
          <w:szCs w:val="22"/>
        </w:rPr>
      </w:pPr>
      <w:r>
        <w:rPr>
          <w:snapToGrid w:val="0"/>
          <w:color w:val="auto"/>
          <w:sz w:val="24"/>
          <w:szCs w:val="22"/>
        </w:rPr>
        <w:t>根据</w:t>
      </w:r>
      <w:r>
        <w:rPr>
          <w:rFonts w:hint="eastAsia"/>
          <w:snapToGrid w:val="0"/>
          <w:color w:val="auto"/>
          <w:sz w:val="24"/>
          <w:szCs w:val="22"/>
        </w:rPr>
        <w:t>表2-</w:t>
      </w:r>
      <w:r>
        <w:rPr>
          <w:snapToGrid w:val="0"/>
          <w:color w:val="auto"/>
          <w:sz w:val="24"/>
          <w:szCs w:val="22"/>
        </w:rPr>
        <w:t>6</w:t>
      </w:r>
      <w:r>
        <w:rPr>
          <w:rFonts w:hint="eastAsia"/>
          <w:snapToGrid w:val="0"/>
          <w:color w:val="auto"/>
          <w:sz w:val="24"/>
          <w:szCs w:val="22"/>
        </w:rPr>
        <w:t>-</w:t>
      </w:r>
      <w:r>
        <w:rPr>
          <w:snapToGrid w:val="0"/>
          <w:color w:val="auto"/>
          <w:sz w:val="24"/>
          <w:szCs w:val="22"/>
        </w:rPr>
        <w:t>4</w:t>
      </w:r>
      <w:r>
        <w:rPr>
          <w:rFonts w:hint="eastAsia"/>
          <w:snapToGrid w:val="0"/>
          <w:color w:val="auto"/>
          <w:sz w:val="24"/>
          <w:szCs w:val="22"/>
        </w:rPr>
        <w:t>的估算模式，本项目大气评价等级为二级，根据</w:t>
      </w:r>
      <w:r>
        <w:rPr>
          <w:snapToGrid w:val="0"/>
          <w:color w:val="auto"/>
          <w:sz w:val="24"/>
          <w:szCs w:val="22"/>
        </w:rPr>
        <w:t>《环境影响评价技术导则 大气环境》（HJ2.2-2018）</w:t>
      </w:r>
      <w:r>
        <w:rPr>
          <w:rFonts w:hint="eastAsia"/>
          <w:snapToGrid w:val="0"/>
          <w:color w:val="auto"/>
          <w:sz w:val="24"/>
          <w:szCs w:val="22"/>
        </w:rPr>
        <w:t>的一般性要求，二级评价项目不进行进一步预测与评价，只对污染物排放量进行核算。</w:t>
      </w:r>
    </w:p>
    <w:p w14:paraId="2444651C">
      <w:pPr>
        <w:pStyle w:val="76"/>
        <w:rPr>
          <w:color w:val="auto"/>
        </w:rPr>
      </w:pPr>
      <w:r>
        <w:rPr>
          <w:color w:val="auto"/>
        </w:rPr>
        <w:t>表5-2-1大气污染物无组织排放量核算表</w:t>
      </w:r>
    </w:p>
    <w:tbl>
      <w:tblPr>
        <w:tblStyle w:val="77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44"/>
        <w:gridCol w:w="723"/>
        <w:gridCol w:w="960"/>
        <w:gridCol w:w="1008"/>
        <w:gridCol w:w="846"/>
        <w:gridCol w:w="2086"/>
        <w:gridCol w:w="1169"/>
        <w:gridCol w:w="1070"/>
      </w:tblGrid>
      <w:tr w14:paraId="7F9C32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7" w:type="pct"/>
            <w:vMerge w:val="restart"/>
            <w:vAlign w:val="center"/>
          </w:tcPr>
          <w:p w14:paraId="1EF15550">
            <w:pPr>
              <w:adjustRightInd w:val="0"/>
              <w:snapToGrid w:val="0"/>
              <w:jc w:val="center"/>
              <w:rPr>
                <w:rFonts w:cs="宋体"/>
                <w:snapToGrid w:val="0"/>
                <w:color w:val="auto"/>
                <w:kern w:val="0"/>
                <w:szCs w:val="21"/>
              </w:rPr>
            </w:pPr>
            <w:r>
              <w:rPr>
                <w:rFonts w:cs="宋体"/>
                <w:snapToGrid w:val="0"/>
                <w:color w:val="auto"/>
                <w:kern w:val="0"/>
                <w:szCs w:val="21"/>
              </w:rPr>
              <w:t>序号</w:t>
            </w:r>
          </w:p>
        </w:tc>
        <w:tc>
          <w:tcPr>
            <w:tcW w:w="435" w:type="pct"/>
            <w:vMerge w:val="restart"/>
            <w:vAlign w:val="center"/>
          </w:tcPr>
          <w:p w14:paraId="7B7CAF8C">
            <w:pPr>
              <w:adjustRightInd w:val="0"/>
              <w:snapToGrid w:val="0"/>
              <w:jc w:val="center"/>
              <w:rPr>
                <w:rFonts w:cs="宋体"/>
                <w:snapToGrid w:val="0"/>
                <w:color w:val="auto"/>
                <w:kern w:val="0"/>
                <w:szCs w:val="21"/>
              </w:rPr>
            </w:pPr>
            <w:r>
              <w:rPr>
                <w:rFonts w:cs="宋体"/>
                <w:snapToGrid w:val="0"/>
                <w:color w:val="auto"/>
                <w:kern w:val="0"/>
                <w:szCs w:val="21"/>
              </w:rPr>
              <w:t>排放口编号</w:t>
            </w:r>
          </w:p>
        </w:tc>
        <w:tc>
          <w:tcPr>
            <w:tcW w:w="578" w:type="pct"/>
            <w:vMerge w:val="restart"/>
            <w:vAlign w:val="center"/>
          </w:tcPr>
          <w:p w14:paraId="1DD56604">
            <w:pPr>
              <w:adjustRightInd w:val="0"/>
              <w:snapToGrid w:val="0"/>
              <w:jc w:val="center"/>
              <w:rPr>
                <w:rFonts w:cs="宋体"/>
                <w:snapToGrid w:val="0"/>
                <w:color w:val="auto"/>
                <w:kern w:val="0"/>
                <w:szCs w:val="21"/>
              </w:rPr>
            </w:pPr>
            <w:r>
              <w:rPr>
                <w:rFonts w:hint="eastAsia" w:cs="宋体"/>
                <w:snapToGrid w:val="0"/>
                <w:color w:val="auto"/>
                <w:kern w:val="0"/>
                <w:szCs w:val="21"/>
              </w:rPr>
              <w:t>产污环节</w:t>
            </w:r>
          </w:p>
        </w:tc>
        <w:tc>
          <w:tcPr>
            <w:tcW w:w="607" w:type="pct"/>
            <w:vMerge w:val="restart"/>
            <w:vAlign w:val="center"/>
          </w:tcPr>
          <w:p w14:paraId="4E92F1ED">
            <w:pPr>
              <w:adjustRightInd w:val="0"/>
              <w:snapToGrid w:val="0"/>
              <w:jc w:val="center"/>
              <w:rPr>
                <w:rFonts w:cs="宋体"/>
                <w:snapToGrid w:val="0"/>
                <w:color w:val="auto"/>
                <w:kern w:val="0"/>
                <w:szCs w:val="21"/>
              </w:rPr>
            </w:pPr>
            <w:r>
              <w:rPr>
                <w:rFonts w:cs="宋体"/>
                <w:snapToGrid w:val="0"/>
                <w:color w:val="auto"/>
                <w:kern w:val="0"/>
                <w:szCs w:val="21"/>
              </w:rPr>
              <w:t>污染物</w:t>
            </w:r>
          </w:p>
        </w:tc>
        <w:tc>
          <w:tcPr>
            <w:tcW w:w="509" w:type="pct"/>
            <w:vMerge w:val="restart"/>
            <w:vAlign w:val="center"/>
          </w:tcPr>
          <w:p w14:paraId="41B1B820">
            <w:pPr>
              <w:adjustRightInd w:val="0"/>
              <w:snapToGrid w:val="0"/>
              <w:jc w:val="center"/>
              <w:rPr>
                <w:rFonts w:cs="宋体"/>
                <w:snapToGrid w:val="0"/>
                <w:color w:val="auto"/>
                <w:kern w:val="0"/>
                <w:szCs w:val="21"/>
              </w:rPr>
            </w:pPr>
            <w:r>
              <w:rPr>
                <w:rFonts w:hint="eastAsia" w:cs="宋体"/>
                <w:snapToGrid w:val="0"/>
                <w:color w:val="auto"/>
                <w:kern w:val="0"/>
                <w:szCs w:val="21"/>
              </w:rPr>
              <w:t>主要污染防治措施</w:t>
            </w:r>
          </w:p>
        </w:tc>
        <w:tc>
          <w:tcPr>
            <w:tcW w:w="1959" w:type="pct"/>
            <w:gridSpan w:val="2"/>
            <w:vAlign w:val="center"/>
          </w:tcPr>
          <w:p w14:paraId="7C0A11A5">
            <w:pPr>
              <w:adjustRightInd w:val="0"/>
              <w:snapToGrid w:val="0"/>
              <w:jc w:val="center"/>
              <w:rPr>
                <w:rFonts w:cs="宋体"/>
                <w:snapToGrid w:val="0"/>
                <w:color w:val="auto"/>
                <w:kern w:val="0"/>
                <w:szCs w:val="21"/>
              </w:rPr>
            </w:pPr>
            <w:r>
              <w:rPr>
                <w:rFonts w:hint="eastAsia" w:cs="宋体"/>
                <w:snapToGrid w:val="0"/>
                <w:color w:val="auto"/>
                <w:kern w:val="0"/>
                <w:szCs w:val="21"/>
              </w:rPr>
              <w:t>国家或地方污染物排放标准</w:t>
            </w:r>
          </w:p>
        </w:tc>
        <w:tc>
          <w:tcPr>
            <w:tcW w:w="644" w:type="pct"/>
            <w:vMerge w:val="restart"/>
            <w:vAlign w:val="center"/>
          </w:tcPr>
          <w:p w14:paraId="72D3F3A7">
            <w:pPr>
              <w:adjustRightInd w:val="0"/>
              <w:snapToGrid w:val="0"/>
              <w:jc w:val="center"/>
              <w:rPr>
                <w:rFonts w:cs="宋体"/>
                <w:snapToGrid w:val="0"/>
                <w:color w:val="auto"/>
                <w:kern w:val="0"/>
                <w:szCs w:val="21"/>
              </w:rPr>
            </w:pPr>
            <w:r>
              <w:rPr>
                <w:rFonts w:hint="eastAsia" w:cs="宋体"/>
                <w:snapToGrid w:val="0"/>
                <w:color w:val="auto"/>
                <w:kern w:val="0"/>
                <w:szCs w:val="21"/>
              </w:rPr>
              <w:t>年</w:t>
            </w:r>
            <w:r>
              <w:rPr>
                <w:rFonts w:cs="宋体"/>
                <w:snapToGrid w:val="0"/>
                <w:color w:val="auto"/>
                <w:kern w:val="0"/>
                <w:szCs w:val="21"/>
              </w:rPr>
              <w:t>排放量</w:t>
            </w:r>
            <w:r>
              <w:rPr>
                <w:rFonts w:hint="eastAsia" w:cs="宋体"/>
                <w:snapToGrid w:val="0"/>
                <w:color w:val="auto"/>
                <w:kern w:val="0"/>
                <w:szCs w:val="21"/>
              </w:rPr>
              <w:t>（</w:t>
            </w:r>
            <w:r>
              <w:rPr>
                <w:rFonts w:cs="宋体"/>
                <w:snapToGrid w:val="0"/>
                <w:color w:val="auto"/>
                <w:kern w:val="0"/>
                <w:szCs w:val="21"/>
              </w:rPr>
              <w:t>t/a</w:t>
            </w:r>
            <w:r>
              <w:rPr>
                <w:rFonts w:hint="eastAsia" w:cs="宋体"/>
                <w:snapToGrid w:val="0"/>
                <w:color w:val="auto"/>
                <w:kern w:val="0"/>
                <w:szCs w:val="21"/>
              </w:rPr>
              <w:t>）</w:t>
            </w:r>
          </w:p>
        </w:tc>
      </w:tr>
      <w:tr w14:paraId="740FBF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267" w:type="pct"/>
            <w:vMerge w:val="continue"/>
            <w:vAlign w:val="center"/>
          </w:tcPr>
          <w:p w14:paraId="486D6B42">
            <w:pPr>
              <w:adjustRightInd w:val="0"/>
              <w:snapToGrid w:val="0"/>
              <w:jc w:val="center"/>
              <w:rPr>
                <w:rFonts w:cs="宋体"/>
                <w:snapToGrid w:val="0"/>
                <w:color w:val="auto"/>
                <w:kern w:val="0"/>
                <w:szCs w:val="21"/>
              </w:rPr>
            </w:pPr>
          </w:p>
        </w:tc>
        <w:tc>
          <w:tcPr>
            <w:tcW w:w="435" w:type="pct"/>
            <w:vMerge w:val="continue"/>
            <w:vAlign w:val="center"/>
          </w:tcPr>
          <w:p w14:paraId="23363968">
            <w:pPr>
              <w:adjustRightInd w:val="0"/>
              <w:snapToGrid w:val="0"/>
              <w:jc w:val="center"/>
              <w:rPr>
                <w:rFonts w:cs="宋体"/>
                <w:snapToGrid w:val="0"/>
                <w:color w:val="auto"/>
                <w:kern w:val="0"/>
                <w:szCs w:val="21"/>
              </w:rPr>
            </w:pPr>
          </w:p>
        </w:tc>
        <w:tc>
          <w:tcPr>
            <w:tcW w:w="578" w:type="pct"/>
            <w:vMerge w:val="continue"/>
            <w:vAlign w:val="center"/>
          </w:tcPr>
          <w:p w14:paraId="65E0309F">
            <w:pPr>
              <w:adjustRightInd w:val="0"/>
              <w:snapToGrid w:val="0"/>
              <w:jc w:val="center"/>
              <w:rPr>
                <w:rFonts w:cs="宋体"/>
                <w:snapToGrid w:val="0"/>
                <w:color w:val="auto"/>
                <w:kern w:val="0"/>
                <w:szCs w:val="21"/>
              </w:rPr>
            </w:pPr>
          </w:p>
        </w:tc>
        <w:tc>
          <w:tcPr>
            <w:tcW w:w="607" w:type="pct"/>
            <w:vMerge w:val="continue"/>
            <w:vAlign w:val="center"/>
          </w:tcPr>
          <w:p w14:paraId="08563126">
            <w:pPr>
              <w:adjustRightInd w:val="0"/>
              <w:snapToGrid w:val="0"/>
              <w:jc w:val="center"/>
              <w:rPr>
                <w:rFonts w:cs="宋体"/>
                <w:snapToGrid w:val="0"/>
                <w:color w:val="auto"/>
                <w:kern w:val="0"/>
                <w:szCs w:val="21"/>
              </w:rPr>
            </w:pPr>
          </w:p>
        </w:tc>
        <w:tc>
          <w:tcPr>
            <w:tcW w:w="509" w:type="pct"/>
            <w:vMerge w:val="continue"/>
            <w:vAlign w:val="center"/>
          </w:tcPr>
          <w:p w14:paraId="74B0EA38">
            <w:pPr>
              <w:adjustRightInd w:val="0"/>
              <w:snapToGrid w:val="0"/>
              <w:jc w:val="center"/>
              <w:rPr>
                <w:rFonts w:cs="宋体"/>
                <w:snapToGrid w:val="0"/>
                <w:color w:val="auto"/>
                <w:kern w:val="0"/>
                <w:szCs w:val="21"/>
              </w:rPr>
            </w:pPr>
          </w:p>
        </w:tc>
        <w:tc>
          <w:tcPr>
            <w:tcW w:w="1256" w:type="pct"/>
            <w:vAlign w:val="center"/>
          </w:tcPr>
          <w:p w14:paraId="207942C8">
            <w:pPr>
              <w:adjustRightInd w:val="0"/>
              <w:snapToGrid w:val="0"/>
              <w:jc w:val="center"/>
              <w:rPr>
                <w:rFonts w:cs="宋体"/>
                <w:snapToGrid w:val="0"/>
                <w:color w:val="auto"/>
                <w:kern w:val="0"/>
                <w:szCs w:val="21"/>
              </w:rPr>
            </w:pPr>
            <w:r>
              <w:rPr>
                <w:rFonts w:hint="eastAsia" w:cs="宋体"/>
                <w:snapToGrid w:val="0"/>
                <w:color w:val="auto"/>
                <w:kern w:val="0"/>
                <w:szCs w:val="21"/>
              </w:rPr>
              <w:t>标准名称</w:t>
            </w:r>
          </w:p>
        </w:tc>
        <w:tc>
          <w:tcPr>
            <w:tcW w:w="704" w:type="pct"/>
            <w:vAlign w:val="center"/>
          </w:tcPr>
          <w:p w14:paraId="034A839D">
            <w:pPr>
              <w:adjustRightInd w:val="0"/>
              <w:snapToGrid w:val="0"/>
              <w:jc w:val="center"/>
              <w:rPr>
                <w:rFonts w:cs="宋体"/>
                <w:snapToGrid w:val="0"/>
                <w:color w:val="auto"/>
                <w:kern w:val="0"/>
                <w:szCs w:val="21"/>
              </w:rPr>
            </w:pPr>
            <w:r>
              <w:rPr>
                <w:rFonts w:hint="eastAsia" w:cs="宋体"/>
                <w:snapToGrid w:val="0"/>
                <w:color w:val="auto"/>
                <w:kern w:val="0"/>
                <w:szCs w:val="21"/>
              </w:rPr>
              <w:t>浓度</w:t>
            </w:r>
            <w:r>
              <w:rPr>
                <w:rFonts w:cs="宋体"/>
                <w:snapToGrid w:val="0"/>
                <w:color w:val="auto"/>
                <w:kern w:val="0"/>
                <w:szCs w:val="21"/>
              </w:rPr>
              <w:t>限值</w:t>
            </w:r>
          </w:p>
        </w:tc>
        <w:tc>
          <w:tcPr>
            <w:tcW w:w="644" w:type="pct"/>
            <w:vMerge w:val="continue"/>
            <w:vAlign w:val="center"/>
          </w:tcPr>
          <w:p w14:paraId="587CDC35">
            <w:pPr>
              <w:adjustRightInd w:val="0"/>
              <w:snapToGrid w:val="0"/>
              <w:jc w:val="center"/>
              <w:rPr>
                <w:rFonts w:cs="宋体"/>
                <w:snapToGrid w:val="0"/>
                <w:color w:val="auto"/>
                <w:kern w:val="0"/>
                <w:szCs w:val="21"/>
              </w:rPr>
            </w:pPr>
          </w:p>
        </w:tc>
      </w:tr>
      <w:tr w14:paraId="3E0BAE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7" w:type="pct"/>
            <w:vMerge w:val="restart"/>
            <w:vAlign w:val="center"/>
          </w:tcPr>
          <w:p w14:paraId="66EECB23">
            <w:pPr>
              <w:adjustRightInd w:val="0"/>
              <w:snapToGrid w:val="0"/>
              <w:jc w:val="center"/>
              <w:rPr>
                <w:rFonts w:cs="宋体"/>
                <w:snapToGrid w:val="0"/>
                <w:color w:val="auto"/>
                <w:kern w:val="0"/>
                <w:szCs w:val="21"/>
              </w:rPr>
            </w:pPr>
            <w:r>
              <w:rPr>
                <w:rFonts w:cs="宋体"/>
                <w:snapToGrid w:val="0"/>
                <w:color w:val="auto"/>
                <w:kern w:val="0"/>
                <w:szCs w:val="21"/>
              </w:rPr>
              <w:t>1</w:t>
            </w:r>
          </w:p>
        </w:tc>
        <w:tc>
          <w:tcPr>
            <w:tcW w:w="435" w:type="pct"/>
            <w:vMerge w:val="restart"/>
            <w:vAlign w:val="center"/>
          </w:tcPr>
          <w:p w14:paraId="2DF5C47E">
            <w:pPr>
              <w:adjustRightInd w:val="0"/>
              <w:snapToGrid w:val="0"/>
              <w:jc w:val="center"/>
              <w:rPr>
                <w:rFonts w:cs="宋体"/>
                <w:snapToGrid w:val="0"/>
                <w:color w:val="auto"/>
                <w:kern w:val="0"/>
                <w:szCs w:val="21"/>
              </w:rPr>
            </w:pPr>
            <w:r>
              <w:rPr>
                <w:rFonts w:cs="宋体"/>
                <w:snapToGrid w:val="0"/>
                <w:color w:val="auto"/>
                <w:kern w:val="0"/>
                <w:szCs w:val="21"/>
              </w:rPr>
              <w:t>/</w:t>
            </w:r>
          </w:p>
        </w:tc>
        <w:tc>
          <w:tcPr>
            <w:tcW w:w="578" w:type="pct"/>
            <w:vMerge w:val="restart"/>
            <w:vAlign w:val="center"/>
          </w:tcPr>
          <w:p w14:paraId="74E55C61">
            <w:pPr>
              <w:adjustRightInd w:val="0"/>
              <w:snapToGrid w:val="0"/>
              <w:jc w:val="center"/>
              <w:rPr>
                <w:rFonts w:cs="宋体"/>
                <w:snapToGrid w:val="0"/>
                <w:color w:val="auto"/>
                <w:kern w:val="0"/>
                <w:szCs w:val="21"/>
              </w:rPr>
            </w:pPr>
            <w:r>
              <w:rPr>
                <w:rFonts w:hint="eastAsia" w:cs="宋体"/>
                <w:snapToGrid w:val="0"/>
                <w:color w:val="auto"/>
                <w:kern w:val="0"/>
                <w:szCs w:val="21"/>
              </w:rPr>
              <w:t>作业机械</w:t>
            </w:r>
          </w:p>
        </w:tc>
        <w:tc>
          <w:tcPr>
            <w:tcW w:w="607" w:type="pct"/>
            <w:vAlign w:val="center"/>
          </w:tcPr>
          <w:p w14:paraId="00DD9ED7">
            <w:pPr>
              <w:adjustRightInd w:val="0"/>
              <w:snapToGrid w:val="0"/>
              <w:jc w:val="center"/>
              <w:rPr>
                <w:rFonts w:cs="宋体"/>
                <w:snapToGrid w:val="0"/>
                <w:color w:val="auto"/>
                <w:kern w:val="0"/>
                <w:szCs w:val="21"/>
              </w:rPr>
            </w:pPr>
            <w:r>
              <w:rPr>
                <w:rFonts w:hint="eastAsia" w:cs="宋体"/>
                <w:snapToGrid w:val="0"/>
                <w:color w:val="auto"/>
                <w:kern w:val="0"/>
                <w:szCs w:val="21"/>
                <w:lang w:val="zh-CN"/>
              </w:rPr>
              <w:t>CO</w:t>
            </w:r>
          </w:p>
        </w:tc>
        <w:tc>
          <w:tcPr>
            <w:tcW w:w="509" w:type="pct"/>
            <w:vMerge w:val="restart"/>
            <w:vAlign w:val="center"/>
          </w:tcPr>
          <w:p w14:paraId="72FDDDEA">
            <w:pPr>
              <w:adjustRightInd w:val="0"/>
              <w:snapToGrid w:val="0"/>
              <w:jc w:val="center"/>
              <w:rPr>
                <w:snapToGrid w:val="0"/>
                <w:color w:val="auto"/>
                <w:szCs w:val="22"/>
                <w:lang w:val="zh-CN"/>
              </w:rPr>
            </w:pPr>
            <w:r>
              <w:rPr>
                <w:rFonts w:hint="eastAsia"/>
                <w:snapToGrid w:val="0"/>
                <w:color w:val="auto"/>
                <w:szCs w:val="22"/>
                <w:lang w:val="zh-CN"/>
              </w:rPr>
              <w:t>自然扩散</w:t>
            </w:r>
          </w:p>
        </w:tc>
        <w:tc>
          <w:tcPr>
            <w:tcW w:w="1256" w:type="pct"/>
            <w:vAlign w:val="center"/>
          </w:tcPr>
          <w:p w14:paraId="256B5DB1">
            <w:pPr>
              <w:adjustRightInd w:val="0"/>
              <w:snapToGrid w:val="0"/>
              <w:jc w:val="center"/>
              <w:rPr>
                <w:snapToGrid w:val="0"/>
                <w:color w:val="auto"/>
                <w:szCs w:val="22"/>
                <w:lang w:val="zh-CN"/>
              </w:rPr>
            </w:pPr>
            <w:r>
              <w:rPr>
                <w:rFonts w:hint="eastAsia"/>
                <w:snapToGrid w:val="0"/>
                <w:color w:val="auto"/>
                <w:szCs w:val="22"/>
                <w:lang w:val="zh-CN"/>
              </w:rPr>
              <w:t>/</w:t>
            </w:r>
          </w:p>
        </w:tc>
        <w:tc>
          <w:tcPr>
            <w:tcW w:w="704" w:type="pct"/>
            <w:vAlign w:val="center"/>
          </w:tcPr>
          <w:p w14:paraId="3F7E1993">
            <w:pPr>
              <w:adjustRightInd w:val="0"/>
              <w:snapToGrid w:val="0"/>
              <w:jc w:val="center"/>
              <w:rPr>
                <w:snapToGrid w:val="0"/>
                <w:color w:val="auto"/>
                <w:kern w:val="0"/>
                <w:szCs w:val="21"/>
              </w:rPr>
            </w:pPr>
            <w:r>
              <w:rPr>
                <w:snapToGrid w:val="0"/>
                <w:color w:val="auto"/>
                <w:kern w:val="0"/>
                <w:sz w:val="24"/>
              </w:rPr>
              <w:t>/</w:t>
            </w:r>
          </w:p>
        </w:tc>
        <w:tc>
          <w:tcPr>
            <w:tcW w:w="644" w:type="pct"/>
            <w:vAlign w:val="center"/>
          </w:tcPr>
          <w:p w14:paraId="6B558EA5">
            <w:pPr>
              <w:adjustRightInd w:val="0"/>
              <w:snapToGrid w:val="0"/>
              <w:jc w:val="center"/>
              <w:rPr>
                <w:rFonts w:hint="default" w:eastAsia="宋体"/>
                <w:snapToGrid w:val="0"/>
                <w:color w:val="auto"/>
                <w:szCs w:val="22"/>
                <w:lang w:val="en-US" w:eastAsia="zh-CN"/>
              </w:rPr>
            </w:pPr>
            <w:r>
              <w:rPr>
                <w:snapToGrid w:val="0"/>
                <w:color w:val="auto"/>
                <w:szCs w:val="22"/>
                <w:lang w:val="zh-CN"/>
              </w:rPr>
              <w:t>0.000</w:t>
            </w:r>
            <w:r>
              <w:rPr>
                <w:rFonts w:hint="eastAsia"/>
                <w:snapToGrid w:val="0"/>
                <w:color w:val="auto"/>
                <w:szCs w:val="22"/>
                <w:lang w:val="en-US" w:eastAsia="zh-CN"/>
              </w:rPr>
              <w:t>7</w:t>
            </w:r>
          </w:p>
        </w:tc>
      </w:tr>
      <w:tr w14:paraId="21532F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7" w:type="pct"/>
            <w:vMerge w:val="continue"/>
            <w:vAlign w:val="center"/>
          </w:tcPr>
          <w:p w14:paraId="728FDCD9">
            <w:pPr>
              <w:adjustRightInd w:val="0"/>
              <w:snapToGrid w:val="0"/>
              <w:jc w:val="center"/>
              <w:rPr>
                <w:rFonts w:cs="宋体"/>
                <w:snapToGrid w:val="0"/>
                <w:color w:val="auto"/>
                <w:kern w:val="0"/>
                <w:szCs w:val="21"/>
              </w:rPr>
            </w:pPr>
          </w:p>
        </w:tc>
        <w:tc>
          <w:tcPr>
            <w:tcW w:w="435" w:type="pct"/>
            <w:vMerge w:val="continue"/>
            <w:vAlign w:val="center"/>
          </w:tcPr>
          <w:p w14:paraId="7C8CD1C1">
            <w:pPr>
              <w:adjustRightInd w:val="0"/>
              <w:snapToGrid w:val="0"/>
              <w:jc w:val="center"/>
              <w:rPr>
                <w:rFonts w:cs="宋体"/>
                <w:snapToGrid w:val="0"/>
                <w:color w:val="auto"/>
                <w:kern w:val="0"/>
                <w:szCs w:val="21"/>
              </w:rPr>
            </w:pPr>
          </w:p>
        </w:tc>
        <w:tc>
          <w:tcPr>
            <w:tcW w:w="578" w:type="pct"/>
            <w:vMerge w:val="continue"/>
            <w:vAlign w:val="center"/>
          </w:tcPr>
          <w:p w14:paraId="430589F4">
            <w:pPr>
              <w:adjustRightInd w:val="0"/>
              <w:snapToGrid w:val="0"/>
              <w:rPr>
                <w:rFonts w:cs="宋体"/>
                <w:snapToGrid w:val="0"/>
                <w:color w:val="auto"/>
                <w:kern w:val="0"/>
                <w:szCs w:val="21"/>
              </w:rPr>
            </w:pPr>
          </w:p>
        </w:tc>
        <w:tc>
          <w:tcPr>
            <w:tcW w:w="607" w:type="pct"/>
            <w:vAlign w:val="center"/>
          </w:tcPr>
          <w:p w14:paraId="5999AA58">
            <w:pPr>
              <w:adjustRightInd w:val="0"/>
              <w:snapToGrid w:val="0"/>
              <w:jc w:val="center"/>
              <w:rPr>
                <w:rFonts w:cs="宋体"/>
                <w:snapToGrid w:val="0"/>
                <w:color w:val="auto"/>
                <w:kern w:val="0"/>
                <w:szCs w:val="21"/>
              </w:rPr>
            </w:pPr>
            <w:r>
              <w:rPr>
                <w:rFonts w:cs="宋体"/>
                <w:snapToGrid w:val="0"/>
                <w:color w:val="auto"/>
                <w:kern w:val="0"/>
                <w:szCs w:val="21"/>
              </w:rPr>
              <w:t>NO</w:t>
            </w:r>
            <w:r>
              <w:rPr>
                <w:rFonts w:cs="宋体"/>
                <w:snapToGrid w:val="0"/>
                <w:color w:val="auto"/>
                <w:kern w:val="0"/>
                <w:szCs w:val="21"/>
                <w:vertAlign w:val="subscript"/>
              </w:rPr>
              <w:t>x</w:t>
            </w:r>
          </w:p>
        </w:tc>
        <w:tc>
          <w:tcPr>
            <w:tcW w:w="509" w:type="pct"/>
            <w:vMerge w:val="continue"/>
            <w:vAlign w:val="center"/>
          </w:tcPr>
          <w:p w14:paraId="7EA105E8">
            <w:pPr>
              <w:adjustRightInd w:val="0"/>
              <w:snapToGrid w:val="0"/>
              <w:jc w:val="center"/>
              <w:rPr>
                <w:snapToGrid w:val="0"/>
                <w:color w:val="auto"/>
                <w:szCs w:val="21"/>
                <w:lang w:val="zh-CN"/>
              </w:rPr>
            </w:pPr>
          </w:p>
        </w:tc>
        <w:tc>
          <w:tcPr>
            <w:tcW w:w="1256" w:type="pct"/>
            <w:vAlign w:val="center"/>
          </w:tcPr>
          <w:p w14:paraId="63B1542F">
            <w:pPr>
              <w:adjustRightInd w:val="0"/>
              <w:snapToGrid w:val="0"/>
              <w:rPr>
                <w:snapToGrid w:val="0"/>
                <w:color w:val="auto"/>
                <w:szCs w:val="21"/>
                <w:lang w:val="zh-CN"/>
              </w:rPr>
            </w:pPr>
            <w:r>
              <w:rPr>
                <w:rFonts w:hint="eastAsia"/>
                <w:snapToGrid w:val="0"/>
                <w:color w:val="auto"/>
                <w:szCs w:val="22"/>
                <w:lang w:val="zh-CN"/>
              </w:rPr>
              <w:t>《大气污染物综合排放标准》（</w:t>
            </w:r>
            <w:r>
              <w:rPr>
                <w:snapToGrid w:val="0"/>
                <w:color w:val="auto"/>
                <w:szCs w:val="22"/>
                <w:lang w:val="zh-CN"/>
              </w:rPr>
              <w:t>GB16297-1996）</w:t>
            </w:r>
          </w:p>
        </w:tc>
        <w:tc>
          <w:tcPr>
            <w:tcW w:w="704" w:type="pct"/>
            <w:vAlign w:val="center"/>
          </w:tcPr>
          <w:p w14:paraId="6C535182">
            <w:pPr>
              <w:adjustRightInd w:val="0"/>
              <w:snapToGrid w:val="0"/>
              <w:jc w:val="center"/>
              <w:rPr>
                <w:rFonts w:cs="宋体"/>
                <w:snapToGrid w:val="0"/>
                <w:color w:val="auto"/>
                <w:kern w:val="0"/>
                <w:szCs w:val="21"/>
              </w:rPr>
            </w:pPr>
            <w:r>
              <w:rPr>
                <w:rFonts w:cs="宋体"/>
                <w:snapToGrid w:val="0"/>
                <w:color w:val="auto"/>
                <w:kern w:val="0"/>
                <w:szCs w:val="21"/>
              </w:rPr>
              <w:t>0.12</w:t>
            </w:r>
            <w:r>
              <w:rPr>
                <w:rFonts w:cs="宋体"/>
                <w:snapToGrid w:val="0"/>
                <w:color w:val="auto"/>
                <w:spacing w:val="5"/>
                <w:kern w:val="0"/>
                <w:szCs w:val="21"/>
              </w:rPr>
              <w:t>mg/m</w:t>
            </w:r>
            <w:r>
              <w:rPr>
                <w:rFonts w:cs="宋体"/>
                <w:snapToGrid w:val="0"/>
                <w:color w:val="auto"/>
                <w:spacing w:val="5"/>
                <w:kern w:val="0"/>
                <w:szCs w:val="21"/>
                <w:vertAlign w:val="superscript"/>
              </w:rPr>
              <w:t>3</w:t>
            </w:r>
          </w:p>
        </w:tc>
        <w:tc>
          <w:tcPr>
            <w:tcW w:w="644" w:type="pct"/>
            <w:vAlign w:val="center"/>
          </w:tcPr>
          <w:p w14:paraId="293CD65D">
            <w:pPr>
              <w:adjustRightInd w:val="0"/>
              <w:snapToGrid w:val="0"/>
              <w:jc w:val="center"/>
              <w:rPr>
                <w:rFonts w:hint="eastAsia" w:eastAsia="宋体"/>
                <w:snapToGrid w:val="0"/>
                <w:color w:val="auto"/>
                <w:szCs w:val="22"/>
                <w:lang w:val="zh-CN" w:eastAsia="zh-CN"/>
              </w:rPr>
            </w:pPr>
            <w:r>
              <w:rPr>
                <w:snapToGrid w:val="0"/>
                <w:color w:val="auto"/>
                <w:szCs w:val="22"/>
                <w:lang w:val="zh-CN"/>
              </w:rPr>
              <w:t>0.00</w:t>
            </w:r>
            <w:r>
              <w:rPr>
                <w:rFonts w:hint="eastAsia"/>
                <w:snapToGrid w:val="0"/>
                <w:color w:val="auto"/>
                <w:szCs w:val="22"/>
                <w:lang w:val="en-US" w:eastAsia="zh-CN"/>
              </w:rPr>
              <w:t>1</w:t>
            </w:r>
          </w:p>
        </w:tc>
      </w:tr>
      <w:tr w14:paraId="4BF762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7" w:type="pct"/>
            <w:vMerge w:val="continue"/>
            <w:vAlign w:val="center"/>
          </w:tcPr>
          <w:p w14:paraId="7F45E405">
            <w:pPr>
              <w:adjustRightInd w:val="0"/>
              <w:snapToGrid w:val="0"/>
              <w:jc w:val="center"/>
              <w:rPr>
                <w:rFonts w:cs="宋体"/>
                <w:snapToGrid w:val="0"/>
                <w:color w:val="auto"/>
                <w:kern w:val="0"/>
                <w:szCs w:val="21"/>
              </w:rPr>
            </w:pPr>
          </w:p>
        </w:tc>
        <w:tc>
          <w:tcPr>
            <w:tcW w:w="435" w:type="pct"/>
            <w:vMerge w:val="continue"/>
            <w:vAlign w:val="center"/>
          </w:tcPr>
          <w:p w14:paraId="58D984AE">
            <w:pPr>
              <w:adjustRightInd w:val="0"/>
              <w:snapToGrid w:val="0"/>
              <w:jc w:val="center"/>
              <w:rPr>
                <w:rFonts w:cs="宋体"/>
                <w:snapToGrid w:val="0"/>
                <w:color w:val="auto"/>
                <w:kern w:val="0"/>
                <w:szCs w:val="21"/>
              </w:rPr>
            </w:pPr>
          </w:p>
        </w:tc>
        <w:tc>
          <w:tcPr>
            <w:tcW w:w="578" w:type="pct"/>
            <w:vMerge w:val="continue"/>
            <w:vAlign w:val="center"/>
          </w:tcPr>
          <w:p w14:paraId="431C29D7">
            <w:pPr>
              <w:adjustRightInd w:val="0"/>
              <w:snapToGrid w:val="0"/>
              <w:rPr>
                <w:rFonts w:cs="宋体"/>
                <w:snapToGrid w:val="0"/>
                <w:color w:val="auto"/>
                <w:kern w:val="0"/>
                <w:szCs w:val="21"/>
              </w:rPr>
            </w:pPr>
          </w:p>
        </w:tc>
        <w:tc>
          <w:tcPr>
            <w:tcW w:w="607" w:type="pct"/>
            <w:vAlign w:val="center"/>
          </w:tcPr>
          <w:p w14:paraId="3714FF6A">
            <w:pPr>
              <w:adjustRightInd w:val="0"/>
              <w:snapToGrid w:val="0"/>
              <w:jc w:val="center"/>
              <w:rPr>
                <w:rFonts w:cs="宋体"/>
                <w:snapToGrid w:val="0"/>
                <w:color w:val="auto"/>
                <w:kern w:val="0"/>
                <w:szCs w:val="21"/>
              </w:rPr>
            </w:pPr>
            <w:r>
              <w:rPr>
                <w:rFonts w:cs="宋体"/>
                <w:snapToGrid w:val="0"/>
                <w:color w:val="auto"/>
                <w:kern w:val="0"/>
                <w:szCs w:val="21"/>
                <w:lang w:val="zh-CN"/>
              </w:rPr>
              <w:t>HC</w:t>
            </w:r>
          </w:p>
        </w:tc>
        <w:tc>
          <w:tcPr>
            <w:tcW w:w="509" w:type="pct"/>
            <w:vMerge w:val="continue"/>
            <w:vAlign w:val="center"/>
          </w:tcPr>
          <w:p w14:paraId="0BC37389">
            <w:pPr>
              <w:adjustRightInd w:val="0"/>
              <w:snapToGrid w:val="0"/>
              <w:jc w:val="center"/>
              <w:rPr>
                <w:snapToGrid w:val="0"/>
                <w:color w:val="auto"/>
                <w:szCs w:val="21"/>
                <w:lang w:val="zh-CN"/>
              </w:rPr>
            </w:pPr>
          </w:p>
        </w:tc>
        <w:tc>
          <w:tcPr>
            <w:tcW w:w="1256" w:type="pct"/>
            <w:vAlign w:val="center"/>
          </w:tcPr>
          <w:p w14:paraId="22DC6F8C">
            <w:pPr>
              <w:adjustRightInd w:val="0"/>
              <w:snapToGrid w:val="0"/>
              <w:jc w:val="center"/>
              <w:rPr>
                <w:snapToGrid w:val="0"/>
                <w:color w:val="auto"/>
                <w:szCs w:val="21"/>
                <w:lang w:val="zh-CN"/>
              </w:rPr>
            </w:pPr>
            <w:r>
              <w:rPr>
                <w:rFonts w:hint="eastAsia"/>
                <w:snapToGrid w:val="0"/>
                <w:color w:val="auto"/>
                <w:szCs w:val="22"/>
                <w:lang w:val="zh-CN"/>
              </w:rPr>
              <w:t>/</w:t>
            </w:r>
          </w:p>
        </w:tc>
        <w:tc>
          <w:tcPr>
            <w:tcW w:w="704" w:type="pct"/>
            <w:vAlign w:val="center"/>
          </w:tcPr>
          <w:p w14:paraId="0AACABEE">
            <w:pPr>
              <w:adjustRightInd w:val="0"/>
              <w:snapToGrid w:val="0"/>
              <w:jc w:val="center"/>
              <w:rPr>
                <w:snapToGrid w:val="0"/>
                <w:color w:val="auto"/>
                <w:kern w:val="0"/>
                <w:szCs w:val="21"/>
              </w:rPr>
            </w:pPr>
            <w:r>
              <w:rPr>
                <w:snapToGrid w:val="0"/>
                <w:color w:val="auto"/>
                <w:kern w:val="0"/>
                <w:sz w:val="24"/>
              </w:rPr>
              <w:t>/</w:t>
            </w:r>
          </w:p>
        </w:tc>
        <w:tc>
          <w:tcPr>
            <w:tcW w:w="644" w:type="pct"/>
            <w:vAlign w:val="center"/>
          </w:tcPr>
          <w:p w14:paraId="24424BAA">
            <w:pPr>
              <w:adjustRightInd w:val="0"/>
              <w:snapToGrid w:val="0"/>
              <w:jc w:val="center"/>
              <w:rPr>
                <w:rFonts w:hint="default" w:eastAsia="宋体"/>
                <w:snapToGrid w:val="0"/>
                <w:color w:val="auto"/>
                <w:szCs w:val="22"/>
                <w:lang w:val="en-US" w:eastAsia="zh-CN"/>
              </w:rPr>
            </w:pPr>
            <w:r>
              <w:rPr>
                <w:rFonts w:hint="eastAsia"/>
                <w:snapToGrid w:val="0"/>
                <w:color w:val="auto"/>
                <w:szCs w:val="22"/>
                <w:lang w:val="en-US" w:eastAsia="zh-CN"/>
              </w:rPr>
              <w:t>000023</w:t>
            </w:r>
          </w:p>
        </w:tc>
      </w:tr>
      <w:tr w14:paraId="6B2699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7C1A2F69">
            <w:pPr>
              <w:adjustRightInd w:val="0"/>
              <w:snapToGrid w:val="0"/>
              <w:jc w:val="center"/>
              <w:rPr>
                <w:rFonts w:cs="宋体"/>
                <w:snapToGrid w:val="0"/>
                <w:color w:val="auto"/>
                <w:kern w:val="0"/>
                <w:szCs w:val="21"/>
              </w:rPr>
            </w:pPr>
            <w:r>
              <w:rPr>
                <w:rFonts w:hint="eastAsia" w:cs="宋体"/>
                <w:snapToGrid w:val="0"/>
                <w:color w:val="auto"/>
                <w:kern w:val="0"/>
                <w:szCs w:val="21"/>
              </w:rPr>
              <w:t>2</w:t>
            </w:r>
          </w:p>
        </w:tc>
        <w:tc>
          <w:tcPr>
            <w:tcW w:w="435" w:type="pct"/>
            <w:vAlign w:val="center"/>
          </w:tcPr>
          <w:p w14:paraId="28A8CDA7">
            <w:pPr>
              <w:adjustRightInd w:val="0"/>
              <w:snapToGrid w:val="0"/>
              <w:jc w:val="center"/>
              <w:rPr>
                <w:rFonts w:cs="宋体"/>
                <w:snapToGrid w:val="0"/>
                <w:color w:val="auto"/>
                <w:kern w:val="0"/>
                <w:szCs w:val="21"/>
              </w:rPr>
            </w:pPr>
            <w:r>
              <w:rPr>
                <w:rFonts w:hint="eastAsia" w:cs="宋体"/>
                <w:snapToGrid w:val="0"/>
                <w:color w:val="auto"/>
                <w:kern w:val="0"/>
                <w:szCs w:val="21"/>
              </w:rPr>
              <w:t>/</w:t>
            </w:r>
          </w:p>
        </w:tc>
        <w:tc>
          <w:tcPr>
            <w:tcW w:w="578" w:type="pct"/>
            <w:vAlign w:val="center"/>
          </w:tcPr>
          <w:p w14:paraId="6BE1D991">
            <w:pPr>
              <w:adjustRightInd w:val="0"/>
              <w:snapToGrid w:val="0"/>
              <w:rPr>
                <w:rFonts w:cs="宋体"/>
                <w:snapToGrid w:val="0"/>
                <w:color w:val="auto"/>
                <w:kern w:val="0"/>
                <w:szCs w:val="21"/>
              </w:rPr>
            </w:pPr>
            <w:r>
              <w:rPr>
                <w:rFonts w:hint="eastAsia" w:cs="宋体"/>
                <w:snapToGrid w:val="0"/>
                <w:color w:val="auto"/>
                <w:kern w:val="0"/>
                <w:szCs w:val="21"/>
              </w:rPr>
              <w:t>装卸、运输、回填</w:t>
            </w:r>
          </w:p>
        </w:tc>
        <w:tc>
          <w:tcPr>
            <w:tcW w:w="607" w:type="pct"/>
            <w:vAlign w:val="center"/>
          </w:tcPr>
          <w:p w14:paraId="509F06EB">
            <w:pPr>
              <w:adjustRightInd w:val="0"/>
              <w:snapToGrid w:val="0"/>
              <w:jc w:val="center"/>
              <w:rPr>
                <w:rFonts w:cs="宋体"/>
                <w:snapToGrid w:val="0"/>
                <w:color w:val="auto"/>
                <w:kern w:val="0"/>
                <w:szCs w:val="21"/>
              </w:rPr>
            </w:pPr>
            <w:r>
              <w:rPr>
                <w:rFonts w:cs="宋体"/>
                <w:snapToGrid w:val="0"/>
                <w:color w:val="auto"/>
                <w:kern w:val="0"/>
                <w:szCs w:val="21"/>
              </w:rPr>
              <w:t>TSP</w:t>
            </w:r>
          </w:p>
        </w:tc>
        <w:tc>
          <w:tcPr>
            <w:tcW w:w="509" w:type="pct"/>
            <w:vAlign w:val="center"/>
          </w:tcPr>
          <w:p w14:paraId="08017E94">
            <w:pPr>
              <w:adjustRightInd w:val="0"/>
              <w:snapToGrid w:val="0"/>
              <w:rPr>
                <w:snapToGrid w:val="0"/>
                <w:color w:val="auto"/>
                <w:szCs w:val="21"/>
                <w:lang w:val="zh-CN"/>
              </w:rPr>
            </w:pPr>
            <w:r>
              <w:rPr>
                <w:rFonts w:hint="eastAsia"/>
                <w:snapToGrid w:val="0"/>
                <w:color w:val="auto"/>
                <w:szCs w:val="21"/>
                <w:lang w:val="zh-CN"/>
              </w:rPr>
              <w:t>洒水抑尘、及时苫盖、分区回填</w:t>
            </w:r>
          </w:p>
        </w:tc>
        <w:tc>
          <w:tcPr>
            <w:tcW w:w="1256" w:type="pct"/>
            <w:vMerge w:val="restart"/>
            <w:vAlign w:val="center"/>
          </w:tcPr>
          <w:p w14:paraId="7532A6E1">
            <w:pPr>
              <w:adjustRightInd w:val="0"/>
              <w:snapToGrid w:val="0"/>
              <w:rPr>
                <w:snapToGrid w:val="0"/>
                <w:color w:val="auto"/>
                <w:szCs w:val="21"/>
                <w:lang w:val="zh-CN"/>
              </w:rPr>
            </w:pPr>
            <w:r>
              <w:rPr>
                <w:rFonts w:hint="eastAsia"/>
                <w:snapToGrid w:val="0"/>
                <w:color w:val="auto"/>
                <w:szCs w:val="22"/>
                <w:lang w:val="zh-CN"/>
              </w:rPr>
              <w:t>《大气污染物综合排放标准》（</w:t>
            </w:r>
            <w:r>
              <w:rPr>
                <w:snapToGrid w:val="0"/>
                <w:color w:val="auto"/>
                <w:szCs w:val="22"/>
                <w:lang w:val="zh-CN"/>
              </w:rPr>
              <w:t>GB16297-1996）</w:t>
            </w:r>
          </w:p>
        </w:tc>
        <w:tc>
          <w:tcPr>
            <w:tcW w:w="704" w:type="pct"/>
            <w:vMerge w:val="restart"/>
            <w:vAlign w:val="center"/>
          </w:tcPr>
          <w:p w14:paraId="2C672C42">
            <w:pPr>
              <w:adjustRightInd w:val="0"/>
              <w:snapToGrid w:val="0"/>
              <w:jc w:val="center"/>
              <w:rPr>
                <w:rFonts w:cs="宋体"/>
                <w:snapToGrid w:val="0"/>
                <w:color w:val="auto"/>
                <w:kern w:val="0"/>
                <w:szCs w:val="21"/>
              </w:rPr>
            </w:pPr>
            <w:r>
              <w:rPr>
                <w:rFonts w:hint="eastAsia" w:cs="宋体"/>
                <w:snapToGrid w:val="0"/>
                <w:color w:val="auto"/>
                <w:kern w:val="0"/>
                <w:szCs w:val="21"/>
              </w:rPr>
              <w:t>1.0</w:t>
            </w:r>
            <w:r>
              <w:rPr>
                <w:rFonts w:cs="宋体"/>
                <w:snapToGrid w:val="0"/>
                <w:color w:val="auto"/>
                <w:spacing w:val="5"/>
                <w:kern w:val="0"/>
                <w:szCs w:val="21"/>
              </w:rPr>
              <w:t>mg/m</w:t>
            </w:r>
            <w:r>
              <w:rPr>
                <w:rFonts w:cs="宋体"/>
                <w:snapToGrid w:val="0"/>
                <w:color w:val="auto"/>
                <w:spacing w:val="5"/>
                <w:kern w:val="0"/>
                <w:szCs w:val="21"/>
                <w:vertAlign w:val="superscript"/>
              </w:rPr>
              <w:t>3</w:t>
            </w:r>
          </w:p>
        </w:tc>
        <w:tc>
          <w:tcPr>
            <w:tcW w:w="644" w:type="pct"/>
            <w:vAlign w:val="center"/>
          </w:tcPr>
          <w:p w14:paraId="4E140C4A">
            <w:pPr>
              <w:adjustRightInd w:val="0"/>
              <w:snapToGrid w:val="0"/>
              <w:jc w:val="center"/>
              <w:rPr>
                <w:rFonts w:hint="default" w:eastAsia="宋体" w:cs="宋体"/>
                <w:snapToGrid w:val="0"/>
                <w:color w:val="auto"/>
                <w:kern w:val="0"/>
                <w:szCs w:val="21"/>
                <w:highlight w:val="none"/>
                <w:lang w:val="en-US" w:eastAsia="zh-CN"/>
              </w:rPr>
            </w:pPr>
            <w:r>
              <w:rPr>
                <w:rFonts w:hint="eastAsia" w:cs="宋体"/>
                <w:snapToGrid w:val="0"/>
                <w:color w:val="auto"/>
                <w:kern w:val="0"/>
                <w:szCs w:val="21"/>
                <w:highlight w:val="none"/>
                <w:lang w:val="en-US" w:eastAsia="zh-CN"/>
              </w:rPr>
              <w:t>0.004</w:t>
            </w:r>
          </w:p>
        </w:tc>
      </w:tr>
      <w:tr w14:paraId="4152DC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67" w:type="pct"/>
            <w:vAlign w:val="center"/>
          </w:tcPr>
          <w:p w14:paraId="6BCB1A3E">
            <w:pPr>
              <w:adjustRightInd w:val="0"/>
              <w:snapToGrid w:val="0"/>
              <w:jc w:val="center"/>
              <w:rPr>
                <w:rFonts w:cs="宋体"/>
                <w:snapToGrid w:val="0"/>
                <w:color w:val="auto"/>
                <w:kern w:val="0"/>
                <w:szCs w:val="21"/>
              </w:rPr>
            </w:pPr>
            <w:r>
              <w:rPr>
                <w:rFonts w:hint="eastAsia" w:cs="宋体"/>
                <w:snapToGrid w:val="0"/>
                <w:color w:val="auto"/>
                <w:kern w:val="0"/>
                <w:szCs w:val="21"/>
              </w:rPr>
              <w:t>3</w:t>
            </w:r>
          </w:p>
        </w:tc>
        <w:tc>
          <w:tcPr>
            <w:tcW w:w="435" w:type="pct"/>
            <w:vAlign w:val="center"/>
          </w:tcPr>
          <w:p w14:paraId="22C63500">
            <w:pPr>
              <w:adjustRightInd w:val="0"/>
              <w:snapToGrid w:val="0"/>
              <w:jc w:val="center"/>
              <w:rPr>
                <w:rFonts w:cs="宋体"/>
                <w:snapToGrid w:val="0"/>
                <w:color w:val="auto"/>
                <w:kern w:val="0"/>
                <w:szCs w:val="21"/>
              </w:rPr>
            </w:pPr>
            <w:r>
              <w:rPr>
                <w:rFonts w:hint="eastAsia" w:cs="宋体"/>
                <w:snapToGrid w:val="0"/>
                <w:color w:val="auto"/>
                <w:kern w:val="0"/>
                <w:szCs w:val="21"/>
              </w:rPr>
              <w:t>/</w:t>
            </w:r>
          </w:p>
        </w:tc>
        <w:tc>
          <w:tcPr>
            <w:tcW w:w="578" w:type="pct"/>
            <w:vAlign w:val="center"/>
          </w:tcPr>
          <w:p w14:paraId="4DB8FC91">
            <w:pPr>
              <w:adjustRightInd w:val="0"/>
              <w:snapToGrid w:val="0"/>
              <w:rPr>
                <w:rFonts w:cs="宋体"/>
                <w:snapToGrid w:val="0"/>
                <w:color w:val="auto"/>
                <w:kern w:val="0"/>
                <w:szCs w:val="21"/>
              </w:rPr>
            </w:pPr>
            <w:r>
              <w:rPr>
                <w:rFonts w:hint="eastAsia" w:cs="宋体"/>
                <w:snapToGrid w:val="0"/>
                <w:color w:val="auto"/>
                <w:kern w:val="0"/>
                <w:szCs w:val="21"/>
              </w:rPr>
              <w:t>运输道路</w:t>
            </w:r>
          </w:p>
        </w:tc>
        <w:tc>
          <w:tcPr>
            <w:tcW w:w="607" w:type="pct"/>
            <w:vAlign w:val="center"/>
          </w:tcPr>
          <w:p w14:paraId="31B9A3F9">
            <w:pPr>
              <w:adjustRightInd w:val="0"/>
              <w:snapToGrid w:val="0"/>
              <w:jc w:val="center"/>
              <w:rPr>
                <w:rFonts w:cs="宋体"/>
                <w:snapToGrid w:val="0"/>
                <w:color w:val="auto"/>
                <w:kern w:val="0"/>
                <w:szCs w:val="21"/>
              </w:rPr>
            </w:pPr>
            <w:r>
              <w:rPr>
                <w:rFonts w:hint="eastAsia" w:cs="宋体"/>
                <w:snapToGrid w:val="0"/>
                <w:color w:val="auto"/>
                <w:kern w:val="0"/>
                <w:szCs w:val="21"/>
              </w:rPr>
              <w:t>T</w:t>
            </w:r>
            <w:r>
              <w:rPr>
                <w:rFonts w:cs="宋体"/>
                <w:snapToGrid w:val="0"/>
                <w:color w:val="auto"/>
                <w:kern w:val="0"/>
                <w:szCs w:val="21"/>
              </w:rPr>
              <w:t>SP</w:t>
            </w:r>
          </w:p>
        </w:tc>
        <w:tc>
          <w:tcPr>
            <w:tcW w:w="509" w:type="pct"/>
            <w:vAlign w:val="center"/>
          </w:tcPr>
          <w:p w14:paraId="043611A7">
            <w:pPr>
              <w:adjustRightInd w:val="0"/>
              <w:snapToGrid w:val="0"/>
              <w:jc w:val="center"/>
              <w:rPr>
                <w:snapToGrid w:val="0"/>
                <w:color w:val="auto"/>
                <w:szCs w:val="21"/>
                <w:lang w:val="zh-CN"/>
              </w:rPr>
            </w:pPr>
            <w:r>
              <w:rPr>
                <w:rFonts w:hint="eastAsia"/>
                <w:snapToGrid w:val="0"/>
                <w:color w:val="auto"/>
                <w:szCs w:val="21"/>
                <w:lang w:val="zh-CN"/>
              </w:rPr>
              <w:t>减速慢行，洒水抑尘</w:t>
            </w:r>
          </w:p>
        </w:tc>
        <w:tc>
          <w:tcPr>
            <w:tcW w:w="1256" w:type="pct"/>
            <w:vMerge w:val="continue"/>
            <w:vAlign w:val="center"/>
          </w:tcPr>
          <w:p w14:paraId="2F94388A">
            <w:pPr>
              <w:adjustRightInd w:val="0"/>
              <w:snapToGrid w:val="0"/>
              <w:rPr>
                <w:snapToGrid w:val="0"/>
                <w:color w:val="auto"/>
                <w:szCs w:val="22"/>
                <w:lang w:val="zh-CN"/>
              </w:rPr>
            </w:pPr>
          </w:p>
        </w:tc>
        <w:tc>
          <w:tcPr>
            <w:tcW w:w="704" w:type="pct"/>
            <w:vMerge w:val="continue"/>
            <w:vAlign w:val="center"/>
          </w:tcPr>
          <w:p w14:paraId="4CADA5E8">
            <w:pPr>
              <w:adjustRightInd w:val="0"/>
              <w:snapToGrid w:val="0"/>
              <w:jc w:val="center"/>
              <w:rPr>
                <w:rFonts w:cs="宋体"/>
                <w:snapToGrid w:val="0"/>
                <w:color w:val="auto"/>
                <w:kern w:val="0"/>
                <w:szCs w:val="21"/>
              </w:rPr>
            </w:pPr>
          </w:p>
        </w:tc>
        <w:tc>
          <w:tcPr>
            <w:tcW w:w="644" w:type="pct"/>
            <w:vAlign w:val="center"/>
          </w:tcPr>
          <w:p w14:paraId="4028C23E">
            <w:pPr>
              <w:adjustRightInd w:val="0"/>
              <w:snapToGrid w:val="0"/>
              <w:jc w:val="center"/>
              <w:rPr>
                <w:rFonts w:hint="default" w:eastAsia="宋体" w:cs="宋体"/>
                <w:snapToGrid w:val="0"/>
                <w:color w:val="auto"/>
                <w:kern w:val="0"/>
                <w:szCs w:val="21"/>
                <w:lang w:val="en-US" w:eastAsia="zh-CN"/>
              </w:rPr>
            </w:pPr>
            <w:r>
              <w:rPr>
                <w:rFonts w:hint="eastAsia" w:cs="宋体"/>
                <w:snapToGrid w:val="0"/>
                <w:color w:val="auto"/>
                <w:kern w:val="0"/>
                <w:szCs w:val="21"/>
                <w:lang w:val="en-US" w:eastAsia="zh-CN"/>
              </w:rPr>
              <w:t>0.18</w:t>
            </w:r>
          </w:p>
        </w:tc>
      </w:tr>
      <w:tr w14:paraId="3E108D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8"/>
            <w:vAlign w:val="center"/>
          </w:tcPr>
          <w:p w14:paraId="161A8A10">
            <w:pPr>
              <w:adjustRightInd w:val="0"/>
              <w:snapToGrid w:val="0"/>
              <w:jc w:val="center"/>
              <w:rPr>
                <w:rFonts w:cs="宋体"/>
                <w:snapToGrid w:val="0"/>
                <w:color w:val="auto"/>
                <w:kern w:val="0"/>
                <w:szCs w:val="21"/>
                <w:highlight w:val="none"/>
              </w:rPr>
            </w:pPr>
            <w:r>
              <w:rPr>
                <w:rFonts w:hint="eastAsia" w:cs="宋体"/>
                <w:snapToGrid w:val="0"/>
                <w:color w:val="auto"/>
                <w:kern w:val="0"/>
                <w:szCs w:val="21"/>
                <w:highlight w:val="none"/>
              </w:rPr>
              <w:t>无组织排放总计</w:t>
            </w:r>
          </w:p>
        </w:tc>
      </w:tr>
      <w:tr w14:paraId="4A8103A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80" w:type="pct"/>
            <w:gridSpan w:val="3"/>
            <w:vMerge w:val="restart"/>
            <w:vAlign w:val="center"/>
          </w:tcPr>
          <w:p w14:paraId="3609A288">
            <w:pPr>
              <w:adjustRightInd w:val="0"/>
              <w:snapToGrid w:val="0"/>
              <w:jc w:val="center"/>
              <w:rPr>
                <w:rFonts w:cs="宋体"/>
                <w:snapToGrid w:val="0"/>
                <w:color w:val="auto"/>
                <w:kern w:val="0"/>
                <w:szCs w:val="21"/>
                <w:highlight w:val="none"/>
              </w:rPr>
            </w:pPr>
            <w:r>
              <w:rPr>
                <w:rFonts w:hint="eastAsia" w:cs="宋体"/>
                <w:snapToGrid w:val="0"/>
                <w:color w:val="auto"/>
                <w:kern w:val="0"/>
                <w:szCs w:val="21"/>
                <w:highlight w:val="none"/>
              </w:rPr>
              <w:t>无组织排放总计</w:t>
            </w:r>
          </w:p>
        </w:tc>
        <w:tc>
          <w:tcPr>
            <w:tcW w:w="3075" w:type="pct"/>
            <w:gridSpan w:val="4"/>
            <w:vAlign w:val="center"/>
          </w:tcPr>
          <w:p w14:paraId="44D1D9F4">
            <w:pPr>
              <w:adjustRightInd w:val="0"/>
              <w:snapToGrid w:val="0"/>
              <w:jc w:val="center"/>
              <w:rPr>
                <w:rFonts w:cs="宋体"/>
                <w:snapToGrid w:val="0"/>
                <w:color w:val="auto"/>
                <w:kern w:val="0"/>
                <w:szCs w:val="21"/>
                <w:highlight w:val="none"/>
              </w:rPr>
            </w:pPr>
            <w:r>
              <w:rPr>
                <w:rFonts w:hint="eastAsia" w:cs="宋体"/>
                <w:snapToGrid w:val="0"/>
                <w:color w:val="auto"/>
                <w:kern w:val="0"/>
                <w:szCs w:val="21"/>
                <w:highlight w:val="none"/>
                <w:lang w:val="zh-CN"/>
              </w:rPr>
              <w:t>CO</w:t>
            </w:r>
          </w:p>
        </w:tc>
        <w:tc>
          <w:tcPr>
            <w:tcW w:w="644" w:type="pct"/>
            <w:vAlign w:val="center"/>
          </w:tcPr>
          <w:p w14:paraId="0EF6AAC8">
            <w:pPr>
              <w:adjustRightInd w:val="0"/>
              <w:snapToGrid w:val="0"/>
              <w:jc w:val="center"/>
              <w:rPr>
                <w:rFonts w:hint="eastAsia" w:eastAsia="宋体" w:cs="宋体"/>
                <w:snapToGrid w:val="0"/>
                <w:color w:val="auto"/>
                <w:kern w:val="0"/>
                <w:szCs w:val="21"/>
                <w:highlight w:val="none"/>
                <w:lang w:val="zh-CN" w:eastAsia="zh-CN"/>
              </w:rPr>
            </w:pPr>
            <w:r>
              <w:rPr>
                <w:snapToGrid w:val="0"/>
                <w:color w:val="auto"/>
                <w:szCs w:val="22"/>
                <w:highlight w:val="none"/>
                <w:lang w:val="zh-CN"/>
              </w:rPr>
              <w:t>0.000</w:t>
            </w:r>
            <w:r>
              <w:rPr>
                <w:rFonts w:hint="eastAsia"/>
                <w:snapToGrid w:val="0"/>
                <w:color w:val="auto"/>
                <w:szCs w:val="22"/>
                <w:highlight w:val="none"/>
                <w:lang w:val="en-US" w:eastAsia="zh-CN"/>
              </w:rPr>
              <w:t>7</w:t>
            </w:r>
          </w:p>
        </w:tc>
      </w:tr>
      <w:tr w14:paraId="7573C92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80" w:type="pct"/>
            <w:gridSpan w:val="3"/>
            <w:vMerge w:val="continue"/>
            <w:vAlign w:val="center"/>
          </w:tcPr>
          <w:p w14:paraId="03283B4C">
            <w:pPr>
              <w:adjustRightInd w:val="0"/>
              <w:snapToGrid w:val="0"/>
              <w:jc w:val="center"/>
              <w:rPr>
                <w:rFonts w:cs="宋体"/>
                <w:snapToGrid w:val="0"/>
                <w:color w:val="auto"/>
                <w:kern w:val="0"/>
                <w:szCs w:val="21"/>
                <w:highlight w:val="none"/>
              </w:rPr>
            </w:pPr>
          </w:p>
        </w:tc>
        <w:tc>
          <w:tcPr>
            <w:tcW w:w="3075" w:type="pct"/>
            <w:gridSpan w:val="4"/>
            <w:vAlign w:val="center"/>
          </w:tcPr>
          <w:p w14:paraId="1D7E8818">
            <w:pPr>
              <w:adjustRightInd w:val="0"/>
              <w:snapToGrid w:val="0"/>
              <w:jc w:val="center"/>
              <w:rPr>
                <w:rFonts w:cs="宋体"/>
                <w:snapToGrid w:val="0"/>
                <w:color w:val="auto"/>
                <w:kern w:val="0"/>
                <w:szCs w:val="21"/>
                <w:highlight w:val="none"/>
              </w:rPr>
            </w:pPr>
            <w:r>
              <w:rPr>
                <w:rFonts w:cs="宋体"/>
                <w:snapToGrid w:val="0"/>
                <w:color w:val="auto"/>
                <w:kern w:val="0"/>
                <w:szCs w:val="21"/>
                <w:highlight w:val="none"/>
              </w:rPr>
              <w:t>NO</w:t>
            </w:r>
            <w:r>
              <w:rPr>
                <w:rFonts w:cs="宋体"/>
                <w:snapToGrid w:val="0"/>
                <w:color w:val="auto"/>
                <w:kern w:val="0"/>
                <w:szCs w:val="21"/>
                <w:highlight w:val="none"/>
                <w:vertAlign w:val="subscript"/>
              </w:rPr>
              <w:t>x</w:t>
            </w:r>
          </w:p>
        </w:tc>
        <w:tc>
          <w:tcPr>
            <w:tcW w:w="644" w:type="pct"/>
            <w:vAlign w:val="center"/>
          </w:tcPr>
          <w:p w14:paraId="3AE8FD20">
            <w:pPr>
              <w:adjustRightInd w:val="0"/>
              <w:snapToGrid w:val="0"/>
              <w:jc w:val="center"/>
              <w:rPr>
                <w:rFonts w:hint="eastAsia" w:eastAsia="宋体" w:cs="宋体"/>
                <w:snapToGrid w:val="0"/>
                <w:color w:val="auto"/>
                <w:kern w:val="0"/>
                <w:szCs w:val="21"/>
                <w:highlight w:val="none"/>
                <w:lang w:val="zh-CN" w:eastAsia="zh-CN"/>
              </w:rPr>
            </w:pPr>
            <w:r>
              <w:rPr>
                <w:snapToGrid w:val="0"/>
                <w:color w:val="auto"/>
                <w:szCs w:val="22"/>
                <w:highlight w:val="none"/>
                <w:lang w:val="zh-CN"/>
              </w:rPr>
              <w:t>0.00</w:t>
            </w:r>
            <w:r>
              <w:rPr>
                <w:rFonts w:hint="eastAsia"/>
                <w:snapToGrid w:val="0"/>
                <w:color w:val="auto"/>
                <w:szCs w:val="22"/>
                <w:highlight w:val="none"/>
                <w:lang w:val="en-US" w:eastAsia="zh-CN"/>
              </w:rPr>
              <w:t>1</w:t>
            </w:r>
          </w:p>
        </w:tc>
      </w:tr>
      <w:tr w14:paraId="616128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280" w:type="pct"/>
            <w:gridSpan w:val="3"/>
            <w:vMerge w:val="continue"/>
            <w:vAlign w:val="center"/>
          </w:tcPr>
          <w:p w14:paraId="29D51DED">
            <w:pPr>
              <w:adjustRightInd w:val="0"/>
              <w:snapToGrid w:val="0"/>
              <w:jc w:val="center"/>
              <w:rPr>
                <w:rFonts w:cs="宋体"/>
                <w:snapToGrid w:val="0"/>
                <w:color w:val="auto"/>
                <w:kern w:val="0"/>
                <w:szCs w:val="21"/>
                <w:highlight w:val="none"/>
              </w:rPr>
            </w:pPr>
          </w:p>
        </w:tc>
        <w:tc>
          <w:tcPr>
            <w:tcW w:w="3075" w:type="pct"/>
            <w:gridSpan w:val="4"/>
            <w:vAlign w:val="center"/>
          </w:tcPr>
          <w:p w14:paraId="402211B3">
            <w:pPr>
              <w:adjustRightInd w:val="0"/>
              <w:snapToGrid w:val="0"/>
              <w:jc w:val="center"/>
              <w:rPr>
                <w:rFonts w:cs="宋体"/>
                <w:snapToGrid w:val="0"/>
                <w:color w:val="auto"/>
                <w:kern w:val="0"/>
                <w:szCs w:val="21"/>
                <w:highlight w:val="none"/>
              </w:rPr>
            </w:pPr>
            <w:r>
              <w:rPr>
                <w:rFonts w:cs="宋体"/>
                <w:snapToGrid w:val="0"/>
                <w:color w:val="auto"/>
                <w:kern w:val="0"/>
                <w:szCs w:val="21"/>
                <w:highlight w:val="none"/>
                <w:lang w:val="zh-CN"/>
              </w:rPr>
              <w:t>HC</w:t>
            </w:r>
          </w:p>
        </w:tc>
        <w:tc>
          <w:tcPr>
            <w:tcW w:w="644" w:type="pct"/>
            <w:vAlign w:val="center"/>
          </w:tcPr>
          <w:p w14:paraId="4718A856">
            <w:pPr>
              <w:adjustRightInd w:val="0"/>
              <w:snapToGrid w:val="0"/>
              <w:jc w:val="center"/>
              <w:rPr>
                <w:rFonts w:hint="default" w:eastAsia="宋体"/>
                <w:snapToGrid w:val="0"/>
                <w:color w:val="auto"/>
                <w:szCs w:val="22"/>
                <w:highlight w:val="none"/>
                <w:lang w:val="en-US" w:eastAsia="zh-CN"/>
              </w:rPr>
            </w:pPr>
            <w:r>
              <w:rPr>
                <w:rFonts w:hint="eastAsia"/>
                <w:snapToGrid w:val="0"/>
                <w:color w:val="auto"/>
                <w:szCs w:val="22"/>
                <w:highlight w:val="none"/>
                <w:lang w:val="en-US" w:eastAsia="zh-CN"/>
              </w:rPr>
              <w:t>0.00023</w:t>
            </w:r>
          </w:p>
        </w:tc>
      </w:tr>
      <w:tr w14:paraId="05D699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1280" w:type="pct"/>
            <w:gridSpan w:val="3"/>
            <w:vMerge w:val="continue"/>
            <w:vAlign w:val="center"/>
          </w:tcPr>
          <w:p w14:paraId="17BA1C45">
            <w:pPr>
              <w:adjustRightInd w:val="0"/>
              <w:snapToGrid w:val="0"/>
              <w:jc w:val="center"/>
              <w:rPr>
                <w:rFonts w:cs="宋体"/>
                <w:snapToGrid w:val="0"/>
                <w:color w:val="auto"/>
                <w:kern w:val="0"/>
                <w:szCs w:val="21"/>
                <w:highlight w:val="none"/>
              </w:rPr>
            </w:pPr>
          </w:p>
        </w:tc>
        <w:tc>
          <w:tcPr>
            <w:tcW w:w="3075" w:type="pct"/>
            <w:gridSpan w:val="4"/>
            <w:vAlign w:val="center"/>
          </w:tcPr>
          <w:p w14:paraId="7343AA26">
            <w:pPr>
              <w:adjustRightInd w:val="0"/>
              <w:snapToGrid w:val="0"/>
              <w:jc w:val="center"/>
              <w:rPr>
                <w:rFonts w:cs="宋体"/>
                <w:snapToGrid w:val="0"/>
                <w:color w:val="auto"/>
                <w:kern w:val="0"/>
                <w:szCs w:val="21"/>
                <w:highlight w:val="none"/>
              </w:rPr>
            </w:pPr>
            <w:r>
              <w:rPr>
                <w:rFonts w:cs="宋体"/>
                <w:snapToGrid w:val="0"/>
                <w:color w:val="auto"/>
                <w:kern w:val="0"/>
                <w:szCs w:val="21"/>
                <w:highlight w:val="none"/>
              </w:rPr>
              <w:t>TSP</w:t>
            </w:r>
          </w:p>
        </w:tc>
        <w:tc>
          <w:tcPr>
            <w:tcW w:w="644" w:type="pct"/>
            <w:vAlign w:val="center"/>
          </w:tcPr>
          <w:p w14:paraId="5B80CBA1">
            <w:pPr>
              <w:adjustRightInd w:val="0"/>
              <w:snapToGrid w:val="0"/>
              <w:jc w:val="center"/>
              <w:rPr>
                <w:rFonts w:hint="default" w:eastAsia="宋体"/>
                <w:snapToGrid w:val="0"/>
                <w:color w:val="auto"/>
                <w:szCs w:val="22"/>
                <w:highlight w:val="none"/>
                <w:lang w:val="en-US" w:eastAsia="zh-CN"/>
              </w:rPr>
            </w:pPr>
            <w:r>
              <w:rPr>
                <w:rFonts w:hint="eastAsia" w:cs="宋体"/>
                <w:snapToGrid w:val="0"/>
                <w:color w:val="auto"/>
                <w:kern w:val="0"/>
                <w:szCs w:val="21"/>
                <w:highlight w:val="none"/>
                <w:lang w:val="en-US" w:eastAsia="zh-CN"/>
              </w:rPr>
              <w:t>0.184</w:t>
            </w:r>
          </w:p>
        </w:tc>
      </w:tr>
    </w:tbl>
    <w:p w14:paraId="42A2C515">
      <w:pPr>
        <w:pStyle w:val="76"/>
        <w:rPr>
          <w:color w:val="auto"/>
        </w:rPr>
      </w:pPr>
      <w:r>
        <w:rPr>
          <w:color w:val="auto"/>
        </w:rPr>
        <w:t>表5-2-2大气污染物年排放量核算表</w:t>
      </w:r>
    </w:p>
    <w:tbl>
      <w:tblPr>
        <w:tblStyle w:val="46"/>
        <w:tblW w:w="0" w:type="auto"/>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850"/>
        <w:gridCol w:w="2959"/>
        <w:gridCol w:w="3275"/>
      </w:tblGrid>
      <w:tr w14:paraId="7274568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PrEx>
        <w:trPr>
          <w:jc w:val="center"/>
        </w:trPr>
        <w:tc>
          <w:tcPr>
            <w:tcW w:w="1850" w:type="dxa"/>
            <w:vAlign w:val="center"/>
          </w:tcPr>
          <w:p w14:paraId="5BE104F3">
            <w:pPr>
              <w:jc w:val="center"/>
              <w:rPr>
                <w:color w:val="auto"/>
                <w:kern w:val="0"/>
                <w:szCs w:val="21"/>
              </w:rPr>
            </w:pPr>
            <w:r>
              <w:rPr>
                <w:color w:val="auto"/>
                <w:kern w:val="0"/>
                <w:szCs w:val="21"/>
              </w:rPr>
              <w:t>序号</w:t>
            </w:r>
          </w:p>
        </w:tc>
        <w:tc>
          <w:tcPr>
            <w:tcW w:w="2959" w:type="dxa"/>
            <w:vAlign w:val="center"/>
          </w:tcPr>
          <w:p w14:paraId="57448359">
            <w:pPr>
              <w:jc w:val="center"/>
              <w:rPr>
                <w:color w:val="auto"/>
                <w:kern w:val="0"/>
                <w:szCs w:val="21"/>
              </w:rPr>
            </w:pPr>
            <w:r>
              <w:rPr>
                <w:color w:val="auto"/>
                <w:kern w:val="0"/>
                <w:szCs w:val="21"/>
              </w:rPr>
              <w:t>污染物</w:t>
            </w:r>
          </w:p>
        </w:tc>
        <w:tc>
          <w:tcPr>
            <w:tcW w:w="3275" w:type="dxa"/>
            <w:vAlign w:val="center"/>
          </w:tcPr>
          <w:p w14:paraId="22FA89E3">
            <w:pPr>
              <w:jc w:val="center"/>
              <w:rPr>
                <w:color w:val="auto"/>
                <w:kern w:val="0"/>
                <w:szCs w:val="21"/>
              </w:rPr>
            </w:pPr>
            <w:r>
              <w:rPr>
                <w:color w:val="auto"/>
                <w:kern w:val="0"/>
                <w:szCs w:val="21"/>
              </w:rPr>
              <w:t>年排放量</w:t>
            </w:r>
            <w:r>
              <w:rPr>
                <w:rFonts w:hint="eastAsia"/>
                <w:color w:val="auto"/>
                <w:kern w:val="0"/>
                <w:szCs w:val="21"/>
              </w:rPr>
              <w:t>（t/a）</w:t>
            </w:r>
          </w:p>
        </w:tc>
      </w:tr>
      <w:tr w14:paraId="5B21F52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1850" w:type="dxa"/>
            <w:vAlign w:val="center"/>
          </w:tcPr>
          <w:p w14:paraId="7859CAB9">
            <w:pPr>
              <w:jc w:val="center"/>
              <w:rPr>
                <w:color w:val="auto"/>
                <w:kern w:val="0"/>
                <w:szCs w:val="21"/>
                <w:highlight w:val="none"/>
              </w:rPr>
            </w:pPr>
            <w:r>
              <w:rPr>
                <w:color w:val="auto"/>
                <w:kern w:val="0"/>
                <w:szCs w:val="21"/>
                <w:highlight w:val="none"/>
              </w:rPr>
              <w:t>1</w:t>
            </w:r>
          </w:p>
        </w:tc>
        <w:tc>
          <w:tcPr>
            <w:tcW w:w="2959" w:type="dxa"/>
            <w:vAlign w:val="center"/>
          </w:tcPr>
          <w:p w14:paraId="063CCB58">
            <w:pPr>
              <w:jc w:val="center"/>
              <w:rPr>
                <w:color w:val="auto"/>
                <w:kern w:val="0"/>
                <w:szCs w:val="21"/>
                <w:highlight w:val="none"/>
              </w:rPr>
            </w:pPr>
            <w:r>
              <w:rPr>
                <w:rFonts w:hint="eastAsia" w:cs="宋体"/>
                <w:snapToGrid w:val="0"/>
                <w:color w:val="auto"/>
                <w:kern w:val="0"/>
                <w:szCs w:val="21"/>
                <w:highlight w:val="none"/>
                <w:lang w:val="zh-CN"/>
              </w:rPr>
              <w:t>CO</w:t>
            </w:r>
          </w:p>
        </w:tc>
        <w:tc>
          <w:tcPr>
            <w:tcW w:w="3275" w:type="dxa"/>
            <w:vAlign w:val="center"/>
          </w:tcPr>
          <w:p w14:paraId="3DEC4928">
            <w:pPr>
              <w:adjustRightInd w:val="0"/>
              <w:snapToGrid w:val="0"/>
              <w:jc w:val="center"/>
              <w:rPr>
                <w:color w:val="auto"/>
                <w:kern w:val="0"/>
                <w:szCs w:val="21"/>
                <w:highlight w:val="none"/>
              </w:rPr>
            </w:pPr>
            <w:r>
              <w:rPr>
                <w:snapToGrid w:val="0"/>
                <w:color w:val="auto"/>
                <w:szCs w:val="22"/>
                <w:highlight w:val="none"/>
                <w:lang w:val="zh-CN"/>
              </w:rPr>
              <w:t>0.000</w:t>
            </w:r>
            <w:r>
              <w:rPr>
                <w:rFonts w:hint="eastAsia"/>
                <w:snapToGrid w:val="0"/>
                <w:color w:val="auto"/>
                <w:szCs w:val="22"/>
                <w:highlight w:val="none"/>
                <w:lang w:val="en-US" w:eastAsia="zh-CN"/>
              </w:rPr>
              <w:t>7</w:t>
            </w:r>
          </w:p>
        </w:tc>
      </w:tr>
      <w:tr w14:paraId="650CD72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1850" w:type="dxa"/>
            <w:vAlign w:val="center"/>
          </w:tcPr>
          <w:p w14:paraId="56118AFF">
            <w:pPr>
              <w:jc w:val="center"/>
              <w:rPr>
                <w:color w:val="auto"/>
                <w:kern w:val="0"/>
                <w:szCs w:val="21"/>
                <w:highlight w:val="none"/>
              </w:rPr>
            </w:pPr>
            <w:r>
              <w:rPr>
                <w:rFonts w:hint="eastAsia"/>
                <w:color w:val="auto"/>
                <w:kern w:val="0"/>
                <w:szCs w:val="21"/>
                <w:highlight w:val="none"/>
              </w:rPr>
              <w:t>2</w:t>
            </w:r>
          </w:p>
        </w:tc>
        <w:tc>
          <w:tcPr>
            <w:tcW w:w="2959" w:type="dxa"/>
            <w:vAlign w:val="center"/>
          </w:tcPr>
          <w:p w14:paraId="75A263EE">
            <w:pPr>
              <w:jc w:val="center"/>
              <w:rPr>
                <w:color w:val="auto"/>
                <w:kern w:val="0"/>
                <w:szCs w:val="21"/>
                <w:highlight w:val="none"/>
              </w:rPr>
            </w:pPr>
            <w:r>
              <w:rPr>
                <w:rFonts w:cs="宋体"/>
                <w:snapToGrid w:val="0"/>
                <w:color w:val="auto"/>
                <w:kern w:val="0"/>
                <w:szCs w:val="21"/>
                <w:highlight w:val="none"/>
              </w:rPr>
              <w:t>NO</w:t>
            </w:r>
            <w:r>
              <w:rPr>
                <w:rFonts w:cs="宋体"/>
                <w:snapToGrid w:val="0"/>
                <w:color w:val="auto"/>
                <w:kern w:val="0"/>
                <w:szCs w:val="21"/>
                <w:highlight w:val="none"/>
                <w:vertAlign w:val="subscript"/>
              </w:rPr>
              <w:t>x</w:t>
            </w:r>
          </w:p>
        </w:tc>
        <w:tc>
          <w:tcPr>
            <w:tcW w:w="3275" w:type="dxa"/>
            <w:vAlign w:val="center"/>
          </w:tcPr>
          <w:p w14:paraId="478AAD3E">
            <w:pPr>
              <w:adjustRightInd w:val="0"/>
              <w:snapToGrid w:val="0"/>
              <w:jc w:val="center"/>
              <w:rPr>
                <w:color w:val="auto"/>
                <w:kern w:val="0"/>
                <w:szCs w:val="21"/>
                <w:highlight w:val="none"/>
              </w:rPr>
            </w:pPr>
            <w:r>
              <w:rPr>
                <w:snapToGrid w:val="0"/>
                <w:color w:val="auto"/>
                <w:szCs w:val="22"/>
                <w:highlight w:val="none"/>
                <w:lang w:val="zh-CN"/>
              </w:rPr>
              <w:t>0.00</w:t>
            </w:r>
            <w:r>
              <w:rPr>
                <w:rFonts w:hint="eastAsia"/>
                <w:snapToGrid w:val="0"/>
                <w:color w:val="auto"/>
                <w:szCs w:val="22"/>
                <w:highlight w:val="none"/>
                <w:lang w:val="en-US" w:eastAsia="zh-CN"/>
              </w:rPr>
              <w:t>1</w:t>
            </w:r>
          </w:p>
        </w:tc>
      </w:tr>
      <w:tr w14:paraId="483244C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1850" w:type="dxa"/>
            <w:vAlign w:val="center"/>
          </w:tcPr>
          <w:p w14:paraId="749250A9">
            <w:pPr>
              <w:jc w:val="center"/>
              <w:rPr>
                <w:color w:val="auto"/>
                <w:kern w:val="0"/>
                <w:szCs w:val="21"/>
                <w:highlight w:val="none"/>
              </w:rPr>
            </w:pPr>
            <w:r>
              <w:rPr>
                <w:rFonts w:hint="eastAsia"/>
                <w:color w:val="auto"/>
                <w:kern w:val="0"/>
                <w:szCs w:val="21"/>
                <w:highlight w:val="none"/>
              </w:rPr>
              <w:t>3</w:t>
            </w:r>
          </w:p>
        </w:tc>
        <w:tc>
          <w:tcPr>
            <w:tcW w:w="2959" w:type="dxa"/>
            <w:vAlign w:val="center"/>
          </w:tcPr>
          <w:p w14:paraId="274DF61E">
            <w:pPr>
              <w:jc w:val="center"/>
              <w:rPr>
                <w:color w:val="auto"/>
                <w:kern w:val="0"/>
                <w:szCs w:val="21"/>
                <w:highlight w:val="none"/>
              </w:rPr>
            </w:pPr>
            <w:r>
              <w:rPr>
                <w:rFonts w:cs="宋体"/>
                <w:snapToGrid w:val="0"/>
                <w:color w:val="auto"/>
                <w:kern w:val="0"/>
                <w:szCs w:val="21"/>
                <w:highlight w:val="none"/>
                <w:lang w:val="zh-CN"/>
              </w:rPr>
              <w:t>HC</w:t>
            </w:r>
          </w:p>
        </w:tc>
        <w:tc>
          <w:tcPr>
            <w:tcW w:w="3275" w:type="dxa"/>
            <w:vAlign w:val="center"/>
          </w:tcPr>
          <w:p w14:paraId="67B429A9">
            <w:pPr>
              <w:adjustRightInd w:val="0"/>
              <w:snapToGrid w:val="0"/>
              <w:jc w:val="center"/>
              <w:rPr>
                <w:color w:val="auto"/>
                <w:kern w:val="0"/>
                <w:szCs w:val="21"/>
                <w:highlight w:val="none"/>
              </w:rPr>
            </w:pPr>
            <w:r>
              <w:rPr>
                <w:rFonts w:hint="eastAsia"/>
                <w:snapToGrid w:val="0"/>
                <w:color w:val="auto"/>
                <w:szCs w:val="22"/>
                <w:highlight w:val="none"/>
                <w:lang w:val="en-US" w:eastAsia="zh-CN"/>
              </w:rPr>
              <w:t>0.00023</w:t>
            </w:r>
          </w:p>
        </w:tc>
      </w:tr>
      <w:tr w14:paraId="5B50FEA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jc w:val="center"/>
        </w:trPr>
        <w:tc>
          <w:tcPr>
            <w:tcW w:w="1850" w:type="dxa"/>
            <w:vAlign w:val="center"/>
          </w:tcPr>
          <w:p w14:paraId="70774A2D">
            <w:pPr>
              <w:jc w:val="center"/>
              <w:rPr>
                <w:color w:val="auto"/>
                <w:kern w:val="0"/>
                <w:szCs w:val="21"/>
                <w:highlight w:val="none"/>
              </w:rPr>
            </w:pPr>
            <w:r>
              <w:rPr>
                <w:rFonts w:hint="eastAsia"/>
                <w:color w:val="auto"/>
                <w:kern w:val="0"/>
                <w:szCs w:val="21"/>
                <w:highlight w:val="none"/>
              </w:rPr>
              <w:t>4</w:t>
            </w:r>
          </w:p>
        </w:tc>
        <w:tc>
          <w:tcPr>
            <w:tcW w:w="2959" w:type="dxa"/>
            <w:vAlign w:val="center"/>
          </w:tcPr>
          <w:p w14:paraId="52CFE437">
            <w:pPr>
              <w:jc w:val="center"/>
              <w:rPr>
                <w:color w:val="auto"/>
                <w:kern w:val="0"/>
                <w:szCs w:val="21"/>
                <w:highlight w:val="none"/>
              </w:rPr>
            </w:pPr>
            <w:r>
              <w:rPr>
                <w:rFonts w:cs="宋体"/>
                <w:snapToGrid w:val="0"/>
                <w:color w:val="auto"/>
                <w:kern w:val="0"/>
                <w:szCs w:val="21"/>
                <w:highlight w:val="none"/>
              </w:rPr>
              <w:t>TSP</w:t>
            </w:r>
          </w:p>
        </w:tc>
        <w:tc>
          <w:tcPr>
            <w:tcW w:w="3275" w:type="dxa"/>
            <w:vAlign w:val="center"/>
          </w:tcPr>
          <w:p w14:paraId="3121E5CA">
            <w:pPr>
              <w:adjustRightInd w:val="0"/>
              <w:snapToGrid w:val="0"/>
              <w:jc w:val="center"/>
              <w:rPr>
                <w:color w:val="auto"/>
                <w:kern w:val="0"/>
                <w:szCs w:val="21"/>
                <w:highlight w:val="none"/>
              </w:rPr>
            </w:pPr>
            <w:r>
              <w:rPr>
                <w:rFonts w:hint="eastAsia" w:cs="宋体"/>
                <w:snapToGrid w:val="0"/>
                <w:color w:val="auto"/>
                <w:kern w:val="0"/>
                <w:szCs w:val="21"/>
                <w:highlight w:val="none"/>
                <w:lang w:val="en-US" w:eastAsia="zh-CN"/>
              </w:rPr>
              <w:t>0.184</w:t>
            </w:r>
          </w:p>
        </w:tc>
      </w:tr>
    </w:tbl>
    <w:p w14:paraId="375D21FC">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5</w:t>
      </w:r>
      <w:r>
        <w:rPr>
          <w:color w:val="auto"/>
          <w:sz w:val="24"/>
          <w:szCs w:val="20"/>
          <w:lang w:val="zh-CN"/>
        </w:rPr>
        <w:t>.2.1.2</w:t>
      </w:r>
      <w:r>
        <w:rPr>
          <w:rFonts w:hint="eastAsia"/>
          <w:color w:val="auto"/>
          <w:sz w:val="24"/>
          <w:szCs w:val="20"/>
          <w:lang w:val="zh-CN"/>
        </w:rPr>
        <w:t>大气防护距离</w:t>
      </w:r>
    </w:p>
    <w:p w14:paraId="58119D99">
      <w:pPr>
        <w:spacing w:line="500" w:lineRule="exact"/>
        <w:ind w:firstLine="480" w:firstLineChars="200"/>
        <w:rPr>
          <w:color w:val="auto"/>
          <w:sz w:val="24"/>
          <w:szCs w:val="22"/>
        </w:rPr>
      </w:pPr>
      <w:r>
        <w:rPr>
          <w:rFonts w:hint="eastAsia"/>
          <w:color w:val="auto"/>
          <w:sz w:val="24"/>
          <w:szCs w:val="22"/>
        </w:rPr>
        <w:t>根据《环境影响评价技术导则</w:t>
      </w:r>
      <w:r>
        <w:rPr>
          <w:color w:val="auto"/>
          <w:sz w:val="24"/>
          <w:szCs w:val="22"/>
        </w:rPr>
        <w:t xml:space="preserve"> </w:t>
      </w:r>
      <w:r>
        <w:rPr>
          <w:rFonts w:hint="eastAsia"/>
          <w:color w:val="auto"/>
          <w:sz w:val="24"/>
          <w:szCs w:val="22"/>
        </w:rPr>
        <w:t>大气环境》（</w:t>
      </w:r>
      <w:r>
        <w:rPr>
          <w:color w:val="auto"/>
          <w:sz w:val="24"/>
          <w:szCs w:val="22"/>
        </w:rPr>
        <w:t>HJ2.2-20</w:t>
      </w:r>
      <w:r>
        <w:rPr>
          <w:rFonts w:hint="eastAsia"/>
          <w:color w:val="auto"/>
          <w:sz w:val="24"/>
          <w:szCs w:val="22"/>
        </w:rPr>
        <w:t>1</w:t>
      </w:r>
      <w:r>
        <w:rPr>
          <w:color w:val="auto"/>
          <w:sz w:val="24"/>
          <w:szCs w:val="22"/>
        </w:rPr>
        <w:t>8</w:t>
      </w:r>
      <w:r>
        <w:rPr>
          <w:rFonts w:hint="eastAsia"/>
          <w:color w:val="auto"/>
          <w:sz w:val="24"/>
          <w:szCs w:val="22"/>
        </w:rPr>
        <w:t>）中8</w:t>
      </w:r>
      <w:r>
        <w:rPr>
          <w:color w:val="auto"/>
          <w:sz w:val="24"/>
          <w:szCs w:val="22"/>
        </w:rPr>
        <w:t>.7.5.1</w:t>
      </w:r>
      <w:r>
        <w:rPr>
          <w:rFonts w:hint="eastAsia"/>
          <w:color w:val="auto"/>
          <w:sz w:val="24"/>
          <w:szCs w:val="22"/>
        </w:rPr>
        <w:t>要求，对于项目厂界浓度满足大气污染物厂界浓度限值，但厂界外大气污染物短期贡献浓度超过环境质量浓度限值的，可以自厂界向外设置一定范围的大气环境防护区域，以确保大气环境防护区域外的污染物贡献浓度满足环境质量标准。</w:t>
      </w:r>
    </w:p>
    <w:p w14:paraId="5B20B807">
      <w:pPr>
        <w:spacing w:line="500" w:lineRule="exact"/>
        <w:ind w:firstLine="480" w:firstLineChars="200"/>
        <w:rPr>
          <w:color w:val="auto"/>
          <w:sz w:val="24"/>
          <w:szCs w:val="22"/>
        </w:rPr>
      </w:pPr>
      <w:r>
        <w:rPr>
          <w:rFonts w:hint="eastAsia"/>
          <w:color w:val="auto"/>
          <w:sz w:val="24"/>
          <w:szCs w:val="22"/>
        </w:rPr>
        <w:t>根据《环境影响评价技术导则</w:t>
      </w:r>
      <w:r>
        <w:rPr>
          <w:color w:val="auto"/>
          <w:sz w:val="24"/>
          <w:szCs w:val="22"/>
        </w:rPr>
        <w:t xml:space="preserve"> </w:t>
      </w:r>
      <w:r>
        <w:rPr>
          <w:rFonts w:hint="eastAsia"/>
          <w:color w:val="auto"/>
          <w:sz w:val="24"/>
          <w:szCs w:val="22"/>
        </w:rPr>
        <w:t>大气环境》（</w:t>
      </w:r>
      <w:r>
        <w:rPr>
          <w:color w:val="auto"/>
          <w:sz w:val="24"/>
          <w:szCs w:val="22"/>
        </w:rPr>
        <w:t>HJ2.2-20</w:t>
      </w:r>
      <w:r>
        <w:rPr>
          <w:rFonts w:hint="eastAsia"/>
          <w:color w:val="auto"/>
          <w:sz w:val="24"/>
          <w:szCs w:val="22"/>
        </w:rPr>
        <w:t>1</w:t>
      </w:r>
      <w:r>
        <w:rPr>
          <w:color w:val="auto"/>
          <w:sz w:val="24"/>
          <w:szCs w:val="22"/>
        </w:rPr>
        <w:t>8</w:t>
      </w:r>
      <w:r>
        <w:rPr>
          <w:rFonts w:hint="eastAsia"/>
          <w:color w:val="auto"/>
          <w:sz w:val="24"/>
          <w:szCs w:val="22"/>
        </w:rPr>
        <w:t>）中“评价等级判定及大气环境影响预测与评价”的要求，以项目排放的所有污染物经估算模型计算可知，本项目评价工作等级为二级，不进行进一步预测与评价，厂界外污染物T</w:t>
      </w:r>
      <w:r>
        <w:rPr>
          <w:color w:val="auto"/>
          <w:sz w:val="24"/>
          <w:szCs w:val="22"/>
        </w:rPr>
        <w:t>SP</w:t>
      </w:r>
      <w:r>
        <w:rPr>
          <w:rFonts w:hint="eastAsia"/>
          <w:color w:val="auto"/>
          <w:sz w:val="24"/>
          <w:szCs w:val="22"/>
        </w:rPr>
        <w:t>、</w:t>
      </w:r>
      <w:r>
        <w:rPr>
          <w:color w:val="auto"/>
          <w:sz w:val="24"/>
          <w:szCs w:val="21"/>
        </w:rPr>
        <w:t>PM</w:t>
      </w:r>
      <w:r>
        <w:rPr>
          <w:color w:val="auto"/>
          <w:sz w:val="24"/>
          <w:szCs w:val="21"/>
          <w:vertAlign w:val="subscript"/>
        </w:rPr>
        <w:t>10</w:t>
      </w:r>
      <w:r>
        <w:rPr>
          <w:rFonts w:hint="eastAsia"/>
          <w:color w:val="auto"/>
          <w:sz w:val="24"/>
          <w:szCs w:val="22"/>
        </w:rPr>
        <w:t>、</w:t>
      </w:r>
      <w:r>
        <w:rPr>
          <w:color w:val="auto"/>
          <w:sz w:val="24"/>
          <w:szCs w:val="21"/>
        </w:rPr>
        <w:t>PM</w:t>
      </w:r>
      <w:r>
        <w:rPr>
          <w:color w:val="auto"/>
          <w:sz w:val="24"/>
          <w:szCs w:val="21"/>
          <w:vertAlign w:val="subscript"/>
        </w:rPr>
        <w:t>2.5</w:t>
      </w:r>
      <w:r>
        <w:rPr>
          <w:rFonts w:hint="eastAsia"/>
          <w:color w:val="auto"/>
          <w:sz w:val="24"/>
          <w:szCs w:val="22"/>
        </w:rPr>
        <w:t>短期贡献浓度未超过《环境空气质量标准》（</w:t>
      </w:r>
      <w:r>
        <w:rPr>
          <w:color w:val="auto"/>
          <w:sz w:val="24"/>
          <w:szCs w:val="22"/>
        </w:rPr>
        <w:t>GB3095-2012）</w:t>
      </w:r>
      <w:r>
        <w:rPr>
          <w:rFonts w:hint="eastAsia"/>
          <w:color w:val="auto"/>
          <w:sz w:val="24"/>
          <w:szCs w:val="22"/>
        </w:rPr>
        <w:t>及修改单的标准值，项目不设置</w:t>
      </w:r>
      <w:r>
        <w:rPr>
          <w:color w:val="auto"/>
          <w:sz w:val="24"/>
          <w:szCs w:val="22"/>
        </w:rPr>
        <w:t>大气环境防护距离</w:t>
      </w:r>
      <w:r>
        <w:rPr>
          <w:rFonts w:hint="eastAsia"/>
          <w:color w:val="auto"/>
          <w:sz w:val="24"/>
          <w:szCs w:val="22"/>
        </w:rPr>
        <w:t>。</w:t>
      </w:r>
    </w:p>
    <w:p w14:paraId="4F57A883">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5</w:t>
      </w:r>
      <w:r>
        <w:rPr>
          <w:color w:val="auto"/>
          <w:sz w:val="24"/>
          <w:szCs w:val="20"/>
          <w:lang w:val="zh-CN"/>
        </w:rPr>
        <w:t>.2.1.3</w:t>
      </w:r>
      <w:r>
        <w:rPr>
          <w:rFonts w:hint="eastAsia"/>
          <w:color w:val="auto"/>
          <w:sz w:val="24"/>
          <w:szCs w:val="20"/>
          <w:lang w:val="zh-CN"/>
        </w:rPr>
        <w:t>大气环境影响分析</w:t>
      </w:r>
    </w:p>
    <w:p w14:paraId="59CD57EB">
      <w:pPr>
        <w:spacing w:line="500" w:lineRule="exact"/>
        <w:ind w:firstLine="480" w:firstLineChars="200"/>
        <w:rPr>
          <w:color w:val="auto"/>
          <w:sz w:val="24"/>
          <w:szCs w:val="22"/>
        </w:rPr>
      </w:pPr>
      <w:r>
        <w:rPr>
          <w:rFonts w:hint="eastAsia"/>
          <w:color w:val="auto"/>
          <w:sz w:val="24"/>
          <w:szCs w:val="22"/>
        </w:rPr>
        <w:t>道路运输过程中扬尘，采用专用密闭运</w:t>
      </w:r>
      <w:r>
        <w:rPr>
          <w:rFonts w:hint="eastAsia"/>
          <w:color w:val="auto"/>
          <w:sz w:val="24"/>
          <w:szCs w:val="22"/>
          <w:lang w:eastAsia="zh-CN"/>
        </w:rPr>
        <w:t>灰渣</w:t>
      </w:r>
      <w:r>
        <w:rPr>
          <w:rFonts w:hint="eastAsia"/>
          <w:color w:val="auto"/>
          <w:sz w:val="24"/>
          <w:szCs w:val="22"/>
        </w:rPr>
        <w:t>车辆，并在出厂前对干灰进行</w:t>
      </w:r>
      <w:r>
        <w:rPr>
          <w:color w:val="auto"/>
          <w:sz w:val="24"/>
          <w:szCs w:val="22"/>
        </w:rPr>
        <w:t>加湿搅拌，干灰含水率控制在20%左右，避免运输及卸渣时扬尘产生。运输及装卸过程</w:t>
      </w:r>
      <w:r>
        <w:rPr>
          <w:rFonts w:hint="eastAsia"/>
          <w:color w:val="auto"/>
          <w:sz w:val="24"/>
          <w:szCs w:val="22"/>
          <w:lang w:eastAsia="zh-CN"/>
        </w:rPr>
        <w:t>灰渣</w:t>
      </w:r>
      <w:r>
        <w:rPr>
          <w:color w:val="auto"/>
          <w:sz w:val="24"/>
          <w:szCs w:val="22"/>
        </w:rPr>
        <w:t>含水量大，</w:t>
      </w:r>
      <w:r>
        <w:rPr>
          <w:rFonts w:hint="eastAsia"/>
          <w:color w:val="auto"/>
          <w:sz w:val="24"/>
          <w:szCs w:val="22"/>
        </w:rPr>
        <w:t>场内装卸</w:t>
      </w:r>
      <w:r>
        <w:rPr>
          <w:color w:val="auto"/>
          <w:sz w:val="24"/>
          <w:szCs w:val="22"/>
        </w:rPr>
        <w:t>运输距离小于1km，运输道路位于</w:t>
      </w:r>
      <w:r>
        <w:rPr>
          <w:rFonts w:hint="eastAsia"/>
          <w:color w:val="auto"/>
          <w:sz w:val="24"/>
          <w:szCs w:val="22"/>
        </w:rPr>
        <w:t>作业区</w:t>
      </w:r>
      <w:r>
        <w:rPr>
          <w:color w:val="auto"/>
          <w:sz w:val="24"/>
          <w:szCs w:val="22"/>
        </w:rPr>
        <w:t>占地范围内，道路采取必要</w:t>
      </w:r>
      <w:r>
        <w:rPr>
          <w:rFonts w:hint="eastAsia"/>
          <w:color w:val="auto"/>
          <w:sz w:val="24"/>
          <w:szCs w:val="22"/>
        </w:rPr>
        <w:t>降尘</w:t>
      </w:r>
      <w:r>
        <w:rPr>
          <w:color w:val="auto"/>
          <w:sz w:val="24"/>
          <w:szCs w:val="22"/>
        </w:rPr>
        <w:t>措施，故扬尘产生量有限。</w:t>
      </w:r>
    </w:p>
    <w:p w14:paraId="261107D0">
      <w:pPr>
        <w:spacing w:line="500" w:lineRule="exact"/>
        <w:ind w:firstLine="480" w:firstLineChars="200"/>
        <w:rPr>
          <w:color w:val="auto"/>
          <w:sz w:val="24"/>
          <w:szCs w:val="22"/>
        </w:rPr>
      </w:pPr>
      <w:r>
        <w:rPr>
          <w:rFonts w:hint="eastAsia"/>
          <w:color w:val="auto"/>
          <w:sz w:val="24"/>
          <w:szCs w:val="22"/>
        </w:rPr>
        <w:t>回填区扬尘主要产生区域是堆灰作业面。本项目分区分块运行，减</w:t>
      </w:r>
      <w:r>
        <w:rPr>
          <w:color w:val="auto"/>
          <w:sz w:val="24"/>
          <w:szCs w:val="22"/>
        </w:rPr>
        <w:t>小堆灰过程的工作面。</w:t>
      </w:r>
      <w:r>
        <w:rPr>
          <w:rFonts w:hint="eastAsia"/>
          <w:color w:val="auto"/>
          <w:sz w:val="24"/>
          <w:szCs w:val="22"/>
          <w:lang w:eastAsia="zh-CN"/>
        </w:rPr>
        <w:t>灰渣</w:t>
      </w:r>
      <w:r>
        <w:rPr>
          <w:color w:val="auto"/>
          <w:sz w:val="24"/>
          <w:szCs w:val="22"/>
        </w:rPr>
        <w:t>运到</w:t>
      </w:r>
      <w:r>
        <w:rPr>
          <w:rFonts w:hint="eastAsia"/>
          <w:color w:val="auto"/>
          <w:sz w:val="24"/>
          <w:szCs w:val="22"/>
        </w:rPr>
        <w:t>回填区</w:t>
      </w:r>
      <w:r>
        <w:rPr>
          <w:color w:val="auto"/>
          <w:sz w:val="24"/>
          <w:szCs w:val="22"/>
        </w:rPr>
        <w:t>后，按照压实度要求及时分层碾压和洒水，使灰面形成具有一定厚度的硬壳层，从而有效的防止</w:t>
      </w:r>
      <w:r>
        <w:rPr>
          <w:rFonts w:hint="eastAsia"/>
          <w:color w:val="auto"/>
          <w:sz w:val="24"/>
          <w:szCs w:val="22"/>
        </w:rPr>
        <w:t>扬尘</w:t>
      </w:r>
      <w:r>
        <w:rPr>
          <w:color w:val="auto"/>
          <w:sz w:val="24"/>
          <w:szCs w:val="22"/>
        </w:rPr>
        <w:t>产生。</w:t>
      </w:r>
      <w:r>
        <w:rPr>
          <w:rFonts w:hint="eastAsia"/>
          <w:color w:val="auto"/>
          <w:sz w:val="24"/>
          <w:szCs w:val="22"/>
        </w:rPr>
        <w:t>回填区</w:t>
      </w:r>
      <w:r>
        <w:rPr>
          <w:color w:val="auto"/>
          <w:sz w:val="24"/>
          <w:szCs w:val="22"/>
        </w:rPr>
        <w:t>配置洒水车，定期喷洒灰面，使灰面保持一定水分，使降尘效率在60%以上，极大降低大风扬灰污染环境的程度。</w:t>
      </w:r>
    </w:p>
    <w:p w14:paraId="4BEC8D62">
      <w:pPr>
        <w:spacing w:line="500" w:lineRule="exact"/>
        <w:ind w:firstLine="480" w:firstLineChars="200"/>
        <w:rPr>
          <w:color w:val="auto"/>
          <w:sz w:val="24"/>
          <w:szCs w:val="22"/>
        </w:rPr>
      </w:pPr>
      <w:r>
        <w:rPr>
          <w:rFonts w:hint="eastAsia"/>
          <w:color w:val="auto"/>
          <w:sz w:val="24"/>
          <w:szCs w:val="22"/>
        </w:rPr>
        <w:t>根据估算模型预测计算结果可知，以回填区中部为中心源强排放点，项目扬</w:t>
      </w:r>
      <w:r>
        <w:rPr>
          <w:color w:val="auto"/>
          <w:sz w:val="24"/>
          <w:szCs w:val="22"/>
        </w:rPr>
        <w:t>尘排放带来的TSP最大落地浓度在</w:t>
      </w:r>
      <w:r>
        <w:rPr>
          <w:rFonts w:hint="eastAsia"/>
          <w:color w:val="auto"/>
          <w:sz w:val="24"/>
          <w:szCs w:val="22"/>
          <w:lang w:val="en-US" w:eastAsia="zh-CN"/>
        </w:rPr>
        <w:t>22</w:t>
      </w:r>
      <w:r>
        <w:rPr>
          <w:color w:val="auto"/>
          <w:sz w:val="24"/>
          <w:szCs w:val="22"/>
        </w:rPr>
        <w:t>m范围内；之后随距离扩散，浓度逐渐降低，其浓度值远低于大气环境质量二级标准要求；表明项目运营对场地周边大气环境影响较小。</w:t>
      </w:r>
      <w:r>
        <w:rPr>
          <w:rFonts w:hint="eastAsia"/>
          <w:color w:val="auto"/>
          <w:sz w:val="24"/>
          <w:szCs w:val="22"/>
        </w:rPr>
        <w:t>最近的保护目标位于厂界</w:t>
      </w:r>
      <w:r>
        <w:rPr>
          <w:rFonts w:hint="eastAsia"/>
          <w:color w:val="auto"/>
          <w:sz w:val="24"/>
          <w:szCs w:val="22"/>
          <w:lang w:eastAsia="zh-CN"/>
        </w:rPr>
        <w:t>东侧</w:t>
      </w:r>
      <w:r>
        <w:rPr>
          <w:rFonts w:hint="eastAsia"/>
          <w:color w:val="auto"/>
          <w:sz w:val="24"/>
          <w:szCs w:val="22"/>
          <w:lang w:val="en-US" w:eastAsia="zh-CN"/>
        </w:rPr>
        <w:t>53</w:t>
      </w:r>
      <w:r>
        <w:rPr>
          <w:color w:val="auto"/>
          <w:sz w:val="24"/>
          <w:szCs w:val="22"/>
        </w:rPr>
        <w:t>0</w:t>
      </w:r>
      <w:r>
        <w:rPr>
          <w:rFonts w:hint="eastAsia"/>
          <w:color w:val="auto"/>
          <w:sz w:val="24"/>
          <w:szCs w:val="22"/>
        </w:rPr>
        <w:t>m的</w:t>
      </w:r>
      <w:r>
        <w:rPr>
          <w:rFonts w:hint="eastAsia"/>
          <w:color w:val="auto"/>
          <w:sz w:val="24"/>
          <w:szCs w:val="22"/>
          <w:lang w:eastAsia="zh-CN"/>
        </w:rPr>
        <w:t>新泉村五队</w:t>
      </w:r>
      <w:r>
        <w:rPr>
          <w:rFonts w:hint="eastAsia"/>
          <w:color w:val="auto"/>
          <w:sz w:val="24"/>
          <w:szCs w:val="22"/>
        </w:rPr>
        <w:t>，距离较远，且项目区地势平坦，扩散条件较好，通过洒水降尘、及时苫盖、分区回填等措施，对大风等特殊气象条件，停止作业，并加大洒水强度，因此，不会对保护目标处的环境空气产生较大影响，对环境保护目标的影响可接受。</w:t>
      </w:r>
    </w:p>
    <w:p w14:paraId="40F6CC92">
      <w:pPr>
        <w:spacing w:line="500" w:lineRule="exact"/>
        <w:ind w:firstLine="480" w:firstLineChars="200"/>
        <w:rPr>
          <w:color w:val="auto"/>
          <w:sz w:val="24"/>
          <w:szCs w:val="22"/>
        </w:rPr>
      </w:pPr>
      <w:r>
        <w:rPr>
          <w:rFonts w:hint="eastAsia"/>
          <w:color w:val="auto"/>
          <w:sz w:val="24"/>
          <w:szCs w:val="22"/>
        </w:rPr>
        <w:t>本项目回填复垦期机械数量较少，且场地扩散面积较大，机械尾气经扩散后对场区周边环境影响较小。</w:t>
      </w:r>
    </w:p>
    <w:p w14:paraId="5EA4DAAC">
      <w:pPr>
        <w:keepNext/>
        <w:keepLines/>
        <w:adjustRightInd w:val="0"/>
        <w:snapToGrid w:val="0"/>
        <w:spacing w:line="500" w:lineRule="exact"/>
        <w:outlineLvl w:val="3"/>
        <w:rPr>
          <w:color w:val="auto"/>
          <w:sz w:val="24"/>
          <w:szCs w:val="20"/>
          <w:lang w:val="zh-CN"/>
        </w:rPr>
      </w:pPr>
      <w:r>
        <w:rPr>
          <w:rFonts w:hint="eastAsia"/>
          <w:color w:val="auto"/>
          <w:sz w:val="24"/>
          <w:szCs w:val="20"/>
          <w:lang w:val="zh-CN"/>
        </w:rPr>
        <w:t>5</w:t>
      </w:r>
      <w:r>
        <w:rPr>
          <w:color w:val="auto"/>
          <w:sz w:val="24"/>
          <w:szCs w:val="20"/>
          <w:lang w:val="zh-CN"/>
        </w:rPr>
        <w:t>.2.1.4</w:t>
      </w:r>
      <w:r>
        <w:rPr>
          <w:rFonts w:hint="eastAsia"/>
          <w:color w:val="auto"/>
          <w:sz w:val="24"/>
          <w:szCs w:val="20"/>
          <w:lang w:val="zh-CN"/>
        </w:rPr>
        <w:t>非正常工况</w:t>
      </w:r>
    </w:p>
    <w:p w14:paraId="017DA6CD">
      <w:pPr>
        <w:spacing w:line="500" w:lineRule="exact"/>
        <w:ind w:firstLine="480" w:firstLineChars="200"/>
        <w:rPr>
          <w:color w:val="auto"/>
          <w:sz w:val="24"/>
          <w:szCs w:val="22"/>
        </w:rPr>
      </w:pPr>
      <w:r>
        <w:rPr>
          <w:rFonts w:hint="eastAsia"/>
          <w:color w:val="auto"/>
          <w:sz w:val="24"/>
          <w:szCs w:val="22"/>
        </w:rPr>
        <w:t>本项目</w:t>
      </w:r>
      <w:r>
        <w:rPr>
          <w:color w:val="auto"/>
          <w:sz w:val="24"/>
          <w:szCs w:val="22"/>
        </w:rPr>
        <w:t>非正常工况主要为</w:t>
      </w:r>
      <w:r>
        <w:rPr>
          <w:rFonts w:hint="eastAsia"/>
          <w:color w:val="auto"/>
          <w:sz w:val="24"/>
          <w:szCs w:val="22"/>
        </w:rPr>
        <w:t>洒水车故障，导致抑尘效率</w:t>
      </w:r>
      <w:r>
        <w:rPr>
          <w:color w:val="auto"/>
          <w:sz w:val="24"/>
          <w:szCs w:val="22"/>
        </w:rPr>
        <w:t>为</w:t>
      </w:r>
      <w:r>
        <w:rPr>
          <w:rFonts w:hint="eastAsia"/>
          <w:color w:val="auto"/>
          <w:sz w:val="24"/>
          <w:szCs w:val="22"/>
        </w:rPr>
        <w:t>0</w:t>
      </w:r>
      <w:r>
        <w:rPr>
          <w:color w:val="auto"/>
          <w:sz w:val="24"/>
          <w:szCs w:val="22"/>
        </w:rPr>
        <w:t>%</w:t>
      </w:r>
      <w:r>
        <w:rPr>
          <w:rFonts w:hint="eastAsia"/>
          <w:color w:val="auto"/>
          <w:sz w:val="24"/>
          <w:szCs w:val="22"/>
        </w:rPr>
        <w:t>，则非正常工况下，废气源强见下表。</w:t>
      </w:r>
    </w:p>
    <w:p w14:paraId="472E8920">
      <w:pPr>
        <w:adjustRightInd w:val="0"/>
        <w:snapToGrid w:val="0"/>
        <w:spacing w:line="500" w:lineRule="exact"/>
        <w:jc w:val="center"/>
        <w:rPr>
          <w:rFonts w:eastAsia="黑体"/>
          <w:color w:val="auto"/>
          <w:sz w:val="24"/>
          <w:szCs w:val="22"/>
          <w:highlight w:val="none"/>
        </w:rPr>
      </w:pPr>
      <w:r>
        <w:rPr>
          <w:rFonts w:hint="eastAsia" w:eastAsia="黑体"/>
          <w:color w:val="auto"/>
          <w:sz w:val="24"/>
          <w:szCs w:val="22"/>
          <w:highlight w:val="none"/>
          <w:lang w:val="zh-CN"/>
        </w:rPr>
        <w:t>表</w:t>
      </w:r>
      <w:r>
        <w:rPr>
          <w:rFonts w:eastAsia="黑体"/>
          <w:color w:val="auto"/>
          <w:sz w:val="24"/>
          <w:szCs w:val="22"/>
          <w:highlight w:val="none"/>
        </w:rPr>
        <w:t>5-2-3</w:t>
      </w:r>
      <w:r>
        <w:rPr>
          <w:rFonts w:hint="eastAsia" w:eastAsia="黑体"/>
          <w:color w:val="auto"/>
          <w:sz w:val="24"/>
          <w:szCs w:val="22"/>
          <w:highlight w:val="none"/>
          <w:lang w:val="zh-CN"/>
        </w:rPr>
        <w:t>污染源非正常排放量核算表</w:t>
      </w:r>
    </w:p>
    <w:tbl>
      <w:tblPr>
        <w:tblStyle w:val="761"/>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700"/>
        <w:gridCol w:w="1271"/>
        <w:gridCol w:w="648"/>
        <w:gridCol w:w="1305"/>
        <w:gridCol w:w="1409"/>
        <w:gridCol w:w="743"/>
        <w:gridCol w:w="730"/>
        <w:gridCol w:w="1019"/>
      </w:tblGrid>
      <w:tr w14:paraId="461A45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04D704A">
            <w:pPr>
              <w:jc w:val="center"/>
              <w:rPr>
                <w:rFonts w:ascii="Times New Roman" w:hAnsi="Times New Roman"/>
                <w:color w:val="auto"/>
                <w:szCs w:val="22"/>
                <w:highlight w:val="none"/>
                <w:lang w:val="zh-CN"/>
              </w:rPr>
            </w:pPr>
            <w:r>
              <w:rPr>
                <w:rFonts w:hint="eastAsia" w:ascii="Times New Roman" w:hAnsi="Times New Roman"/>
                <w:color w:val="auto"/>
                <w:szCs w:val="22"/>
                <w:highlight w:val="none"/>
                <w:lang w:val="zh-CN"/>
              </w:rPr>
              <w:t>序号</w:t>
            </w:r>
          </w:p>
        </w:tc>
        <w:tc>
          <w:tcPr>
            <w:tcW w:w="0" w:type="auto"/>
            <w:vAlign w:val="center"/>
          </w:tcPr>
          <w:p w14:paraId="6034C96A">
            <w:pPr>
              <w:rPr>
                <w:rFonts w:ascii="Times New Roman" w:hAnsi="Times New Roman"/>
                <w:color w:val="auto"/>
                <w:szCs w:val="22"/>
                <w:highlight w:val="none"/>
                <w:lang w:val="zh-CN"/>
              </w:rPr>
            </w:pPr>
            <w:r>
              <w:rPr>
                <w:rFonts w:hint="eastAsia" w:ascii="Times New Roman" w:hAnsi="Times New Roman"/>
                <w:color w:val="auto"/>
                <w:szCs w:val="22"/>
                <w:highlight w:val="none"/>
              </w:rPr>
              <w:t>污染源</w:t>
            </w:r>
          </w:p>
        </w:tc>
        <w:tc>
          <w:tcPr>
            <w:tcW w:w="0" w:type="auto"/>
            <w:vAlign w:val="center"/>
          </w:tcPr>
          <w:p w14:paraId="60849C33">
            <w:pPr>
              <w:jc w:val="center"/>
              <w:rPr>
                <w:rFonts w:ascii="Times New Roman" w:hAnsi="Times New Roman"/>
                <w:color w:val="auto"/>
                <w:szCs w:val="22"/>
                <w:highlight w:val="none"/>
                <w:lang w:val="zh-CN"/>
              </w:rPr>
            </w:pPr>
            <w:r>
              <w:rPr>
                <w:rFonts w:hint="eastAsia" w:ascii="Times New Roman" w:hAnsi="Times New Roman"/>
                <w:color w:val="auto"/>
                <w:szCs w:val="22"/>
                <w:highlight w:val="none"/>
                <w:lang w:val="zh-CN"/>
              </w:rPr>
              <w:t>非正常排放原因</w:t>
            </w:r>
          </w:p>
        </w:tc>
        <w:tc>
          <w:tcPr>
            <w:tcW w:w="0" w:type="auto"/>
            <w:vAlign w:val="center"/>
          </w:tcPr>
          <w:p w14:paraId="6F8AB8DF">
            <w:pPr>
              <w:jc w:val="center"/>
              <w:rPr>
                <w:rFonts w:ascii="Times New Roman" w:hAnsi="Times New Roman"/>
                <w:color w:val="auto"/>
                <w:szCs w:val="22"/>
                <w:highlight w:val="none"/>
                <w:lang w:val="zh-CN"/>
              </w:rPr>
            </w:pPr>
            <w:r>
              <w:rPr>
                <w:rFonts w:ascii="Times New Roman" w:hAnsi="Times New Roman"/>
                <w:color w:val="auto"/>
                <w:szCs w:val="22"/>
                <w:highlight w:val="none"/>
                <w:lang w:val="zh-CN"/>
              </w:rPr>
              <w:t>污染物</w:t>
            </w:r>
          </w:p>
        </w:tc>
        <w:tc>
          <w:tcPr>
            <w:tcW w:w="0" w:type="auto"/>
            <w:vAlign w:val="center"/>
          </w:tcPr>
          <w:p w14:paraId="7F666233">
            <w:pPr>
              <w:jc w:val="center"/>
              <w:rPr>
                <w:rFonts w:ascii="Times New Roman" w:hAnsi="Times New Roman"/>
                <w:color w:val="auto"/>
                <w:szCs w:val="22"/>
                <w:highlight w:val="none"/>
              </w:rPr>
            </w:pPr>
            <w:r>
              <w:rPr>
                <w:rFonts w:ascii="Times New Roman" w:hAnsi="Times New Roman"/>
                <w:color w:val="auto"/>
                <w:szCs w:val="22"/>
                <w:highlight w:val="none"/>
              </w:rPr>
              <w:t>非正常排放浓度/(μg/m</w:t>
            </w:r>
            <w:r>
              <w:rPr>
                <w:rFonts w:ascii="Times New Roman" w:hAnsi="Times New Roman"/>
                <w:color w:val="auto"/>
                <w:szCs w:val="22"/>
                <w:highlight w:val="none"/>
                <w:vertAlign w:val="superscript"/>
              </w:rPr>
              <w:t>3</w:t>
            </w:r>
            <w:r>
              <w:rPr>
                <w:rFonts w:ascii="Times New Roman" w:hAnsi="Times New Roman"/>
                <w:color w:val="auto"/>
                <w:szCs w:val="22"/>
                <w:highlight w:val="none"/>
              </w:rPr>
              <w:t>)</w:t>
            </w:r>
          </w:p>
        </w:tc>
        <w:tc>
          <w:tcPr>
            <w:tcW w:w="0" w:type="auto"/>
            <w:vAlign w:val="center"/>
          </w:tcPr>
          <w:p w14:paraId="47E6C7E8">
            <w:pPr>
              <w:jc w:val="center"/>
              <w:rPr>
                <w:rFonts w:ascii="Times New Roman" w:hAnsi="Times New Roman"/>
                <w:color w:val="auto"/>
                <w:szCs w:val="22"/>
                <w:highlight w:val="none"/>
              </w:rPr>
            </w:pPr>
            <w:r>
              <w:rPr>
                <w:rFonts w:hint="eastAsia" w:ascii="Times New Roman" w:hAnsi="Times New Roman"/>
                <w:color w:val="auto"/>
                <w:szCs w:val="22"/>
                <w:highlight w:val="none"/>
              </w:rPr>
              <w:t>非正常排放速率/（kg/h）</w:t>
            </w:r>
          </w:p>
        </w:tc>
        <w:tc>
          <w:tcPr>
            <w:tcW w:w="0" w:type="auto"/>
            <w:vAlign w:val="center"/>
          </w:tcPr>
          <w:p w14:paraId="2C1B3291">
            <w:pPr>
              <w:jc w:val="center"/>
              <w:rPr>
                <w:rFonts w:ascii="Times New Roman" w:hAnsi="Times New Roman"/>
                <w:color w:val="auto"/>
                <w:szCs w:val="22"/>
                <w:highlight w:val="none"/>
              </w:rPr>
            </w:pPr>
            <w:r>
              <w:rPr>
                <w:rFonts w:hint="eastAsia" w:ascii="Times New Roman" w:hAnsi="Times New Roman"/>
                <w:color w:val="auto"/>
                <w:szCs w:val="22"/>
                <w:highlight w:val="none"/>
              </w:rPr>
              <w:t>单次持续时间/h</w:t>
            </w:r>
          </w:p>
        </w:tc>
        <w:tc>
          <w:tcPr>
            <w:tcW w:w="0" w:type="auto"/>
            <w:vAlign w:val="center"/>
          </w:tcPr>
          <w:p w14:paraId="55AE5129">
            <w:pPr>
              <w:jc w:val="center"/>
              <w:rPr>
                <w:rFonts w:ascii="Times New Roman" w:hAnsi="Times New Roman"/>
                <w:color w:val="auto"/>
                <w:szCs w:val="22"/>
                <w:highlight w:val="none"/>
              </w:rPr>
            </w:pPr>
            <w:r>
              <w:rPr>
                <w:rFonts w:hint="eastAsia" w:ascii="Times New Roman" w:hAnsi="Times New Roman"/>
                <w:color w:val="auto"/>
                <w:szCs w:val="22"/>
                <w:highlight w:val="none"/>
              </w:rPr>
              <w:t>年发生频次//次</w:t>
            </w:r>
          </w:p>
        </w:tc>
        <w:tc>
          <w:tcPr>
            <w:tcW w:w="0" w:type="auto"/>
            <w:vAlign w:val="center"/>
          </w:tcPr>
          <w:p w14:paraId="784053B0">
            <w:pPr>
              <w:jc w:val="center"/>
              <w:rPr>
                <w:rFonts w:ascii="Times New Roman" w:hAnsi="Times New Roman"/>
                <w:color w:val="auto"/>
                <w:szCs w:val="22"/>
                <w:highlight w:val="none"/>
              </w:rPr>
            </w:pPr>
            <w:r>
              <w:rPr>
                <w:rFonts w:hint="eastAsia" w:ascii="Times New Roman" w:hAnsi="Times New Roman"/>
                <w:color w:val="auto"/>
                <w:szCs w:val="22"/>
                <w:highlight w:val="none"/>
              </w:rPr>
              <w:t>应对措施</w:t>
            </w:r>
          </w:p>
        </w:tc>
      </w:tr>
      <w:tr w14:paraId="67266C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17B379">
            <w:pPr>
              <w:jc w:val="center"/>
              <w:rPr>
                <w:rFonts w:ascii="Times New Roman" w:hAnsi="Times New Roman"/>
                <w:color w:val="auto"/>
                <w:szCs w:val="22"/>
                <w:highlight w:val="none"/>
                <w:lang w:val="zh-CN"/>
              </w:rPr>
            </w:pPr>
            <w:r>
              <w:rPr>
                <w:rFonts w:ascii="Times New Roman" w:hAnsi="Times New Roman"/>
                <w:color w:val="auto"/>
                <w:szCs w:val="22"/>
                <w:highlight w:val="none"/>
                <w:lang w:val="zh-CN"/>
              </w:rPr>
              <w:t>1</w:t>
            </w:r>
          </w:p>
        </w:tc>
        <w:tc>
          <w:tcPr>
            <w:tcW w:w="0" w:type="auto"/>
            <w:vAlign w:val="center"/>
          </w:tcPr>
          <w:p w14:paraId="6155158A">
            <w:pPr>
              <w:jc w:val="center"/>
              <w:rPr>
                <w:rFonts w:ascii="Times New Roman" w:hAnsi="Times New Roman"/>
                <w:color w:val="auto"/>
                <w:szCs w:val="22"/>
                <w:highlight w:val="none"/>
                <w:lang w:val="zh-CN"/>
              </w:rPr>
            </w:pPr>
            <w:r>
              <w:rPr>
                <w:rFonts w:hint="eastAsia" w:ascii="Times New Roman" w:hAnsi="Times New Roman"/>
                <w:color w:val="auto"/>
                <w:szCs w:val="22"/>
                <w:highlight w:val="none"/>
                <w:lang w:val="zh-CN"/>
              </w:rPr>
              <w:t>回填区</w:t>
            </w:r>
          </w:p>
        </w:tc>
        <w:tc>
          <w:tcPr>
            <w:tcW w:w="0" w:type="auto"/>
            <w:vMerge w:val="restart"/>
            <w:vAlign w:val="center"/>
          </w:tcPr>
          <w:p w14:paraId="28E069AA">
            <w:pPr>
              <w:jc w:val="center"/>
              <w:rPr>
                <w:rFonts w:ascii="Times New Roman" w:hAnsi="Times New Roman"/>
                <w:color w:val="auto"/>
                <w:szCs w:val="22"/>
                <w:highlight w:val="none"/>
              </w:rPr>
            </w:pPr>
            <w:r>
              <w:rPr>
                <w:rFonts w:hint="eastAsia" w:ascii="Times New Roman" w:hAnsi="Times New Roman"/>
                <w:color w:val="auto"/>
                <w:szCs w:val="22"/>
                <w:highlight w:val="none"/>
              </w:rPr>
              <w:t>洒水车故障，洒水抑尘效率0</w:t>
            </w:r>
            <w:r>
              <w:rPr>
                <w:rFonts w:ascii="Times New Roman" w:hAnsi="Times New Roman"/>
                <w:color w:val="auto"/>
                <w:szCs w:val="22"/>
                <w:highlight w:val="none"/>
              </w:rPr>
              <w:t>%</w:t>
            </w:r>
          </w:p>
        </w:tc>
        <w:tc>
          <w:tcPr>
            <w:tcW w:w="0" w:type="auto"/>
            <w:vAlign w:val="center"/>
          </w:tcPr>
          <w:p w14:paraId="7C433F90">
            <w:pPr>
              <w:jc w:val="center"/>
              <w:rPr>
                <w:rFonts w:ascii="Times New Roman" w:hAnsi="Times New Roman"/>
                <w:color w:val="auto"/>
                <w:szCs w:val="22"/>
                <w:highlight w:val="none"/>
              </w:rPr>
            </w:pPr>
            <w:r>
              <w:rPr>
                <w:rFonts w:hint="eastAsia" w:ascii="Times New Roman" w:hAnsi="Times New Roman"/>
                <w:color w:val="auto"/>
                <w:szCs w:val="22"/>
                <w:highlight w:val="none"/>
              </w:rPr>
              <w:t>TSP</w:t>
            </w:r>
          </w:p>
        </w:tc>
        <w:tc>
          <w:tcPr>
            <w:tcW w:w="0" w:type="auto"/>
            <w:vAlign w:val="center"/>
          </w:tcPr>
          <w:p w14:paraId="761E657F">
            <w:pPr>
              <w:jc w:val="center"/>
              <w:rPr>
                <w:rFonts w:ascii="Times New Roman" w:hAnsi="Times New Roman"/>
                <w:color w:val="auto"/>
                <w:szCs w:val="22"/>
                <w:highlight w:val="none"/>
              </w:rPr>
            </w:pPr>
            <w:r>
              <w:rPr>
                <w:rFonts w:hint="eastAsia" w:ascii="Times New Roman" w:hAnsi="Times New Roman"/>
                <w:color w:val="auto"/>
                <w:szCs w:val="22"/>
                <w:highlight w:val="none"/>
              </w:rPr>
              <w:t>/</w:t>
            </w:r>
          </w:p>
        </w:tc>
        <w:tc>
          <w:tcPr>
            <w:tcW w:w="0" w:type="auto"/>
            <w:vAlign w:val="center"/>
          </w:tcPr>
          <w:p w14:paraId="7FD183A7">
            <w:pPr>
              <w:jc w:val="center"/>
              <w:rPr>
                <w:rFonts w:hint="default" w:ascii="Times New Roman" w:hAnsi="Times New Roman" w:eastAsia="宋体"/>
                <w:color w:val="auto"/>
                <w:szCs w:val="22"/>
                <w:highlight w:val="none"/>
                <w:lang w:val="en-US" w:eastAsia="zh-CN"/>
              </w:rPr>
            </w:pPr>
            <w:r>
              <w:rPr>
                <w:rFonts w:hint="eastAsia"/>
                <w:color w:val="auto"/>
                <w:szCs w:val="22"/>
                <w:highlight w:val="none"/>
                <w:lang w:val="en-US" w:eastAsia="zh-CN"/>
              </w:rPr>
              <w:t>0.003</w:t>
            </w:r>
          </w:p>
        </w:tc>
        <w:tc>
          <w:tcPr>
            <w:tcW w:w="0" w:type="auto"/>
            <w:vAlign w:val="center"/>
          </w:tcPr>
          <w:p w14:paraId="4FEEDC72">
            <w:pPr>
              <w:jc w:val="center"/>
              <w:rPr>
                <w:rFonts w:ascii="Times New Roman" w:hAnsi="Times New Roman"/>
                <w:color w:val="auto"/>
                <w:szCs w:val="22"/>
                <w:highlight w:val="none"/>
              </w:rPr>
            </w:pPr>
            <w:r>
              <w:rPr>
                <w:rFonts w:hint="eastAsia" w:ascii="Times New Roman" w:hAnsi="Times New Roman"/>
                <w:color w:val="auto"/>
                <w:szCs w:val="22"/>
                <w:highlight w:val="none"/>
              </w:rPr>
              <w:t>1</w:t>
            </w:r>
          </w:p>
        </w:tc>
        <w:tc>
          <w:tcPr>
            <w:tcW w:w="0" w:type="auto"/>
            <w:vAlign w:val="center"/>
          </w:tcPr>
          <w:p w14:paraId="512717E1">
            <w:pPr>
              <w:jc w:val="center"/>
              <w:rPr>
                <w:rFonts w:ascii="Times New Roman" w:hAnsi="Times New Roman"/>
                <w:color w:val="auto"/>
                <w:szCs w:val="22"/>
                <w:highlight w:val="none"/>
              </w:rPr>
            </w:pPr>
            <w:r>
              <w:rPr>
                <w:rFonts w:ascii="Times New Roman" w:hAnsi="Times New Roman"/>
                <w:color w:val="auto"/>
                <w:szCs w:val="22"/>
                <w:highlight w:val="none"/>
              </w:rPr>
              <w:t>2</w:t>
            </w:r>
          </w:p>
        </w:tc>
        <w:tc>
          <w:tcPr>
            <w:tcW w:w="0" w:type="auto"/>
            <w:vMerge w:val="restart"/>
            <w:vAlign w:val="center"/>
          </w:tcPr>
          <w:p w14:paraId="504C9C6F">
            <w:pPr>
              <w:jc w:val="center"/>
              <w:rPr>
                <w:rFonts w:ascii="Times New Roman" w:hAnsi="Times New Roman"/>
                <w:color w:val="auto"/>
                <w:szCs w:val="22"/>
                <w:highlight w:val="none"/>
              </w:rPr>
            </w:pPr>
            <w:r>
              <w:rPr>
                <w:rFonts w:hint="eastAsia" w:ascii="Times New Roman" w:hAnsi="Times New Roman"/>
                <w:color w:val="auto"/>
                <w:szCs w:val="22"/>
                <w:highlight w:val="none"/>
              </w:rPr>
              <w:t>及时维修，加强维护</w:t>
            </w:r>
          </w:p>
        </w:tc>
      </w:tr>
      <w:tr w14:paraId="1739FE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F676BC">
            <w:pPr>
              <w:jc w:val="center"/>
              <w:rPr>
                <w:rFonts w:ascii="Times New Roman" w:hAnsi="Times New Roman"/>
                <w:color w:val="auto"/>
                <w:szCs w:val="22"/>
                <w:highlight w:val="none"/>
                <w:lang w:val="zh-CN"/>
              </w:rPr>
            </w:pPr>
            <w:r>
              <w:rPr>
                <w:rFonts w:hint="eastAsia" w:ascii="Times New Roman" w:hAnsi="Times New Roman"/>
                <w:color w:val="auto"/>
                <w:szCs w:val="22"/>
                <w:highlight w:val="none"/>
                <w:lang w:val="zh-CN"/>
              </w:rPr>
              <w:t>2</w:t>
            </w:r>
          </w:p>
        </w:tc>
        <w:tc>
          <w:tcPr>
            <w:tcW w:w="0" w:type="auto"/>
            <w:vAlign w:val="center"/>
          </w:tcPr>
          <w:p w14:paraId="55086999">
            <w:pPr>
              <w:jc w:val="center"/>
              <w:rPr>
                <w:rFonts w:ascii="Times New Roman" w:hAnsi="Times New Roman"/>
                <w:color w:val="auto"/>
                <w:szCs w:val="22"/>
                <w:highlight w:val="none"/>
                <w:lang w:val="zh-CN"/>
              </w:rPr>
            </w:pPr>
            <w:r>
              <w:rPr>
                <w:rFonts w:hint="eastAsia" w:ascii="Times New Roman" w:hAnsi="Times New Roman"/>
                <w:color w:val="auto"/>
                <w:szCs w:val="22"/>
                <w:highlight w:val="none"/>
                <w:lang w:val="zh-CN"/>
              </w:rPr>
              <w:t>场内运输道路</w:t>
            </w:r>
          </w:p>
        </w:tc>
        <w:tc>
          <w:tcPr>
            <w:tcW w:w="0" w:type="auto"/>
            <w:vMerge w:val="continue"/>
            <w:vAlign w:val="center"/>
          </w:tcPr>
          <w:p w14:paraId="065430C7">
            <w:pPr>
              <w:jc w:val="center"/>
              <w:rPr>
                <w:rFonts w:ascii="Times New Roman" w:hAnsi="Times New Roman"/>
                <w:color w:val="auto"/>
                <w:szCs w:val="22"/>
                <w:highlight w:val="none"/>
              </w:rPr>
            </w:pPr>
          </w:p>
        </w:tc>
        <w:tc>
          <w:tcPr>
            <w:tcW w:w="0" w:type="auto"/>
            <w:vAlign w:val="center"/>
          </w:tcPr>
          <w:p w14:paraId="79E96E49">
            <w:pPr>
              <w:jc w:val="center"/>
              <w:rPr>
                <w:rFonts w:ascii="Times New Roman" w:hAnsi="Times New Roman"/>
                <w:color w:val="auto"/>
                <w:szCs w:val="22"/>
                <w:highlight w:val="none"/>
              </w:rPr>
            </w:pPr>
            <w:r>
              <w:rPr>
                <w:rFonts w:hint="eastAsia" w:ascii="Times New Roman" w:hAnsi="Times New Roman"/>
                <w:color w:val="auto"/>
                <w:szCs w:val="22"/>
                <w:highlight w:val="none"/>
              </w:rPr>
              <w:t>TSP</w:t>
            </w:r>
          </w:p>
        </w:tc>
        <w:tc>
          <w:tcPr>
            <w:tcW w:w="0" w:type="auto"/>
            <w:vAlign w:val="center"/>
          </w:tcPr>
          <w:p w14:paraId="59F2E6F5">
            <w:pPr>
              <w:jc w:val="center"/>
              <w:rPr>
                <w:rFonts w:ascii="Times New Roman" w:hAnsi="Times New Roman"/>
                <w:color w:val="auto"/>
                <w:szCs w:val="22"/>
                <w:highlight w:val="none"/>
              </w:rPr>
            </w:pPr>
            <w:r>
              <w:rPr>
                <w:rFonts w:hint="eastAsia" w:ascii="Times New Roman" w:hAnsi="Times New Roman"/>
                <w:color w:val="auto"/>
                <w:szCs w:val="22"/>
                <w:highlight w:val="none"/>
              </w:rPr>
              <w:t>/</w:t>
            </w:r>
          </w:p>
        </w:tc>
        <w:tc>
          <w:tcPr>
            <w:tcW w:w="0" w:type="auto"/>
            <w:vAlign w:val="center"/>
          </w:tcPr>
          <w:p w14:paraId="1EEB9E8E">
            <w:pPr>
              <w:jc w:val="center"/>
              <w:rPr>
                <w:rFonts w:hint="default" w:ascii="Times New Roman" w:hAnsi="Times New Roman" w:eastAsia="宋体"/>
                <w:color w:val="auto"/>
                <w:szCs w:val="22"/>
                <w:highlight w:val="none"/>
                <w:lang w:val="en-US" w:eastAsia="zh-CN"/>
              </w:rPr>
            </w:pPr>
            <w:r>
              <w:rPr>
                <w:rFonts w:hint="eastAsia"/>
                <w:color w:val="auto"/>
                <w:szCs w:val="22"/>
                <w:highlight w:val="none"/>
                <w:lang w:val="en-US" w:eastAsia="zh-CN"/>
              </w:rPr>
              <w:t>0.121</w:t>
            </w:r>
          </w:p>
        </w:tc>
        <w:tc>
          <w:tcPr>
            <w:tcW w:w="0" w:type="auto"/>
            <w:vAlign w:val="center"/>
          </w:tcPr>
          <w:p w14:paraId="19B89E14">
            <w:pPr>
              <w:jc w:val="center"/>
              <w:rPr>
                <w:rFonts w:ascii="Times New Roman" w:hAnsi="Times New Roman"/>
                <w:color w:val="auto"/>
                <w:szCs w:val="22"/>
                <w:highlight w:val="none"/>
              </w:rPr>
            </w:pPr>
            <w:r>
              <w:rPr>
                <w:rFonts w:hint="eastAsia" w:ascii="Times New Roman" w:hAnsi="Times New Roman"/>
                <w:color w:val="auto"/>
                <w:szCs w:val="22"/>
                <w:highlight w:val="none"/>
              </w:rPr>
              <w:t>1</w:t>
            </w:r>
          </w:p>
        </w:tc>
        <w:tc>
          <w:tcPr>
            <w:tcW w:w="0" w:type="auto"/>
            <w:vAlign w:val="center"/>
          </w:tcPr>
          <w:p w14:paraId="55808040">
            <w:pPr>
              <w:jc w:val="center"/>
              <w:rPr>
                <w:rFonts w:ascii="Times New Roman" w:hAnsi="Times New Roman"/>
                <w:color w:val="auto"/>
                <w:szCs w:val="22"/>
                <w:highlight w:val="none"/>
              </w:rPr>
            </w:pPr>
            <w:r>
              <w:rPr>
                <w:rFonts w:hint="eastAsia" w:ascii="Times New Roman" w:hAnsi="Times New Roman"/>
                <w:color w:val="auto"/>
                <w:szCs w:val="22"/>
                <w:highlight w:val="none"/>
              </w:rPr>
              <w:t>2</w:t>
            </w:r>
          </w:p>
        </w:tc>
        <w:tc>
          <w:tcPr>
            <w:tcW w:w="0" w:type="auto"/>
            <w:vMerge w:val="continue"/>
            <w:vAlign w:val="center"/>
          </w:tcPr>
          <w:p w14:paraId="7A96C9FE">
            <w:pPr>
              <w:jc w:val="center"/>
              <w:rPr>
                <w:rFonts w:ascii="Times New Roman" w:hAnsi="Times New Roman"/>
                <w:color w:val="auto"/>
                <w:szCs w:val="22"/>
                <w:highlight w:val="none"/>
              </w:rPr>
            </w:pPr>
          </w:p>
        </w:tc>
      </w:tr>
    </w:tbl>
    <w:p w14:paraId="29B7D78B">
      <w:pPr>
        <w:pStyle w:val="137"/>
        <w:rPr>
          <w:color w:val="auto"/>
        </w:rPr>
      </w:pPr>
      <w:r>
        <w:rPr>
          <w:rFonts w:hint="eastAsia"/>
          <w:color w:val="auto"/>
        </w:rPr>
        <w:t>5</w:t>
      </w:r>
      <w:r>
        <w:rPr>
          <w:color w:val="auto"/>
        </w:rPr>
        <w:t>.2.2</w:t>
      </w:r>
      <w:r>
        <w:rPr>
          <w:rFonts w:hint="eastAsia"/>
          <w:color w:val="auto"/>
        </w:rPr>
        <w:t>地表水环境影响分析</w:t>
      </w:r>
    </w:p>
    <w:p w14:paraId="5F992F06">
      <w:pPr>
        <w:pStyle w:val="59"/>
        <w:ind w:firstLine="480"/>
        <w:rPr>
          <w:color w:val="auto"/>
        </w:rPr>
      </w:pPr>
      <w:bookmarkStart w:id="152" w:name="_Hlk10651079"/>
      <w:r>
        <w:rPr>
          <w:rFonts w:hint="eastAsia"/>
          <w:color w:val="auto"/>
          <w:szCs w:val="22"/>
        </w:rPr>
        <w:t>评价区多年平均降水量</w:t>
      </w:r>
      <w:r>
        <w:rPr>
          <w:color w:val="auto"/>
          <w:szCs w:val="22"/>
        </w:rPr>
        <w:t>542mm，多年平均蒸发量1329.4mm。</w:t>
      </w:r>
      <w:r>
        <w:rPr>
          <w:rFonts w:hint="eastAsia"/>
          <w:color w:val="auto"/>
        </w:rPr>
        <w:t>由于蒸发量较大，回填区内的降水能够自然蒸发，在正常降雨的情况下，雨水渗入</w:t>
      </w:r>
      <w:r>
        <w:rPr>
          <w:rFonts w:hint="eastAsia"/>
          <w:color w:val="auto"/>
          <w:lang w:eastAsia="zh-CN"/>
        </w:rPr>
        <w:t>灰渣</w:t>
      </w:r>
      <w:r>
        <w:rPr>
          <w:rFonts w:hint="eastAsia"/>
          <w:color w:val="auto"/>
        </w:rPr>
        <w:t>堆体，随之逐渐蒸发消失，堆存</w:t>
      </w:r>
      <w:r>
        <w:rPr>
          <w:rFonts w:hint="eastAsia"/>
          <w:color w:val="auto"/>
          <w:lang w:eastAsia="zh-CN"/>
        </w:rPr>
        <w:t>灰渣</w:t>
      </w:r>
      <w:r>
        <w:rPr>
          <w:rFonts w:hint="eastAsia"/>
          <w:color w:val="auto"/>
        </w:rPr>
        <w:t>一般达不到充分浸泡的状态，正常情况下不会产生大量淋溶水。</w:t>
      </w:r>
    </w:p>
    <w:p w14:paraId="39D11467">
      <w:pPr>
        <w:spacing w:line="500" w:lineRule="exact"/>
        <w:ind w:firstLine="480" w:firstLineChars="200"/>
        <w:rPr>
          <w:color w:val="auto"/>
          <w:sz w:val="24"/>
          <w:szCs w:val="22"/>
        </w:rPr>
      </w:pPr>
      <w:r>
        <w:rPr>
          <w:color w:val="auto"/>
          <w:sz w:val="24"/>
          <w:szCs w:val="22"/>
        </w:rPr>
        <w:t>本工程</w:t>
      </w:r>
      <w:r>
        <w:rPr>
          <w:rFonts w:hint="eastAsia"/>
          <w:color w:val="auto"/>
          <w:sz w:val="24"/>
          <w:szCs w:val="22"/>
        </w:rPr>
        <w:t>的淋溶水</w:t>
      </w:r>
      <w:r>
        <w:rPr>
          <w:color w:val="auto"/>
          <w:sz w:val="24"/>
          <w:szCs w:val="22"/>
        </w:rPr>
        <w:t>来源主要是</w:t>
      </w:r>
      <w:r>
        <w:rPr>
          <w:rFonts w:hint="eastAsia"/>
          <w:color w:val="auto"/>
          <w:sz w:val="24"/>
          <w:szCs w:val="22"/>
        </w:rPr>
        <w:t>强</w:t>
      </w:r>
      <w:r>
        <w:rPr>
          <w:color w:val="auto"/>
          <w:sz w:val="24"/>
          <w:szCs w:val="22"/>
        </w:rPr>
        <w:t>降雨产生，在</w:t>
      </w:r>
      <w:r>
        <w:rPr>
          <w:rFonts w:hint="eastAsia"/>
          <w:color w:val="auto"/>
          <w:sz w:val="24"/>
          <w:szCs w:val="22"/>
        </w:rPr>
        <w:t>回填</w:t>
      </w:r>
      <w:r>
        <w:rPr>
          <w:color w:val="auto"/>
          <w:sz w:val="24"/>
          <w:szCs w:val="22"/>
        </w:rPr>
        <w:t>的过程中，</w:t>
      </w:r>
      <w:r>
        <w:rPr>
          <w:rFonts w:hint="eastAsia"/>
          <w:color w:val="auto"/>
          <w:sz w:val="24"/>
          <w:szCs w:val="22"/>
        </w:rPr>
        <w:t>当遇强降雨时，</w:t>
      </w:r>
      <w:r>
        <w:rPr>
          <w:color w:val="auto"/>
          <w:sz w:val="24"/>
          <w:szCs w:val="22"/>
        </w:rPr>
        <w:t>堆体超过持水率</w:t>
      </w:r>
      <w:r>
        <w:rPr>
          <w:rFonts w:hint="eastAsia"/>
          <w:color w:val="auto"/>
          <w:sz w:val="24"/>
          <w:szCs w:val="22"/>
        </w:rPr>
        <w:t>，</w:t>
      </w:r>
      <w:r>
        <w:rPr>
          <w:color w:val="auto"/>
          <w:sz w:val="24"/>
          <w:szCs w:val="22"/>
        </w:rPr>
        <w:t>将</w:t>
      </w:r>
      <w:r>
        <w:rPr>
          <w:rFonts w:hint="eastAsia"/>
          <w:color w:val="auto"/>
          <w:sz w:val="24"/>
          <w:szCs w:val="22"/>
        </w:rPr>
        <w:t>可溶性元素可随雨水迁移渗出后</w:t>
      </w:r>
      <w:r>
        <w:rPr>
          <w:color w:val="auto"/>
          <w:sz w:val="24"/>
          <w:szCs w:val="22"/>
        </w:rPr>
        <w:t>作为</w:t>
      </w:r>
      <w:r>
        <w:rPr>
          <w:rFonts w:hint="eastAsia"/>
          <w:color w:val="auto"/>
          <w:sz w:val="24"/>
          <w:szCs w:val="22"/>
        </w:rPr>
        <w:t>淋溶水</w:t>
      </w:r>
      <w:r>
        <w:rPr>
          <w:color w:val="auto"/>
          <w:sz w:val="24"/>
          <w:szCs w:val="22"/>
        </w:rPr>
        <w:t>排出</w:t>
      </w:r>
      <w:r>
        <w:rPr>
          <w:rFonts w:hint="eastAsia"/>
          <w:color w:val="auto"/>
          <w:sz w:val="24"/>
          <w:szCs w:val="22"/>
        </w:rPr>
        <w:t>。经计算，淋溶水产生量为19.356t/d</w:t>
      </w:r>
      <w:r>
        <w:rPr>
          <w:rFonts w:hint="eastAsia"/>
          <w:color w:val="auto"/>
          <w:sz w:val="24"/>
          <w:szCs w:val="22"/>
          <w:lang w:eastAsia="zh-CN"/>
        </w:rPr>
        <w:t>，</w:t>
      </w:r>
      <w:r>
        <w:rPr>
          <w:rFonts w:hint="eastAsia"/>
          <w:color w:val="auto"/>
          <w:sz w:val="24"/>
          <w:szCs w:val="22"/>
        </w:rPr>
        <w:t>7027t/a。在场区低洼处设有</w:t>
      </w:r>
      <w:r>
        <w:rPr>
          <w:rFonts w:hint="eastAsia"/>
          <w:color w:val="auto"/>
          <w:sz w:val="24"/>
          <w:szCs w:val="22"/>
          <w:lang w:val="en-US" w:eastAsia="zh-CN"/>
        </w:rPr>
        <w:t>1</w:t>
      </w:r>
      <w:r>
        <w:rPr>
          <w:color w:val="auto"/>
          <w:sz w:val="24"/>
          <w:szCs w:val="22"/>
        </w:rPr>
        <w:t>个</w:t>
      </w:r>
      <w:r>
        <w:rPr>
          <w:rFonts w:hint="eastAsia"/>
          <w:color w:val="auto"/>
          <w:sz w:val="24"/>
          <w:szCs w:val="22"/>
        </w:rPr>
        <w:t>有效容积</w:t>
      </w:r>
      <w:r>
        <w:rPr>
          <w:rFonts w:hint="eastAsia"/>
          <w:color w:val="auto"/>
          <w:sz w:val="24"/>
          <w:szCs w:val="22"/>
          <w:lang w:val="en-US" w:eastAsia="zh-CN"/>
        </w:rPr>
        <w:t>15</w:t>
      </w:r>
      <w:r>
        <w:rPr>
          <w:color w:val="auto"/>
          <w:sz w:val="24"/>
          <w:szCs w:val="22"/>
        </w:rPr>
        <w:t>0</w:t>
      </w:r>
      <w:r>
        <w:rPr>
          <w:rFonts w:hint="eastAsia"/>
          <w:color w:val="auto"/>
          <w:sz w:val="24"/>
          <w:szCs w:val="22"/>
        </w:rPr>
        <w:t>m</w:t>
      </w:r>
      <w:r>
        <w:rPr>
          <w:color w:val="auto"/>
          <w:sz w:val="24"/>
          <w:szCs w:val="22"/>
          <w:vertAlign w:val="superscript"/>
        </w:rPr>
        <w:t>3</w:t>
      </w:r>
      <w:r>
        <w:rPr>
          <w:rFonts w:hint="eastAsia"/>
          <w:color w:val="auto"/>
          <w:sz w:val="24"/>
          <w:szCs w:val="22"/>
          <w:vertAlign w:val="baseline"/>
          <w:lang w:val="en-US" w:eastAsia="zh-CN"/>
        </w:rPr>
        <w:t>，1个80</w:t>
      </w:r>
      <w:r>
        <w:rPr>
          <w:rFonts w:hint="eastAsia"/>
          <w:color w:val="auto"/>
          <w:sz w:val="24"/>
          <w:szCs w:val="22"/>
        </w:rPr>
        <w:t>m</w:t>
      </w:r>
      <w:r>
        <w:rPr>
          <w:color w:val="auto"/>
          <w:sz w:val="24"/>
          <w:szCs w:val="22"/>
          <w:vertAlign w:val="superscript"/>
        </w:rPr>
        <w:t>3</w:t>
      </w:r>
      <w:r>
        <w:rPr>
          <w:rFonts w:hint="eastAsia"/>
          <w:color w:val="auto"/>
          <w:sz w:val="24"/>
          <w:szCs w:val="22"/>
        </w:rPr>
        <w:t>的</w:t>
      </w:r>
      <w:r>
        <w:rPr>
          <w:rStyle w:val="60"/>
          <w:rFonts w:hint="eastAsia"/>
          <w:color w:val="auto"/>
        </w:rPr>
        <w:t>暂存池</w:t>
      </w:r>
      <w:r>
        <w:rPr>
          <w:color w:val="auto"/>
          <w:sz w:val="24"/>
          <w:szCs w:val="22"/>
        </w:rPr>
        <w:t>，</w:t>
      </w:r>
      <w:r>
        <w:rPr>
          <w:rFonts w:hint="eastAsia"/>
          <w:color w:val="auto"/>
          <w:sz w:val="24"/>
          <w:szCs w:val="22"/>
        </w:rPr>
        <w:t>淋溶水</w:t>
      </w:r>
      <w:r>
        <w:rPr>
          <w:color w:val="auto"/>
          <w:sz w:val="24"/>
          <w:szCs w:val="22"/>
        </w:rPr>
        <w:t>经收集沉淀处理后主要用于每天定期对</w:t>
      </w:r>
      <w:r>
        <w:rPr>
          <w:rFonts w:hint="eastAsia"/>
          <w:color w:val="auto"/>
          <w:sz w:val="24"/>
          <w:szCs w:val="22"/>
        </w:rPr>
        <w:t>灰面</w:t>
      </w:r>
      <w:r>
        <w:rPr>
          <w:color w:val="auto"/>
          <w:sz w:val="24"/>
          <w:szCs w:val="22"/>
        </w:rPr>
        <w:t>进行喷洒，以防止灰</w:t>
      </w:r>
      <w:r>
        <w:rPr>
          <w:rFonts w:hint="eastAsia"/>
          <w:color w:val="auto"/>
          <w:sz w:val="24"/>
          <w:szCs w:val="22"/>
        </w:rPr>
        <w:t>回填区</w:t>
      </w:r>
      <w:r>
        <w:rPr>
          <w:color w:val="auto"/>
          <w:sz w:val="24"/>
          <w:szCs w:val="22"/>
        </w:rPr>
        <w:t>的二次扬灰</w:t>
      </w:r>
      <w:r>
        <w:rPr>
          <w:rFonts w:hint="eastAsia"/>
          <w:color w:val="auto"/>
          <w:sz w:val="24"/>
          <w:szCs w:val="22"/>
        </w:rPr>
        <w:t>，淋溶水</w:t>
      </w:r>
      <w:r>
        <w:rPr>
          <w:color w:val="auto"/>
          <w:sz w:val="24"/>
          <w:szCs w:val="22"/>
        </w:rPr>
        <w:t>喷洒到灰面后自然蒸发，使废水达到零排放。</w:t>
      </w:r>
    </w:p>
    <w:p w14:paraId="18E9DF49">
      <w:pPr>
        <w:spacing w:line="500" w:lineRule="exact"/>
        <w:ind w:firstLine="480" w:firstLineChars="200"/>
        <w:rPr>
          <w:color w:val="auto"/>
          <w:sz w:val="24"/>
          <w:szCs w:val="22"/>
        </w:rPr>
      </w:pPr>
      <w:r>
        <w:rPr>
          <w:rFonts w:hint="eastAsia"/>
          <w:color w:val="auto"/>
          <w:sz w:val="24"/>
          <w:szCs w:val="22"/>
        </w:rPr>
        <w:t>本项目不设置洗车区，不产生地面冲洗水。</w:t>
      </w:r>
      <w:r>
        <w:rPr>
          <w:color w:val="auto"/>
          <w:sz w:val="24"/>
          <w:szCs w:val="22"/>
        </w:rPr>
        <w:t>不设</w:t>
      </w:r>
      <w:r>
        <w:rPr>
          <w:rFonts w:hint="eastAsia"/>
          <w:color w:val="auto"/>
          <w:sz w:val="24"/>
          <w:szCs w:val="22"/>
        </w:rPr>
        <w:t>生产生活辅助</w:t>
      </w:r>
      <w:r>
        <w:rPr>
          <w:color w:val="auto"/>
          <w:sz w:val="24"/>
          <w:szCs w:val="22"/>
        </w:rPr>
        <w:t>管理区，</w:t>
      </w:r>
      <w:r>
        <w:rPr>
          <w:rFonts w:hint="eastAsia"/>
          <w:color w:val="auto"/>
          <w:sz w:val="24"/>
          <w:szCs w:val="22"/>
        </w:rPr>
        <w:t>不设置食堂宿舍，项目区配置</w:t>
      </w:r>
      <w:r>
        <w:rPr>
          <w:rFonts w:hint="eastAsia"/>
          <w:color w:val="auto"/>
          <w:sz w:val="24"/>
          <w:szCs w:val="22"/>
          <w:lang w:val="en-US" w:eastAsia="zh-CN"/>
        </w:rPr>
        <w:t>15</w:t>
      </w:r>
      <w:r>
        <w:rPr>
          <w:color w:val="auto"/>
          <w:sz w:val="24"/>
          <w:szCs w:val="22"/>
        </w:rPr>
        <w:t>名工作人员，工作人员产生的生活污水</w:t>
      </w:r>
      <w:r>
        <w:rPr>
          <w:rFonts w:hint="eastAsia"/>
          <w:color w:val="auto"/>
          <w:sz w:val="24"/>
          <w:szCs w:val="22"/>
        </w:rPr>
        <w:t>排入青山村租用民房的防渗旱厕，定期清掏，外运积肥，对水环境影响不大</w:t>
      </w:r>
      <w:r>
        <w:rPr>
          <w:color w:val="auto"/>
          <w:sz w:val="24"/>
          <w:szCs w:val="22"/>
        </w:rPr>
        <w:t>。</w:t>
      </w:r>
    </w:p>
    <w:p w14:paraId="4348612A">
      <w:pPr>
        <w:spacing w:line="500" w:lineRule="exact"/>
        <w:ind w:firstLine="480" w:firstLineChars="200"/>
        <w:rPr>
          <w:color w:val="auto"/>
          <w:sz w:val="24"/>
          <w:szCs w:val="22"/>
        </w:rPr>
      </w:pPr>
      <w:r>
        <w:rPr>
          <w:rFonts w:hint="eastAsia"/>
          <w:color w:val="auto"/>
          <w:sz w:val="24"/>
          <w:szCs w:val="22"/>
        </w:rPr>
        <w:t>综上所述，结合环境风险评估报告结论，本项目距</w:t>
      </w:r>
      <w:r>
        <w:rPr>
          <w:rFonts w:hint="eastAsia"/>
          <w:color w:val="auto"/>
          <w:sz w:val="24"/>
          <w:szCs w:val="22"/>
          <w:lang w:eastAsia="zh-CN"/>
        </w:rPr>
        <w:t>三新沟</w:t>
      </w:r>
      <w:r>
        <w:rPr>
          <w:rFonts w:hint="eastAsia"/>
          <w:color w:val="auto"/>
          <w:sz w:val="24"/>
          <w:szCs w:val="22"/>
        </w:rPr>
        <w:t>约</w:t>
      </w:r>
      <w:r>
        <w:rPr>
          <w:rFonts w:hint="eastAsia"/>
          <w:color w:val="auto"/>
          <w:sz w:val="24"/>
          <w:szCs w:val="22"/>
          <w:lang w:val="en-US" w:eastAsia="zh-CN"/>
        </w:rPr>
        <w:t>4</w:t>
      </w:r>
      <w:r>
        <w:rPr>
          <w:color w:val="auto"/>
          <w:sz w:val="24"/>
          <w:szCs w:val="22"/>
        </w:rPr>
        <w:t>km，距</w:t>
      </w:r>
      <w:r>
        <w:rPr>
          <w:rFonts w:hint="eastAsia"/>
          <w:color w:val="auto"/>
          <w:sz w:val="24"/>
          <w:szCs w:val="22"/>
        </w:rPr>
        <w:t>穆棱河</w:t>
      </w:r>
      <w:r>
        <w:rPr>
          <w:color w:val="auto"/>
          <w:sz w:val="24"/>
          <w:szCs w:val="22"/>
        </w:rPr>
        <w:t>约</w:t>
      </w:r>
      <w:r>
        <w:rPr>
          <w:rFonts w:hint="eastAsia"/>
          <w:color w:val="auto"/>
          <w:sz w:val="24"/>
          <w:szCs w:val="22"/>
          <w:lang w:val="en-US" w:eastAsia="zh-CN"/>
        </w:rPr>
        <w:t>7</w:t>
      </w:r>
      <w:r>
        <w:rPr>
          <w:color w:val="auto"/>
          <w:sz w:val="24"/>
          <w:szCs w:val="22"/>
        </w:rPr>
        <w:t>km，</w:t>
      </w:r>
      <w:r>
        <w:rPr>
          <w:rFonts w:hint="eastAsia"/>
          <w:color w:val="auto"/>
          <w:sz w:val="24"/>
          <w:szCs w:val="22"/>
        </w:rPr>
        <w:t>淋溶水</w:t>
      </w:r>
      <w:r>
        <w:rPr>
          <w:color w:val="auto"/>
          <w:sz w:val="24"/>
          <w:szCs w:val="22"/>
        </w:rPr>
        <w:t>随着回填和季节变化，逐渐蒸发或用于回填施工降尘，项目的废水不排入地表水体</w:t>
      </w:r>
      <w:r>
        <w:rPr>
          <w:rFonts w:hint="eastAsia"/>
          <w:color w:val="auto"/>
          <w:sz w:val="24"/>
          <w:szCs w:val="22"/>
        </w:rPr>
        <w:t>，</w:t>
      </w:r>
      <w:r>
        <w:rPr>
          <w:color w:val="auto"/>
          <w:sz w:val="24"/>
          <w:szCs w:val="22"/>
        </w:rPr>
        <w:t>项目运营不会对区域地表水环境产生影响。</w:t>
      </w:r>
      <w:r>
        <w:rPr>
          <w:rFonts w:hint="eastAsia"/>
          <w:color w:val="auto"/>
          <w:sz w:val="24"/>
          <w:szCs w:val="22"/>
        </w:rPr>
        <w:t>本项目不设置停车库，不产生地面冲洗水，工作人员产生的生活污水依托租用民房的防渗旱厕处理，定期清掏，外运积肥，因此本项目建设不存在地表水污染风险，对地表水的影响可接受。</w:t>
      </w:r>
    </w:p>
    <w:p w14:paraId="044903E2">
      <w:pPr>
        <w:adjustRightInd w:val="0"/>
        <w:snapToGrid w:val="0"/>
        <w:spacing w:line="500" w:lineRule="exact"/>
        <w:jc w:val="center"/>
        <w:rPr>
          <w:rFonts w:eastAsia="黑体"/>
          <w:color w:val="auto"/>
          <w:sz w:val="24"/>
          <w:lang w:val="zh-CN"/>
        </w:rPr>
      </w:pPr>
      <w:r>
        <w:rPr>
          <w:rFonts w:eastAsia="黑体"/>
          <w:color w:val="auto"/>
          <w:sz w:val="24"/>
          <w:lang w:val="zh-CN"/>
        </w:rPr>
        <w:t>表5</w:t>
      </w:r>
      <w:r>
        <w:rPr>
          <w:rFonts w:hint="eastAsia" w:eastAsia="黑体"/>
          <w:color w:val="auto"/>
          <w:sz w:val="24"/>
          <w:lang w:val="zh-CN"/>
        </w:rPr>
        <w:t>-</w:t>
      </w:r>
      <w:r>
        <w:rPr>
          <w:rFonts w:eastAsia="黑体"/>
          <w:color w:val="auto"/>
          <w:sz w:val="24"/>
          <w:lang w:val="zh-CN"/>
        </w:rPr>
        <w:t>2</w:t>
      </w:r>
      <w:r>
        <w:rPr>
          <w:rFonts w:hint="eastAsia" w:eastAsia="黑体"/>
          <w:color w:val="auto"/>
          <w:sz w:val="24"/>
          <w:lang w:val="zh-CN"/>
        </w:rPr>
        <w:t>-</w:t>
      </w:r>
      <w:r>
        <w:rPr>
          <w:rFonts w:eastAsia="黑体"/>
          <w:color w:val="auto"/>
          <w:sz w:val="24"/>
          <w:lang w:val="zh-CN"/>
        </w:rPr>
        <w:t>4废水</w:t>
      </w:r>
      <w:r>
        <w:rPr>
          <w:rFonts w:hint="eastAsia" w:eastAsia="黑体"/>
          <w:color w:val="auto"/>
          <w:sz w:val="24"/>
          <w:lang w:val="zh-CN"/>
        </w:rPr>
        <w:t>类别、</w:t>
      </w:r>
      <w:r>
        <w:rPr>
          <w:rFonts w:eastAsia="黑体"/>
          <w:color w:val="auto"/>
          <w:sz w:val="24"/>
          <w:lang w:val="zh-CN"/>
        </w:rPr>
        <w:t>污染物及污染治理设施信息表</w:t>
      </w:r>
    </w:p>
    <w:tbl>
      <w:tblPr>
        <w:tblStyle w:val="45"/>
        <w:tblW w:w="4904"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6"/>
        <w:gridCol w:w="682"/>
        <w:gridCol w:w="1376"/>
        <w:gridCol w:w="990"/>
        <w:gridCol w:w="652"/>
        <w:gridCol w:w="858"/>
        <w:gridCol w:w="828"/>
        <w:gridCol w:w="751"/>
        <w:gridCol w:w="502"/>
        <w:gridCol w:w="559"/>
        <w:gridCol w:w="523"/>
      </w:tblGrid>
      <w:tr w14:paraId="654F4D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1" w:type="pct"/>
            <w:vMerge w:val="restart"/>
            <w:shd w:val="clear" w:color="auto" w:fill="auto"/>
            <w:vAlign w:val="center"/>
          </w:tcPr>
          <w:p w14:paraId="0B8AE842">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序号</w:t>
            </w:r>
          </w:p>
        </w:tc>
        <w:tc>
          <w:tcPr>
            <w:tcW w:w="419" w:type="pct"/>
            <w:vMerge w:val="restart"/>
            <w:shd w:val="clear" w:color="auto" w:fill="auto"/>
            <w:vAlign w:val="center"/>
          </w:tcPr>
          <w:p w14:paraId="67F92592">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废水类别</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a</w:t>
            </w:r>
            <w:r>
              <w:rPr>
                <w:rFonts w:hint="eastAsia" w:ascii="宋体" w:hAnsi="宋体"/>
                <w:snapToGrid w:val="0"/>
                <w:color w:val="auto"/>
                <w:kern w:val="0"/>
                <w:szCs w:val="21"/>
                <w:vertAlign w:val="superscript"/>
              </w:rPr>
              <w:t>）</w:t>
            </w:r>
          </w:p>
        </w:tc>
        <w:tc>
          <w:tcPr>
            <w:tcW w:w="845" w:type="pct"/>
            <w:vMerge w:val="restart"/>
            <w:shd w:val="clear" w:color="auto" w:fill="auto"/>
            <w:vAlign w:val="center"/>
          </w:tcPr>
          <w:p w14:paraId="0A3E6AB1">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污染物</w:t>
            </w:r>
          </w:p>
          <w:p w14:paraId="3F0C3724">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种类</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b</w:t>
            </w:r>
            <w:r>
              <w:rPr>
                <w:rFonts w:hint="eastAsia" w:ascii="宋体" w:hAnsi="宋体"/>
                <w:snapToGrid w:val="0"/>
                <w:color w:val="auto"/>
                <w:kern w:val="0"/>
                <w:szCs w:val="21"/>
                <w:vertAlign w:val="superscript"/>
              </w:rPr>
              <w:t>）</w:t>
            </w:r>
          </w:p>
        </w:tc>
        <w:tc>
          <w:tcPr>
            <w:tcW w:w="608" w:type="pct"/>
            <w:vMerge w:val="restart"/>
            <w:shd w:val="clear" w:color="auto" w:fill="auto"/>
            <w:vAlign w:val="center"/>
          </w:tcPr>
          <w:p w14:paraId="4B2F502B">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排放去向</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c</w:t>
            </w:r>
            <w:r>
              <w:rPr>
                <w:rFonts w:hint="eastAsia" w:ascii="宋体" w:hAnsi="宋体"/>
                <w:snapToGrid w:val="0"/>
                <w:color w:val="auto"/>
                <w:kern w:val="0"/>
                <w:szCs w:val="21"/>
                <w:vertAlign w:val="superscript"/>
              </w:rPr>
              <w:t>）</w:t>
            </w:r>
          </w:p>
        </w:tc>
        <w:tc>
          <w:tcPr>
            <w:tcW w:w="400" w:type="pct"/>
            <w:vMerge w:val="restart"/>
            <w:shd w:val="clear" w:color="auto" w:fill="auto"/>
            <w:vAlign w:val="center"/>
          </w:tcPr>
          <w:p w14:paraId="2189CE5A">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排放规律</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d</w:t>
            </w:r>
            <w:r>
              <w:rPr>
                <w:rFonts w:hint="eastAsia" w:ascii="宋体" w:hAnsi="宋体"/>
                <w:snapToGrid w:val="0"/>
                <w:color w:val="auto"/>
                <w:kern w:val="0"/>
                <w:szCs w:val="21"/>
                <w:vertAlign w:val="superscript"/>
              </w:rPr>
              <w:t>）</w:t>
            </w:r>
          </w:p>
        </w:tc>
        <w:tc>
          <w:tcPr>
            <w:tcW w:w="1495" w:type="pct"/>
            <w:gridSpan w:val="3"/>
            <w:shd w:val="clear" w:color="auto" w:fill="auto"/>
            <w:vAlign w:val="center"/>
          </w:tcPr>
          <w:p w14:paraId="4BB527D8">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污染治理设施</w:t>
            </w:r>
          </w:p>
        </w:tc>
        <w:tc>
          <w:tcPr>
            <w:tcW w:w="308" w:type="pct"/>
            <w:vMerge w:val="restart"/>
            <w:shd w:val="clear" w:color="auto" w:fill="auto"/>
            <w:vAlign w:val="center"/>
          </w:tcPr>
          <w:p w14:paraId="7E8018B3">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排放口编号</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f</w:t>
            </w:r>
            <w:r>
              <w:rPr>
                <w:rFonts w:hint="eastAsia" w:ascii="宋体" w:hAnsi="宋体"/>
                <w:snapToGrid w:val="0"/>
                <w:color w:val="auto"/>
                <w:kern w:val="0"/>
                <w:szCs w:val="21"/>
                <w:vertAlign w:val="superscript"/>
              </w:rPr>
              <w:t>）</w:t>
            </w:r>
          </w:p>
        </w:tc>
        <w:tc>
          <w:tcPr>
            <w:tcW w:w="343" w:type="pct"/>
            <w:vMerge w:val="restart"/>
            <w:shd w:val="clear" w:color="auto" w:fill="auto"/>
            <w:vAlign w:val="center"/>
          </w:tcPr>
          <w:p w14:paraId="3D5CCE04">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排放口设置是否符合要求</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g</w:t>
            </w:r>
            <w:r>
              <w:rPr>
                <w:rFonts w:hint="eastAsia" w:ascii="宋体" w:hAnsi="宋体"/>
                <w:snapToGrid w:val="0"/>
                <w:color w:val="auto"/>
                <w:kern w:val="0"/>
                <w:szCs w:val="21"/>
                <w:vertAlign w:val="superscript"/>
              </w:rPr>
              <w:t>）</w:t>
            </w:r>
          </w:p>
        </w:tc>
        <w:tc>
          <w:tcPr>
            <w:tcW w:w="319" w:type="pct"/>
            <w:vMerge w:val="restart"/>
            <w:shd w:val="clear" w:color="auto" w:fill="auto"/>
            <w:vAlign w:val="center"/>
          </w:tcPr>
          <w:p w14:paraId="4963048B">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排放口</w:t>
            </w:r>
          </w:p>
          <w:p w14:paraId="47547B68">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类型</w:t>
            </w:r>
          </w:p>
        </w:tc>
      </w:tr>
      <w:tr w14:paraId="137AAE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261" w:type="pct"/>
            <w:vMerge w:val="continue"/>
            <w:shd w:val="clear" w:color="auto" w:fill="auto"/>
            <w:vAlign w:val="center"/>
          </w:tcPr>
          <w:p w14:paraId="16C20E2B">
            <w:pPr>
              <w:adjustRightInd w:val="0"/>
              <w:snapToGrid w:val="0"/>
              <w:jc w:val="center"/>
              <w:rPr>
                <w:rFonts w:ascii="黑体" w:hAnsi="宋体" w:eastAsia="黑体"/>
                <w:snapToGrid w:val="0"/>
                <w:color w:val="auto"/>
                <w:kern w:val="0"/>
                <w:szCs w:val="21"/>
              </w:rPr>
            </w:pPr>
          </w:p>
        </w:tc>
        <w:tc>
          <w:tcPr>
            <w:tcW w:w="419" w:type="pct"/>
            <w:vMerge w:val="continue"/>
            <w:shd w:val="clear" w:color="auto" w:fill="auto"/>
            <w:vAlign w:val="center"/>
          </w:tcPr>
          <w:p w14:paraId="50C6C821">
            <w:pPr>
              <w:adjustRightInd w:val="0"/>
              <w:snapToGrid w:val="0"/>
              <w:jc w:val="center"/>
              <w:rPr>
                <w:rFonts w:ascii="黑体" w:hAnsi="宋体" w:eastAsia="黑体"/>
                <w:snapToGrid w:val="0"/>
                <w:color w:val="auto"/>
                <w:kern w:val="0"/>
                <w:szCs w:val="21"/>
              </w:rPr>
            </w:pPr>
          </w:p>
        </w:tc>
        <w:tc>
          <w:tcPr>
            <w:tcW w:w="845" w:type="pct"/>
            <w:vMerge w:val="continue"/>
            <w:shd w:val="clear" w:color="auto" w:fill="auto"/>
            <w:vAlign w:val="center"/>
          </w:tcPr>
          <w:p w14:paraId="240AE680">
            <w:pPr>
              <w:adjustRightInd w:val="0"/>
              <w:snapToGrid w:val="0"/>
              <w:jc w:val="center"/>
              <w:rPr>
                <w:rFonts w:ascii="黑体" w:hAnsi="宋体" w:eastAsia="黑体"/>
                <w:snapToGrid w:val="0"/>
                <w:color w:val="auto"/>
                <w:kern w:val="0"/>
                <w:szCs w:val="21"/>
              </w:rPr>
            </w:pPr>
          </w:p>
        </w:tc>
        <w:tc>
          <w:tcPr>
            <w:tcW w:w="608" w:type="pct"/>
            <w:vMerge w:val="continue"/>
            <w:shd w:val="clear" w:color="auto" w:fill="auto"/>
            <w:vAlign w:val="center"/>
          </w:tcPr>
          <w:p w14:paraId="41528204">
            <w:pPr>
              <w:adjustRightInd w:val="0"/>
              <w:snapToGrid w:val="0"/>
              <w:jc w:val="center"/>
              <w:rPr>
                <w:rFonts w:ascii="黑体" w:hAnsi="宋体" w:eastAsia="黑体"/>
                <w:snapToGrid w:val="0"/>
                <w:color w:val="auto"/>
                <w:kern w:val="0"/>
                <w:szCs w:val="21"/>
              </w:rPr>
            </w:pPr>
          </w:p>
        </w:tc>
        <w:tc>
          <w:tcPr>
            <w:tcW w:w="400" w:type="pct"/>
            <w:vMerge w:val="continue"/>
            <w:shd w:val="clear" w:color="auto" w:fill="auto"/>
            <w:vAlign w:val="center"/>
          </w:tcPr>
          <w:p w14:paraId="4DE2FD72">
            <w:pPr>
              <w:adjustRightInd w:val="0"/>
              <w:snapToGrid w:val="0"/>
              <w:jc w:val="center"/>
              <w:rPr>
                <w:rFonts w:ascii="黑体" w:hAnsi="宋体" w:eastAsia="黑体"/>
                <w:snapToGrid w:val="0"/>
                <w:color w:val="auto"/>
                <w:kern w:val="0"/>
                <w:szCs w:val="21"/>
              </w:rPr>
            </w:pPr>
          </w:p>
        </w:tc>
        <w:tc>
          <w:tcPr>
            <w:tcW w:w="526" w:type="pct"/>
            <w:shd w:val="clear" w:color="auto" w:fill="auto"/>
            <w:vAlign w:val="center"/>
          </w:tcPr>
          <w:p w14:paraId="326706A3">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污染治理设施编号</w:t>
            </w:r>
          </w:p>
        </w:tc>
        <w:tc>
          <w:tcPr>
            <w:tcW w:w="508" w:type="pct"/>
            <w:shd w:val="clear" w:color="auto" w:fill="auto"/>
            <w:vAlign w:val="center"/>
          </w:tcPr>
          <w:p w14:paraId="19738C57">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污染治理设施名称</w:t>
            </w:r>
            <w:r>
              <w:rPr>
                <w:rFonts w:hint="eastAsia" w:ascii="宋体" w:hAnsi="宋体"/>
                <w:snapToGrid w:val="0"/>
                <w:color w:val="auto"/>
                <w:kern w:val="0"/>
                <w:szCs w:val="21"/>
                <w:vertAlign w:val="superscript"/>
              </w:rPr>
              <w:t>（</w:t>
            </w:r>
            <w:r>
              <w:rPr>
                <w:rFonts w:ascii="宋体" w:hAnsi="宋体"/>
                <w:snapToGrid w:val="0"/>
                <w:color w:val="auto"/>
                <w:kern w:val="0"/>
                <w:szCs w:val="21"/>
                <w:vertAlign w:val="superscript"/>
              </w:rPr>
              <w:t>e</w:t>
            </w:r>
            <w:r>
              <w:rPr>
                <w:rFonts w:hint="eastAsia" w:ascii="宋体" w:hAnsi="宋体"/>
                <w:snapToGrid w:val="0"/>
                <w:color w:val="auto"/>
                <w:kern w:val="0"/>
                <w:szCs w:val="21"/>
                <w:vertAlign w:val="superscript"/>
              </w:rPr>
              <w:t>）</w:t>
            </w:r>
          </w:p>
        </w:tc>
        <w:tc>
          <w:tcPr>
            <w:tcW w:w="460" w:type="pct"/>
            <w:shd w:val="clear" w:color="auto" w:fill="auto"/>
            <w:vAlign w:val="center"/>
          </w:tcPr>
          <w:p w14:paraId="2B3D3CC2">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污染治理设施工艺</w:t>
            </w:r>
          </w:p>
        </w:tc>
        <w:tc>
          <w:tcPr>
            <w:tcW w:w="308" w:type="pct"/>
            <w:vMerge w:val="continue"/>
            <w:shd w:val="clear" w:color="auto" w:fill="auto"/>
            <w:vAlign w:val="center"/>
          </w:tcPr>
          <w:p w14:paraId="5FED81AE">
            <w:pPr>
              <w:adjustRightInd w:val="0"/>
              <w:snapToGrid w:val="0"/>
              <w:jc w:val="center"/>
              <w:rPr>
                <w:rFonts w:ascii="黑体" w:hAnsi="宋体" w:eastAsia="黑体"/>
                <w:snapToGrid w:val="0"/>
                <w:color w:val="auto"/>
                <w:kern w:val="0"/>
                <w:szCs w:val="21"/>
              </w:rPr>
            </w:pPr>
          </w:p>
        </w:tc>
        <w:tc>
          <w:tcPr>
            <w:tcW w:w="343" w:type="pct"/>
            <w:vMerge w:val="continue"/>
            <w:shd w:val="clear" w:color="auto" w:fill="auto"/>
            <w:vAlign w:val="center"/>
          </w:tcPr>
          <w:p w14:paraId="214595E3">
            <w:pPr>
              <w:adjustRightInd w:val="0"/>
              <w:snapToGrid w:val="0"/>
              <w:jc w:val="center"/>
              <w:rPr>
                <w:rFonts w:ascii="黑体" w:hAnsi="宋体" w:eastAsia="黑体"/>
                <w:snapToGrid w:val="0"/>
                <w:color w:val="auto"/>
                <w:kern w:val="0"/>
                <w:szCs w:val="21"/>
              </w:rPr>
            </w:pPr>
          </w:p>
        </w:tc>
        <w:tc>
          <w:tcPr>
            <w:tcW w:w="319" w:type="pct"/>
            <w:vMerge w:val="continue"/>
            <w:shd w:val="clear" w:color="auto" w:fill="auto"/>
            <w:vAlign w:val="center"/>
          </w:tcPr>
          <w:p w14:paraId="09A0FA43">
            <w:pPr>
              <w:adjustRightInd w:val="0"/>
              <w:snapToGrid w:val="0"/>
              <w:jc w:val="center"/>
              <w:rPr>
                <w:rFonts w:ascii="黑体" w:hAnsi="宋体" w:eastAsia="黑体"/>
                <w:snapToGrid w:val="0"/>
                <w:color w:val="auto"/>
                <w:kern w:val="0"/>
                <w:szCs w:val="21"/>
              </w:rPr>
            </w:pPr>
          </w:p>
        </w:tc>
      </w:tr>
      <w:tr w14:paraId="2B5120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1" w:type="pct"/>
            <w:vMerge w:val="restart"/>
            <w:shd w:val="clear" w:color="auto" w:fill="auto"/>
            <w:vAlign w:val="center"/>
          </w:tcPr>
          <w:p w14:paraId="4F82136B">
            <w:pPr>
              <w:adjustRightInd w:val="0"/>
              <w:snapToGrid w:val="0"/>
              <w:jc w:val="center"/>
              <w:rPr>
                <w:snapToGrid w:val="0"/>
                <w:color w:val="auto"/>
                <w:kern w:val="0"/>
                <w:szCs w:val="21"/>
                <w:lang w:val="zh-CN"/>
              </w:rPr>
            </w:pPr>
            <w:r>
              <w:rPr>
                <w:snapToGrid w:val="0"/>
                <w:color w:val="auto"/>
                <w:kern w:val="0"/>
                <w:szCs w:val="21"/>
                <w:lang w:val="zh-CN"/>
              </w:rPr>
              <w:t>1</w:t>
            </w:r>
          </w:p>
        </w:tc>
        <w:tc>
          <w:tcPr>
            <w:tcW w:w="419" w:type="pct"/>
            <w:vMerge w:val="restart"/>
            <w:vAlign w:val="center"/>
          </w:tcPr>
          <w:p w14:paraId="1B23A6C5">
            <w:pPr>
              <w:pStyle w:val="84"/>
              <w:rPr>
                <w:color w:val="auto"/>
              </w:rPr>
            </w:pPr>
            <w:r>
              <w:rPr>
                <w:rFonts w:hint="eastAsia"/>
                <w:color w:val="auto"/>
              </w:rPr>
              <w:t>淋溶水</w:t>
            </w:r>
          </w:p>
        </w:tc>
        <w:tc>
          <w:tcPr>
            <w:tcW w:w="845" w:type="pct"/>
            <w:vMerge w:val="restart"/>
            <w:shd w:val="clear" w:color="auto" w:fill="auto"/>
            <w:vAlign w:val="center"/>
          </w:tcPr>
          <w:p w14:paraId="7E940B61">
            <w:pPr>
              <w:adjustRightInd w:val="0"/>
              <w:snapToGrid w:val="0"/>
              <w:jc w:val="center"/>
              <w:rPr>
                <w:snapToGrid w:val="0"/>
                <w:color w:val="auto"/>
                <w:kern w:val="0"/>
                <w:szCs w:val="21"/>
              </w:rPr>
            </w:pPr>
            <w:r>
              <w:rPr>
                <w:snapToGrid w:val="0"/>
                <w:color w:val="auto"/>
                <w:kern w:val="0"/>
                <w:szCs w:val="21"/>
              </w:rPr>
              <w:t>pH</w:t>
            </w:r>
            <w:r>
              <w:rPr>
                <w:rFonts w:hint="eastAsia"/>
                <w:snapToGrid w:val="0"/>
                <w:color w:val="auto"/>
                <w:kern w:val="0"/>
                <w:szCs w:val="21"/>
                <w:lang w:val="zh-CN"/>
              </w:rPr>
              <w:t>、</w:t>
            </w:r>
            <w:r>
              <w:rPr>
                <w:snapToGrid w:val="0"/>
                <w:color w:val="auto"/>
                <w:kern w:val="0"/>
                <w:szCs w:val="21"/>
              </w:rPr>
              <w:t>CODcr</w:t>
            </w:r>
            <w:r>
              <w:rPr>
                <w:rFonts w:hint="eastAsia"/>
                <w:snapToGrid w:val="0"/>
                <w:color w:val="auto"/>
                <w:kern w:val="0"/>
                <w:szCs w:val="21"/>
                <w:lang w:val="zh-CN"/>
              </w:rPr>
              <w:t>、</w:t>
            </w:r>
            <w:r>
              <w:rPr>
                <w:snapToGrid w:val="0"/>
                <w:color w:val="auto"/>
                <w:kern w:val="0"/>
                <w:szCs w:val="21"/>
              </w:rPr>
              <w:t>BOD</w:t>
            </w:r>
            <w:r>
              <w:rPr>
                <w:snapToGrid w:val="0"/>
                <w:color w:val="auto"/>
                <w:kern w:val="0"/>
                <w:szCs w:val="21"/>
                <w:vertAlign w:val="subscript"/>
              </w:rPr>
              <w:t>5</w:t>
            </w:r>
            <w:r>
              <w:rPr>
                <w:rFonts w:hint="eastAsia"/>
                <w:snapToGrid w:val="0"/>
                <w:color w:val="auto"/>
                <w:kern w:val="0"/>
                <w:szCs w:val="21"/>
                <w:lang w:val="zh-CN"/>
              </w:rPr>
              <w:t>、</w:t>
            </w:r>
            <w:r>
              <w:rPr>
                <w:snapToGrid w:val="0"/>
                <w:color w:val="auto"/>
                <w:kern w:val="0"/>
                <w:szCs w:val="21"/>
              </w:rPr>
              <w:t>SS</w:t>
            </w:r>
            <w:r>
              <w:rPr>
                <w:rFonts w:hint="eastAsia"/>
                <w:snapToGrid w:val="0"/>
                <w:color w:val="auto"/>
                <w:kern w:val="0"/>
                <w:szCs w:val="21"/>
              </w:rPr>
              <w:t>等</w:t>
            </w:r>
          </w:p>
        </w:tc>
        <w:tc>
          <w:tcPr>
            <w:tcW w:w="608" w:type="pct"/>
            <w:vMerge w:val="restart"/>
            <w:shd w:val="clear" w:color="auto" w:fill="auto"/>
            <w:vAlign w:val="center"/>
          </w:tcPr>
          <w:p w14:paraId="05000334">
            <w:pPr>
              <w:pStyle w:val="84"/>
              <w:rPr>
                <w:color w:val="auto"/>
              </w:rPr>
            </w:pPr>
            <w:r>
              <w:rPr>
                <w:rFonts w:hint="eastAsia"/>
                <w:color w:val="auto"/>
              </w:rPr>
              <w:t>沉淀后回用于场区洒水降尘</w:t>
            </w:r>
          </w:p>
        </w:tc>
        <w:tc>
          <w:tcPr>
            <w:tcW w:w="400" w:type="pct"/>
            <w:vMerge w:val="restart"/>
            <w:shd w:val="clear" w:color="auto" w:fill="auto"/>
            <w:vAlign w:val="center"/>
          </w:tcPr>
          <w:p w14:paraId="1AF2168B">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w:t>
            </w:r>
          </w:p>
        </w:tc>
        <w:tc>
          <w:tcPr>
            <w:tcW w:w="526" w:type="pct"/>
            <w:shd w:val="clear" w:color="auto" w:fill="auto"/>
            <w:vAlign w:val="center"/>
          </w:tcPr>
          <w:p w14:paraId="156CD468">
            <w:pPr>
              <w:spacing w:before="81" w:after="81"/>
              <w:jc w:val="center"/>
              <w:rPr>
                <w:snapToGrid w:val="0"/>
                <w:color w:val="auto"/>
                <w:lang w:val="zh-CN"/>
              </w:rPr>
            </w:pPr>
            <w:r>
              <w:rPr>
                <w:snapToGrid w:val="0"/>
                <w:color w:val="auto"/>
                <w:lang w:val="zh-CN"/>
              </w:rPr>
              <w:t>TW001</w:t>
            </w:r>
          </w:p>
        </w:tc>
        <w:tc>
          <w:tcPr>
            <w:tcW w:w="508" w:type="pct"/>
            <w:vMerge w:val="restart"/>
            <w:shd w:val="clear" w:color="auto" w:fill="auto"/>
            <w:vAlign w:val="center"/>
          </w:tcPr>
          <w:p w14:paraId="157469EB">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暂存池</w:t>
            </w:r>
          </w:p>
        </w:tc>
        <w:tc>
          <w:tcPr>
            <w:tcW w:w="460" w:type="pct"/>
            <w:vMerge w:val="restart"/>
            <w:shd w:val="clear" w:color="auto" w:fill="auto"/>
            <w:vAlign w:val="center"/>
          </w:tcPr>
          <w:p w14:paraId="46BBBFCD">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沉淀</w:t>
            </w:r>
          </w:p>
        </w:tc>
        <w:tc>
          <w:tcPr>
            <w:tcW w:w="308" w:type="pct"/>
            <w:vMerge w:val="restart"/>
            <w:shd w:val="clear" w:color="auto" w:fill="auto"/>
            <w:vAlign w:val="center"/>
          </w:tcPr>
          <w:p w14:paraId="08DD1CA7">
            <w:pPr>
              <w:spacing w:before="81" w:after="81"/>
              <w:jc w:val="center"/>
              <w:rPr>
                <w:snapToGrid w:val="0"/>
                <w:color w:val="auto"/>
                <w:lang w:val="zh-CN"/>
              </w:rPr>
            </w:pPr>
            <w:r>
              <w:rPr>
                <w:snapToGrid w:val="0"/>
                <w:color w:val="auto"/>
                <w:lang w:val="zh-CN"/>
              </w:rPr>
              <w:t>/</w:t>
            </w:r>
          </w:p>
        </w:tc>
        <w:tc>
          <w:tcPr>
            <w:tcW w:w="343" w:type="pct"/>
            <w:vMerge w:val="restart"/>
            <w:shd w:val="clear" w:color="auto" w:fill="auto"/>
            <w:vAlign w:val="center"/>
          </w:tcPr>
          <w:p w14:paraId="1A9E577A">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w:t>
            </w:r>
          </w:p>
        </w:tc>
        <w:tc>
          <w:tcPr>
            <w:tcW w:w="319" w:type="pct"/>
            <w:vMerge w:val="restart"/>
            <w:shd w:val="clear" w:color="auto" w:fill="auto"/>
            <w:vAlign w:val="center"/>
          </w:tcPr>
          <w:p w14:paraId="2333CAF0">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w:t>
            </w:r>
          </w:p>
        </w:tc>
      </w:tr>
      <w:tr w14:paraId="52DD42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1" w:type="pct"/>
            <w:vMerge w:val="continue"/>
            <w:shd w:val="clear" w:color="auto" w:fill="auto"/>
            <w:vAlign w:val="center"/>
          </w:tcPr>
          <w:p w14:paraId="615C04A8">
            <w:pPr>
              <w:adjustRightInd w:val="0"/>
              <w:snapToGrid w:val="0"/>
              <w:jc w:val="center"/>
              <w:rPr>
                <w:snapToGrid w:val="0"/>
                <w:color w:val="auto"/>
                <w:kern w:val="0"/>
                <w:szCs w:val="21"/>
                <w:lang w:val="zh-CN"/>
              </w:rPr>
            </w:pPr>
          </w:p>
        </w:tc>
        <w:tc>
          <w:tcPr>
            <w:tcW w:w="419" w:type="pct"/>
            <w:vMerge w:val="continue"/>
            <w:vAlign w:val="center"/>
          </w:tcPr>
          <w:p w14:paraId="7F312DDC">
            <w:pPr>
              <w:pStyle w:val="84"/>
              <w:rPr>
                <w:rFonts w:hint="eastAsia"/>
                <w:color w:val="auto"/>
              </w:rPr>
            </w:pPr>
          </w:p>
        </w:tc>
        <w:tc>
          <w:tcPr>
            <w:tcW w:w="845" w:type="pct"/>
            <w:vMerge w:val="continue"/>
            <w:shd w:val="clear" w:color="auto" w:fill="auto"/>
            <w:vAlign w:val="center"/>
          </w:tcPr>
          <w:p w14:paraId="00033F39">
            <w:pPr>
              <w:adjustRightInd w:val="0"/>
              <w:snapToGrid w:val="0"/>
              <w:jc w:val="center"/>
              <w:rPr>
                <w:snapToGrid w:val="0"/>
                <w:color w:val="auto"/>
                <w:kern w:val="0"/>
                <w:szCs w:val="21"/>
              </w:rPr>
            </w:pPr>
          </w:p>
        </w:tc>
        <w:tc>
          <w:tcPr>
            <w:tcW w:w="608" w:type="pct"/>
            <w:vMerge w:val="continue"/>
            <w:shd w:val="clear" w:color="auto" w:fill="auto"/>
            <w:vAlign w:val="center"/>
          </w:tcPr>
          <w:p w14:paraId="4305052B">
            <w:pPr>
              <w:pStyle w:val="84"/>
              <w:rPr>
                <w:rFonts w:hint="eastAsia"/>
                <w:color w:val="auto"/>
              </w:rPr>
            </w:pPr>
          </w:p>
        </w:tc>
        <w:tc>
          <w:tcPr>
            <w:tcW w:w="400" w:type="pct"/>
            <w:vMerge w:val="continue"/>
            <w:shd w:val="clear" w:color="auto" w:fill="auto"/>
            <w:vAlign w:val="center"/>
          </w:tcPr>
          <w:p w14:paraId="3BA37A54">
            <w:pPr>
              <w:adjustRightInd w:val="0"/>
              <w:snapToGrid w:val="0"/>
              <w:jc w:val="center"/>
              <w:rPr>
                <w:rFonts w:hint="eastAsia" w:ascii="宋体" w:hAnsi="宋体"/>
                <w:snapToGrid w:val="0"/>
                <w:color w:val="auto"/>
                <w:kern w:val="0"/>
                <w:szCs w:val="21"/>
              </w:rPr>
            </w:pPr>
          </w:p>
        </w:tc>
        <w:tc>
          <w:tcPr>
            <w:tcW w:w="526" w:type="pct"/>
            <w:shd w:val="clear" w:color="auto" w:fill="auto"/>
            <w:vAlign w:val="center"/>
          </w:tcPr>
          <w:p w14:paraId="2A14C230">
            <w:pPr>
              <w:spacing w:before="81" w:after="81"/>
              <w:jc w:val="center"/>
              <w:rPr>
                <w:rFonts w:hint="eastAsia" w:ascii="Times New Roman" w:hAnsi="Times New Roman" w:eastAsia="宋体" w:cs="Times New Roman"/>
                <w:snapToGrid w:val="0"/>
                <w:color w:val="auto"/>
                <w:kern w:val="2"/>
                <w:sz w:val="21"/>
                <w:szCs w:val="24"/>
                <w:lang w:val="en-US" w:eastAsia="zh-CN" w:bidi="ar-SA"/>
              </w:rPr>
            </w:pPr>
            <w:r>
              <w:rPr>
                <w:snapToGrid w:val="0"/>
                <w:color w:val="auto"/>
                <w:lang w:val="zh-CN"/>
              </w:rPr>
              <w:t>TW00</w:t>
            </w:r>
            <w:r>
              <w:rPr>
                <w:rFonts w:hint="eastAsia"/>
                <w:snapToGrid w:val="0"/>
                <w:color w:val="auto"/>
                <w:lang w:val="en-US" w:eastAsia="zh-CN"/>
              </w:rPr>
              <w:t>2</w:t>
            </w:r>
          </w:p>
        </w:tc>
        <w:tc>
          <w:tcPr>
            <w:tcW w:w="508" w:type="pct"/>
            <w:vMerge w:val="continue"/>
            <w:shd w:val="clear" w:color="auto" w:fill="auto"/>
            <w:vAlign w:val="center"/>
          </w:tcPr>
          <w:p w14:paraId="3F2F2317">
            <w:pPr>
              <w:adjustRightInd w:val="0"/>
              <w:snapToGrid w:val="0"/>
              <w:jc w:val="center"/>
              <w:rPr>
                <w:rFonts w:hint="eastAsia" w:ascii="宋体" w:hAnsi="宋体"/>
                <w:snapToGrid w:val="0"/>
                <w:color w:val="auto"/>
                <w:kern w:val="0"/>
                <w:szCs w:val="21"/>
              </w:rPr>
            </w:pPr>
          </w:p>
        </w:tc>
        <w:tc>
          <w:tcPr>
            <w:tcW w:w="460" w:type="pct"/>
            <w:vMerge w:val="continue"/>
            <w:shd w:val="clear" w:color="auto" w:fill="auto"/>
            <w:vAlign w:val="center"/>
          </w:tcPr>
          <w:p w14:paraId="2B340700">
            <w:pPr>
              <w:adjustRightInd w:val="0"/>
              <w:snapToGrid w:val="0"/>
              <w:jc w:val="center"/>
              <w:rPr>
                <w:rFonts w:hint="eastAsia" w:ascii="宋体" w:hAnsi="宋体"/>
                <w:snapToGrid w:val="0"/>
                <w:color w:val="auto"/>
                <w:kern w:val="0"/>
                <w:szCs w:val="21"/>
              </w:rPr>
            </w:pPr>
          </w:p>
        </w:tc>
        <w:tc>
          <w:tcPr>
            <w:tcW w:w="308" w:type="pct"/>
            <w:vMerge w:val="continue"/>
            <w:shd w:val="clear" w:color="auto" w:fill="auto"/>
            <w:vAlign w:val="center"/>
          </w:tcPr>
          <w:p w14:paraId="460DE3EC">
            <w:pPr>
              <w:spacing w:before="81" w:after="81"/>
              <w:jc w:val="center"/>
              <w:rPr>
                <w:snapToGrid w:val="0"/>
                <w:color w:val="auto"/>
                <w:lang w:val="zh-CN"/>
              </w:rPr>
            </w:pPr>
          </w:p>
        </w:tc>
        <w:tc>
          <w:tcPr>
            <w:tcW w:w="343" w:type="pct"/>
            <w:vMerge w:val="continue"/>
            <w:shd w:val="clear" w:color="auto" w:fill="auto"/>
            <w:vAlign w:val="center"/>
          </w:tcPr>
          <w:p w14:paraId="1A95EE5D">
            <w:pPr>
              <w:adjustRightInd w:val="0"/>
              <w:snapToGrid w:val="0"/>
              <w:jc w:val="center"/>
              <w:rPr>
                <w:rFonts w:hint="eastAsia" w:ascii="宋体" w:hAnsi="宋体"/>
                <w:snapToGrid w:val="0"/>
                <w:color w:val="auto"/>
                <w:kern w:val="0"/>
                <w:szCs w:val="21"/>
              </w:rPr>
            </w:pPr>
          </w:p>
        </w:tc>
        <w:tc>
          <w:tcPr>
            <w:tcW w:w="319" w:type="pct"/>
            <w:vMerge w:val="continue"/>
            <w:shd w:val="clear" w:color="auto" w:fill="auto"/>
            <w:vAlign w:val="center"/>
          </w:tcPr>
          <w:p w14:paraId="226826F2">
            <w:pPr>
              <w:adjustRightInd w:val="0"/>
              <w:snapToGrid w:val="0"/>
              <w:jc w:val="center"/>
              <w:rPr>
                <w:rFonts w:hint="eastAsia" w:ascii="宋体" w:hAnsi="宋体"/>
                <w:snapToGrid w:val="0"/>
                <w:color w:val="auto"/>
                <w:kern w:val="0"/>
                <w:szCs w:val="21"/>
              </w:rPr>
            </w:pPr>
          </w:p>
        </w:tc>
      </w:tr>
      <w:tr w14:paraId="43917C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261" w:type="pct"/>
            <w:shd w:val="clear" w:color="auto" w:fill="auto"/>
            <w:vAlign w:val="center"/>
          </w:tcPr>
          <w:p w14:paraId="5A315849">
            <w:pPr>
              <w:adjustRightInd w:val="0"/>
              <w:snapToGrid w:val="0"/>
              <w:jc w:val="center"/>
              <w:rPr>
                <w:snapToGrid w:val="0"/>
                <w:color w:val="auto"/>
                <w:kern w:val="0"/>
                <w:szCs w:val="21"/>
                <w:lang w:val="zh-CN"/>
              </w:rPr>
            </w:pPr>
            <w:r>
              <w:rPr>
                <w:rFonts w:hint="eastAsia"/>
                <w:snapToGrid w:val="0"/>
                <w:color w:val="auto"/>
                <w:kern w:val="0"/>
                <w:szCs w:val="21"/>
                <w:lang w:val="zh-CN"/>
              </w:rPr>
              <w:t>2</w:t>
            </w:r>
          </w:p>
        </w:tc>
        <w:tc>
          <w:tcPr>
            <w:tcW w:w="419" w:type="pct"/>
            <w:vAlign w:val="center"/>
          </w:tcPr>
          <w:p w14:paraId="1BA24EC8">
            <w:pPr>
              <w:adjustRightInd w:val="0"/>
              <w:snapToGrid w:val="0"/>
              <w:rPr>
                <w:rFonts w:ascii="宋体" w:hAnsi="宋体"/>
                <w:snapToGrid w:val="0"/>
                <w:color w:val="auto"/>
                <w:kern w:val="0"/>
                <w:szCs w:val="21"/>
              </w:rPr>
            </w:pPr>
            <w:r>
              <w:rPr>
                <w:rFonts w:hint="eastAsia" w:ascii="宋体" w:hAnsi="宋体"/>
                <w:snapToGrid w:val="0"/>
                <w:color w:val="auto"/>
                <w:kern w:val="0"/>
                <w:szCs w:val="21"/>
              </w:rPr>
              <w:t>生活污水</w:t>
            </w:r>
          </w:p>
        </w:tc>
        <w:tc>
          <w:tcPr>
            <w:tcW w:w="845" w:type="pct"/>
            <w:shd w:val="clear" w:color="auto" w:fill="auto"/>
            <w:vAlign w:val="center"/>
          </w:tcPr>
          <w:p w14:paraId="48FB2366">
            <w:pPr>
              <w:adjustRightInd w:val="0"/>
              <w:snapToGrid w:val="0"/>
              <w:jc w:val="center"/>
              <w:rPr>
                <w:snapToGrid w:val="0"/>
                <w:color w:val="auto"/>
                <w:kern w:val="0"/>
                <w:szCs w:val="21"/>
              </w:rPr>
            </w:pPr>
            <w:r>
              <w:rPr>
                <w:snapToGrid w:val="0"/>
                <w:color w:val="auto"/>
                <w:kern w:val="0"/>
                <w:szCs w:val="21"/>
              </w:rPr>
              <w:t>CODcr</w:t>
            </w:r>
            <w:r>
              <w:rPr>
                <w:rFonts w:hint="eastAsia"/>
                <w:snapToGrid w:val="0"/>
                <w:color w:val="auto"/>
                <w:kern w:val="0"/>
                <w:szCs w:val="21"/>
                <w:lang w:val="zh-CN"/>
              </w:rPr>
              <w:t>、</w:t>
            </w:r>
            <w:r>
              <w:rPr>
                <w:snapToGrid w:val="0"/>
                <w:color w:val="auto"/>
                <w:kern w:val="0"/>
                <w:szCs w:val="21"/>
              </w:rPr>
              <w:t>BOD</w:t>
            </w:r>
            <w:r>
              <w:rPr>
                <w:snapToGrid w:val="0"/>
                <w:color w:val="auto"/>
                <w:kern w:val="0"/>
                <w:szCs w:val="21"/>
                <w:vertAlign w:val="subscript"/>
              </w:rPr>
              <w:t>5</w:t>
            </w:r>
            <w:r>
              <w:rPr>
                <w:rFonts w:hint="eastAsia"/>
                <w:snapToGrid w:val="0"/>
                <w:color w:val="auto"/>
                <w:kern w:val="0"/>
                <w:szCs w:val="21"/>
                <w:lang w:val="zh-CN"/>
              </w:rPr>
              <w:t>、</w:t>
            </w:r>
            <w:r>
              <w:rPr>
                <w:snapToGrid w:val="0"/>
                <w:color w:val="auto"/>
                <w:kern w:val="0"/>
                <w:szCs w:val="21"/>
              </w:rPr>
              <w:t>SS</w:t>
            </w:r>
            <w:r>
              <w:rPr>
                <w:rFonts w:hint="eastAsia"/>
                <w:snapToGrid w:val="0"/>
                <w:color w:val="auto"/>
                <w:kern w:val="0"/>
                <w:szCs w:val="21"/>
                <w:lang w:val="zh-CN"/>
              </w:rPr>
              <w:t>、氨氮</w:t>
            </w:r>
          </w:p>
        </w:tc>
        <w:tc>
          <w:tcPr>
            <w:tcW w:w="608" w:type="pct"/>
            <w:shd w:val="clear" w:color="auto" w:fill="auto"/>
            <w:vAlign w:val="center"/>
          </w:tcPr>
          <w:p w14:paraId="150A4F6F">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民房的防渗旱厕</w:t>
            </w:r>
          </w:p>
        </w:tc>
        <w:tc>
          <w:tcPr>
            <w:tcW w:w="400" w:type="pct"/>
            <w:shd w:val="clear" w:color="auto" w:fill="auto"/>
            <w:vAlign w:val="center"/>
          </w:tcPr>
          <w:p w14:paraId="319FD463">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w:t>
            </w:r>
          </w:p>
        </w:tc>
        <w:tc>
          <w:tcPr>
            <w:tcW w:w="526" w:type="pct"/>
            <w:shd w:val="clear" w:color="auto" w:fill="auto"/>
            <w:vAlign w:val="center"/>
          </w:tcPr>
          <w:p w14:paraId="5BDCE80D">
            <w:pPr>
              <w:spacing w:before="81" w:after="81"/>
              <w:jc w:val="center"/>
              <w:rPr>
                <w:rFonts w:hint="eastAsia" w:eastAsia="宋体"/>
                <w:snapToGrid w:val="0"/>
                <w:color w:val="auto"/>
                <w:lang w:val="en-US" w:eastAsia="zh-CN"/>
              </w:rPr>
            </w:pPr>
            <w:r>
              <w:rPr>
                <w:snapToGrid w:val="0"/>
                <w:color w:val="auto"/>
                <w:lang w:val="zh-CN"/>
              </w:rPr>
              <w:t>TW00</w:t>
            </w:r>
            <w:r>
              <w:rPr>
                <w:rFonts w:hint="eastAsia"/>
                <w:snapToGrid w:val="0"/>
                <w:color w:val="auto"/>
                <w:lang w:val="en-US" w:eastAsia="zh-CN"/>
              </w:rPr>
              <w:t>3</w:t>
            </w:r>
          </w:p>
        </w:tc>
        <w:tc>
          <w:tcPr>
            <w:tcW w:w="508" w:type="pct"/>
            <w:shd w:val="clear" w:color="auto" w:fill="auto"/>
            <w:vAlign w:val="center"/>
          </w:tcPr>
          <w:p w14:paraId="06CF6A0A">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防渗旱厕</w:t>
            </w:r>
          </w:p>
        </w:tc>
        <w:tc>
          <w:tcPr>
            <w:tcW w:w="460" w:type="pct"/>
            <w:shd w:val="clear" w:color="auto" w:fill="auto"/>
            <w:vAlign w:val="center"/>
          </w:tcPr>
          <w:p w14:paraId="4F15FD71">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防渗旱厕</w:t>
            </w:r>
          </w:p>
        </w:tc>
        <w:tc>
          <w:tcPr>
            <w:tcW w:w="308" w:type="pct"/>
            <w:shd w:val="clear" w:color="auto" w:fill="auto"/>
            <w:vAlign w:val="center"/>
          </w:tcPr>
          <w:p w14:paraId="7604E39B">
            <w:pPr>
              <w:spacing w:before="81" w:after="81"/>
              <w:jc w:val="center"/>
              <w:rPr>
                <w:snapToGrid w:val="0"/>
                <w:color w:val="auto"/>
                <w:lang w:val="zh-CN"/>
              </w:rPr>
            </w:pPr>
            <w:r>
              <w:rPr>
                <w:snapToGrid w:val="0"/>
                <w:color w:val="auto"/>
                <w:lang w:val="zh-CN"/>
              </w:rPr>
              <w:t>/</w:t>
            </w:r>
          </w:p>
        </w:tc>
        <w:tc>
          <w:tcPr>
            <w:tcW w:w="343" w:type="pct"/>
            <w:shd w:val="clear" w:color="auto" w:fill="auto"/>
            <w:vAlign w:val="center"/>
          </w:tcPr>
          <w:p w14:paraId="120CA18F">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w:t>
            </w:r>
          </w:p>
        </w:tc>
        <w:tc>
          <w:tcPr>
            <w:tcW w:w="319" w:type="pct"/>
            <w:shd w:val="clear" w:color="auto" w:fill="auto"/>
            <w:vAlign w:val="center"/>
          </w:tcPr>
          <w:p w14:paraId="116E709C">
            <w:pPr>
              <w:adjustRightInd w:val="0"/>
              <w:snapToGrid w:val="0"/>
              <w:jc w:val="center"/>
              <w:rPr>
                <w:rFonts w:ascii="宋体" w:hAnsi="宋体"/>
                <w:snapToGrid w:val="0"/>
                <w:color w:val="auto"/>
                <w:kern w:val="0"/>
                <w:szCs w:val="21"/>
              </w:rPr>
            </w:pPr>
            <w:r>
              <w:rPr>
                <w:rFonts w:hint="eastAsia" w:ascii="宋体" w:hAnsi="宋体"/>
                <w:snapToGrid w:val="0"/>
                <w:color w:val="auto"/>
                <w:kern w:val="0"/>
                <w:szCs w:val="21"/>
              </w:rPr>
              <w:t>/</w:t>
            </w:r>
          </w:p>
        </w:tc>
      </w:tr>
      <w:tr w14:paraId="4C44B2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000" w:type="pct"/>
            <w:gridSpan w:val="11"/>
            <w:shd w:val="clear" w:color="auto" w:fill="auto"/>
            <w:vAlign w:val="center"/>
          </w:tcPr>
          <w:p w14:paraId="776FEB52">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a</w:t>
            </w:r>
            <w:r>
              <w:rPr>
                <w:snapToGrid w:val="0"/>
                <w:color w:val="auto"/>
                <w:kern w:val="0"/>
                <w:sz w:val="20"/>
                <w:szCs w:val="21"/>
                <w:vertAlign w:val="superscript"/>
              </w:rPr>
              <w:t xml:space="preserve"> </w:t>
            </w:r>
            <w:r>
              <w:rPr>
                <w:snapToGrid w:val="0"/>
                <w:color w:val="auto"/>
                <w:kern w:val="0"/>
                <w:sz w:val="20"/>
                <w:szCs w:val="21"/>
              </w:rPr>
              <w:t>指</w:t>
            </w:r>
            <w:r>
              <w:rPr>
                <w:rFonts w:hint="eastAsia"/>
                <w:snapToGrid w:val="0"/>
                <w:color w:val="auto"/>
                <w:kern w:val="0"/>
                <w:sz w:val="20"/>
                <w:szCs w:val="21"/>
              </w:rPr>
              <w:t>产生废水的</w:t>
            </w:r>
            <w:r>
              <w:rPr>
                <w:snapToGrid w:val="0"/>
                <w:color w:val="auto"/>
                <w:kern w:val="0"/>
                <w:sz w:val="20"/>
                <w:szCs w:val="21"/>
              </w:rPr>
              <w:t>工艺、工序</w:t>
            </w:r>
            <w:r>
              <w:rPr>
                <w:rFonts w:hint="eastAsia"/>
                <w:snapToGrid w:val="0"/>
                <w:color w:val="auto"/>
                <w:kern w:val="0"/>
                <w:sz w:val="20"/>
                <w:szCs w:val="21"/>
              </w:rPr>
              <w:t>，或废水类型</w:t>
            </w:r>
            <w:r>
              <w:rPr>
                <w:snapToGrid w:val="0"/>
                <w:color w:val="auto"/>
                <w:kern w:val="0"/>
                <w:sz w:val="20"/>
                <w:szCs w:val="21"/>
              </w:rPr>
              <w:t>的名称。</w:t>
            </w:r>
          </w:p>
          <w:p w14:paraId="38571E5F">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b</w:t>
            </w:r>
            <w:r>
              <w:rPr>
                <w:snapToGrid w:val="0"/>
                <w:color w:val="auto"/>
                <w:kern w:val="0"/>
                <w:sz w:val="20"/>
                <w:szCs w:val="21"/>
                <w:vertAlign w:val="superscript"/>
              </w:rPr>
              <w:t xml:space="preserve"> </w:t>
            </w:r>
            <w:r>
              <w:rPr>
                <w:rFonts w:hint="eastAsia"/>
                <w:snapToGrid w:val="0"/>
                <w:color w:val="auto"/>
                <w:kern w:val="0"/>
                <w:sz w:val="20"/>
                <w:szCs w:val="21"/>
              </w:rPr>
              <w:t>指产生的主要污染物类型，以相应排放标准中确定的污染因子为准。</w:t>
            </w:r>
          </w:p>
          <w:p w14:paraId="2DE85ADA">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c</w:t>
            </w:r>
            <w:r>
              <w:rPr>
                <w:snapToGrid w:val="0"/>
                <w:color w:val="auto"/>
                <w:kern w:val="0"/>
                <w:sz w:val="20"/>
                <w:szCs w:val="21"/>
                <w:vertAlign w:val="superscript"/>
              </w:rPr>
              <w:t xml:space="preserve"> </w:t>
            </w:r>
            <w:r>
              <w:rPr>
                <w:rFonts w:hint="eastAsia"/>
                <w:snapToGrid w:val="0"/>
                <w:color w:val="auto"/>
                <w:kern w:val="0"/>
                <w:sz w:val="20"/>
                <w:szCs w:val="21"/>
              </w:rPr>
              <w:t>包括不外排；排至厂内综合污水处理站；直接进入海域；直接进入江河、湖、库等水环境；进入城市下水道（再入江河、湖、库）；进入城市下水道（再入沿海海域）；进入城市污水处理厂；直接进入污灌农田；进入地渗或蒸发地；进入其他单位；工业废水集中处理厂；其他（包括回用等）。</w:t>
            </w:r>
            <w:r>
              <w:rPr>
                <w:snapToGrid w:val="0"/>
                <w:color w:val="auto"/>
                <w:kern w:val="0"/>
                <w:sz w:val="20"/>
                <w:szCs w:val="21"/>
              </w:rPr>
              <w:t>对于工艺、工序产生的废水，“不外排”指全部在工序内部循环使用，“排至厂内综合污水处理站”指工序废水经处理后排至综合处理站。对于综合污水处理站，“不外排”指全厂废水经处理后全部回用不排放。</w:t>
            </w:r>
          </w:p>
          <w:p w14:paraId="59C0884B">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d</w:t>
            </w:r>
            <w:r>
              <w:rPr>
                <w:snapToGrid w:val="0"/>
                <w:color w:val="auto"/>
                <w:kern w:val="0"/>
                <w:sz w:val="20"/>
                <w:szCs w:val="21"/>
                <w:vertAlign w:val="superscript"/>
              </w:rPr>
              <w:t xml:space="preserve"> </w:t>
            </w:r>
            <w:r>
              <w:rPr>
                <w:rFonts w:hint="eastAsia"/>
                <w:snapToGrid w:val="0"/>
                <w:color w:val="auto"/>
                <w:kern w:val="0"/>
                <w:sz w:val="20"/>
                <w:szCs w:val="21"/>
              </w:rPr>
              <w:t>包括连续排放，流量稳定；连续排放，流量不稳定，但有周期性规律；连续排放，流量不稳定，但有规律，且不属于周期性规律；连续排放，流量不稳定，属于冲击型排放；连续排放，流量不稳定且无规律，但不属于冲击型排放；间断排放，排放期间流量稳定；间断排放，排放期间流量不稳定，但有周期性规律；间断排放，排放期间流量不稳定，但有规律，且不属于非周期性规律；间断排放，排放期间流量不稳定，属于冲击型排放；间断排放，排放期间流量不稳定且无规律，但不属于冲击型排放。</w:t>
            </w:r>
          </w:p>
          <w:p w14:paraId="75C29C66">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e</w:t>
            </w:r>
            <w:r>
              <w:rPr>
                <w:snapToGrid w:val="0"/>
                <w:color w:val="auto"/>
                <w:kern w:val="0"/>
                <w:sz w:val="20"/>
                <w:szCs w:val="21"/>
                <w:vertAlign w:val="superscript"/>
              </w:rPr>
              <w:t xml:space="preserve"> </w:t>
            </w:r>
            <w:r>
              <w:rPr>
                <w:snapToGrid w:val="0"/>
                <w:color w:val="auto"/>
                <w:kern w:val="0"/>
                <w:sz w:val="20"/>
                <w:szCs w:val="21"/>
              </w:rPr>
              <w:t>指主要</w:t>
            </w:r>
            <w:r>
              <w:rPr>
                <w:rFonts w:hint="eastAsia"/>
                <w:snapToGrid w:val="0"/>
                <w:color w:val="auto"/>
                <w:kern w:val="0"/>
                <w:sz w:val="20"/>
                <w:szCs w:val="21"/>
              </w:rPr>
              <w:t>污水处理</w:t>
            </w:r>
            <w:r>
              <w:rPr>
                <w:snapToGrid w:val="0"/>
                <w:color w:val="auto"/>
                <w:kern w:val="0"/>
                <w:sz w:val="20"/>
                <w:szCs w:val="21"/>
              </w:rPr>
              <w:t>设施名称，</w:t>
            </w:r>
            <w:r>
              <w:rPr>
                <w:rFonts w:hint="eastAsia"/>
                <w:snapToGrid w:val="0"/>
                <w:color w:val="auto"/>
                <w:kern w:val="0"/>
                <w:sz w:val="20"/>
                <w:szCs w:val="21"/>
              </w:rPr>
              <w:t>如“综合污水处理站”“生活污水处理系统”</w:t>
            </w:r>
            <w:r>
              <w:rPr>
                <w:snapToGrid w:val="0"/>
                <w:color w:val="auto"/>
                <w:kern w:val="0"/>
                <w:sz w:val="20"/>
                <w:szCs w:val="21"/>
              </w:rPr>
              <w:t>等。</w:t>
            </w:r>
          </w:p>
          <w:p w14:paraId="2FE27853">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f</w:t>
            </w:r>
            <w:r>
              <w:rPr>
                <w:snapToGrid w:val="0"/>
                <w:color w:val="auto"/>
                <w:kern w:val="0"/>
                <w:sz w:val="20"/>
                <w:szCs w:val="21"/>
                <w:vertAlign w:val="superscript"/>
              </w:rPr>
              <w:t xml:space="preserve"> </w:t>
            </w:r>
            <w:r>
              <w:rPr>
                <w:rFonts w:hint="eastAsia"/>
                <w:snapToGrid w:val="0"/>
                <w:color w:val="auto"/>
                <w:kern w:val="0"/>
                <w:sz w:val="20"/>
                <w:szCs w:val="21"/>
              </w:rPr>
              <w:t>排放口编号可按地方环境管理部门现有编号进行填写或由企业根据国家相关规范进行编制。</w:t>
            </w:r>
          </w:p>
          <w:p w14:paraId="2A5C5610">
            <w:pPr>
              <w:adjustRightInd w:val="0"/>
              <w:snapToGrid w:val="0"/>
              <w:ind w:firstLine="400" w:firstLineChars="200"/>
              <w:rPr>
                <w:snapToGrid w:val="0"/>
                <w:color w:val="auto"/>
                <w:kern w:val="0"/>
                <w:sz w:val="20"/>
                <w:szCs w:val="21"/>
              </w:rPr>
            </w:pPr>
            <w:r>
              <w:rPr>
                <w:rFonts w:hint="eastAsia"/>
                <w:snapToGrid w:val="0"/>
                <w:color w:val="auto"/>
                <w:kern w:val="0"/>
                <w:sz w:val="20"/>
                <w:szCs w:val="21"/>
                <w:vertAlign w:val="superscript"/>
              </w:rPr>
              <w:t>g</w:t>
            </w:r>
            <w:r>
              <w:rPr>
                <w:snapToGrid w:val="0"/>
                <w:color w:val="auto"/>
                <w:kern w:val="0"/>
                <w:sz w:val="20"/>
                <w:szCs w:val="21"/>
                <w:vertAlign w:val="superscript"/>
              </w:rPr>
              <w:t xml:space="preserve"> </w:t>
            </w:r>
            <w:r>
              <w:rPr>
                <w:rFonts w:hint="eastAsia"/>
                <w:snapToGrid w:val="0"/>
                <w:color w:val="auto"/>
                <w:kern w:val="0"/>
                <w:sz w:val="20"/>
                <w:szCs w:val="21"/>
              </w:rPr>
              <w:t>指排放口设置是否符合排放口规范化整治技术要求等相关文件的规定。</w:t>
            </w:r>
          </w:p>
        </w:tc>
      </w:tr>
      <w:bookmarkEnd w:id="152"/>
    </w:tbl>
    <w:p w14:paraId="5FD7A946">
      <w:pPr>
        <w:pStyle w:val="137"/>
        <w:rPr>
          <w:color w:val="auto"/>
        </w:rPr>
      </w:pPr>
      <w:r>
        <w:rPr>
          <w:color w:val="auto"/>
        </w:rPr>
        <w:t>5.2.3地下水环境影响预测与分析</w:t>
      </w:r>
    </w:p>
    <w:p w14:paraId="52729D53">
      <w:pPr>
        <w:pStyle w:val="59"/>
        <w:ind w:firstLine="480"/>
        <w:rPr>
          <w:color w:val="auto"/>
        </w:rPr>
      </w:pPr>
      <w:r>
        <w:rPr>
          <w:color w:val="auto"/>
        </w:rPr>
        <w:t>为了准确、详细刻画事故工况下</w:t>
      </w:r>
      <w:r>
        <w:rPr>
          <w:rFonts w:hint="eastAsia"/>
          <w:color w:val="auto"/>
        </w:rPr>
        <w:t>淋溶水</w:t>
      </w:r>
      <w:r>
        <w:rPr>
          <w:color w:val="auto"/>
        </w:rPr>
        <w:t>渗漏事故对区域地下水环境的影响，本次评价预测非正常工况下</w:t>
      </w:r>
      <w:r>
        <w:rPr>
          <w:rFonts w:hint="eastAsia"/>
          <w:color w:val="auto"/>
        </w:rPr>
        <w:t>淋溶水</w:t>
      </w:r>
      <w:r>
        <w:rPr>
          <w:color w:val="auto"/>
        </w:rPr>
        <w:t>渗漏对区域地下水环境的影响。</w:t>
      </w:r>
    </w:p>
    <w:p w14:paraId="45E5C035">
      <w:pPr>
        <w:pStyle w:val="59"/>
        <w:ind w:firstLine="480"/>
        <w:rPr>
          <w:color w:val="auto"/>
        </w:rPr>
      </w:pPr>
      <w:r>
        <w:rPr>
          <w:rFonts w:hint="eastAsia"/>
          <w:color w:val="auto"/>
        </w:rPr>
        <w:t>1、项目区水文地质概况</w:t>
      </w:r>
    </w:p>
    <w:p w14:paraId="78E1BB41">
      <w:pPr>
        <w:pStyle w:val="59"/>
        <w:ind w:firstLine="480"/>
        <w:rPr>
          <w:color w:val="auto"/>
        </w:rPr>
      </w:pPr>
      <w:r>
        <w:rPr>
          <w:rFonts w:hint="eastAsia"/>
          <w:color w:val="auto"/>
        </w:rPr>
        <w:t>区域地下水埋藏、分布和赋存条件，主要受地质、地貌及构造等因素的控制，根据调查及资料收集确定区域发育的地下水类型有第四系松散岩类孔隙水及基岩裂隙水，隔水层为微风化的完整基岩。</w:t>
      </w:r>
    </w:p>
    <w:p w14:paraId="06D9D10A">
      <w:pPr>
        <w:pStyle w:val="59"/>
        <w:ind w:firstLine="480"/>
        <w:rPr>
          <w:color w:val="auto"/>
        </w:rPr>
      </w:pPr>
      <w:bookmarkStart w:id="153" w:name="_Toc89940174"/>
      <w:bookmarkStart w:id="154" w:name="_Toc130482196"/>
      <w:r>
        <w:rPr>
          <w:color w:val="auto"/>
        </w:rPr>
        <w:t>1</w:t>
      </w:r>
      <w:r>
        <w:rPr>
          <w:rFonts w:hint="eastAsia"/>
          <w:color w:val="auto"/>
        </w:rPr>
        <w:t>）工作区水文地质条件</w:t>
      </w:r>
      <w:bookmarkEnd w:id="153"/>
      <w:bookmarkEnd w:id="154"/>
    </w:p>
    <w:p w14:paraId="31A5281D">
      <w:pPr>
        <w:pStyle w:val="59"/>
        <w:ind w:firstLine="480"/>
        <w:rPr>
          <w:color w:val="auto"/>
        </w:rPr>
      </w:pPr>
      <w:r>
        <w:rPr>
          <w:rFonts w:hint="eastAsia"/>
          <w:color w:val="auto"/>
        </w:rPr>
        <w:t>工作区内基岩近地表发育风化裂隙，赋存风化裂隙水，为岩床充水含水层；基岩风化带以下岩石完整性好，透水性弱，为该区风化裂隙含水层的底板，属隔水层。工作区水文地质情况分述如下：</w:t>
      </w:r>
    </w:p>
    <w:p w14:paraId="560063DE">
      <w:pPr>
        <w:pStyle w:val="59"/>
        <w:ind w:firstLine="480"/>
        <w:rPr>
          <w:color w:val="auto"/>
        </w:rPr>
      </w:pPr>
      <w:r>
        <w:rPr>
          <w:rFonts w:hint="eastAsia"/>
          <w:color w:val="auto"/>
        </w:rPr>
        <w:t>①基岩风化裂隙水</w:t>
      </w:r>
    </w:p>
    <w:p w14:paraId="428A0C5D">
      <w:pPr>
        <w:pStyle w:val="59"/>
        <w:ind w:firstLine="480"/>
        <w:rPr>
          <w:color w:val="auto"/>
        </w:rPr>
      </w:pPr>
      <w:r>
        <w:rPr>
          <w:rFonts w:hint="eastAsia"/>
          <w:color w:val="auto"/>
        </w:rPr>
        <w:t>整个工作区内基岩近地表发育风化裂隙，风化带总厚度为</w:t>
      </w:r>
      <w:r>
        <w:rPr>
          <w:color w:val="auto"/>
        </w:rPr>
        <w:t>40m</w:t>
      </w:r>
      <w:r>
        <w:rPr>
          <w:rFonts w:hint="eastAsia"/>
          <w:color w:val="auto"/>
        </w:rPr>
        <w:t>左右，节理裂隙发育且无填充物，赋存风化裂隙水，岩性为第三系上新统船底山组玄武岩，含水层厚度约</w:t>
      </w:r>
      <w:r>
        <w:rPr>
          <w:color w:val="auto"/>
        </w:rPr>
        <w:t>40m</w:t>
      </w:r>
      <w:r>
        <w:rPr>
          <w:rFonts w:hint="eastAsia"/>
          <w:color w:val="auto"/>
        </w:rPr>
        <w:t>，富水性弱，并且具有随着深度的增加富水性减弱的特征，地下水埋深标高为</w:t>
      </w:r>
      <w:r>
        <w:rPr>
          <w:color w:val="auto"/>
        </w:rPr>
        <w:t>223m</w:t>
      </w:r>
      <w:r>
        <w:rPr>
          <w:rFonts w:hint="eastAsia"/>
          <w:color w:val="auto"/>
        </w:rPr>
        <w:t>，地下水以降水补给为主其次为上游含水层的侧向径流补给，以侧向径流的方式向下游含水层排泄。</w:t>
      </w:r>
    </w:p>
    <w:p w14:paraId="45FA3DC6">
      <w:pPr>
        <w:pStyle w:val="59"/>
        <w:ind w:firstLine="480"/>
        <w:rPr>
          <w:color w:val="auto"/>
        </w:rPr>
      </w:pPr>
      <w:r>
        <w:rPr>
          <w:rFonts w:hint="eastAsia"/>
          <w:color w:val="auto"/>
        </w:rPr>
        <w:t>②隔水层</w:t>
      </w:r>
    </w:p>
    <w:p w14:paraId="10AFDF92">
      <w:pPr>
        <w:pStyle w:val="59"/>
        <w:ind w:firstLine="480"/>
        <w:rPr>
          <w:color w:val="auto"/>
        </w:rPr>
      </w:pPr>
      <w:r>
        <w:rPr>
          <w:rFonts w:hint="eastAsia"/>
          <w:color w:val="auto"/>
        </w:rPr>
        <w:t>区内地表分布的残坡积层碎石层透水性差，为隔水层。深部微风化的完整基岩裂隙发育极少且多为闭合裂隙，与上覆含水层水量交换微弱，为隔水层。</w:t>
      </w:r>
    </w:p>
    <w:p w14:paraId="0621BA89">
      <w:pPr>
        <w:pStyle w:val="59"/>
        <w:ind w:firstLine="480"/>
        <w:rPr>
          <w:color w:val="auto"/>
        </w:rPr>
      </w:pPr>
      <w:r>
        <w:rPr>
          <w:color w:val="auto"/>
        </w:rPr>
        <w:t>2、预测情景</w:t>
      </w:r>
    </w:p>
    <w:p w14:paraId="3F95EEA8">
      <w:pPr>
        <w:pStyle w:val="59"/>
        <w:ind w:firstLine="480"/>
        <w:rPr>
          <w:color w:val="auto"/>
        </w:rPr>
      </w:pPr>
      <w:r>
        <w:rPr>
          <w:rFonts w:hint="eastAsia"/>
          <w:color w:val="auto"/>
        </w:rPr>
        <w:t>淋溶水暂存池</w:t>
      </w:r>
      <w:r>
        <w:rPr>
          <w:color w:val="auto"/>
        </w:rPr>
        <w:t>设施因底部防渗设施因老化或腐蚀发生破损，使得</w:t>
      </w:r>
      <w:r>
        <w:rPr>
          <w:rFonts w:hint="eastAsia"/>
          <w:color w:val="auto"/>
        </w:rPr>
        <w:t>淋溶水</w:t>
      </w:r>
      <w:r>
        <w:rPr>
          <w:color w:val="auto"/>
        </w:rPr>
        <w:t>泄漏进入地下，</w:t>
      </w:r>
      <w:r>
        <w:rPr>
          <w:rFonts w:hint="eastAsia"/>
          <w:color w:val="auto"/>
        </w:rPr>
        <w:t>或强降雨时，雨水入渗将使</w:t>
      </w:r>
      <w:r>
        <w:rPr>
          <w:rFonts w:hint="eastAsia"/>
          <w:color w:val="auto"/>
          <w:lang w:eastAsia="zh-CN"/>
        </w:rPr>
        <w:t>灰渣</w:t>
      </w:r>
      <w:r>
        <w:rPr>
          <w:rFonts w:hint="eastAsia"/>
          <w:color w:val="auto"/>
        </w:rPr>
        <w:t>的含水量超过持水度，形成淋溶水，通过回填区底层渗入地下，造成对区域地下水的污染。根据</w:t>
      </w:r>
      <w:r>
        <w:rPr>
          <w:color w:val="auto"/>
        </w:rPr>
        <w:t>工程分析，</w:t>
      </w:r>
      <w:r>
        <w:rPr>
          <w:rFonts w:hint="eastAsia"/>
          <w:color w:val="auto"/>
        </w:rPr>
        <w:t>本项目强降雨时淋溶水下渗对地下水影响最大，因此，预测强降雨时，当因地质塌陷等非正常</w:t>
      </w:r>
      <w:r>
        <w:rPr>
          <w:color w:val="auto"/>
        </w:rPr>
        <w:t>状况</w:t>
      </w:r>
      <w:r>
        <w:rPr>
          <w:rFonts w:hint="eastAsia"/>
          <w:color w:val="auto"/>
        </w:rPr>
        <w:t>下对地下水的影响。</w:t>
      </w:r>
    </w:p>
    <w:p w14:paraId="37140AD3">
      <w:pPr>
        <w:pStyle w:val="59"/>
        <w:ind w:firstLine="480"/>
        <w:rPr>
          <w:color w:val="auto"/>
        </w:rPr>
      </w:pPr>
      <w:r>
        <w:rPr>
          <w:color w:val="auto"/>
        </w:rPr>
        <w:t>3、预测范围</w:t>
      </w:r>
    </w:p>
    <w:p w14:paraId="622F9272">
      <w:pPr>
        <w:pStyle w:val="59"/>
        <w:ind w:firstLine="480"/>
        <w:rPr>
          <w:color w:val="auto"/>
        </w:rPr>
      </w:pPr>
      <w:r>
        <w:rPr>
          <w:color w:val="auto"/>
        </w:rPr>
        <w:t>根据《环境影响评价技术导则 地下水环境》（HJ610-2016）的要求，本次地下水环境影响评价预测范围与地下水现状调查范围一致，即：项目所在区域（边界上游</w:t>
      </w:r>
      <w:r>
        <w:rPr>
          <w:rFonts w:hint="eastAsia"/>
          <w:color w:val="auto"/>
        </w:rPr>
        <w:t>1</w:t>
      </w:r>
      <w:r>
        <w:rPr>
          <w:color w:val="auto"/>
        </w:rPr>
        <w:t>000m、下游</w:t>
      </w:r>
      <w:r>
        <w:rPr>
          <w:rFonts w:hint="eastAsia"/>
          <w:color w:val="auto"/>
        </w:rPr>
        <w:t>2000</w:t>
      </w:r>
      <w:r>
        <w:rPr>
          <w:color w:val="auto"/>
        </w:rPr>
        <w:t>m、两侧各</w:t>
      </w:r>
      <w:r>
        <w:rPr>
          <w:rFonts w:hint="eastAsia"/>
          <w:color w:val="auto"/>
        </w:rPr>
        <w:t>1</w:t>
      </w:r>
      <w:r>
        <w:rPr>
          <w:color w:val="auto"/>
        </w:rPr>
        <w:t>000m范围的矩形）范围内。预测层位为地下水的潜水含水层。</w:t>
      </w:r>
    </w:p>
    <w:p w14:paraId="6AC1FC9A">
      <w:pPr>
        <w:pStyle w:val="59"/>
        <w:ind w:firstLine="480"/>
        <w:rPr>
          <w:color w:val="auto"/>
        </w:rPr>
      </w:pPr>
      <w:r>
        <w:rPr>
          <w:color w:val="auto"/>
        </w:rPr>
        <w:t>4、预测时段</w:t>
      </w:r>
    </w:p>
    <w:p w14:paraId="76D9BE39">
      <w:pPr>
        <w:pStyle w:val="59"/>
        <w:ind w:firstLine="480"/>
        <w:rPr>
          <w:color w:val="auto"/>
        </w:rPr>
      </w:pPr>
      <w:r>
        <w:rPr>
          <w:color w:val="auto"/>
        </w:rPr>
        <w:t>选取可能产生地下水污染的关键时段，预测时段设定为发生</w:t>
      </w:r>
      <w:r>
        <w:rPr>
          <w:rFonts w:hint="eastAsia"/>
          <w:color w:val="auto"/>
        </w:rPr>
        <w:t>淋溶水</w:t>
      </w:r>
      <w:r>
        <w:rPr>
          <w:color w:val="auto"/>
        </w:rPr>
        <w:t>泄漏后的100天、</w:t>
      </w:r>
      <w:r>
        <w:rPr>
          <w:rFonts w:hint="eastAsia"/>
          <w:color w:val="auto"/>
        </w:rPr>
        <w:t>1000天、</w:t>
      </w:r>
      <w:r>
        <w:rPr>
          <w:color w:val="auto"/>
        </w:rPr>
        <w:t>服务期满</w:t>
      </w:r>
      <w:r>
        <w:rPr>
          <w:rFonts w:hint="eastAsia"/>
          <w:color w:val="auto"/>
        </w:rPr>
        <w:t>后</w:t>
      </w:r>
      <w:r>
        <w:rPr>
          <w:color w:val="auto"/>
        </w:rPr>
        <w:t>（</w:t>
      </w:r>
      <w:r>
        <w:rPr>
          <w:rFonts w:hint="eastAsia"/>
          <w:color w:val="auto"/>
          <w:lang w:val="en-US" w:eastAsia="zh-CN"/>
        </w:rPr>
        <w:t>1095</w:t>
      </w:r>
      <w:r>
        <w:rPr>
          <w:color w:val="auto"/>
        </w:rPr>
        <w:t>天）。</w:t>
      </w:r>
    </w:p>
    <w:p w14:paraId="0473C28A">
      <w:pPr>
        <w:pStyle w:val="59"/>
        <w:ind w:firstLine="480"/>
        <w:rPr>
          <w:color w:val="auto"/>
        </w:rPr>
      </w:pPr>
      <w:r>
        <w:rPr>
          <w:color w:val="auto"/>
        </w:rPr>
        <w:t>5、预测因子</w:t>
      </w:r>
    </w:p>
    <w:p w14:paraId="3C7F15D9">
      <w:pPr>
        <w:pStyle w:val="59"/>
        <w:ind w:firstLine="480"/>
        <w:rPr>
          <w:color w:val="auto"/>
          <w:lang w:val="en-US" w:eastAsia="zh-CN"/>
        </w:rPr>
      </w:pPr>
      <w:r>
        <w:rPr>
          <w:color w:val="auto"/>
          <w:lang w:val="en-US" w:eastAsia="zh-CN"/>
        </w:rPr>
        <w:t>按照《环境影响评价技术导则 地下水环境》（HJ610-2016）要求</w:t>
      </w:r>
      <w:r>
        <w:rPr>
          <w:rFonts w:hint="eastAsia" w:ascii="宋体" w:hAnsi="宋体" w:eastAsia="宋体" w:cs="宋体"/>
          <w:color w:val="auto"/>
          <w:lang w:val="en-US" w:eastAsia="zh-CN"/>
        </w:rPr>
        <w:t>“对</w:t>
      </w:r>
      <w:r>
        <w:rPr>
          <w:color w:val="auto"/>
          <w:lang w:val="en-US" w:eastAsia="zh-CN"/>
        </w:rPr>
        <w:t>每一类别的各项因子采用标准指数法进行排序，分别取标准指数最大的因子作为预测因</w:t>
      </w:r>
      <w:r>
        <w:rPr>
          <w:rFonts w:hint="eastAsia" w:ascii="宋体" w:hAnsi="宋体" w:eastAsia="宋体" w:cs="宋体"/>
          <w:color w:val="auto"/>
          <w:lang w:val="en-US" w:eastAsia="zh-CN"/>
        </w:rPr>
        <w:t>子”</w:t>
      </w:r>
      <w:r>
        <w:rPr>
          <w:rFonts w:hint="eastAsia"/>
          <w:color w:val="auto"/>
          <w:lang w:val="en-US" w:eastAsia="zh-CN"/>
        </w:rPr>
        <w:t>。根据前文对灰渣浸出液检测数据</w:t>
      </w:r>
      <w:r>
        <w:rPr>
          <w:color w:val="auto"/>
          <w:lang w:val="en-US" w:eastAsia="zh-CN"/>
        </w:rPr>
        <w:t>，淋溶水中污染物按照特性可分类为重金属</w:t>
      </w:r>
      <w:r>
        <w:rPr>
          <w:rFonts w:hint="eastAsia"/>
          <w:color w:val="auto"/>
          <w:lang w:val="en-US" w:eastAsia="zh-CN"/>
        </w:rPr>
        <w:t>、持久性有机污染物</w:t>
      </w:r>
      <w:r>
        <w:rPr>
          <w:color w:val="auto"/>
          <w:lang w:val="en-US" w:eastAsia="zh-CN"/>
        </w:rPr>
        <w:t>及</w:t>
      </w:r>
      <w:r>
        <w:rPr>
          <w:rFonts w:hint="eastAsia"/>
          <w:color w:val="auto"/>
          <w:lang w:val="en-US" w:eastAsia="zh-CN"/>
        </w:rPr>
        <w:t>其他类别进行分类</w:t>
      </w:r>
      <w:r>
        <w:rPr>
          <w:color w:val="auto"/>
          <w:lang w:val="en-US" w:eastAsia="zh-CN"/>
        </w:rPr>
        <w:t>，根据污染物识别结果及</w:t>
      </w:r>
      <w:r>
        <w:rPr>
          <w:rFonts w:hint="eastAsia"/>
          <w:color w:val="auto"/>
          <w:lang w:val="en-US" w:eastAsia="zh-CN"/>
        </w:rPr>
        <w:t>淋溶水</w:t>
      </w:r>
      <w:r>
        <w:rPr>
          <w:color w:val="auto"/>
          <w:lang w:val="en-US" w:eastAsia="zh-CN"/>
        </w:rPr>
        <w:t>水质指标，对照《地下水质量标准》（GB/T14848-2017）、《地表水环境质量标准》（GB3838-2002），</w:t>
      </w:r>
      <w:r>
        <w:rPr>
          <w:rFonts w:hint="eastAsia"/>
          <w:color w:val="auto"/>
          <w:lang w:val="en-US" w:eastAsia="zh-CN"/>
        </w:rPr>
        <w:t>各污染物</w:t>
      </w:r>
      <w:r>
        <w:rPr>
          <w:color w:val="auto"/>
          <w:lang w:val="en-US" w:eastAsia="zh-CN"/>
        </w:rPr>
        <w:t>排序结果见</w:t>
      </w:r>
      <w:r>
        <w:rPr>
          <w:rFonts w:hint="eastAsia"/>
          <w:color w:val="auto"/>
          <w:lang w:val="en-US" w:eastAsia="zh-CN"/>
        </w:rPr>
        <w:t>下表</w:t>
      </w:r>
      <w:r>
        <w:rPr>
          <w:color w:val="auto"/>
          <w:lang w:val="en-US" w:eastAsia="zh-CN"/>
        </w:rPr>
        <w:t>。</w:t>
      </w:r>
    </w:p>
    <w:p w14:paraId="4A7DA262">
      <w:pPr>
        <w:pStyle w:val="76"/>
        <w:jc w:val="center"/>
        <w:rPr>
          <w:color w:val="auto"/>
        </w:rPr>
      </w:pPr>
      <w:r>
        <w:rPr>
          <w:color w:val="auto"/>
        </w:rPr>
        <w:t>表5-2-5</w:t>
      </w:r>
      <w:r>
        <w:rPr>
          <w:rFonts w:hint="eastAsia"/>
          <w:color w:val="auto"/>
        </w:rPr>
        <w:t>淋溶水</w:t>
      </w:r>
      <w:r>
        <w:rPr>
          <w:color w:val="auto"/>
        </w:rPr>
        <w:t>污染特征因子标准指数计算结果表</w:t>
      </w:r>
    </w:p>
    <w:tbl>
      <w:tblPr>
        <w:tblStyle w:val="46"/>
        <w:tblW w:w="4628" w:type="pct"/>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093"/>
        <w:gridCol w:w="1099"/>
        <w:gridCol w:w="1100"/>
        <w:gridCol w:w="1100"/>
        <w:gridCol w:w="1100"/>
        <w:gridCol w:w="1100"/>
        <w:gridCol w:w="1096"/>
      </w:tblGrid>
      <w:tr w14:paraId="25FDC9E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454" w:hRule="atLeast"/>
          <w:jc w:val="center"/>
        </w:trPr>
        <w:tc>
          <w:tcPr>
            <w:tcW w:w="710" w:type="pct"/>
            <w:vAlign w:val="center"/>
          </w:tcPr>
          <w:p w14:paraId="6782A9C3">
            <w:pPr>
              <w:pStyle w:val="717"/>
              <w:ind w:firstLine="0" w:firstLineChars="0"/>
              <w:jc w:val="center"/>
              <w:rPr>
                <w:rFonts w:hint="eastAsia"/>
                <w:color w:val="auto"/>
                <w:kern w:val="0"/>
                <w:szCs w:val="21"/>
              </w:rPr>
            </w:pPr>
            <w:r>
              <w:rPr>
                <w:rFonts w:hint="eastAsia"/>
                <w:color w:val="auto"/>
                <w:kern w:val="0"/>
                <w:szCs w:val="21"/>
              </w:rPr>
              <w:t>废水名称</w:t>
            </w:r>
          </w:p>
        </w:tc>
        <w:tc>
          <w:tcPr>
            <w:tcW w:w="714" w:type="pct"/>
            <w:vAlign w:val="center"/>
          </w:tcPr>
          <w:p w14:paraId="628E53D7">
            <w:pPr>
              <w:pStyle w:val="717"/>
              <w:ind w:firstLine="0" w:firstLineChars="0"/>
              <w:jc w:val="center"/>
              <w:rPr>
                <w:rFonts w:hint="eastAsia"/>
                <w:color w:val="auto"/>
                <w:kern w:val="0"/>
                <w:szCs w:val="21"/>
              </w:rPr>
            </w:pPr>
            <w:r>
              <w:rPr>
                <w:rFonts w:hint="eastAsia"/>
                <w:color w:val="auto"/>
                <w:kern w:val="0"/>
                <w:szCs w:val="21"/>
                <w:lang w:val="en-US" w:eastAsia="zh-CN"/>
              </w:rPr>
              <w:t>污染物</w:t>
            </w:r>
          </w:p>
        </w:tc>
        <w:tc>
          <w:tcPr>
            <w:tcW w:w="715" w:type="pct"/>
            <w:vAlign w:val="center"/>
          </w:tcPr>
          <w:p w14:paraId="4B20F874">
            <w:pPr>
              <w:pStyle w:val="717"/>
              <w:ind w:firstLine="0" w:firstLineChars="0"/>
              <w:jc w:val="center"/>
              <w:rPr>
                <w:rFonts w:hint="eastAsia"/>
                <w:color w:val="auto"/>
                <w:kern w:val="0"/>
                <w:szCs w:val="21"/>
              </w:rPr>
            </w:pPr>
            <w:r>
              <w:rPr>
                <w:rFonts w:hint="eastAsia"/>
                <w:color w:val="auto"/>
                <w:kern w:val="0"/>
                <w:szCs w:val="21"/>
                <w:lang w:val="en-US" w:eastAsia="zh-CN"/>
              </w:rPr>
              <w:t>现状浓度（mg/L）</w:t>
            </w:r>
          </w:p>
        </w:tc>
        <w:tc>
          <w:tcPr>
            <w:tcW w:w="715" w:type="pct"/>
            <w:vAlign w:val="center"/>
          </w:tcPr>
          <w:p w14:paraId="1CD21DC8">
            <w:pPr>
              <w:pStyle w:val="717"/>
              <w:ind w:firstLine="0" w:firstLineChars="0"/>
              <w:jc w:val="center"/>
              <w:rPr>
                <w:rFonts w:hint="eastAsia"/>
                <w:color w:val="auto"/>
                <w:kern w:val="0"/>
                <w:szCs w:val="21"/>
              </w:rPr>
            </w:pPr>
            <w:r>
              <w:rPr>
                <w:rFonts w:hint="eastAsia"/>
                <w:color w:val="auto"/>
                <w:kern w:val="0"/>
                <w:szCs w:val="21"/>
                <w:lang w:val="en-US" w:eastAsia="zh-CN"/>
              </w:rPr>
              <w:t>标准值（mg/L）</w:t>
            </w:r>
          </w:p>
        </w:tc>
        <w:tc>
          <w:tcPr>
            <w:tcW w:w="715" w:type="pct"/>
            <w:vAlign w:val="center"/>
          </w:tcPr>
          <w:p w14:paraId="5A974EE4">
            <w:pPr>
              <w:pStyle w:val="717"/>
              <w:ind w:firstLine="0" w:firstLineChars="0"/>
              <w:jc w:val="center"/>
              <w:rPr>
                <w:rFonts w:hint="eastAsia"/>
                <w:color w:val="auto"/>
                <w:kern w:val="0"/>
                <w:szCs w:val="21"/>
              </w:rPr>
            </w:pPr>
            <w:r>
              <w:rPr>
                <w:rFonts w:hint="eastAsia"/>
                <w:color w:val="auto"/>
                <w:kern w:val="0"/>
                <w:szCs w:val="21"/>
                <w:lang w:val="en-US" w:eastAsia="zh-CN"/>
              </w:rPr>
              <w:t>标准指数</w:t>
            </w:r>
          </w:p>
        </w:tc>
        <w:tc>
          <w:tcPr>
            <w:tcW w:w="715" w:type="pct"/>
            <w:shd w:val="clear" w:color="auto" w:fill="auto"/>
            <w:vAlign w:val="center"/>
          </w:tcPr>
          <w:p w14:paraId="4F1084BC">
            <w:pPr>
              <w:keepNext w:val="0"/>
              <w:keepLines w:val="0"/>
              <w:widowControl/>
              <w:suppressLineNumbers w:val="0"/>
              <w:jc w:val="center"/>
              <w:textAlignment w:val="center"/>
              <w:rPr>
                <w:rFonts w:hint="eastAsia" w:ascii="宋体" w:hAnsi="宋体" w:eastAsia="宋体" w:cs="宋体"/>
                <w:i w:val="0"/>
                <w:iCs w:val="0"/>
                <w:color w:val="auto"/>
                <w:kern w:val="2"/>
                <w:sz w:val="21"/>
                <w:szCs w:val="21"/>
                <w:u w:val="none"/>
                <w:lang w:val="en-US" w:eastAsia="zh-CN" w:bidi="ar-SA"/>
              </w:rPr>
            </w:pPr>
            <w:r>
              <w:rPr>
                <w:rFonts w:hint="eastAsia" w:ascii="宋体" w:hAnsi="宋体" w:eastAsia="宋体" w:cs="宋体"/>
                <w:i w:val="0"/>
                <w:iCs w:val="0"/>
                <w:color w:val="auto"/>
                <w:kern w:val="0"/>
                <w:sz w:val="21"/>
                <w:szCs w:val="21"/>
                <w:u w:val="none"/>
                <w:lang w:val="en-US" w:eastAsia="zh-CN" w:bidi="ar"/>
              </w:rPr>
              <w:t>排序</w:t>
            </w:r>
          </w:p>
        </w:tc>
        <w:tc>
          <w:tcPr>
            <w:tcW w:w="712" w:type="pct"/>
            <w:vAlign w:val="center"/>
          </w:tcPr>
          <w:p w14:paraId="6D974465">
            <w:pPr>
              <w:pStyle w:val="717"/>
              <w:ind w:firstLine="0" w:firstLineChars="0"/>
              <w:jc w:val="center"/>
              <w:rPr>
                <w:color w:val="auto"/>
                <w:kern w:val="0"/>
                <w:szCs w:val="21"/>
              </w:rPr>
            </w:pPr>
            <w:r>
              <w:rPr>
                <w:color w:val="auto"/>
                <w:kern w:val="0"/>
                <w:szCs w:val="21"/>
              </w:rPr>
              <w:t>分类</w:t>
            </w:r>
          </w:p>
        </w:tc>
      </w:tr>
      <w:tr w14:paraId="37985912">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53" w:hRule="atLeast"/>
          <w:jc w:val="center"/>
        </w:trPr>
        <w:tc>
          <w:tcPr>
            <w:tcW w:w="710" w:type="pct"/>
            <w:vMerge w:val="restart"/>
            <w:vAlign w:val="center"/>
          </w:tcPr>
          <w:p w14:paraId="04A02144">
            <w:pPr>
              <w:pStyle w:val="717"/>
              <w:ind w:firstLine="0" w:firstLineChars="0"/>
              <w:jc w:val="center"/>
              <w:rPr>
                <w:rFonts w:hint="eastAsia"/>
                <w:color w:val="auto"/>
                <w:kern w:val="0"/>
                <w:szCs w:val="21"/>
              </w:rPr>
            </w:pPr>
            <w:r>
              <w:rPr>
                <w:rFonts w:hint="eastAsia"/>
                <w:color w:val="auto"/>
                <w:kern w:val="0"/>
                <w:szCs w:val="21"/>
              </w:rPr>
              <w:t>淋溶水</w:t>
            </w:r>
          </w:p>
        </w:tc>
        <w:tc>
          <w:tcPr>
            <w:tcW w:w="714" w:type="pct"/>
            <w:vAlign w:val="center"/>
          </w:tcPr>
          <w:p w14:paraId="0FE7A892">
            <w:pPr>
              <w:pStyle w:val="717"/>
              <w:ind w:firstLine="0" w:firstLineChars="0"/>
              <w:jc w:val="center"/>
              <w:rPr>
                <w:rFonts w:hint="eastAsia"/>
                <w:color w:val="auto"/>
                <w:kern w:val="0"/>
                <w:szCs w:val="21"/>
              </w:rPr>
            </w:pPr>
            <w:r>
              <w:rPr>
                <w:rFonts w:hint="eastAsia"/>
                <w:color w:val="auto"/>
                <w:kern w:val="0"/>
                <w:szCs w:val="21"/>
                <w:lang w:val="en-US" w:eastAsia="zh-CN"/>
              </w:rPr>
              <w:t>氟化物</w:t>
            </w:r>
          </w:p>
        </w:tc>
        <w:tc>
          <w:tcPr>
            <w:tcW w:w="715" w:type="pct"/>
            <w:vAlign w:val="center"/>
          </w:tcPr>
          <w:p w14:paraId="516D4543">
            <w:pPr>
              <w:pStyle w:val="717"/>
              <w:ind w:firstLine="0" w:firstLineChars="0"/>
              <w:jc w:val="center"/>
              <w:rPr>
                <w:rFonts w:hint="eastAsia"/>
                <w:color w:val="auto"/>
                <w:kern w:val="0"/>
                <w:szCs w:val="21"/>
              </w:rPr>
            </w:pPr>
            <w:r>
              <w:rPr>
                <w:rFonts w:hint="default"/>
                <w:color w:val="auto"/>
                <w:kern w:val="0"/>
                <w:szCs w:val="21"/>
                <w:lang w:val="en-US" w:eastAsia="zh-CN"/>
              </w:rPr>
              <w:t>0.55</w:t>
            </w:r>
          </w:p>
        </w:tc>
        <w:tc>
          <w:tcPr>
            <w:tcW w:w="715" w:type="pct"/>
            <w:vAlign w:val="center"/>
          </w:tcPr>
          <w:p w14:paraId="7AAD287B">
            <w:pPr>
              <w:pStyle w:val="717"/>
              <w:ind w:firstLine="0" w:firstLineChars="0"/>
              <w:jc w:val="center"/>
              <w:rPr>
                <w:rFonts w:hint="eastAsia"/>
                <w:color w:val="auto"/>
                <w:kern w:val="0"/>
                <w:szCs w:val="21"/>
              </w:rPr>
            </w:pPr>
            <w:r>
              <w:rPr>
                <w:rFonts w:hint="default"/>
                <w:color w:val="auto"/>
                <w:kern w:val="0"/>
                <w:szCs w:val="21"/>
                <w:lang w:val="en-US" w:eastAsia="zh-CN"/>
              </w:rPr>
              <w:t>1</w:t>
            </w:r>
          </w:p>
        </w:tc>
        <w:tc>
          <w:tcPr>
            <w:tcW w:w="715" w:type="pct"/>
            <w:vAlign w:val="center"/>
          </w:tcPr>
          <w:p w14:paraId="79D8B570">
            <w:pPr>
              <w:pStyle w:val="717"/>
              <w:ind w:firstLine="0" w:firstLineChars="0"/>
              <w:jc w:val="center"/>
              <w:rPr>
                <w:rFonts w:hint="eastAsia"/>
                <w:color w:val="auto"/>
                <w:kern w:val="0"/>
                <w:szCs w:val="21"/>
              </w:rPr>
            </w:pPr>
            <w:r>
              <w:rPr>
                <w:rFonts w:hint="default"/>
                <w:color w:val="auto"/>
                <w:kern w:val="0"/>
                <w:szCs w:val="21"/>
                <w:lang w:val="en-US" w:eastAsia="zh-CN"/>
              </w:rPr>
              <w:t>0.55</w:t>
            </w:r>
          </w:p>
        </w:tc>
        <w:tc>
          <w:tcPr>
            <w:tcW w:w="715" w:type="pct"/>
            <w:vAlign w:val="center"/>
          </w:tcPr>
          <w:p w14:paraId="678EE8F2">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3</w:t>
            </w:r>
          </w:p>
        </w:tc>
        <w:tc>
          <w:tcPr>
            <w:tcW w:w="712" w:type="pct"/>
            <w:vAlign w:val="center"/>
          </w:tcPr>
          <w:p w14:paraId="0E01948C">
            <w:pPr>
              <w:pStyle w:val="717"/>
              <w:ind w:firstLine="0" w:firstLineChars="0"/>
              <w:jc w:val="center"/>
              <w:rPr>
                <w:color w:val="auto"/>
                <w:kern w:val="0"/>
                <w:szCs w:val="21"/>
              </w:rPr>
            </w:pPr>
            <w:r>
              <w:rPr>
                <w:rFonts w:hint="eastAsia"/>
                <w:color w:val="auto"/>
                <w:kern w:val="0"/>
                <w:szCs w:val="21"/>
              </w:rPr>
              <w:t>其他类别</w:t>
            </w:r>
          </w:p>
        </w:tc>
      </w:tr>
      <w:tr w14:paraId="6770991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58" w:hRule="atLeast"/>
          <w:jc w:val="center"/>
        </w:trPr>
        <w:tc>
          <w:tcPr>
            <w:tcW w:w="710" w:type="pct"/>
            <w:vMerge w:val="continue"/>
            <w:vAlign w:val="center"/>
          </w:tcPr>
          <w:p w14:paraId="0C0DEE59">
            <w:pPr>
              <w:pStyle w:val="717"/>
              <w:ind w:firstLine="0" w:firstLineChars="0"/>
              <w:jc w:val="center"/>
              <w:rPr>
                <w:rFonts w:hint="eastAsia"/>
                <w:color w:val="auto"/>
                <w:kern w:val="0"/>
                <w:szCs w:val="21"/>
              </w:rPr>
            </w:pPr>
          </w:p>
        </w:tc>
        <w:tc>
          <w:tcPr>
            <w:tcW w:w="714" w:type="pct"/>
            <w:vAlign w:val="center"/>
          </w:tcPr>
          <w:p w14:paraId="475BCEB5">
            <w:pPr>
              <w:pStyle w:val="717"/>
              <w:ind w:firstLine="0" w:firstLineChars="0"/>
              <w:jc w:val="center"/>
              <w:rPr>
                <w:rFonts w:hint="eastAsia"/>
                <w:color w:val="auto"/>
                <w:kern w:val="0"/>
                <w:szCs w:val="21"/>
              </w:rPr>
            </w:pPr>
            <w:r>
              <w:rPr>
                <w:rFonts w:hint="default"/>
                <w:color w:val="auto"/>
                <w:kern w:val="0"/>
                <w:szCs w:val="21"/>
                <w:lang w:val="en-US" w:eastAsia="zh-CN"/>
              </w:rPr>
              <w:t>COD</w:t>
            </w:r>
          </w:p>
        </w:tc>
        <w:tc>
          <w:tcPr>
            <w:tcW w:w="715" w:type="pct"/>
            <w:vAlign w:val="center"/>
          </w:tcPr>
          <w:p w14:paraId="56075259">
            <w:pPr>
              <w:pStyle w:val="717"/>
              <w:ind w:firstLine="0" w:firstLineChars="0"/>
              <w:jc w:val="center"/>
              <w:rPr>
                <w:rFonts w:hint="eastAsia"/>
                <w:color w:val="auto"/>
                <w:kern w:val="0"/>
                <w:szCs w:val="21"/>
              </w:rPr>
            </w:pPr>
            <w:r>
              <w:rPr>
                <w:rFonts w:hint="default"/>
                <w:color w:val="auto"/>
                <w:kern w:val="0"/>
                <w:szCs w:val="21"/>
                <w:lang w:val="en-US" w:eastAsia="zh-CN"/>
              </w:rPr>
              <w:t>88</w:t>
            </w:r>
          </w:p>
        </w:tc>
        <w:tc>
          <w:tcPr>
            <w:tcW w:w="715" w:type="pct"/>
            <w:vAlign w:val="center"/>
          </w:tcPr>
          <w:p w14:paraId="6145222A">
            <w:pPr>
              <w:pStyle w:val="717"/>
              <w:ind w:firstLine="0" w:firstLineChars="0"/>
              <w:jc w:val="center"/>
              <w:rPr>
                <w:rFonts w:hint="eastAsia"/>
                <w:color w:val="auto"/>
                <w:kern w:val="0"/>
                <w:szCs w:val="21"/>
              </w:rPr>
            </w:pPr>
            <w:r>
              <w:rPr>
                <w:rFonts w:hint="default"/>
                <w:color w:val="auto"/>
                <w:kern w:val="0"/>
                <w:szCs w:val="21"/>
                <w:lang w:val="en-US" w:eastAsia="zh-CN"/>
              </w:rPr>
              <w:t>20</w:t>
            </w:r>
          </w:p>
        </w:tc>
        <w:tc>
          <w:tcPr>
            <w:tcW w:w="715" w:type="pct"/>
            <w:vAlign w:val="center"/>
          </w:tcPr>
          <w:p w14:paraId="18E6343D">
            <w:pPr>
              <w:pStyle w:val="717"/>
              <w:ind w:firstLine="0" w:firstLineChars="0"/>
              <w:jc w:val="center"/>
              <w:rPr>
                <w:rFonts w:hint="eastAsia"/>
                <w:color w:val="auto"/>
                <w:kern w:val="0"/>
                <w:szCs w:val="21"/>
              </w:rPr>
            </w:pPr>
            <w:r>
              <w:rPr>
                <w:rFonts w:hint="default"/>
                <w:color w:val="auto"/>
                <w:kern w:val="0"/>
                <w:szCs w:val="21"/>
                <w:lang w:val="en-US" w:eastAsia="zh-CN"/>
              </w:rPr>
              <w:t>4.4</w:t>
            </w:r>
          </w:p>
        </w:tc>
        <w:tc>
          <w:tcPr>
            <w:tcW w:w="715" w:type="pct"/>
            <w:vAlign w:val="center"/>
          </w:tcPr>
          <w:p w14:paraId="6A74AE98">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1</w:t>
            </w:r>
          </w:p>
        </w:tc>
        <w:tc>
          <w:tcPr>
            <w:tcW w:w="712" w:type="pct"/>
            <w:vAlign w:val="center"/>
          </w:tcPr>
          <w:p w14:paraId="4D5307E3">
            <w:pPr>
              <w:pStyle w:val="717"/>
              <w:ind w:firstLine="0" w:firstLineChars="0"/>
              <w:jc w:val="center"/>
              <w:rPr>
                <w:color w:val="auto"/>
                <w:kern w:val="0"/>
                <w:szCs w:val="21"/>
              </w:rPr>
            </w:pPr>
            <w:r>
              <w:rPr>
                <w:rFonts w:hint="eastAsia"/>
                <w:color w:val="auto"/>
                <w:kern w:val="0"/>
                <w:szCs w:val="21"/>
              </w:rPr>
              <w:t>其他类别</w:t>
            </w:r>
          </w:p>
        </w:tc>
      </w:tr>
      <w:tr w14:paraId="070ACC6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14" w:hRule="atLeast"/>
          <w:jc w:val="center"/>
        </w:trPr>
        <w:tc>
          <w:tcPr>
            <w:tcW w:w="710" w:type="pct"/>
            <w:vMerge w:val="continue"/>
            <w:vAlign w:val="center"/>
          </w:tcPr>
          <w:p w14:paraId="6430A746">
            <w:pPr>
              <w:pStyle w:val="717"/>
              <w:ind w:firstLine="0" w:firstLineChars="0"/>
              <w:jc w:val="center"/>
              <w:rPr>
                <w:rFonts w:hint="eastAsia"/>
                <w:color w:val="auto"/>
                <w:kern w:val="0"/>
                <w:szCs w:val="21"/>
              </w:rPr>
            </w:pPr>
          </w:p>
        </w:tc>
        <w:tc>
          <w:tcPr>
            <w:tcW w:w="714" w:type="pct"/>
            <w:vAlign w:val="center"/>
          </w:tcPr>
          <w:p w14:paraId="72173FE4">
            <w:pPr>
              <w:pStyle w:val="717"/>
              <w:ind w:firstLine="0" w:firstLineChars="0"/>
              <w:jc w:val="center"/>
              <w:rPr>
                <w:rFonts w:hint="eastAsia"/>
                <w:color w:val="auto"/>
                <w:kern w:val="0"/>
                <w:szCs w:val="21"/>
              </w:rPr>
            </w:pPr>
            <w:r>
              <w:rPr>
                <w:rFonts w:hint="eastAsia"/>
                <w:color w:val="auto"/>
                <w:kern w:val="0"/>
                <w:szCs w:val="21"/>
                <w:lang w:val="en-US" w:eastAsia="zh-CN"/>
              </w:rPr>
              <w:t>氨氮</w:t>
            </w:r>
          </w:p>
        </w:tc>
        <w:tc>
          <w:tcPr>
            <w:tcW w:w="715" w:type="pct"/>
            <w:vAlign w:val="center"/>
          </w:tcPr>
          <w:p w14:paraId="1552631B">
            <w:pPr>
              <w:pStyle w:val="717"/>
              <w:ind w:firstLine="0" w:firstLineChars="0"/>
              <w:jc w:val="center"/>
              <w:rPr>
                <w:rFonts w:hint="eastAsia"/>
                <w:color w:val="auto"/>
                <w:kern w:val="0"/>
                <w:szCs w:val="21"/>
              </w:rPr>
            </w:pPr>
            <w:r>
              <w:rPr>
                <w:rFonts w:hint="default"/>
                <w:color w:val="auto"/>
                <w:kern w:val="0"/>
                <w:szCs w:val="21"/>
                <w:lang w:val="en-US" w:eastAsia="zh-CN"/>
              </w:rPr>
              <w:t>0.39</w:t>
            </w:r>
          </w:p>
        </w:tc>
        <w:tc>
          <w:tcPr>
            <w:tcW w:w="715" w:type="pct"/>
            <w:vAlign w:val="center"/>
          </w:tcPr>
          <w:p w14:paraId="2BAF00BC">
            <w:pPr>
              <w:pStyle w:val="717"/>
              <w:ind w:firstLine="0" w:firstLineChars="0"/>
              <w:jc w:val="center"/>
              <w:rPr>
                <w:rFonts w:hint="eastAsia"/>
                <w:color w:val="auto"/>
                <w:kern w:val="0"/>
                <w:szCs w:val="21"/>
              </w:rPr>
            </w:pPr>
            <w:r>
              <w:rPr>
                <w:rFonts w:hint="default"/>
                <w:color w:val="auto"/>
                <w:kern w:val="0"/>
                <w:szCs w:val="21"/>
                <w:lang w:val="en-US" w:eastAsia="zh-CN"/>
              </w:rPr>
              <w:t>0.5</w:t>
            </w:r>
          </w:p>
        </w:tc>
        <w:tc>
          <w:tcPr>
            <w:tcW w:w="715" w:type="pct"/>
            <w:vAlign w:val="center"/>
          </w:tcPr>
          <w:p w14:paraId="205C03CA">
            <w:pPr>
              <w:pStyle w:val="717"/>
              <w:ind w:firstLine="0" w:firstLineChars="0"/>
              <w:jc w:val="center"/>
              <w:rPr>
                <w:rFonts w:hint="eastAsia"/>
                <w:color w:val="auto"/>
                <w:kern w:val="0"/>
                <w:szCs w:val="21"/>
              </w:rPr>
            </w:pPr>
            <w:r>
              <w:rPr>
                <w:rFonts w:hint="default"/>
                <w:color w:val="auto"/>
                <w:kern w:val="0"/>
                <w:szCs w:val="21"/>
                <w:lang w:val="en-US" w:eastAsia="zh-CN"/>
              </w:rPr>
              <w:t>0.78</w:t>
            </w:r>
          </w:p>
        </w:tc>
        <w:tc>
          <w:tcPr>
            <w:tcW w:w="715" w:type="pct"/>
            <w:vAlign w:val="center"/>
          </w:tcPr>
          <w:p w14:paraId="2F69D76B">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2</w:t>
            </w:r>
          </w:p>
        </w:tc>
        <w:tc>
          <w:tcPr>
            <w:tcW w:w="712" w:type="pct"/>
            <w:vAlign w:val="center"/>
          </w:tcPr>
          <w:p w14:paraId="6E5E4027">
            <w:pPr>
              <w:pStyle w:val="717"/>
              <w:ind w:firstLine="0" w:firstLineChars="0"/>
              <w:jc w:val="center"/>
              <w:rPr>
                <w:color w:val="auto"/>
                <w:kern w:val="0"/>
                <w:szCs w:val="21"/>
              </w:rPr>
            </w:pPr>
            <w:r>
              <w:rPr>
                <w:rFonts w:hint="eastAsia"/>
                <w:color w:val="auto"/>
                <w:kern w:val="0"/>
                <w:szCs w:val="21"/>
              </w:rPr>
              <w:t>其他类别</w:t>
            </w:r>
          </w:p>
        </w:tc>
      </w:tr>
      <w:tr w14:paraId="4FD3492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782F6050">
            <w:pPr>
              <w:pStyle w:val="717"/>
              <w:ind w:firstLine="0" w:firstLineChars="0"/>
              <w:jc w:val="center"/>
              <w:rPr>
                <w:rFonts w:hint="eastAsia"/>
                <w:color w:val="auto"/>
                <w:kern w:val="0"/>
                <w:szCs w:val="21"/>
              </w:rPr>
            </w:pPr>
          </w:p>
        </w:tc>
        <w:tc>
          <w:tcPr>
            <w:tcW w:w="714" w:type="pct"/>
            <w:vAlign w:val="center"/>
          </w:tcPr>
          <w:p w14:paraId="26EEDC0D">
            <w:pPr>
              <w:pStyle w:val="717"/>
              <w:ind w:firstLine="0" w:firstLineChars="0"/>
              <w:jc w:val="center"/>
              <w:rPr>
                <w:rFonts w:hint="eastAsia"/>
                <w:color w:val="auto"/>
                <w:kern w:val="0"/>
                <w:szCs w:val="21"/>
              </w:rPr>
            </w:pPr>
            <w:r>
              <w:rPr>
                <w:rFonts w:hint="eastAsia"/>
                <w:color w:val="auto"/>
                <w:kern w:val="0"/>
                <w:szCs w:val="21"/>
                <w:lang w:val="en-US" w:eastAsia="zh-CN"/>
              </w:rPr>
              <w:t>硫化物</w:t>
            </w:r>
          </w:p>
        </w:tc>
        <w:tc>
          <w:tcPr>
            <w:tcW w:w="715" w:type="pct"/>
            <w:vAlign w:val="center"/>
          </w:tcPr>
          <w:p w14:paraId="2D8B7F46">
            <w:pPr>
              <w:pStyle w:val="717"/>
              <w:ind w:firstLine="0" w:firstLineChars="0"/>
              <w:jc w:val="center"/>
              <w:rPr>
                <w:rFonts w:hint="eastAsia"/>
                <w:color w:val="auto"/>
                <w:kern w:val="0"/>
                <w:szCs w:val="21"/>
              </w:rPr>
            </w:pPr>
            <w:r>
              <w:rPr>
                <w:rFonts w:hint="default"/>
                <w:color w:val="auto"/>
                <w:kern w:val="0"/>
                <w:szCs w:val="21"/>
                <w:lang w:val="en-US" w:eastAsia="zh-CN"/>
              </w:rPr>
              <w:t>0.01</w:t>
            </w:r>
          </w:p>
        </w:tc>
        <w:tc>
          <w:tcPr>
            <w:tcW w:w="715" w:type="pct"/>
            <w:vAlign w:val="center"/>
          </w:tcPr>
          <w:p w14:paraId="2B52815A">
            <w:pPr>
              <w:pStyle w:val="717"/>
              <w:ind w:firstLine="0" w:firstLineChars="0"/>
              <w:jc w:val="center"/>
              <w:rPr>
                <w:rFonts w:hint="eastAsia"/>
                <w:color w:val="auto"/>
                <w:kern w:val="0"/>
                <w:szCs w:val="21"/>
              </w:rPr>
            </w:pPr>
            <w:r>
              <w:rPr>
                <w:rFonts w:hint="eastAsia"/>
                <w:color w:val="auto"/>
                <w:kern w:val="0"/>
                <w:szCs w:val="21"/>
                <w:lang w:val="en-US" w:eastAsia="zh-CN"/>
              </w:rPr>
              <w:t>0.02</w:t>
            </w:r>
          </w:p>
        </w:tc>
        <w:tc>
          <w:tcPr>
            <w:tcW w:w="715" w:type="pct"/>
            <w:vAlign w:val="center"/>
          </w:tcPr>
          <w:p w14:paraId="60F98529">
            <w:pPr>
              <w:pStyle w:val="717"/>
              <w:ind w:firstLine="0" w:firstLineChars="0"/>
              <w:jc w:val="center"/>
              <w:rPr>
                <w:rFonts w:hint="eastAsia"/>
                <w:color w:val="auto"/>
                <w:kern w:val="0"/>
                <w:szCs w:val="21"/>
              </w:rPr>
            </w:pPr>
            <w:r>
              <w:rPr>
                <w:rFonts w:hint="default"/>
                <w:color w:val="auto"/>
                <w:kern w:val="0"/>
                <w:szCs w:val="21"/>
                <w:lang w:val="en-US" w:eastAsia="zh-CN"/>
              </w:rPr>
              <w:t>0.5</w:t>
            </w:r>
          </w:p>
        </w:tc>
        <w:tc>
          <w:tcPr>
            <w:tcW w:w="715" w:type="pct"/>
            <w:vAlign w:val="center"/>
          </w:tcPr>
          <w:p w14:paraId="1F5E3A80">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4</w:t>
            </w:r>
          </w:p>
        </w:tc>
        <w:tc>
          <w:tcPr>
            <w:tcW w:w="712" w:type="pct"/>
            <w:vAlign w:val="center"/>
          </w:tcPr>
          <w:p w14:paraId="2A8E27D0">
            <w:pPr>
              <w:pStyle w:val="717"/>
              <w:ind w:firstLine="0" w:firstLineChars="0"/>
              <w:jc w:val="center"/>
              <w:rPr>
                <w:color w:val="auto"/>
                <w:kern w:val="0"/>
                <w:szCs w:val="21"/>
              </w:rPr>
            </w:pPr>
            <w:r>
              <w:rPr>
                <w:rFonts w:hint="eastAsia"/>
                <w:color w:val="auto"/>
                <w:kern w:val="0"/>
                <w:szCs w:val="21"/>
              </w:rPr>
              <w:t>其他类别</w:t>
            </w:r>
          </w:p>
        </w:tc>
      </w:tr>
      <w:tr w14:paraId="0E73A56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799515CA">
            <w:pPr>
              <w:pStyle w:val="717"/>
              <w:ind w:firstLine="0" w:firstLineChars="0"/>
              <w:jc w:val="center"/>
              <w:rPr>
                <w:rFonts w:hint="eastAsia"/>
                <w:color w:val="auto"/>
                <w:kern w:val="0"/>
                <w:szCs w:val="21"/>
              </w:rPr>
            </w:pPr>
          </w:p>
        </w:tc>
        <w:tc>
          <w:tcPr>
            <w:tcW w:w="714" w:type="pct"/>
            <w:vAlign w:val="center"/>
          </w:tcPr>
          <w:p w14:paraId="6A47DEF8">
            <w:pPr>
              <w:pStyle w:val="717"/>
              <w:ind w:firstLine="0" w:firstLineChars="0"/>
              <w:jc w:val="center"/>
              <w:rPr>
                <w:rFonts w:hint="eastAsia"/>
                <w:color w:val="auto"/>
                <w:kern w:val="0"/>
                <w:szCs w:val="21"/>
              </w:rPr>
            </w:pPr>
            <w:r>
              <w:rPr>
                <w:rFonts w:hint="eastAsia"/>
                <w:color w:val="auto"/>
                <w:kern w:val="0"/>
                <w:szCs w:val="21"/>
                <w:lang w:val="en-US" w:eastAsia="zh-CN"/>
              </w:rPr>
              <w:t>铍</w:t>
            </w:r>
          </w:p>
        </w:tc>
        <w:tc>
          <w:tcPr>
            <w:tcW w:w="715" w:type="pct"/>
            <w:vAlign w:val="center"/>
          </w:tcPr>
          <w:p w14:paraId="2BEBEA4D">
            <w:pPr>
              <w:pStyle w:val="717"/>
              <w:ind w:firstLine="0" w:firstLineChars="0"/>
              <w:jc w:val="center"/>
              <w:rPr>
                <w:rFonts w:hint="eastAsia"/>
                <w:color w:val="auto"/>
                <w:kern w:val="0"/>
                <w:szCs w:val="21"/>
              </w:rPr>
            </w:pPr>
            <w:r>
              <w:rPr>
                <w:rFonts w:hint="default"/>
                <w:color w:val="auto"/>
                <w:kern w:val="0"/>
                <w:szCs w:val="21"/>
                <w:lang w:val="en-US" w:eastAsia="zh-CN"/>
              </w:rPr>
              <w:t>0.00002</w:t>
            </w:r>
          </w:p>
        </w:tc>
        <w:tc>
          <w:tcPr>
            <w:tcW w:w="715" w:type="pct"/>
            <w:vAlign w:val="center"/>
          </w:tcPr>
          <w:p w14:paraId="1EA4D0F4">
            <w:pPr>
              <w:pStyle w:val="717"/>
              <w:ind w:firstLine="0" w:firstLineChars="0"/>
              <w:jc w:val="center"/>
              <w:rPr>
                <w:rFonts w:hint="eastAsia"/>
                <w:color w:val="auto"/>
                <w:kern w:val="0"/>
                <w:szCs w:val="21"/>
              </w:rPr>
            </w:pPr>
            <w:r>
              <w:rPr>
                <w:rFonts w:hint="default"/>
                <w:color w:val="auto"/>
                <w:kern w:val="0"/>
                <w:szCs w:val="21"/>
                <w:lang w:val="en-US" w:eastAsia="zh-CN"/>
              </w:rPr>
              <w:t>0.002</w:t>
            </w:r>
          </w:p>
        </w:tc>
        <w:tc>
          <w:tcPr>
            <w:tcW w:w="715" w:type="pct"/>
            <w:vAlign w:val="center"/>
          </w:tcPr>
          <w:p w14:paraId="7344D90F">
            <w:pPr>
              <w:pStyle w:val="717"/>
              <w:ind w:firstLine="0" w:firstLineChars="0"/>
              <w:jc w:val="center"/>
              <w:rPr>
                <w:rFonts w:hint="eastAsia"/>
                <w:color w:val="auto"/>
                <w:kern w:val="0"/>
                <w:szCs w:val="21"/>
              </w:rPr>
            </w:pPr>
            <w:r>
              <w:rPr>
                <w:rFonts w:hint="default"/>
                <w:color w:val="auto"/>
                <w:kern w:val="0"/>
                <w:szCs w:val="21"/>
                <w:lang w:val="en-US" w:eastAsia="zh-CN"/>
              </w:rPr>
              <w:t>0.01</w:t>
            </w:r>
          </w:p>
        </w:tc>
        <w:tc>
          <w:tcPr>
            <w:tcW w:w="715" w:type="pct"/>
            <w:vAlign w:val="center"/>
          </w:tcPr>
          <w:p w14:paraId="4EF0A24C">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8</w:t>
            </w:r>
          </w:p>
        </w:tc>
        <w:tc>
          <w:tcPr>
            <w:tcW w:w="712" w:type="pct"/>
            <w:vAlign w:val="center"/>
          </w:tcPr>
          <w:p w14:paraId="1DAB6154">
            <w:pPr>
              <w:pStyle w:val="717"/>
              <w:ind w:firstLine="0" w:firstLineChars="0"/>
              <w:jc w:val="center"/>
              <w:rPr>
                <w:color w:val="auto"/>
                <w:kern w:val="0"/>
                <w:szCs w:val="21"/>
              </w:rPr>
            </w:pPr>
            <w:r>
              <w:rPr>
                <w:color w:val="auto"/>
                <w:kern w:val="0"/>
                <w:szCs w:val="21"/>
              </w:rPr>
              <w:t>重金属</w:t>
            </w:r>
          </w:p>
        </w:tc>
      </w:tr>
      <w:tr w14:paraId="6B3C02DD">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2" w:hRule="atLeast"/>
          <w:jc w:val="center"/>
        </w:trPr>
        <w:tc>
          <w:tcPr>
            <w:tcW w:w="710" w:type="pct"/>
            <w:vMerge w:val="continue"/>
            <w:vAlign w:val="center"/>
          </w:tcPr>
          <w:p w14:paraId="657C72EF">
            <w:pPr>
              <w:pStyle w:val="717"/>
              <w:ind w:firstLine="0" w:firstLineChars="0"/>
              <w:jc w:val="center"/>
              <w:rPr>
                <w:rFonts w:hint="eastAsia"/>
                <w:color w:val="auto"/>
                <w:kern w:val="0"/>
                <w:szCs w:val="21"/>
              </w:rPr>
            </w:pPr>
          </w:p>
        </w:tc>
        <w:tc>
          <w:tcPr>
            <w:tcW w:w="714" w:type="pct"/>
            <w:vAlign w:val="center"/>
          </w:tcPr>
          <w:p w14:paraId="6293AAFE">
            <w:pPr>
              <w:pStyle w:val="717"/>
              <w:ind w:firstLine="0" w:firstLineChars="0"/>
              <w:jc w:val="center"/>
              <w:rPr>
                <w:rFonts w:hint="eastAsia"/>
                <w:color w:val="auto"/>
                <w:kern w:val="0"/>
                <w:szCs w:val="21"/>
              </w:rPr>
            </w:pPr>
            <w:r>
              <w:rPr>
                <w:rFonts w:hint="eastAsia"/>
                <w:color w:val="auto"/>
                <w:kern w:val="0"/>
                <w:szCs w:val="21"/>
                <w:lang w:val="en-US" w:eastAsia="zh-CN"/>
              </w:rPr>
              <w:t>铬</w:t>
            </w:r>
          </w:p>
        </w:tc>
        <w:tc>
          <w:tcPr>
            <w:tcW w:w="715" w:type="pct"/>
            <w:vAlign w:val="center"/>
          </w:tcPr>
          <w:p w14:paraId="7B580EDD">
            <w:pPr>
              <w:pStyle w:val="717"/>
              <w:ind w:firstLine="0" w:firstLineChars="0"/>
              <w:jc w:val="center"/>
              <w:rPr>
                <w:rFonts w:hint="eastAsia"/>
                <w:color w:val="auto"/>
                <w:kern w:val="0"/>
                <w:szCs w:val="21"/>
              </w:rPr>
            </w:pPr>
            <w:r>
              <w:rPr>
                <w:rFonts w:hint="default"/>
                <w:color w:val="auto"/>
                <w:kern w:val="0"/>
                <w:szCs w:val="21"/>
                <w:lang w:val="en-US" w:eastAsia="zh-CN"/>
              </w:rPr>
              <w:t>0.03</w:t>
            </w:r>
          </w:p>
        </w:tc>
        <w:tc>
          <w:tcPr>
            <w:tcW w:w="715" w:type="pct"/>
            <w:vAlign w:val="center"/>
          </w:tcPr>
          <w:p w14:paraId="7173B049">
            <w:pPr>
              <w:pStyle w:val="717"/>
              <w:ind w:firstLine="0" w:firstLineChars="0"/>
              <w:jc w:val="center"/>
              <w:rPr>
                <w:rFonts w:hint="eastAsia"/>
                <w:color w:val="auto"/>
                <w:kern w:val="0"/>
                <w:szCs w:val="21"/>
              </w:rPr>
            </w:pPr>
            <w:r>
              <w:rPr>
                <w:rFonts w:hint="default"/>
                <w:color w:val="auto"/>
                <w:kern w:val="0"/>
                <w:szCs w:val="21"/>
                <w:lang w:val="en-US" w:eastAsia="zh-CN"/>
              </w:rPr>
              <w:t>0.05</w:t>
            </w:r>
          </w:p>
        </w:tc>
        <w:tc>
          <w:tcPr>
            <w:tcW w:w="715" w:type="pct"/>
            <w:vAlign w:val="center"/>
          </w:tcPr>
          <w:p w14:paraId="7628501E">
            <w:pPr>
              <w:pStyle w:val="717"/>
              <w:ind w:firstLine="0" w:firstLineChars="0"/>
              <w:jc w:val="center"/>
              <w:rPr>
                <w:rFonts w:hint="eastAsia"/>
                <w:color w:val="auto"/>
                <w:kern w:val="0"/>
                <w:szCs w:val="21"/>
              </w:rPr>
            </w:pPr>
            <w:r>
              <w:rPr>
                <w:rFonts w:hint="default"/>
                <w:color w:val="auto"/>
                <w:kern w:val="0"/>
                <w:szCs w:val="21"/>
                <w:lang w:val="en-US" w:eastAsia="zh-CN"/>
              </w:rPr>
              <w:t>0.6</w:t>
            </w:r>
          </w:p>
        </w:tc>
        <w:tc>
          <w:tcPr>
            <w:tcW w:w="715" w:type="pct"/>
            <w:vAlign w:val="center"/>
          </w:tcPr>
          <w:p w14:paraId="51E4C58A">
            <w:pPr>
              <w:pStyle w:val="717"/>
              <w:ind w:firstLine="0" w:firstLineChars="0"/>
              <w:jc w:val="center"/>
              <w:rPr>
                <w:rFonts w:hint="default" w:eastAsia="宋体"/>
                <w:color w:val="auto"/>
                <w:kern w:val="0"/>
                <w:szCs w:val="21"/>
                <w:lang w:val="en-US" w:eastAsia="zh-CN"/>
              </w:rPr>
            </w:pPr>
            <w:r>
              <w:rPr>
                <w:rFonts w:hint="eastAsia"/>
                <w:color w:val="auto"/>
                <w:kern w:val="0"/>
                <w:szCs w:val="21"/>
                <w:lang w:val="en-US" w:eastAsia="zh-CN"/>
              </w:rPr>
              <w:t>4</w:t>
            </w:r>
          </w:p>
        </w:tc>
        <w:tc>
          <w:tcPr>
            <w:tcW w:w="712" w:type="pct"/>
            <w:vAlign w:val="center"/>
          </w:tcPr>
          <w:p w14:paraId="0443C13F">
            <w:pPr>
              <w:pStyle w:val="717"/>
              <w:ind w:firstLine="0" w:firstLineChars="0"/>
              <w:jc w:val="center"/>
              <w:rPr>
                <w:color w:val="auto"/>
                <w:kern w:val="0"/>
                <w:szCs w:val="21"/>
              </w:rPr>
            </w:pPr>
            <w:r>
              <w:rPr>
                <w:rFonts w:hint="eastAsia"/>
                <w:color w:val="auto"/>
                <w:kern w:val="0"/>
                <w:szCs w:val="21"/>
              </w:rPr>
              <w:t>重金属</w:t>
            </w:r>
          </w:p>
        </w:tc>
      </w:tr>
      <w:tr w14:paraId="3E409A03">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534495EA">
            <w:pPr>
              <w:pStyle w:val="717"/>
              <w:ind w:firstLine="0" w:firstLineChars="0"/>
              <w:jc w:val="center"/>
              <w:rPr>
                <w:rFonts w:hint="eastAsia"/>
                <w:color w:val="auto"/>
                <w:kern w:val="0"/>
                <w:szCs w:val="21"/>
              </w:rPr>
            </w:pPr>
          </w:p>
        </w:tc>
        <w:tc>
          <w:tcPr>
            <w:tcW w:w="714" w:type="pct"/>
            <w:vAlign w:val="center"/>
          </w:tcPr>
          <w:p w14:paraId="5E5A3031">
            <w:pPr>
              <w:pStyle w:val="717"/>
              <w:ind w:firstLine="0" w:firstLineChars="0"/>
              <w:jc w:val="center"/>
              <w:rPr>
                <w:rFonts w:hint="eastAsia"/>
                <w:color w:val="auto"/>
                <w:kern w:val="0"/>
                <w:szCs w:val="21"/>
              </w:rPr>
            </w:pPr>
            <w:r>
              <w:rPr>
                <w:rFonts w:hint="eastAsia"/>
                <w:color w:val="auto"/>
                <w:kern w:val="0"/>
                <w:szCs w:val="21"/>
                <w:lang w:val="en-US" w:eastAsia="zh-CN"/>
              </w:rPr>
              <w:t>镉</w:t>
            </w:r>
          </w:p>
        </w:tc>
        <w:tc>
          <w:tcPr>
            <w:tcW w:w="715" w:type="pct"/>
            <w:vAlign w:val="center"/>
          </w:tcPr>
          <w:p w14:paraId="79E70FE0">
            <w:pPr>
              <w:pStyle w:val="717"/>
              <w:ind w:firstLine="0" w:firstLineChars="0"/>
              <w:jc w:val="center"/>
              <w:rPr>
                <w:rFonts w:hint="eastAsia"/>
                <w:color w:val="auto"/>
                <w:kern w:val="0"/>
                <w:szCs w:val="21"/>
              </w:rPr>
            </w:pPr>
            <w:r>
              <w:rPr>
                <w:rFonts w:hint="eastAsia"/>
                <w:color w:val="auto"/>
                <w:kern w:val="0"/>
                <w:szCs w:val="21"/>
                <w:lang w:val="en-US" w:eastAsia="zh-CN"/>
              </w:rPr>
              <w:t>0.05</w:t>
            </w:r>
          </w:p>
        </w:tc>
        <w:tc>
          <w:tcPr>
            <w:tcW w:w="715" w:type="pct"/>
            <w:vAlign w:val="center"/>
          </w:tcPr>
          <w:p w14:paraId="4FAAD424">
            <w:pPr>
              <w:pStyle w:val="717"/>
              <w:ind w:firstLine="0" w:firstLineChars="0"/>
              <w:jc w:val="center"/>
              <w:rPr>
                <w:rFonts w:hint="eastAsia"/>
                <w:color w:val="auto"/>
                <w:kern w:val="0"/>
                <w:szCs w:val="21"/>
              </w:rPr>
            </w:pPr>
            <w:r>
              <w:rPr>
                <w:rFonts w:hint="default"/>
                <w:color w:val="auto"/>
                <w:kern w:val="0"/>
                <w:szCs w:val="21"/>
                <w:lang w:val="en-US" w:eastAsia="zh-CN"/>
              </w:rPr>
              <w:t>0.005</w:t>
            </w:r>
          </w:p>
        </w:tc>
        <w:tc>
          <w:tcPr>
            <w:tcW w:w="715" w:type="pct"/>
            <w:vAlign w:val="center"/>
          </w:tcPr>
          <w:p w14:paraId="092238D9">
            <w:pPr>
              <w:pStyle w:val="717"/>
              <w:ind w:firstLine="0" w:firstLineChars="0"/>
              <w:jc w:val="center"/>
              <w:rPr>
                <w:rFonts w:hint="eastAsia"/>
                <w:color w:val="auto"/>
                <w:kern w:val="0"/>
                <w:szCs w:val="21"/>
              </w:rPr>
            </w:pPr>
            <w:r>
              <w:rPr>
                <w:rFonts w:hint="default"/>
                <w:color w:val="auto"/>
                <w:kern w:val="0"/>
                <w:szCs w:val="21"/>
                <w:lang w:val="en-US" w:eastAsia="zh-CN"/>
              </w:rPr>
              <w:t>10</w:t>
            </w:r>
          </w:p>
        </w:tc>
        <w:tc>
          <w:tcPr>
            <w:tcW w:w="715" w:type="pct"/>
            <w:vAlign w:val="center"/>
          </w:tcPr>
          <w:p w14:paraId="0EF733F6">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2</w:t>
            </w:r>
          </w:p>
        </w:tc>
        <w:tc>
          <w:tcPr>
            <w:tcW w:w="712" w:type="pct"/>
            <w:vAlign w:val="center"/>
          </w:tcPr>
          <w:p w14:paraId="2C1CD53C">
            <w:pPr>
              <w:ind w:firstLine="0" w:firstLineChars="0"/>
              <w:jc w:val="center"/>
              <w:rPr>
                <w:rFonts w:hint="eastAsia"/>
                <w:color w:val="auto"/>
                <w:kern w:val="0"/>
                <w:szCs w:val="21"/>
              </w:rPr>
            </w:pPr>
            <w:r>
              <w:rPr>
                <w:rFonts w:hint="eastAsia"/>
                <w:color w:val="auto"/>
                <w:kern w:val="0"/>
                <w:szCs w:val="21"/>
              </w:rPr>
              <w:t>重金属</w:t>
            </w:r>
          </w:p>
        </w:tc>
      </w:tr>
      <w:tr w14:paraId="6E33D22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720715EC">
            <w:pPr>
              <w:pStyle w:val="717"/>
              <w:ind w:firstLine="0" w:firstLineChars="0"/>
              <w:jc w:val="center"/>
              <w:rPr>
                <w:rFonts w:hint="eastAsia"/>
                <w:color w:val="auto"/>
                <w:kern w:val="0"/>
                <w:szCs w:val="21"/>
              </w:rPr>
            </w:pPr>
          </w:p>
        </w:tc>
        <w:tc>
          <w:tcPr>
            <w:tcW w:w="714" w:type="pct"/>
            <w:vAlign w:val="center"/>
          </w:tcPr>
          <w:p w14:paraId="694D92EA">
            <w:pPr>
              <w:pStyle w:val="717"/>
              <w:ind w:firstLine="0" w:firstLineChars="0"/>
              <w:jc w:val="center"/>
              <w:rPr>
                <w:rFonts w:hint="eastAsia"/>
                <w:color w:val="auto"/>
                <w:kern w:val="0"/>
                <w:szCs w:val="21"/>
              </w:rPr>
            </w:pPr>
            <w:r>
              <w:rPr>
                <w:rFonts w:hint="eastAsia"/>
                <w:color w:val="auto"/>
                <w:kern w:val="0"/>
                <w:szCs w:val="21"/>
                <w:lang w:val="en-US" w:eastAsia="zh-CN"/>
              </w:rPr>
              <w:t>锌</w:t>
            </w:r>
          </w:p>
        </w:tc>
        <w:tc>
          <w:tcPr>
            <w:tcW w:w="715" w:type="pct"/>
            <w:vAlign w:val="center"/>
          </w:tcPr>
          <w:p w14:paraId="6D805161">
            <w:pPr>
              <w:pStyle w:val="717"/>
              <w:ind w:firstLine="0" w:firstLineChars="0"/>
              <w:jc w:val="center"/>
              <w:rPr>
                <w:rFonts w:hint="eastAsia"/>
                <w:color w:val="auto"/>
                <w:kern w:val="0"/>
                <w:szCs w:val="21"/>
              </w:rPr>
            </w:pPr>
            <w:r>
              <w:rPr>
                <w:rFonts w:hint="eastAsia"/>
                <w:color w:val="auto"/>
                <w:kern w:val="0"/>
                <w:szCs w:val="21"/>
                <w:lang w:val="en-US" w:eastAsia="zh-CN"/>
              </w:rPr>
              <w:t>0.05</w:t>
            </w:r>
          </w:p>
        </w:tc>
        <w:tc>
          <w:tcPr>
            <w:tcW w:w="715" w:type="pct"/>
            <w:vAlign w:val="center"/>
          </w:tcPr>
          <w:p w14:paraId="49A6BE94">
            <w:pPr>
              <w:pStyle w:val="717"/>
              <w:ind w:firstLine="0" w:firstLineChars="0"/>
              <w:jc w:val="center"/>
              <w:rPr>
                <w:rFonts w:hint="eastAsia"/>
                <w:color w:val="auto"/>
                <w:kern w:val="0"/>
                <w:szCs w:val="21"/>
              </w:rPr>
            </w:pPr>
            <w:r>
              <w:rPr>
                <w:rFonts w:hint="default"/>
                <w:color w:val="auto"/>
                <w:kern w:val="0"/>
                <w:szCs w:val="21"/>
                <w:lang w:val="en-US" w:eastAsia="zh-CN"/>
              </w:rPr>
              <w:t>1</w:t>
            </w:r>
          </w:p>
        </w:tc>
        <w:tc>
          <w:tcPr>
            <w:tcW w:w="715" w:type="pct"/>
            <w:vAlign w:val="center"/>
          </w:tcPr>
          <w:p w14:paraId="686DD25B">
            <w:pPr>
              <w:pStyle w:val="717"/>
              <w:ind w:firstLine="0" w:firstLineChars="0"/>
              <w:jc w:val="center"/>
              <w:rPr>
                <w:rFonts w:hint="eastAsia"/>
                <w:color w:val="auto"/>
                <w:kern w:val="0"/>
                <w:szCs w:val="21"/>
              </w:rPr>
            </w:pPr>
            <w:r>
              <w:rPr>
                <w:rFonts w:hint="default"/>
                <w:color w:val="auto"/>
                <w:kern w:val="0"/>
                <w:szCs w:val="21"/>
                <w:lang w:val="en-US" w:eastAsia="zh-CN"/>
              </w:rPr>
              <w:t>0.05</w:t>
            </w:r>
          </w:p>
        </w:tc>
        <w:tc>
          <w:tcPr>
            <w:tcW w:w="715" w:type="pct"/>
            <w:vAlign w:val="center"/>
          </w:tcPr>
          <w:p w14:paraId="7E545B8D">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5</w:t>
            </w:r>
          </w:p>
        </w:tc>
        <w:tc>
          <w:tcPr>
            <w:tcW w:w="712" w:type="pct"/>
            <w:vAlign w:val="center"/>
          </w:tcPr>
          <w:p w14:paraId="42CE61F9">
            <w:pPr>
              <w:ind w:firstLine="0" w:firstLineChars="0"/>
              <w:jc w:val="center"/>
              <w:rPr>
                <w:rFonts w:hint="eastAsia"/>
                <w:color w:val="auto"/>
                <w:kern w:val="0"/>
                <w:szCs w:val="21"/>
              </w:rPr>
            </w:pPr>
            <w:r>
              <w:rPr>
                <w:rFonts w:hint="eastAsia"/>
                <w:color w:val="auto"/>
                <w:kern w:val="0"/>
                <w:szCs w:val="21"/>
              </w:rPr>
              <w:t>重金属</w:t>
            </w:r>
          </w:p>
        </w:tc>
      </w:tr>
      <w:tr w14:paraId="606C5118">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6B8A3DEB">
            <w:pPr>
              <w:pStyle w:val="717"/>
              <w:ind w:firstLine="0" w:firstLineChars="0"/>
              <w:jc w:val="center"/>
              <w:rPr>
                <w:rFonts w:hint="eastAsia"/>
                <w:color w:val="auto"/>
                <w:kern w:val="0"/>
                <w:szCs w:val="21"/>
              </w:rPr>
            </w:pPr>
          </w:p>
        </w:tc>
        <w:tc>
          <w:tcPr>
            <w:tcW w:w="714" w:type="pct"/>
            <w:vAlign w:val="center"/>
          </w:tcPr>
          <w:p w14:paraId="0A49B42C">
            <w:pPr>
              <w:pStyle w:val="717"/>
              <w:ind w:firstLine="0" w:firstLineChars="0"/>
              <w:jc w:val="center"/>
              <w:rPr>
                <w:rFonts w:hint="eastAsia"/>
                <w:color w:val="auto"/>
                <w:kern w:val="0"/>
                <w:szCs w:val="21"/>
              </w:rPr>
            </w:pPr>
            <w:r>
              <w:rPr>
                <w:rFonts w:hint="eastAsia"/>
                <w:color w:val="auto"/>
                <w:kern w:val="0"/>
                <w:szCs w:val="21"/>
                <w:lang w:val="en-US" w:eastAsia="zh-CN"/>
              </w:rPr>
              <w:t>汞</w:t>
            </w:r>
          </w:p>
        </w:tc>
        <w:tc>
          <w:tcPr>
            <w:tcW w:w="715" w:type="pct"/>
            <w:vAlign w:val="center"/>
          </w:tcPr>
          <w:p w14:paraId="53106434">
            <w:pPr>
              <w:pStyle w:val="717"/>
              <w:ind w:firstLine="0" w:firstLineChars="0"/>
              <w:jc w:val="center"/>
              <w:rPr>
                <w:rFonts w:hint="eastAsia"/>
                <w:color w:val="auto"/>
                <w:kern w:val="0"/>
                <w:szCs w:val="21"/>
              </w:rPr>
            </w:pPr>
            <w:r>
              <w:rPr>
                <w:rFonts w:hint="eastAsia"/>
                <w:color w:val="auto"/>
                <w:kern w:val="0"/>
                <w:szCs w:val="21"/>
                <w:lang w:val="en-US" w:eastAsia="zh-CN"/>
              </w:rPr>
              <w:t>0.00004</w:t>
            </w:r>
          </w:p>
        </w:tc>
        <w:tc>
          <w:tcPr>
            <w:tcW w:w="715" w:type="pct"/>
            <w:vAlign w:val="center"/>
          </w:tcPr>
          <w:p w14:paraId="24A88842">
            <w:pPr>
              <w:pStyle w:val="717"/>
              <w:ind w:firstLine="0" w:firstLineChars="0"/>
              <w:jc w:val="center"/>
              <w:rPr>
                <w:rFonts w:hint="eastAsia"/>
                <w:color w:val="auto"/>
                <w:kern w:val="0"/>
                <w:szCs w:val="21"/>
              </w:rPr>
            </w:pPr>
            <w:r>
              <w:rPr>
                <w:rFonts w:hint="default"/>
                <w:color w:val="auto"/>
                <w:kern w:val="0"/>
                <w:szCs w:val="21"/>
                <w:lang w:val="en-US" w:eastAsia="zh-CN"/>
              </w:rPr>
              <w:t>0.001</w:t>
            </w:r>
          </w:p>
        </w:tc>
        <w:tc>
          <w:tcPr>
            <w:tcW w:w="715" w:type="pct"/>
            <w:vAlign w:val="center"/>
          </w:tcPr>
          <w:p w14:paraId="4478B5A5">
            <w:pPr>
              <w:pStyle w:val="717"/>
              <w:ind w:firstLine="0" w:firstLineChars="0"/>
              <w:jc w:val="center"/>
              <w:rPr>
                <w:rFonts w:hint="eastAsia"/>
                <w:color w:val="auto"/>
                <w:kern w:val="0"/>
                <w:szCs w:val="21"/>
              </w:rPr>
            </w:pPr>
            <w:r>
              <w:rPr>
                <w:rFonts w:hint="default"/>
                <w:color w:val="auto"/>
                <w:kern w:val="0"/>
                <w:szCs w:val="21"/>
                <w:lang w:val="en-US" w:eastAsia="zh-CN"/>
              </w:rPr>
              <w:t>0.04</w:t>
            </w:r>
          </w:p>
        </w:tc>
        <w:tc>
          <w:tcPr>
            <w:tcW w:w="715" w:type="pct"/>
            <w:vAlign w:val="center"/>
          </w:tcPr>
          <w:p w14:paraId="032E05E1">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6</w:t>
            </w:r>
          </w:p>
        </w:tc>
        <w:tc>
          <w:tcPr>
            <w:tcW w:w="712" w:type="pct"/>
            <w:vAlign w:val="center"/>
          </w:tcPr>
          <w:p w14:paraId="4E4ADAA1">
            <w:pPr>
              <w:ind w:firstLine="0" w:firstLineChars="0"/>
              <w:jc w:val="center"/>
              <w:rPr>
                <w:rFonts w:hint="eastAsia"/>
                <w:color w:val="auto"/>
                <w:kern w:val="0"/>
                <w:szCs w:val="21"/>
              </w:rPr>
            </w:pPr>
            <w:r>
              <w:rPr>
                <w:rFonts w:hint="eastAsia"/>
                <w:color w:val="auto"/>
                <w:kern w:val="0"/>
                <w:szCs w:val="21"/>
              </w:rPr>
              <w:t>重金属</w:t>
            </w:r>
          </w:p>
        </w:tc>
      </w:tr>
      <w:tr w14:paraId="2D6A153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5854872D">
            <w:pPr>
              <w:pStyle w:val="717"/>
              <w:ind w:firstLine="0" w:firstLineChars="0"/>
              <w:jc w:val="center"/>
              <w:rPr>
                <w:rFonts w:hint="eastAsia"/>
                <w:color w:val="auto"/>
                <w:kern w:val="0"/>
                <w:szCs w:val="21"/>
              </w:rPr>
            </w:pPr>
          </w:p>
        </w:tc>
        <w:tc>
          <w:tcPr>
            <w:tcW w:w="714" w:type="pct"/>
            <w:vAlign w:val="center"/>
          </w:tcPr>
          <w:p w14:paraId="333C597F">
            <w:pPr>
              <w:pStyle w:val="717"/>
              <w:ind w:firstLine="0" w:firstLineChars="0"/>
              <w:jc w:val="center"/>
              <w:rPr>
                <w:rFonts w:hint="eastAsia"/>
                <w:color w:val="auto"/>
                <w:kern w:val="0"/>
                <w:szCs w:val="21"/>
              </w:rPr>
            </w:pPr>
            <w:r>
              <w:rPr>
                <w:rFonts w:hint="eastAsia"/>
                <w:color w:val="auto"/>
                <w:kern w:val="0"/>
                <w:szCs w:val="21"/>
                <w:lang w:val="en-US" w:eastAsia="zh-CN"/>
              </w:rPr>
              <w:t>镍</w:t>
            </w:r>
          </w:p>
        </w:tc>
        <w:tc>
          <w:tcPr>
            <w:tcW w:w="715" w:type="pct"/>
            <w:vAlign w:val="center"/>
          </w:tcPr>
          <w:p w14:paraId="16373FEF">
            <w:pPr>
              <w:pStyle w:val="717"/>
              <w:ind w:firstLine="0" w:firstLineChars="0"/>
              <w:jc w:val="center"/>
              <w:rPr>
                <w:rFonts w:hint="eastAsia"/>
                <w:color w:val="auto"/>
                <w:kern w:val="0"/>
                <w:szCs w:val="21"/>
              </w:rPr>
            </w:pPr>
            <w:r>
              <w:rPr>
                <w:rFonts w:hint="eastAsia"/>
                <w:color w:val="auto"/>
                <w:kern w:val="0"/>
                <w:szCs w:val="21"/>
                <w:lang w:val="en-US" w:eastAsia="zh-CN"/>
              </w:rPr>
              <w:t>0.05</w:t>
            </w:r>
          </w:p>
        </w:tc>
        <w:tc>
          <w:tcPr>
            <w:tcW w:w="715" w:type="pct"/>
            <w:vAlign w:val="center"/>
          </w:tcPr>
          <w:p w14:paraId="4B3EB97C">
            <w:pPr>
              <w:pStyle w:val="717"/>
              <w:ind w:firstLine="0" w:firstLineChars="0"/>
              <w:jc w:val="center"/>
              <w:rPr>
                <w:rFonts w:hint="eastAsia"/>
                <w:color w:val="auto"/>
                <w:kern w:val="0"/>
                <w:szCs w:val="21"/>
              </w:rPr>
            </w:pPr>
            <w:r>
              <w:rPr>
                <w:rFonts w:hint="default"/>
                <w:color w:val="auto"/>
                <w:kern w:val="0"/>
                <w:szCs w:val="21"/>
                <w:lang w:val="en-US" w:eastAsia="zh-CN"/>
              </w:rPr>
              <w:t>0.02</w:t>
            </w:r>
          </w:p>
        </w:tc>
        <w:tc>
          <w:tcPr>
            <w:tcW w:w="715" w:type="pct"/>
            <w:vAlign w:val="center"/>
          </w:tcPr>
          <w:p w14:paraId="50E87DC7">
            <w:pPr>
              <w:pStyle w:val="717"/>
              <w:ind w:firstLine="0" w:firstLineChars="0"/>
              <w:jc w:val="center"/>
              <w:rPr>
                <w:rFonts w:hint="eastAsia"/>
                <w:color w:val="auto"/>
                <w:kern w:val="0"/>
                <w:szCs w:val="21"/>
              </w:rPr>
            </w:pPr>
            <w:r>
              <w:rPr>
                <w:rFonts w:hint="default"/>
                <w:color w:val="auto"/>
                <w:kern w:val="0"/>
                <w:szCs w:val="21"/>
                <w:lang w:val="en-US" w:eastAsia="zh-CN"/>
              </w:rPr>
              <w:t>2.5</w:t>
            </w:r>
          </w:p>
        </w:tc>
        <w:tc>
          <w:tcPr>
            <w:tcW w:w="715" w:type="pct"/>
            <w:vAlign w:val="center"/>
          </w:tcPr>
          <w:p w14:paraId="3B87707E">
            <w:pPr>
              <w:pStyle w:val="717"/>
              <w:ind w:firstLine="0" w:firstLineChars="0"/>
              <w:jc w:val="center"/>
              <w:rPr>
                <w:rFonts w:hint="default" w:eastAsia="宋体"/>
                <w:color w:val="auto"/>
                <w:kern w:val="0"/>
                <w:szCs w:val="21"/>
                <w:lang w:val="en-US" w:eastAsia="zh-CN"/>
              </w:rPr>
            </w:pPr>
            <w:r>
              <w:rPr>
                <w:rFonts w:hint="eastAsia"/>
                <w:color w:val="auto"/>
                <w:kern w:val="0"/>
                <w:szCs w:val="21"/>
                <w:lang w:val="en-US" w:eastAsia="zh-CN"/>
              </w:rPr>
              <w:t>3</w:t>
            </w:r>
          </w:p>
        </w:tc>
        <w:tc>
          <w:tcPr>
            <w:tcW w:w="712" w:type="pct"/>
            <w:vAlign w:val="center"/>
          </w:tcPr>
          <w:p w14:paraId="24024B44">
            <w:pPr>
              <w:ind w:firstLine="0" w:firstLineChars="0"/>
              <w:jc w:val="center"/>
              <w:rPr>
                <w:rFonts w:hint="eastAsia"/>
                <w:color w:val="auto"/>
                <w:kern w:val="0"/>
                <w:szCs w:val="21"/>
              </w:rPr>
            </w:pPr>
            <w:r>
              <w:rPr>
                <w:rFonts w:hint="eastAsia"/>
                <w:color w:val="auto"/>
                <w:kern w:val="0"/>
                <w:szCs w:val="21"/>
              </w:rPr>
              <w:t>重金属</w:t>
            </w:r>
          </w:p>
        </w:tc>
      </w:tr>
      <w:tr w14:paraId="700D39B9">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720EEB72">
            <w:pPr>
              <w:pStyle w:val="717"/>
              <w:ind w:firstLine="0" w:firstLineChars="0"/>
              <w:jc w:val="center"/>
              <w:rPr>
                <w:rFonts w:hint="eastAsia"/>
                <w:color w:val="auto"/>
                <w:kern w:val="0"/>
                <w:szCs w:val="21"/>
              </w:rPr>
            </w:pPr>
          </w:p>
        </w:tc>
        <w:tc>
          <w:tcPr>
            <w:tcW w:w="714" w:type="pct"/>
            <w:vAlign w:val="center"/>
          </w:tcPr>
          <w:p w14:paraId="299A58F2">
            <w:pPr>
              <w:pStyle w:val="717"/>
              <w:ind w:firstLine="0" w:firstLineChars="0"/>
              <w:jc w:val="center"/>
              <w:rPr>
                <w:rFonts w:hint="eastAsia"/>
                <w:color w:val="auto"/>
                <w:kern w:val="0"/>
                <w:szCs w:val="21"/>
              </w:rPr>
            </w:pPr>
            <w:r>
              <w:rPr>
                <w:rFonts w:hint="eastAsia"/>
                <w:color w:val="auto"/>
                <w:kern w:val="0"/>
                <w:szCs w:val="21"/>
                <w:lang w:val="en-US" w:eastAsia="zh-CN"/>
              </w:rPr>
              <w:t>铅</w:t>
            </w:r>
          </w:p>
        </w:tc>
        <w:tc>
          <w:tcPr>
            <w:tcW w:w="715" w:type="pct"/>
            <w:vAlign w:val="center"/>
          </w:tcPr>
          <w:p w14:paraId="2BAA63AD">
            <w:pPr>
              <w:pStyle w:val="717"/>
              <w:ind w:firstLine="0" w:firstLineChars="0"/>
              <w:jc w:val="center"/>
              <w:rPr>
                <w:rFonts w:hint="eastAsia"/>
                <w:color w:val="auto"/>
                <w:kern w:val="0"/>
                <w:szCs w:val="21"/>
              </w:rPr>
            </w:pPr>
            <w:r>
              <w:rPr>
                <w:rFonts w:hint="eastAsia"/>
                <w:color w:val="auto"/>
                <w:kern w:val="0"/>
                <w:szCs w:val="21"/>
                <w:lang w:val="en-US" w:eastAsia="zh-CN"/>
              </w:rPr>
              <w:t>0.2</w:t>
            </w:r>
          </w:p>
        </w:tc>
        <w:tc>
          <w:tcPr>
            <w:tcW w:w="715" w:type="pct"/>
            <w:vAlign w:val="center"/>
          </w:tcPr>
          <w:p w14:paraId="2DD9F875">
            <w:pPr>
              <w:pStyle w:val="717"/>
              <w:ind w:firstLine="0" w:firstLineChars="0"/>
              <w:jc w:val="center"/>
              <w:rPr>
                <w:rFonts w:hint="eastAsia"/>
                <w:color w:val="auto"/>
                <w:kern w:val="0"/>
                <w:szCs w:val="21"/>
              </w:rPr>
            </w:pPr>
            <w:r>
              <w:rPr>
                <w:rFonts w:hint="default"/>
                <w:color w:val="auto"/>
                <w:kern w:val="0"/>
                <w:szCs w:val="21"/>
                <w:lang w:val="en-US" w:eastAsia="zh-CN"/>
              </w:rPr>
              <w:t>0.01</w:t>
            </w:r>
          </w:p>
        </w:tc>
        <w:tc>
          <w:tcPr>
            <w:tcW w:w="715" w:type="pct"/>
            <w:vAlign w:val="center"/>
          </w:tcPr>
          <w:p w14:paraId="2316A477">
            <w:pPr>
              <w:pStyle w:val="717"/>
              <w:ind w:firstLine="0" w:firstLineChars="0"/>
              <w:jc w:val="center"/>
              <w:rPr>
                <w:rFonts w:hint="eastAsia"/>
                <w:color w:val="auto"/>
                <w:kern w:val="0"/>
                <w:szCs w:val="21"/>
              </w:rPr>
            </w:pPr>
            <w:r>
              <w:rPr>
                <w:rFonts w:hint="default"/>
                <w:color w:val="auto"/>
                <w:kern w:val="0"/>
                <w:szCs w:val="21"/>
                <w:lang w:val="en-US" w:eastAsia="zh-CN"/>
              </w:rPr>
              <w:t>20</w:t>
            </w:r>
          </w:p>
        </w:tc>
        <w:tc>
          <w:tcPr>
            <w:tcW w:w="715" w:type="pct"/>
            <w:vAlign w:val="center"/>
          </w:tcPr>
          <w:p w14:paraId="4620AA17">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1</w:t>
            </w:r>
          </w:p>
        </w:tc>
        <w:tc>
          <w:tcPr>
            <w:tcW w:w="712" w:type="pct"/>
            <w:vAlign w:val="center"/>
          </w:tcPr>
          <w:p w14:paraId="2307CD74">
            <w:pPr>
              <w:ind w:firstLine="0" w:firstLineChars="0"/>
              <w:jc w:val="center"/>
              <w:rPr>
                <w:rFonts w:hint="eastAsia"/>
                <w:color w:val="auto"/>
                <w:kern w:val="0"/>
                <w:szCs w:val="21"/>
              </w:rPr>
            </w:pPr>
            <w:r>
              <w:rPr>
                <w:rFonts w:hint="eastAsia"/>
                <w:color w:val="auto"/>
                <w:kern w:val="0"/>
                <w:szCs w:val="21"/>
              </w:rPr>
              <w:t>重金属</w:t>
            </w:r>
          </w:p>
        </w:tc>
      </w:tr>
      <w:tr w14:paraId="4F65A2E0">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12D07D4A">
            <w:pPr>
              <w:pStyle w:val="717"/>
              <w:ind w:firstLine="0" w:firstLineChars="0"/>
              <w:jc w:val="center"/>
              <w:rPr>
                <w:rFonts w:hint="eastAsia"/>
                <w:color w:val="auto"/>
                <w:kern w:val="0"/>
                <w:szCs w:val="21"/>
              </w:rPr>
            </w:pPr>
          </w:p>
        </w:tc>
        <w:tc>
          <w:tcPr>
            <w:tcW w:w="714" w:type="pct"/>
            <w:vAlign w:val="center"/>
          </w:tcPr>
          <w:p w14:paraId="1348C844">
            <w:pPr>
              <w:pStyle w:val="717"/>
              <w:ind w:firstLine="0" w:firstLineChars="0"/>
              <w:jc w:val="center"/>
              <w:rPr>
                <w:rFonts w:hint="eastAsia"/>
                <w:color w:val="auto"/>
                <w:kern w:val="0"/>
                <w:szCs w:val="21"/>
              </w:rPr>
            </w:pPr>
            <w:r>
              <w:rPr>
                <w:rFonts w:hint="eastAsia"/>
                <w:color w:val="auto"/>
                <w:kern w:val="0"/>
                <w:szCs w:val="21"/>
                <w:lang w:val="en-US" w:eastAsia="zh-CN"/>
              </w:rPr>
              <w:t>砷</w:t>
            </w:r>
          </w:p>
        </w:tc>
        <w:tc>
          <w:tcPr>
            <w:tcW w:w="715" w:type="pct"/>
            <w:vAlign w:val="center"/>
          </w:tcPr>
          <w:p w14:paraId="77FBB16D">
            <w:pPr>
              <w:pStyle w:val="717"/>
              <w:ind w:firstLine="0" w:firstLineChars="0"/>
              <w:jc w:val="center"/>
              <w:rPr>
                <w:rFonts w:hint="eastAsia"/>
                <w:color w:val="auto"/>
                <w:kern w:val="0"/>
                <w:szCs w:val="21"/>
              </w:rPr>
            </w:pPr>
            <w:r>
              <w:rPr>
                <w:rFonts w:hint="eastAsia"/>
                <w:color w:val="auto"/>
                <w:kern w:val="0"/>
                <w:szCs w:val="21"/>
                <w:lang w:val="en-US" w:eastAsia="zh-CN"/>
              </w:rPr>
              <w:t>0.0003</w:t>
            </w:r>
          </w:p>
        </w:tc>
        <w:tc>
          <w:tcPr>
            <w:tcW w:w="715" w:type="pct"/>
            <w:vAlign w:val="center"/>
          </w:tcPr>
          <w:p w14:paraId="4D04FE2E">
            <w:pPr>
              <w:pStyle w:val="717"/>
              <w:ind w:firstLine="0" w:firstLineChars="0"/>
              <w:jc w:val="center"/>
              <w:rPr>
                <w:rFonts w:hint="eastAsia"/>
                <w:color w:val="auto"/>
                <w:kern w:val="0"/>
                <w:szCs w:val="21"/>
              </w:rPr>
            </w:pPr>
            <w:r>
              <w:rPr>
                <w:rFonts w:hint="default"/>
                <w:color w:val="auto"/>
                <w:kern w:val="0"/>
                <w:szCs w:val="21"/>
                <w:lang w:val="en-US" w:eastAsia="zh-CN"/>
              </w:rPr>
              <w:t>0.01</w:t>
            </w:r>
          </w:p>
        </w:tc>
        <w:tc>
          <w:tcPr>
            <w:tcW w:w="715" w:type="pct"/>
            <w:vAlign w:val="center"/>
          </w:tcPr>
          <w:p w14:paraId="08178764">
            <w:pPr>
              <w:pStyle w:val="717"/>
              <w:ind w:firstLine="0" w:firstLineChars="0"/>
              <w:jc w:val="center"/>
              <w:rPr>
                <w:rFonts w:hint="eastAsia"/>
                <w:color w:val="auto"/>
                <w:kern w:val="0"/>
                <w:szCs w:val="21"/>
              </w:rPr>
            </w:pPr>
            <w:r>
              <w:rPr>
                <w:rFonts w:hint="default"/>
                <w:color w:val="auto"/>
                <w:kern w:val="0"/>
                <w:szCs w:val="21"/>
                <w:lang w:val="en-US" w:eastAsia="zh-CN"/>
              </w:rPr>
              <w:t>0.03</w:t>
            </w:r>
          </w:p>
        </w:tc>
        <w:tc>
          <w:tcPr>
            <w:tcW w:w="715" w:type="pct"/>
            <w:vAlign w:val="center"/>
          </w:tcPr>
          <w:p w14:paraId="19987B13">
            <w:pPr>
              <w:pStyle w:val="717"/>
              <w:ind w:firstLine="0" w:firstLineChars="0"/>
              <w:jc w:val="center"/>
              <w:rPr>
                <w:rFonts w:hint="eastAsia" w:eastAsia="宋体"/>
                <w:color w:val="auto"/>
                <w:kern w:val="0"/>
                <w:szCs w:val="21"/>
                <w:lang w:val="en-US" w:eastAsia="zh-CN"/>
              </w:rPr>
            </w:pPr>
            <w:r>
              <w:rPr>
                <w:rFonts w:hint="eastAsia"/>
                <w:color w:val="auto"/>
                <w:kern w:val="0"/>
                <w:szCs w:val="21"/>
                <w:lang w:val="en-US" w:eastAsia="zh-CN"/>
              </w:rPr>
              <w:t>7</w:t>
            </w:r>
          </w:p>
        </w:tc>
        <w:tc>
          <w:tcPr>
            <w:tcW w:w="712" w:type="pct"/>
            <w:vAlign w:val="center"/>
          </w:tcPr>
          <w:p w14:paraId="618BC7BB">
            <w:pPr>
              <w:ind w:firstLine="0" w:firstLineChars="0"/>
              <w:jc w:val="center"/>
              <w:rPr>
                <w:rFonts w:hint="eastAsia"/>
                <w:color w:val="auto"/>
                <w:kern w:val="0"/>
                <w:szCs w:val="21"/>
              </w:rPr>
            </w:pPr>
            <w:r>
              <w:rPr>
                <w:rFonts w:hint="eastAsia"/>
                <w:color w:val="auto"/>
                <w:kern w:val="0"/>
                <w:szCs w:val="21"/>
              </w:rPr>
              <w:t>重金属</w:t>
            </w:r>
          </w:p>
        </w:tc>
      </w:tr>
      <w:tr w14:paraId="7AC2F505">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56" w:hRule="atLeast"/>
          <w:jc w:val="center"/>
        </w:trPr>
        <w:tc>
          <w:tcPr>
            <w:tcW w:w="710" w:type="pct"/>
            <w:vMerge w:val="continue"/>
            <w:vAlign w:val="center"/>
          </w:tcPr>
          <w:p w14:paraId="6D23147F">
            <w:pPr>
              <w:pStyle w:val="717"/>
              <w:ind w:firstLine="0" w:firstLineChars="0"/>
              <w:jc w:val="center"/>
              <w:rPr>
                <w:rFonts w:hint="eastAsia"/>
                <w:color w:val="auto"/>
                <w:kern w:val="0"/>
                <w:szCs w:val="21"/>
              </w:rPr>
            </w:pPr>
          </w:p>
        </w:tc>
        <w:tc>
          <w:tcPr>
            <w:tcW w:w="714" w:type="pct"/>
            <w:vAlign w:val="center"/>
          </w:tcPr>
          <w:p w14:paraId="3E086DC5">
            <w:pPr>
              <w:pStyle w:val="717"/>
              <w:ind w:firstLine="0" w:firstLineChars="0"/>
              <w:jc w:val="center"/>
              <w:rPr>
                <w:rFonts w:hint="eastAsia"/>
                <w:color w:val="auto"/>
                <w:kern w:val="0"/>
                <w:szCs w:val="21"/>
              </w:rPr>
            </w:pPr>
            <w:r>
              <w:rPr>
                <w:rFonts w:hint="eastAsia"/>
                <w:color w:val="auto"/>
                <w:kern w:val="0"/>
                <w:szCs w:val="21"/>
                <w:lang w:val="en-US" w:eastAsia="zh-CN"/>
              </w:rPr>
              <w:t>银</w:t>
            </w:r>
          </w:p>
        </w:tc>
        <w:tc>
          <w:tcPr>
            <w:tcW w:w="715" w:type="pct"/>
            <w:vAlign w:val="center"/>
          </w:tcPr>
          <w:p w14:paraId="5EC8198E">
            <w:pPr>
              <w:pStyle w:val="717"/>
              <w:ind w:firstLine="0" w:firstLineChars="0"/>
              <w:jc w:val="center"/>
              <w:rPr>
                <w:rFonts w:hint="eastAsia"/>
                <w:color w:val="auto"/>
                <w:kern w:val="0"/>
                <w:szCs w:val="21"/>
              </w:rPr>
            </w:pPr>
            <w:r>
              <w:rPr>
                <w:rFonts w:hint="eastAsia"/>
                <w:color w:val="auto"/>
                <w:kern w:val="0"/>
                <w:szCs w:val="21"/>
                <w:lang w:val="en-US" w:eastAsia="zh-CN"/>
              </w:rPr>
              <w:t>0.03</w:t>
            </w:r>
          </w:p>
        </w:tc>
        <w:tc>
          <w:tcPr>
            <w:tcW w:w="715" w:type="pct"/>
            <w:vAlign w:val="center"/>
          </w:tcPr>
          <w:p w14:paraId="7B6FE6C7">
            <w:pPr>
              <w:pStyle w:val="717"/>
              <w:ind w:firstLine="0" w:firstLineChars="0"/>
              <w:jc w:val="center"/>
              <w:rPr>
                <w:rFonts w:hint="eastAsia"/>
                <w:color w:val="auto"/>
                <w:kern w:val="0"/>
                <w:szCs w:val="21"/>
              </w:rPr>
            </w:pPr>
            <w:r>
              <w:rPr>
                <w:rFonts w:hint="default"/>
                <w:color w:val="auto"/>
                <w:kern w:val="0"/>
                <w:szCs w:val="21"/>
                <w:lang w:val="en-US" w:eastAsia="zh-CN"/>
              </w:rPr>
              <w:t>0.05</w:t>
            </w:r>
          </w:p>
        </w:tc>
        <w:tc>
          <w:tcPr>
            <w:tcW w:w="715" w:type="pct"/>
            <w:vAlign w:val="center"/>
          </w:tcPr>
          <w:p w14:paraId="59875186">
            <w:pPr>
              <w:pStyle w:val="717"/>
              <w:ind w:firstLine="0" w:firstLineChars="0"/>
              <w:jc w:val="center"/>
              <w:rPr>
                <w:rFonts w:hint="eastAsia"/>
                <w:color w:val="auto"/>
                <w:kern w:val="0"/>
                <w:szCs w:val="21"/>
              </w:rPr>
            </w:pPr>
            <w:r>
              <w:rPr>
                <w:rFonts w:hint="default"/>
                <w:color w:val="auto"/>
                <w:kern w:val="0"/>
                <w:szCs w:val="21"/>
                <w:lang w:val="en-US" w:eastAsia="zh-CN"/>
              </w:rPr>
              <w:t>0.6</w:t>
            </w:r>
          </w:p>
        </w:tc>
        <w:tc>
          <w:tcPr>
            <w:tcW w:w="715" w:type="pct"/>
            <w:vAlign w:val="center"/>
          </w:tcPr>
          <w:p w14:paraId="71BFE13B">
            <w:pPr>
              <w:pStyle w:val="717"/>
              <w:ind w:firstLine="0" w:firstLineChars="0"/>
              <w:jc w:val="center"/>
              <w:rPr>
                <w:rFonts w:hint="default" w:eastAsia="宋体"/>
                <w:color w:val="auto"/>
                <w:kern w:val="0"/>
                <w:szCs w:val="21"/>
                <w:lang w:val="en-US" w:eastAsia="zh-CN"/>
              </w:rPr>
            </w:pPr>
            <w:r>
              <w:rPr>
                <w:rFonts w:hint="eastAsia"/>
                <w:color w:val="auto"/>
                <w:kern w:val="0"/>
                <w:szCs w:val="21"/>
                <w:lang w:val="en-US" w:eastAsia="zh-CN"/>
              </w:rPr>
              <w:t>4</w:t>
            </w:r>
          </w:p>
        </w:tc>
        <w:tc>
          <w:tcPr>
            <w:tcW w:w="712" w:type="pct"/>
            <w:vAlign w:val="center"/>
          </w:tcPr>
          <w:p w14:paraId="4B0B7C49">
            <w:pPr>
              <w:ind w:firstLine="0" w:firstLineChars="0"/>
              <w:jc w:val="center"/>
              <w:rPr>
                <w:rFonts w:hint="eastAsia"/>
                <w:color w:val="auto"/>
                <w:kern w:val="0"/>
                <w:szCs w:val="21"/>
              </w:rPr>
            </w:pPr>
            <w:r>
              <w:rPr>
                <w:rFonts w:hint="eastAsia"/>
                <w:color w:val="auto"/>
                <w:kern w:val="0"/>
                <w:szCs w:val="21"/>
              </w:rPr>
              <w:t>重金属</w:t>
            </w:r>
          </w:p>
        </w:tc>
      </w:tr>
    </w:tbl>
    <w:p w14:paraId="3ED7734F">
      <w:pPr>
        <w:pStyle w:val="59"/>
        <w:ind w:firstLine="480"/>
        <w:rPr>
          <w:color w:val="auto"/>
          <w:lang w:val="en-US" w:eastAsia="zh-CN"/>
        </w:rPr>
      </w:pPr>
      <w:r>
        <w:rPr>
          <w:rFonts w:hint="eastAsia"/>
          <w:color w:val="auto"/>
          <w:lang w:val="en-US" w:eastAsia="zh-CN"/>
        </w:rPr>
        <w:t>本项目不涉及持久性有机污染物，根据标准指数的排序及污染因子的影响程度综合考量，本项目选定无机化合物氟化物和重金属污染因子铅进行预测。评价标准参照《地下水质量标准》（</w:t>
      </w:r>
      <w:r>
        <w:rPr>
          <w:rFonts w:hint="default"/>
          <w:color w:val="auto"/>
          <w:lang w:val="en-US" w:eastAsia="zh-CN"/>
        </w:rPr>
        <w:t>GB/T14848-2017</w:t>
      </w:r>
      <w:r>
        <w:rPr>
          <w:rFonts w:hint="eastAsia"/>
          <w:color w:val="auto"/>
          <w:lang w:val="en-US" w:eastAsia="zh-CN"/>
        </w:rPr>
        <w:t>）</w:t>
      </w:r>
      <w:r>
        <w:rPr>
          <w:rFonts w:hint="default"/>
          <w:color w:val="auto"/>
          <w:lang w:val="en-US" w:eastAsia="zh-CN"/>
        </w:rPr>
        <w:t>Ш</w:t>
      </w:r>
      <w:r>
        <w:rPr>
          <w:rFonts w:hint="eastAsia"/>
          <w:color w:val="auto"/>
          <w:lang w:val="en-US" w:eastAsia="zh-CN"/>
        </w:rPr>
        <w:t>类标准。根据各污染风险源在非正常工况情景下对项目周边地下水污染的权重关系。结合项目的特点，本项目渗滤液收集池储存淋溶水量最大，一旦泄漏对地下水影响最大，从最大风险原则考虑，事故状况下为池体破裂和防渗层同时破裂时污水渗漏对地下水水质造成影响。本项目以非正常工况下泄漏为预测情景，根据前文地下污染源分析部分，本项目潜在污染源主要为非正常状况下废水的泄漏，预测因子为氟化物、铅。</w:t>
      </w:r>
    </w:p>
    <w:p w14:paraId="37CE581F">
      <w:pPr>
        <w:pStyle w:val="59"/>
        <w:ind w:firstLine="480"/>
        <w:rPr>
          <w:color w:val="auto"/>
        </w:rPr>
      </w:pPr>
      <w:r>
        <w:rPr>
          <w:color w:val="auto"/>
        </w:rPr>
        <w:t>6、评价标准</w:t>
      </w:r>
    </w:p>
    <w:p w14:paraId="5C638704">
      <w:pPr>
        <w:pStyle w:val="59"/>
        <w:ind w:firstLine="480"/>
        <w:rPr>
          <w:color w:val="auto"/>
        </w:rPr>
      </w:pPr>
      <w:r>
        <w:rPr>
          <w:color w:val="auto"/>
        </w:rPr>
        <w:t>评价标准</w:t>
      </w:r>
      <w:r>
        <w:rPr>
          <w:rFonts w:hint="eastAsia"/>
          <w:color w:val="auto"/>
        </w:rPr>
        <w:t>按照</w:t>
      </w:r>
      <w:r>
        <w:rPr>
          <w:color w:val="auto"/>
        </w:rPr>
        <w:t>《地下水质量标准》（GB/T14848-2017）Ш类标准（</w:t>
      </w:r>
      <w:r>
        <w:rPr>
          <w:rFonts w:hint="eastAsia"/>
          <w:color w:val="auto"/>
          <w:lang w:val="en-US" w:eastAsia="zh-CN"/>
        </w:rPr>
        <w:t>铅</w:t>
      </w:r>
      <w:r>
        <w:rPr>
          <w:color w:val="auto"/>
        </w:rPr>
        <w:t>≤0.</w:t>
      </w:r>
      <w:r>
        <w:rPr>
          <w:rFonts w:hint="eastAsia"/>
          <w:color w:val="auto"/>
        </w:rPr>
        <w:t>0</w:t>
      </w:r>
      <w:r>
        <w:rPr>
          <w:rFonts w:hint="eastAsia"/>
          <w:color w:val="auto"/>
          <w:lang w:val="en-US" w:eastAsia="zh-CN"/>
        </w:rPr>
        <w:t>1</w:t>
      </w:r>
      <w:r>
        <w:rPr>
          <w:color w:val="auto"/>
        </w:rPr>
        <w:t>mg/L）</w:t>
      </w:r>
      <w:r>
        <w:rPr>
          <w:rFonts w:hint="eastAsia"/>
          <w:color w:val="auto"/>
        </w:rPr>
        <w:t>，（</w:t>
      </w:r>
      <w:r>
        <w:rPr>
          <w:rFonts w:hint="eastAsia"/>
          <w:color w:val="auto"/>
          <w:lang w:val="en-US" w:eastAsia="zh-CN"/>
        </w:rPr>
        <w:t>氟化物</w:t>
      </w:r>
      <w:r>
        <w:rPr>
          <w:color w:val="auto"/>
        </w:rPr>
        <w:t>≤</w:t>
      </w:r>
      <w:r>
        <w:rPr>
          <w:rFonts w:hint="eastAsia"/>
          <w:color w:val="auto"/>
          <w:lang w:val="en-US" w:eastAsia="zh-CN"/>
        </w:rPr>
        <w:t>1</w:t>
      </w:r>
      <w:r>
        <w:rPr>
          <w:color w:val="auto"/>
        </w:rPr>
        <w:t>mg/L</w:t>
      </w:r>
      <w:r>
        <w:rPr>
          <w:rFonts w:hint="eastAsia"/>
          <w:color w:val="auto"/>
        </w:rPr>
        <w:t>）</w:t>
      </w:r>
      <w:r>
        <w:rPr>
          <w:color w:val="auto"/>
        </w:rPr>
        <w:t>。</w:t>
      </w:r>
    </w:p>
    <w:p w14:paraId="699C4BC4">
      <w:pPr>
        <w:pStyle w:val="59"/>
        <w:ind w:firstLine="480"/>
        <w:rPr>
          <w:color w:val="auto"/>
        </w:rPr>
      </w:pPr>
      <w:r>
        <w:rPr>
          <w:color w:val="auto"/>
        </w:rPr>
        <w:t>7、预测模式</w:t>
      </w:r>
    </w:p>
    <w:p w14:paraId="2A71CB26">
      <w:pPr>
        <w:pStyle w:val="59"/>
        <w:ind w:firstLine="480"/>
        <w:rPr>
          <w:color w:val="auto"/>
        </w:rPr>
      </w:pPr>
      <w:r>
        <w:rPr>
          <w:rFonts w:hint="eastAsia"/>
          <w:color w:val="auto"/>
        </w:rPr>
        <w:t>1）预测模型</w:t>
      </w:r>
    </w:p>
    <w:p w14:paraId="33CAD0D9">
      <w:pPr>
        <w:pStyle w:val="59"/>
        <w:ind w:firstLine="480"/>
        <w:rPr>
          <w:rFonts w:hAnsi="宋体"/>
          <w:color w:val="auto"/>
        </w:rPr>
      </w:pPr>
      <w:r>
        <w:rPr>
          <w:rFonts w:hint="eastAsia" w:hAnsi="宋体"/>
          <w:color w:val="auto"/>
        </w:rPr>
        <w:t>根据《环境影响评价技术导则</w:t>
      </w:r>
      <w:r>
        <w:rPr>
          <w:rFonts w:hAnsi="宋体"/>
          <w:color w:val="auto"/>
        </w:rPr>
        <w:t xml:space="preserve"> </w:t>
      </w:r>
      <w:r>
        <w:rPr>
          <w:rFonts w:hint="eastAsia" w:hAnsi="宋体"/>
          <w:color w:val="auto"/>
        </w:rPr>
        <w:t>地下水环境》（</w:t>
      </w:r>
      <w:r>
        <w:rPr>
          <w:rFonts w:hAnsi="宋体"/>
          <w:color w:val="auto"/>
        </w:rPr>
        <w:t>HJ610-2016</w:t>
      </w:r>
      <w:r>
        <w:rPr>
          <w:rFonts w:hint="eastAsia" w:hAnsi="宋体"/>
          <w:color w:val="auto"/>
        </w:rPr>
        <w:t>）要求，地下水环境影响评价三级评价预测方法可以选用解析法。根据本项目地下水的污染特性选用一维预测模型，公式如下。</w:t>
      </w:r>
    </w:p>
    <w:p w14:paraId="5704FC8F">
      <w:pPr>
        <w:pStyle w:val="59"/>
        <w:spacing w:line="240" w:lineRule="auto"/>
        <w:ind w:firstLine="480"/>
        <w:jc w:val="center"/>
        <w:rPr>
          <w:rFonts w:hAnsi="宋体"/>
          <w:color w:val="auto"/>
        </w:rPr>
      </w:pPr>
      <w:r>
        <w:rPr>
          <w:rFonts w:hAnsi="宋体"/>
          <w:color w:val="auto"/>
        </w:rPr>
        <w:drawing>
          <wp:inline distT="0" distB="0" distL="0" distR="0">
            <wp:extent cx="3219450" cy="752475"/>
            <wp:effectExtent l="0" t="0" r="0" b="9525"/>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a:xfrm>
                      <a:off x="0" y="0"/>
                      <a:ext cx="3219450" cy="752475"/>
                    </a:xfrm>
                    <a:prstGeom prst="rect">
                      <a:avLst/>
                    </a:prstGeom>
                    <a:noFill/>
                    <a:ln>
                      <a:noFill/>
                    </a:ln>
                  </pic:spPr>
                </pic:pic>
              </a:graphicData>
            </a:graphic>
          </wp:inline>
        </w:drawing>
      </w:r>
    </w:p>
    <w:p w14:paraId="65BED1A9">
      <w:pPr>
        <w:pStyle w:val="59"/>
        <w:ind w:firstLine="480"/>
        <w:rPr>
          <w:rFonts w:hAnsi="宋体"/>
          <w:color w:val="auto"/>
        </w:rPr>
      </w:pPr>
      <w:r>
        <w:rPr>
          <w:rFonts w:hint="eastAsia" w:hAnsi="宋体"/>
          <w:color w:val="auto"/>
        </w:rPr>
        <w:t>式中：</w:t>
      </w:r>
      <w:r>
        <w:rPr>
          <w:rFonts w:hAnsi="宋体"/>
          <w:color w:val="auto"/>
        </w:rPr>
        <w:t>x</w:t>
      </w:r>
      <w:r>
        <w:rPr>
          <w:rFonts w:hint="eastAsia" w:hAnsi="宋体"/>
          <w:color w:val="auto"/>
        </w:rPr>
        <w:t>—距注入点的距离，</w:t>
      </w:r>
      <w:r>
        <w:rPr>
          <w:rFonts w:hAnsi="宋体"/>
          <w:color w:val="auto"/>
        </w:rPr>
        <w:t>m</w:t>
      </w:r>
      <w:r>
        <w:rPr>
          <w:rFonts w:hint="eastAsia" w:hAnsi="宋体"/>
          <w:color w:val="auto"/>
        </w:rPr>
        <w:t>；</w:t>
      </w:r>
    </w:p>
    <w:p w14:paraId="369F3EBA">
      <w:pPr>
        <w:pStyle w:val="59"/>
        <w:ind w:firstLine="480"/>
        <w:rPr>
          <w:rFonts w:hAnsi="宋体"/>
          <w:color w:val="auto"/>
        </w:rPr>
      </w:pPr>
      <w:r>
        <w:rPr>
          <w:rFonts w:hAnsi="宋体"/>
          <w:color w:val="auto"/>
        </w:rPr>
        <w:t>t</w:t>
      </w:r>
      <w:r>
        <w:rPr>
          <w:rFonts w:hint="eastAsia" w:hAnsi="宋体"/>
          <w:color w:val="auto"/>
        </w:rPr>
        <w:t>—时间，</w:t>
      </w:r>
      <w:r>
        <w:rPr>
          <w:rFonts w:hAnsi="宋体"/>
          <w:color w:val="auto"/>
        </w:rPr>
        <w:t>d</w:t>
      </w:r>
      <w:r>
        <w:rPr>
          <w:rFonts w:hint="eastAsia" w:hAnsi="宋体"/>
          <w:color w:val="auto"/>
        </w:rPr>
        <w:t>；</w:t>
      </w:r>
    </w:p>
    <w:p w14:paraId="699BE828">
      <w:pPr>
        <w:pStyle w:val="59"/>
        <w:ind w:firstLine="480"/>
        <w:rPr>
          <w:rFonts w:hAnsi="宋体"/>
          <w:color w:val="auto"/>
        </w:rPr>
      </w:pPr>
      <w:r>
        <w:rPr>
          <w:rFonts w:hAnsi="宋体"/>
          <w:color w:val="auto"/>
        </w:rPr>
        <w:t>C</w:t>
      </w:r>
      <w:r>
        <w:rPr>
          <w:rFonts w:hint="eastAsia" w:hAnsi="宋体"/>
          <w:color w:val="auto"/>
        </w:rPr>
        <w:t>（</w:t>
      </w:r>
      <w:r>
        <w:rPr>
          <w:rFonts w:hAnsi="宋体"/>
          <w:color w:val="auto"/>
        </w:rPr>
        <w:t>x,t</w:t>
      </w:r>
      <w:r>
        <w:rPr>
          <w:rFonts w:hint="eastAsia" w:hAnsi="宋体"/>
          <w:color w:val="auto"/>
        </w:rPr>
        <w:t>）—</w:t>
      </w:r>
      <w:r>
        <w:rPr>
          <w:rFonts w:hAnsi="宋体"/>
          <w:color w:val="auto"/>
        </w:rPr>
        <w:t>t</w:t>
      </w:r>
      <w:r>
        <w:rPr>
          <w:rFonts w:hint="eastAsia" w:hAnsi="宋体"/>
          <w:color w:val="auto"/>
        </w:rPr>
        <w:t>时刻点</w:t>
      </w:r>
      <w:r>
        <w:rPr>
          <w:rFonts w:hAnsi="宋体"/>
          <w:color w:val="auto"/>
        </w:rPr>
        <w:t>x</w:t>
      </w:r>
      <w:r>
        <w:rPr>
          <w:rFonts w:hint="eastAsia" w:hAnsi="宋体"/>
          <w:color w:val="auto"/>
        </w:rPr>
        <w:t>处的示踪剂浓度，</w:t>
      </w:r>
      <w:r>
        <w:rPr>
          <w:rFonts w:hAnsi="宋体"/>
          <w:color w:val="auto"/>
        </w:rPr>
        <w:t>g/L</w:t>
      </w:r>
      <w:r>
        <w:rPr>
          <w:rFonts w:hint="eastAsia" w:hAnsi="宋体"/>
          <w:color w:val="auto"/>
        </w:rPr>
        <w:t>；</w:t>
      </w:r>
    </w:p>
    <w:p w14:paraId="2D8E0E45">
      <w:pPr>
        <w:pStyle w:val="59"/>
        <w:ind w:firstLine="480"/>
        <w:rPr>
          <w:rFonts w:hint="eastAsia" w:hAnsi="宋体" w:eastAsia="宋体"/>
          <w:color w:val="auto"/>
          <w:lang w:eastAsia="zh-CN"/>
        </w:rPr>
      </w:pPr>
      <w:r>
        <w:rPr>
          <w:rFonts w:hAnsi="宋体"/>
          <w:color w:val="auto"/>
        </w:rPr>
        <w:t>C</w:t>
      </w:r>
      <w:r>
        <w:rPr>
          <w:rFonts w:hAnsi="宋体"/>
          <w:color w:val="auto"/>
          <w:vertAlign w:val="subscript"/>
        </w:rPr>
        <w:t>0</w:t>
      </w:r>
      <w:r>
        <w:rPr>
          <w:rFonts w:hint="eastAsia" w:hAnsi="宋体"/>
          <w:color w:val="auto"/>
        </w:rPr>
        <w:t>—注入示踪剂浓度，</w:t>
      </w:r>
      <w:r>
        <w:rPr>
          <w:rFonts w:hAnsi="宋体"/>
          <w:color w:val="auto"/>
        </w:rPr>
        <w:t>g/L</w:t>
      </w:r>
      <w:r>
        <w:rPr>
          <w:rFonts w:hint="eastAsia" w:hAnsi="宋体"/>
          <w:color w:val="auto"/>
          <w:lang w:eastAsia="zh-CN"/>
        </w:rPr>
        <w:t>；</w:t>
      </w:r>
    </w:p>
    <w:p w14:paraId="4DD78872">
      <w:pPr>
        <w:pStyle w:val="59"/>
        <w:ind w:firstLine="480"/>
        <w:rPr>
          <w:rFonts w:hAnsi="宋体"/>
          <w:color w:val="auto"/>
        </w:rPr>
      </w:pPr>
      <w:r>
        <w:rPr>
          <w:rFonts w:hAnsi="宋体"/>
          <w:color w:val="auto"/>
        </w:rPr>
        <w:t>u</w:t>
      </w:r>
      <w:r>
        <w:rPr>
          <w:rFonts w:hint="eastAsia" w:hAnsi="宋体"/>
          <w:color w:val="auto"/>
        </w:rPr>
        <w:t>—水流速度，</w:t>
      </w:r>
      <w:r>
        <w:rPr>
          <w:rFonts w:hAnsi="宋体"/>
          <w:color w:val="auto"/>
        </w:rPr>
        <w:t>m/d</w:t>
      </w:r>
      <w:r>
        <w:rPr>
          <w:rFonts w:hint="eastAsia" w:hAnsi="宋体"/>
          <w:color w:val="auto"/>
        </w:rPr>
        <w:t>；</w:t>
      </w:r>
    </w:p>
    <w:p w14:paraId="53E4B689">
      <w:pPr>
        <w:pStyle w:val="59"/>
        <w:ind w:firstLine="480"/>
        <w:rPr>
          <w:rFonts w:hAnsi="宋体"/>
          <w:color w:val="auto"/>
        </w:rPr>
      </w:pPr>
      <w:r>
        <w:rPr>
          <w:rFonts w:hAnsi="宋体"/>
          <w:color w:val="auto"/>
        </w:rPr>
        <mc:AlternateContent>
          <mc:Choice Requires="wps">
            <w:drawing>
              <wp:anchor distT="0" distB="0" distL="114300" distR="114300" simplePos="0" relativeHeight="251677696" behindDoc="1" locked="0" layoutInCell="1" allowOverlap="1">
                <wp:simplePos x="0" y="0"/>
                <wp:positionH relativeFrom="page">
                  <wp:posOffset>1970405</wp:posOffset>
                </wp:positionH>
                <wp:positionV relativeFrom="paragraph">
                  <wp:posOffset>159385</wp:posOffset>
                </wp:positionV>
                <wp:extent cx="38100" cy="76200"/>
                <wp:effectExtent l="0" t="0" r="0" b="0"/>
                <wp:wrapNone/>
                <wp:docPr id="32" name="文本框 32"/>
                <wp:cNvGraphicFramePr/>
                <a:graphic xmlns:a="http://schemas.openxmlformats.org/drawingml/2006/main">
                  <a:graphicData uri="http://schemas.microsoft.com/office/word/2010/wordprocessingShape">
                    <wps:wsp>
                      <wps:cNvSpPr txBox="1"/>
                      <wps:spPr>
                        <a:xfrm>
                          <a:off x="0" y="0"/>
                          <a:ext cx="38100" cy="76200"/>
                        </a:xfrm>
                        <a:prstGeom prst="rect">
                          <a:avLst/>
                        </a:prstGeom>
                        <a:noFill/>
                        <a:ln>
                          <a:noFill/>
                        </a:ln>
                      </wps:spPr>
                      <wps:txbx>
                        <w:txbxContent>
                          <w:p w14:paraId="1CADAABC">
                            <w:pPr>
                              <w:spacing w:line="120" w:lineRule="exact"/>
                              <w:ind w:firstLine="240"/>
                              <w:rPr>
                                <w:rFonts w:ascii="宋体" w:hAnsi="宋体" w:cs="宋体"/>
                                <w:sz w:val="12"/>
                                <w:szCs w:val="12"/>
                              </w:rPr>
                            </w:pPr>
                            <w:r>
                              <w:rPr>
                                <w:rFonts w:hint="eastAsia" w:ascii="宋体"/>
                                <w:sz w:val="12"/>
                              </w:rPr>
                              <w:t>L</w:t>
                            </w:r>
                          </w:p>
                        </w:txbxContent>
                      </wps:txbx>
                      <wps:bodyPr lIns="0" tIns="0" rIns="0" bIns="0" upright="1"/>
                    </wps:wsp>
                  </a:graphicData>
                </a:graphic>
              </wp:anchor>
            </w:drawing>
          </mc:Choice>
          <mc:Fallback>
            <w:pict>
              <v:shape id="_x0000_s1026" o:spid="_x0000_s1026" o:spt="202" type="#_x0000_t202" style="position:absolute;left:0pt;margin-left:155.15pt;margin-top:12.55pt;height:6pt;width:3pt;mso-position-horizontal-relative:page;z-index:-251638784;mso-width-relative:page;mso-height-relative:page;" filled="f" stroked="f" coordsize="21600,21600" o:gfxdata="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">
                <v:fill on="f" focussize="0,0"/>
                <v:stroke on="f"/>
                <v:imagedata o:title=""/>
                <o:lock v:ext="edit" aspectratio="f"/>
                <v:textbox inset="0mm,0mm,0mm,0mm">
                  <w:txbxContent>
                    <w:p w14:paraId="1CADAABC">
                      <w:pPr>
                        <w:spacing w:line="120" w:lineRule="exact"/>
                        <w:ind w:firstLine="240"/>
                        <w:rPr>
                          <w:rFonts w:ascii="宋体" w:hAnsi="宋体" w:cs="宋体"/>
                          <w:sz w:val="12"/>
                          <w:szCs w:val="12"/>
                        </w:rPr>
                      </w:pPr>
                      <w:r>
                        <w:rPr>
                          <w:rFonts w:hint="eastAsia" w:ascii="宋体"/>
                          <w:sz w:val="12"/>
                        </w:rPr>
                        <w:t>L</w:t>
                      </w:r>
                    </w:p>
                  </w:txbxContent>
                </v:textbox>
              </v:shape>
            </w:pict>
          </mc:Fallback>
        </mc:AlternateContent>
      </w:r>
      <w:r>
        <w:rPr>
          <w:rFonts w:hAnsi="宋体"/>
          <w:color w:val="auto"/>
        </w:rPr>
        <w:t>D</w:t>
      </w:r>
      <w:r>
        <w:rPr>
          <w:rFonts w:hint="eastAsia" w:hAnsi="宋体"/>
          <w:color w:val="auto"/>
        </w:rPr>
        <w:t>—纵向弥散系数，</w:t>
      </w:r>
      <w:r>
        <w:rPr>
          <w:rFonts w:hAnsi="宋体"/>
          <w:color w:val="auto"/>
        </w:rPr>
        <w:t>m</w:t>
      </w:r>
      <w:r>
        <w:rPr>
          <w:rFonts w:hAnsi="宋体"/>
          <w:color w:val="auto"/>
          <w:vertAlign w:val="superscript"/>
        </w:rPr>
        <w:t>2</w:t>
      </w:r>
      <w:r>
        <w:rPr>
          <w:rFonts w:hAnsi="宋体"/>
          <w:color w:val="auto"/>
        </w:rPr>
        <w:t>/d</w:t>
      </w:r>
      <w:r>
        <w:rPr>
          <w:rFonts w:hint="eastAsia" w:hAnsi="宋体"/>
          <w:color w:val="auto"/>
        </w:rPr>
        <w:t>；</w:t>
      </w:r>
    </w:p>
    <w:p w14:paraId="20D8C6D3">
      <w:pPr>
        <w:pStyle w:val="59"/>
        <w:ind w:firstLine="480"/>
        <w:rPr>
          <w:rFonts w:hAnsi="宋体"/>
          <w:color w:val="auto"/>
        </w:rPr>
      </w:pPr>
      <w:r>
        <w:rPr>
          <w:rFonts w:hAnsi="宋体"/>
          <w:color w:val="auto"/>
        </w:rPr>
        <w:t>erfc</w:t>
      </w:r>
      <w:r>
        <w:rPr>
          <w:rFonts w:hint="eastAsia" w:hAnsi="宋体"/>
          <w:color w:val="auto"/>
        </w:rPr>
        <w:t>（）—余差数函数；</w:t>
      </w:r>
    </w:p>
    <w:p w14:paraId="21C362D8">
      <w:pPr>
        <w:pStyle w:val="59"/>
        <w:ind w:firstLine="480"/>
        <w:rPr>
          <w:rFonts w:hAnsi="宋体"/>
          <w:color w:val="auto"/>
        </w:rPr>
      </w:pPr>
      <w:r>
        <w:rPr>
          <w:rFonts w:hAnsi="宋体"/>
          <w:color w:val="auto"/>
        </w:rPr>
        <w:t>2</w:t>
      </w:r>
      <w:r>
        <w:rPr>
          <w:rFonts w:hint="eastAsia" w:hAnsi="宋体"/>
          <w:color w:val="auto"/>
        </w:rPr>
        <w:t>）模式中参数的确定</w:t>
      </w:r>
    </w:p>
    <w:p w14:paraId="7F57FC54">
      <w:pPr>
        <w:pStyle w:val="59"/>
        <w:ind w:firstLine="480"/>
        <w:rPr>
          <w:color w:val="auto"/>
        </w:rPr>
      </w:pPr>
      <w:r>
        <w:rPr>
          <w:color w:val="auto"/>
        </w:rPr>
        <w:t>水流速度（u）：根据达西定律u=含水层渗透系数×地下水水力坡度，根据地下水概况分析，</w:t>
      </w:r>
      <w:r>
        <w:rPr>
          <w:rFonts w:hint="eastAsia"/>
          <w:color w:val="auto"/>
        </w:rPr>
        <w:t>由于项目区域</w:t>
      </w:r>
      <w:r>
        <w:rPr>
          <w:rFonts w:hint="eastAsia"/>
          <w:color w:val="auto"/>
          <w:lang w:eastAsia="zh-CN"/>
        </w:rPr>
        <w:t>内</w:t>
      </w:r>
      <w:r>
        <w:rPr>
          <w:rFonts w:hint="eastAsia"/>
          <w:color w:val="auto"/>
        </w:rPr>
        <w:t>地表分布的残坡积层碎石层透水性差，为隔水层，基本不会影响地下水，但考虑最不利影响，项目区域潜水按照砂砾石取值，渗透系数</w:t>
      </w:r>
      <w:r>
        <w:rPr>
          <w:color w:val="auto"/>
        </w:rPr>
        <w:t>K</w:t>
      </w:r>
      <w:r>
        <w:rPr>
          <w:rFonts w:hint="eastAsia"/>
          <w:color w:val="auto"/>
        </w:rPr>
        <w:t>取</w:t>
      </w:r>
      <w:r>
        <w:rPr>
          <w:color w:val="auto"/>
        </w:rPr>
        <w:t>50m/d</w:t>
      </w:r>
      <w:r>
        <w:rPr>
          <w:rFonts w:hint="eastAsia"/>
          <w:color w:val="auto"/>
        </w:rPr>
        <w:t>，</w:t>
      </w:r>
      <w:r>
        <w:rPr>
          <w:color w:val="auto"/>
        </w:rPr>
        <w:t>水力坡度I=</w:t>
      </w:r>
      <w:r>
        <w:rPr>
          <w:rFonts w:hint="eastAsia"/>
          <w:color w:val="auto"/>
        </w:rPr>
        <w:t>0.</w:t>
      </w:r>
      <w:r>
        <w:rPr>
          <w:rFonts w:hint="eastAsia"/>
          <w:color w:val="auto"/>
          <w:lang w:val="en-US" w:eastAsia="zh-CN"/>
        </w:rPr>
        <w:t>002</w:t>
      </w:r>
      <w:r>
        <w:rPr>
          <w:rFonts w:hint="eastAsia"/>
          <w:color w:val="auto"/>
        </w:rPr>
        <w:t>，</w:t>
      </w:r>
      <w:r>
        <w:rPr>
          <w:rFonts w:hint="eastAsia"/>
          <w:color w:val="auto"/>
          <w:lang w:val="en-US" w:eastAsia="zh-CN"/>
        </w:rPr>
        <w:t>（由</w:t>
      </w:r>
      <w:r>
        <w:rPr>
          <w:rFonts w:hint="default"/>
          <w:color w:val="auto"/>
          <w:lang w:val="en-US" w:eastAsia="zh-CN"/>
        </w:rPr>
        <w:t>1</w:t>
      </w:r>
      <w:r>
        <w:rPr>
          <w:rFonts w:hint="eastAsia"/>
          <w:color w:val="auto"/>
          <w:lang w:val="en-US" w:eastAsia="zh-CN"/>
        </w:rPr>
        <w:t>：</w:t>
      </w:r>
      <w:r>
        <w:rPr>
          <w:rFonts w:hint="default"/>
          <w:color w:val="auto"/>
          <w:lang w:val="en-US" w:eastAsia="zh-CN"/>
        </w:rPr>
        <w:t>5</w:t>
      </w:r>
      <w:r>
        <w:rPr>
          <w:rFonts w:hint="eastAsia"/>
          <w:color w:val="auto"/>
          <w:lang w:val="en-US" w:eastAsia="zh-CN"/>
        </w:rPr>
        <w:t>万等水位线图上量取），所以</w:t>
      </w:r>
      <w:r>
        <w:rPr>
          <w:rFonts w:hint="default"/>
          <w:color w:val="auto"/>
          <w:lang w:val="en-US" w:eastAsia="zh-CN"/>
        </w:rPr>
        <w:t>u=0.01m/d</w:t>
      </w:r>
      <w:r>
        <w:rPr>
          <w:rFonts w:hint="eastAsia"/>
          <w:color w:val="auto"/>
          <w:lang w:val="en-US" w:eastAsia="zh-CN"/>
        </w:rPr>
        <w:t>。有效孔隙度（</w:t>
      </w:r>
      <w:r>
        <w:rPr>
          <w:rFonts w:hint="default"/>
          <w:color w:val="auto"/>
          <w:lang w:val="en-US" w:eastAsia="zh-CN"/>
        </w:rPr>
        <w:t>n</w:t>
      </w:r>
      <w:r>
        <w:rPr>
          <w:rFonts w:hint="eastAsia"/>
          <w:color w:val="auto"/>
          <w:lang w:val="en-US" w:eastAsia="zh-CN"/>
        </w:rPr>
        <w:t>）：</w:t>
      </w:r>
      <w:r>
        <w:rPr>
          <w:rFonts w:hint="default"/>
          <w:color w:val="auto"/>
          <w:lang w:val="en-US" w:eastAsia="zh-CN"/>
        </w:rPr>
        <w:t>0.35</w:t>
      </w:r>
      <w:r>
        <w:rPr>
          <w:rFonts w:hint="eastAsia"/>
          <w:color w:val="auto"/>
          <w:lang w:val="en-US" w:eastAsia="zh-CN"/>
        </w:rPr>
        <w:t>（由地质专业知识服务系统查取）。</w:t>
      </w:r>
      <w:r>
        <w:rPr>
          <w:color w:val="auto"/>
        </w:rPr>
        <w:t>有效孔隙度（n）：根据</w:t>
      </w:r>
      <w:r>
        <w:rPr>
          <w:rFonts w:hint="eastAsia"/>
          <w:color w:val="auto"/>
        </w:rPr>
        <w:t>资料</w:t>
      </w:r>
      <w:r>
        <w:rPr>
          <w:color w:val="auto"/>
        </w:rPr>
        <w:t>选取，0.3。</w:t>
      </w:r>
    </w:p>
    <w:p w14:paraId="10F53D64">
      <w:pPr>
        <w:pStyle w:val="59"/>
        <w:ind w:firstLine="480"/>
        <w:rPr>
          <w:color w:val="auto"/>
        </w:rPr>
      </w:pPr>
      <w:r>
        <w:rPr>
          <w:rFonts w:hint="default"/>
          <w:color w:val="auto"/>
          <w:lang w:val="en-US" w:eastAsia="zh-CN"/>
        </w:rPr>
        <w:t>DL—</w:t>
      </w:r>
      <w:r>
        <w:rPr>
          <w:rFonts w:hint="eastAsia"/>
          <w:color w:val="auto"/>
          <w:lang w:val="en-US" w:eastAsia="zh-CN"/>
        </w:rPr>
        <w:t>纵向弥散系数，</w:t>
      </w:r>
      <w:r>
        <w:rPr>
          <w:rFonts w:hint="default"/>
          <w:color w:val="auto"/>
          <w:lang w:val="en-US" w:eastAsia="zh-CN"/>
        </w:rPr>
        <w:t>m</w:t>
      </w:r>
      <w:r>
        <w:rPr>
          <w:rFonts w:hint="default"/>
          <w:color w:val="auto"/>
          <w:vertAlign w:val="superscript"/>
          <w:lang w:val="en-US" w:eastAsia="zh-CN"/>
        </w:rPr>
        <w:t>2</w:t>
      </w:r>
      <w:r>
        <w:rPr>
          <w:rFonts w:hint="default"/>
          <w:color w:val="auto"/>
          <w:lang w:val="en-US" w:eastAsia="zh-CN"/>
        </w:rPr>
        <w:t xml:space="preserve"> /d</w:t>
      </w:r>
      <w:r>
        <w:rPr>
          <w:rFonts w:hint="eastAsia"/>
          <w:color w:val="auto"/>
          <w:lang w:val="en-US" w:eastAsia="zh-CN"/>
        </w:rPr>
        <w:t>；根据《水文地质学》对于弥散系数的经验值，同时考虑地层结构、含水层岩性，参照室内弥散系数，确定论证区纵向弥散系数为</w:t>
      </w:r>
      <w:r>
        <w:rPr>
          <w:rFonts w:hint="default"/>
          <w:color w:val="auto"/>
          <w:lang w:val="en-US" w:eastAsia="zh-CN"/>
        </w:rPr>
        <w:t>0.2m</w:t>
      </w:r>
      <w:r>
        <w:rPr>
          <w:rFonts w:hint="default"/>
          <w:color w:val="auto"/>
          <w:vertAlign w:val="superscript"/>
          <w:lang w:val="en-US" w:eastAsia="zh-CN"/>
        </w:rPr>
        <w:t>2</w:t>
      </w:r>
      <w:r>
        <w:rPr>
          <w:rFonts w:hint="default"/>
          <w:color w:val="auto"/>
          <w:lang w:val="en-US" w:eastAsia="zh-CN"/>
        </w:rPr>
        <w:t xml:space="preserve"> /d</w:t>
      </w:r>
      <w:r>
        <w:rPr>
          <w:rFonts w:hint="eastAsia"/>
          <w:color w:val="auto"/>
          <w:lang w:val="en-US" w:eastAsia="zh-CN"/>
        </w:rPr>
        <w:t>；</w:t>
      </w:r>
    </w:p>
    <w:p w14:paraId="422FC448">
      <w:pPr>
        <w:pStyle w:val="59"/>
        <w:ind w:firstLine="480"/>
        <w:rPr>
          <w:color w:val="auto"/>
        </w:rPr>
      </w:pPr>
      <w:r>
        <w:rPr>
          <w:color w:val="auto"/>
        </w:rPr>
        <w:t>8</w:t>
      </w:r>
      <w:r>
        <w:rPr>
          <w:rFonts w:hint="eastAsia"/>
          <w:color w:val="auto"/>
        </w:rPr>
        <w:t>、预测结果</w:t>
      </w:r>
    </w:p>
    <w:p w14:paraId="2F84F6C3">
      <w:pPr>
        <w:pStyle w:val="59"/>
        <w:ind w:firstLine="480"/>
        <w:rPr>
          <w:b/>
          <w:color w:val="auto"/>
        </w:rPr>
      </w:pPr>
      <w:r>
        <w:rPr>
          <w:color w:val="auto"/>
        </w:rPr>
        <w:t>预测计算结果见</w:t>
      </w:r>
      <w:r>
        <w:rPr>
          <w:rFonts w:hint="eastAsia"/>
          <w:color w:val="auto"/>
        </w:rPr>
        <w:t>下表</w:t>
      </w:r>
      <w:r>
        <w:rPr>
          <w:color w:val="auto"/>
        </w:rPr>
        <w:t>。</w:t>
      </w:r>
    </w:p>
    <w:p w14:paraId="5EBE9B7B">
      <w:pPr>
        <w:pStyle w:val="76"/>
        <w:rPr>
          <w:color w:val="auto"/>
        </w:rPr>
      </w:pPr>
      <w:r>
        <w:rPr>
          <w:color w:val="auto"/>
        </w:rPr>
        <w:t>表</w:t>
      </w:r>
      <w:r>
        <w:rPr>
          <w:rFonts w:hint="eastAsia"/>
          <w:color w:val="auto"/>
        </w:rPr>
        <w:t>5-2-</w:t>
      </w:r>
      <w:r>
        <w:rPr>
          <w:color w:val="auto"/>
        </w:rPr>
        <w:t>7地</w:t>
      </w:r>
      <w:r>
        <w:rPr>
          <w:rFonts w:hint="eastAsia"/>
          <w:color w:val="auto"/>
        </w:rPr>
        <w:t>下</w:t>
      </w:r>
      <w:r>
        <w:rPr>
          <w:color w:val="auto"/>
        </w:rPr>
        <w:t>水预测计算结果</w:t>
      </w:r>
      <w:r>
        <w:rPr>
          <w:rFonts w:hint="eastAsia"/>
          <w:color w:val="auto"/>
        </w:rPr>
        <w:t>（</w:t>
      </w:r>
      <w:r>
        <w:rPr>
          <w:rFonts w:hint="eastAsia"/>
          <w:color w:val="auto"/>
          <w:lang w:val="en-US" w:eastAsia="zh-CN"/>
        </w:rPr>
        <w:t>铅</w:t>
      </w:r>
      <w:r>
        <w:rPr>
          <w:rFonts w:hint="eastAsia"/>
          <w:color w:val="auto"/>
        </w:rPr>
        <w:t>）</w:t>
      </w:r>
    </w:p>
    <w:tbl>
      <w:tblPr>
        <w:tblStyle w:val="95"/>
        <w:tblW w:w="487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2377"/>
        <w:gridCol w:w="2377"/>
        <w:gridCol w:w="2380"/>
      </w:tblGrid>
      <w:tr w14:paraId="74618E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6089BC14">
            <w:pPr>
              <w:snapToGrid w:val="0"/>
              <w:jc w:val="center"/>
              <w:rPr>
                <w:rFonts w:hint="eastAsia" w:eastAsia="宋体"/>
                <w:color w:val="auto"/>
                <w:szCs w:val="21"/>
                <w:lang w:eastAsia="zh-CN"/>
              </w:rPr>
            </w:pPr>
            <w:r>
              <w:rPr>
                <w:rFonts w:hint="eastAsia"/>
                <w:color w:val="auto"/>
                <w:szCs w:val="21"/>
                <w:lang w:val="en-US" w:eastAsia="zh-CN"/>
              </w:rPr>
              <w:t>铅</w:t>
            </w:r>
          </w:p>
        </w:tc>
      </w:tr>
      <w:tr w14:paraId="44C7C9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Merge w:val="restart"/>
            <w:vAlign w:val="center"/>
          </w:tcPr>
          <w:p w14:paraId="5E29CB83">
            <w:pPr>
              <w:snapToGrid w:val="0"/>
              <w:jc w:val="center"/>
              <w:rPr>
                <w:color w:val="auto"/>
                <w:szCs w:val="21"/>
              </w:rPr>
            </w:pPr>
            <w:r>
              <w:rPr>
                <w:rFonts w:hint="eastAsia"/>
                <w:color w:val="auto"/>
                <w:szCs w:val="21"/>
              </w:rPr>
              <w:t>距离（m）</w:t>
            </w:r>
          </w:p>
        </w:tc>
        <w:tc>
          <w:tcPr>
            <w:tcW w:w="1468" w:type="pct"/>
            <w:vAlign w:val="center"/>
          </w:tcPr>
          <w:p w14:paraId="30B4F705">
            <w:pPr>
              <w:snapToGrid w:val="0"/>
              <w:jc w:val="center"/>
              <w:rPr>
                <w:color w:val="auto"/>
                <w:szCs w:val="21"/>
              </w:rPr>
            </w:pPr>
            <w:r>
              <w:rPr>
                <w:color w:val="auto"/>
                <w:szCs w:val="21"/>
              </w:rPr>
              <w:t>100d</w:t>
            </w:r>
          </w:p>
        </w:tc>
        <w:tc>
          <w:tcPr>
            <w:tcW w:w="1468" w:type="pct"/>
            <w:vAlign w:val="center"/>
          </w:tcPr>
          <w:p w14:paraId="5A98C6E0">
            <w:pPr>
              <w:snapToGrid w:val="0"/>
              <w:jc w:val="center"/>
              <w:rPr>
                <w:color w:val="auto"/>
                <w:szCs w:val="21"/>
              </w:rPr>
            </w:pPr>
            <w:r>
              <w:rPr>
                <w:color w:val="auto"/>
                <w:szCs w:val="21"/>
              </w:rPr>
              <w:t>1000d</w:t>
            </w:r>
          </w:p>
        </w:tc>
        <w:tc>
          <w:tcPr>
            <w:tcW w:w="1468" w:type="pct"/>
            <w:vAlign w:val="center"/>
          </w:tcPr>
          <w:p w14:paraId="6EB4D817">
            <w:pPr>
              <w:snapToGrid w:val="0"/>
              <w:jc w:val="center"/>
              <w:rPr>
                <w:color w:val="auto"/>
                <w:szCs w:val="21"/>
              </w:rPr>
            </w:pPr>
            <w:r>
              <w:rPr>
                <w:rFonts w:hint="eastAsia"/>
                <w:color w:val="auto"/>
                <w:szCs w:val="21"/>
              </w:rPr>
              <w:t>1095d</w:t>
            </w:r>
          </w:p>
        </w:tc>
      </w:tr>
      <w:tr w14:paraId="19D56E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Merge w:val="continue"/>
            <w:vAlign w:val="center"/>
          </w:tcPr>
          <w:p w14:paraId="53BF7F2C">
            <w:pPr>
              <w:widowControl/>
              <w:snapToGrid w:val="0"/>
              <w:jc w:val="left"/>
              <w:rPr>
                <w:color w:val="auto"/>
                <w:szCs w:val="21"/>
              </w:rPr>
            </w:pPr>
          </w:p>
        </w:tc>
        <w:tc>
          <w:tcPr>
            <w:tcW w:w="1468" w:type="pct"/>
            <w:vAlign w:val="center"/>
          </w:tcPr>
          <w:p w14:paraId="7D14979B">
            <w:pPr>
              <w:snapToGrid w:val="0"/>
              <w:jc w:val="center"/>
              <w:rPr>
                <w:color w:val="auto"/>
                <w:szCs w:val="21"/>
              </w:rPr>
            </w:pPr>
            <w:r>
              <w:rPr>
                <w:rFonts w:hint="eastAsia"/>
                <w:color w:val="auto"/>
                <w:szCs w:val="21"/>
              </w:rPr>
              <w:t>浓度（</w:t>
            </w:r>
            <w:r>
              <w:rPr>
                <w:color w:val="auto"/>
                <w:szCs w:val="21"/>
              </w:rPr>
              <w:t>mg/L</w:t>
            </w:r>
            <w:r>
              <w:rPr>
                <w:rFonts w:hint="eastAsia"/>
                <w:color w:val="auto"/>
                <w:szCs w:val="21"/>
              </w:rPr>
              <w:t>）</w:t>
            </w:r>
          </w:p>
        </w:tc>
        <w:tc>
          <w:tcPr>
            <w:tcW w:w="1468" w:type="pct"/>
            <w:vAlign w:val="center"/>
          </w:tcPr>
          <w:p w14:paraId="49A4E7EE">
            <w:pPr>
              <w:snapToGrid w:val="0"/>
              <w:jc w:val="center"/>
              <w:rPr>
                <w:color w:val="auto"/>
                <w:szCs w:val="21"/>
              </w:rPr>
            </w:pPr>
            <w:r>
              <w:rPr>
                <w:rFonts w:hint="eastAsia"/>
                <w:color w:val="auto"/>
                <w:szCs w:val="21"/>
              </w:rPr>
              <w:t>浓度（</w:t>
            </w:r>
            <w:r>
              <w:rPr>
                <w:color w:val="auto"/>
                <w:szCs w:val="21"/>
              </w:rPr>
              <w:t>mg/L</w:t>
            </w:r>
            <w:r>
              <w:rPr>
                <w:rFonts w:hint="eastAsia"/>
                <w:color w:val="auto"/>
                <w:szCs w:val="21"/>
              </w:rPr>
              <w:t>）</w:t>
            </w:r>
          </w:p>
        </w:tc>
        <w:tc>
          <w:tcPr>
            <w:tcW w:w="1468" w:type="pct"/>
            <w:vAlign w:val="center"/>
          </w:tcPr>
          <w:p w14:paraId="5D4F6464">
            <w:pPr>
              <w:snapToGrid w:val="0"/>
              <w:jc w:val="center"/>
              <w:rPr>
                <w:color w:val="auto"/>
                <w:szCs w:val="21"/>
              </w:rPr>
            </w:pPr>
            <w:r>
              <w:rPr>
                <w:rFonts w:hint="eastAsia"/>
                <w:color w:val="auto"/>
                <w:szCs w:val="21"/>
              </w:rPr>
              <w:t>浓度（</w:t>
            </w:r>
            <w:r>
              <w:rPr>
                <w:color w:val="auto"/>
                <w:szCs w:val="21"/>
              </w:rPr>
              <w:t>mg/L</w:t>
            </w:r>
            <w:r>
              <w:rPr>
                <w:rFonts w:hint="eastAsia"/>
                <w:color w:val="auto"/>
                <w:szCs w:val="21"/>
              </w:rPr>
              <w:t>）</w:t>
            </w:r>
          </w:p>
        </w:tc>
      </w:tr>
      <w:tr w14:paraId="14C851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4" w:type="pct"/>
            <w:vAlign w:val="center"/>
          </w:tcPr>
          <w:p w14:paraId="5EB915FC">
            <w:pPr>
              <w:snapToGrid w:val="0"/>
              <w:jc w:val="center"/>
              <w:rPr>
                <w:color w:val="auto"/>
                <w:szCs w:val="21"/>
              </w:rPr>
            </w:pPr>
            <w:r>
              <w:rPr>
                <w:color w:val="auto"/>
                <w:szCs w:val="21"/>
              </w:rPr>
              <w:t>0</w:t>
            </w:r>
          </w:p>
        </w:tc>
        <w:tc>
          <w:tcPr>
            <w:tcW w:w="1468" w:type="pct"/>
            <w:vAlign w:val="center"/>
          </w:tcPr>
          <w:p w14:paraId="15B2E03E">
            <w:pPr>
              <w:snapToGrid w:val="0"/>
              <w:jc w:val="center"/>
              <w:rPr>
                <w:rFonts w:hint="eastAsia" w:eastAsia="宋体"/>
                <w:color w:val="auto"/>
                <w:szCs w:val="21"/>
                <w:lang w:eastAsia="zh-CN"/>
              </w:rPr>
            </w:pPr>
            <w:r>
              <w:rPr>
                <w:rFonts w:hint="eastAsia"/>
                <w:color w:val="auto"/>
                <w:szCs w:val="21"/>
              </w:rPr>
              <w:t>0.</w:t>
            </w:r>
            <w:r>
              <w:rPr>
                <w:rFonts w:hint="eastAsia"/>
                <w:color w:val="auto"/>
                <w:szCs w:val="21"/>
                <w:lang w:val="en-US" w:eastAsia="zh-CN"/>
              </w:rPr>
              <w:t>2</w:t>
            </w:r>
          </w:p>
        </w:tc>
        <w:tc>
          <w:tcPr>
            <w:tcW w:w="1468" w:type="pct"/>
            <w:vAlign w:val="center"/>
          </w:tcPr>
          <w:p w14:paraId="0E61687A">
            <w:pPr>
              <w:snapToGrid w:val="0"/>
              <w:jc w:val="center"/>
              <w:rPr>
                <w:color w:val="auto"/>
                <w:szCs w:val="21"/>
              </w:rPr>
            </w:pPr>
            <w:r>
              <w:rPr>
                <w:rFonts w:hint="eastAsia"/>
                <w:color w:val="auto"/>
                <w:szCs w:val="21"/>
              </w:rPr>
              <w:t>0.</w:t>
            </w:r>
            <w:r>
              <w:rPr>
                <w:rFonts w:hint="eastAsia"/>
                <w:color w:val="auto"/>
                <w:szCs w:val="21"/>
                <w:lang w:val="en-US" w:eastAsia="zh-CN"/>
              </w:rPr>
              <w:t>2</w:t>
            </w:r>
          </w:p>
        </w:tc>
        <w:tc>
          <w:tcPr>
            <w:tcW w:w="1468" w:type="pct"/>
            <w:vAlign w:val="center"/>
          </w:tcPr>
          <w:p w14:paraId="4662EDA2">
            <w:pPr>
              <w:snapToGrid w:val="0"/>
              <w:jc w:val="center"/>
              <w:rPr>
                <w:color w:val="auto"/>
                <w:szCs w:val="21"/>
              </w:rPr>
            </w:pPr>
            <w:r>
              <w:rPr>
                <w:rFonts w:hint="eastAsia"/>
                <w:color w:val="auto"/>
                <w:szCs w:val="21"/>
              </w:rPr>
              <w:t>0.</w:t>
            </w:r>
            <w:r>
              <w:rPr>
                <w:rFonts w:hint="eastAsia"/>
                <w:color w:val="auto"/>
                <w:szCs w:val="21"/>
                <w:lang w:val="en-US" w:eastAsia="zh-CN"/>
              </w:rPr>
              <w:t>2</w:t>
            </w:r>
          </w:p>
        </w:tc>
      </w:tr>
      <w:tr w14:paraId="571912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FA8B1E5">
            <w:pPr>
              <w:snapToGrid w:val="0"/>
              <w:jc w:val="center"/>
              <w:rPr>
                <w:color w:val="auto"/>
                <w:szCs w:val="21"/>
              </w:rPr>
            </w:pPr>
            <w:r>
              <w:rPr>
                <w:color w:val="auto"/>
                <w:szCs w:val="21"/>
              </w:rPr>
              <w:t>10</w:t>
            </w:r>
          </w:p>
        </w:tc>
        <w:tc>
          <w:tcPr>
            <w:tcW w:w="1468" w:type="pct"/>
            <w:vAlign w:val="center"/>
          </w:tcPr>
          <w:p w14:paraId="7C93013F">
            <w:pPr>
              <w:snapToGrid w:val="0"/>
              <w:jc w:val="center"/>
              <w:rPr>
                <w:color w:val="auto"/>
                <w:szCs w:val="21"/>
              </w:rPr>
            </w:pPr>
            <w:r>
              <w:rPr>
                <w:rFonts w:hint="eastAsia"/>
                <w:color w:val="auto"/>
                <w:szCs w:val="21"/>
              </w:rPr>
              <w:t xml:space="preserve"> 0.02899081</w:t>
            </w:r>
          </w:p>
        </w:tc>
        <w:tc>
          <w:tcPr>
            <w:tcW w:w="1468" w:type="pct"/>
            <w:vAlign w:val="center"/>
          </w:tcPr>
          <w:p w14:paraId="3FBF7991">
            <w:pPr>
              <w:snapToGrid w:val="0"/>
              <w:jc w:val="center"/>
              <w:rPr>
                <w:color w:val="auto"/>
                <w:szCs w:val="21"/>
              </w:rPr>
            </w:pPr>
            <w:r>
              <w:rPr>
                <w:rFonts w:hint="eastAsia"/>
                <w:color w:val="auto"/>
              </w:rPr>
              <w:t>0.1523157</w:t>
            </w:r>
          </w:p>
        </w:tc>
        <w:tc>
          <w:tcPr>
            <w:tcW w:w="1468" w:type="pct"/>
            <w:vAlign w:val="center"/>
          </w:tcPr>
          <w:p w14:paraId="49269646">
            <w:pPr>
              <w:snapToGrid w:val="0"/>
              <w:jc w:val="center"/>
              <w:rPr>
                <w:color w:val="auto"/>
                <w:szCs w:val="21"/>
              </w:rPr>
            </w:pPr>
            <w:r>
              <w:rPr>
                <w:rFonts w:hint="eastAsia"/>
                <w:color w:val="auto"/>
              </w:rPr>
              <w:t>0.1558541</w:t>
            </w:r>
          </w:p>
        </w:tc>
      </w:tr>
      <w:tr w14:paraId="02FF74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94" w:type="pct"/>
            <w:vAlign w:val="center"/>
          </w:tcPr>
          <w:p w14:paraId="5AAE91F1">
            <w:pPr>
              <w:snapToGrid w:val="0"/>
              <w:jc w:val="center"/>
              <w:rPr>
                <w:color w:val="auto"/>
                <w:szCs w:val="21"/>
              </w:rPr>
            </w:pPr>
            <w:r>
              <w:rPr>
                <w:color w:val="auto"/>
                <w:szCs w:val="21"/>
              </w:rPr>
              <w:t>20</w:t>
            </w:r>
          </w:p>
        </w:tc>
        <w:tc>
          <w:tcPr>
            <w:tcW w:w="1468" w:type="pct"/>
            <w:vAlign w:val="center"/>
          </w:tcPr>
          <w:p w14:paraId="313B9363">
            <w:pPr>
              <w:snapToGrid w:val="0"/>
              <w:jc w:val="center"/>
              <w:rPr>
                <w:color w:val="auto"/>
                <w:szCs w:val="21"/>
              </w:rPr>
            </w:pPr>
            <w:r>
              <w:rPr>
                <w:rFonts w:hint="eastAsia"/>
                <w:color w:val="auto"/>
              </w:rPr>
              <w:t xml:space="preserve"> 0.0005107067</w:t>
            </w:r>
          </w:p>
        </w:tc>
        <w:tc>
          <w:tcPr>
            <w:tcW w:w="1468" w:type="pct"/>
            <w:vAlign w:val="center"/>
          </w:tcPr>
          <w:p w14:paraId="6C2E6338">
            <w:pPr>
              <w:snapToGrid w:val="0"/>
              <w:jc w:val="center"/>
              <w:rPr>
                <w:color w:val="auto"/>
                <w:szCs w:val="21"/>
              </w:rPr>
            </w:pPr>
            <w:r>
              <w:rPr>
                <w:rFonts w:hint="eastAsia"/>
                <w:color w:val="auto"/>
              </w:rPr>
              <w:t>0.09802768</w:t>
            </w:r>
          </w:p>
        </w:tc>
        <w:tc>
          <w:tcPr>
            <w:tcW w:w="1468" w:type="pct"/>
            <w:vAlign w:val="center"/>
          </w:tcPr>
          <w:p w14:paraId="2EB4A838">
            <w:pPr>
              <w:snapToGrid w:val="0"/>
              <w:jc w:val="center"/>
              <w:rPr>
                <w:color w:val="auto"/>
                <w:szCs w:val="21"/>
              </w:rPr>
            </w:pPr>
            <w:r>
              <w:rPr>
                <w:rFonts w:hint="eastAsia"/>
                <w:color w:val="auto"/>
              </w:rPr>
              <w:t>0.1043765</w:t>
            </w:r>
          </w:p>
        </w:tc>
      </w:tr>
      <w:tr w14:paraId="1953C7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44592BC1">
            <w:pPr>
              <w:snapToGrid w:val="0"/>
              <w:jc w:val="center"/>
              <w:rPr>
                <w:color w:val="auto"/>
                <w:szCs w:val="21"/>
              </w:rPr>
            </w:pPr>
            <w:r>
              <w:rPr>
                <w:color w:val="auto"/>
                <w:szCs w:val="21"/>
              </w:rPr>
              <w:t>30</w:t>
            </w:r>
          </w:p>
        </w:tc>
        <w:tc>
          <w:tcPr>
            <w:tcW w:w="1468" w:type="pct"/>
            <w:vAlign w:val="center"/>
          </w:tcPr>
          <w:p w14:paraId="100146CC">
            <w:pPr>
              <w:snapToGrid w:val="0"/>
              <w:jc w:val="center"/>
              <w:rPr>
                <w:color w:val="auto"/>
                <w:szCs w:val="21"/>
              </w:rPr>
            </w:pPr>
            <w:r>
              <w:rPr>
                <w:rFonts w:hint="eastAsia"/>
                <w:color w:val="auto"/>
              </w:rPr>
              <w:t>8.805796E-07</w:t>
            </w:r>
          </w:p>
        </w:tc>
        <w:tc>
          <w:tcPr>
            <w:tcW w:w="1468" w:type="pct"/>
            <w:vAlign w:val="center"/>
          </w:tcPr>
          <w:p w14:paraId="1449ACB0">
            <w:pPr>
              <w:snapToGrid w:val="0"/>
              <w:jc w:val="center"/>
              <w:rPr>
                <w:color w:val="auto"/>
                <w:szCs w:val="21"/>
              </w:rPr>
            </w:pPr>
            <w:r>
              <w:rPr>
                <w:rFonts w:hint="eastAsia"/>
                <w:color w:val="auto"/>
              </w:rPr>
              <w:t>0.05212279</w:t>
            </w:r>
          </w:p>
        </w:tc>
        <w:tc>
          <w:tcPr>
            <w:tcW w:w="1468" w:type="pct"/>
            <w:vAlign w:val="center"/>
          </w:tcPr>
          <w:p w14:paraId="5387B09D">
            <w:pPr>
              <w:snapToGrid w:val="0"/>
              <w:jc w:val="center"/>
              <w:rPr>
                <w:color w:val="auto"/>
                <w:szCs w:val="21"/>
              </w:rPr>
            </w:pPr>
            <w:r>
              <w:rPr>
                <w:rFonts w:hint="eastAsia"/>
                <w:color w:val="auto"/>
              </w:rPr>
              <w:t>0.05885104</w:t>
            </w:r>
          </w:p>
        </w:tc>
      </w:tr>
      <w:tr w14:paraId="0182BC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275A46C8">
            <w:pPr>
              <w:snapToGrid w:val="0"/>
              <w:jc w:val="center"/>
              <w:rPr>
                <w:color w:val="auto"/>
                <w:szCs w:val="21"/>
              </w:rPr>
            </w:pPr>
            <w:r>
              <w:rPr>
                <w:color w:val="auto"/>
                <w:szCs w:val="21"/>
              </w:rPr>
              <w:t>40</w:t>
            </w:r>
          </w:p>
        </w:tc>
        <w:tc>
          <w:tcPr>
            <w:tcW w:w="1468" w:type="pct"/>
            <w:vAlign w:val="center"/>
          </w:tcPr>
          <w:p w14:paraId="5A11B78C">
            <w:pPr>
              <w:snapToGrid w:val="0"/>
              <w:jc w:val="center"/>
              <w:rPr>
                <w:color w:val="auto"/>
                <w:szCs w:val="21"/>
              </w:rPr>
            </w:pPr>
            <w:r>
              <w:rPr>
                <w:rFonts w:hint="eastAsia"/>
                <w:color w:val="auto"/>
              </w:rPr>
              <w:t xml:space="preserve"> 1.370342E-10</w:t>
            </w:r>
          </w:p>
        </w:tc>
        <w:tc>
          <w:tcPr>
            <w:tcW w:w="1468" w:type="pct"/>
            <w:vAlign w:val="center"/>
          </w:tcPr>
          <w:p w14:paraId="7C70DE85">
            <w:pPr>
              <w:snapToGrid w:val="0"/>
              <w:jc w:val="center"/>
              <w:rPr>
                <w:color w:val="auto"/>
                <w:szCs w:val="21"/>
              </w:rPr>
            </w:pPr>
            <w:r>
              <w:rPr>
                <w:rFonts w:hint="eastAsia"/>
                <w:color w:val="auto"/>
              </w:rPr>
              <w:t>0.02253818</w:t>
            </w:r>
          </w:p>
        </w:tc>
        <w:tc>
          <w:tcPr>
            <w:tcW w:w="1468" w:type="pct"/>
            <w:vAlign w:val="center"/>
          </w:tcPr>
          <w:p w14:paraId="4413FCC8">
            <w:pPr>
              <w:snapToGrid w:val="0"/>
              <w:jc w:val="center"/>
              <w:rPr>
                <w:color w:val="auto"/>
                <w:szCs w:val="21"/>
              </w:rPr>
            </w:pPr>
            <w:r>
              <w:rPr>
                <w:rFonts w:hint="eastAsia"/>
                <w:color w:val="auto"/>
              </w:rPr>
              <w:t>0.0275311</w:t>
            </w:r>
          </w:p>
        </w:tc>
      </w:tr>
      <w:tr w14:paraId="7F9350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30C5DEC">
            <w:pPr>
              <w:snapToGrid w:val="0"/>
              <w:jc w:val="center"/>
              <w:rPr>
                <w:color w:val="auto"/>
                <w:szCs w:val="21"/>
              </w:rPr>
            </w:pPr>
            <w:r>
              <w:rPr>
                <w:color w:val="auto"/>
                <w:szCs w:val="21"/>
              </w:rPr>
              <w:t>50</w:t>
            </w:r>
          </w:p>
        </w:tc>
        <w:tc>
          <w:tcPr>
            <w:tcW w:w="1468" w:type="pct"/>
            <w:vAlign w:val="center"/>
          </w:tcPr>
          <w:p w14:paraId="0BD1A37C">
            <w:pPr>
              <w:snapToGrid w:val="0"/>
              <w:jc w:val="center"/>
              <w:rPr>
                <w:color w:val="auto"/>
                <w:szCs w:val="21"/>
              </w:rPr>
            </w:pPr>
            <w:r>
              <w:rPr>
                <w:rFonts w:hint="eastAsia"/>
                <w:color w:val="auto"/>
              </w:rPr>
              <w:t>1.945971E-15</w:t>
            </w:r>
          </w:p>
        </w:tc>
        <w:tc>
          <w:tcPr>
            <w:tcW w:w="1468" w:type="pct"/>
            <w:vAlign w:val="center"/>
          </w:tcPr>
          <w:p w14:paraId="4B440396">
            <w:pPr>
              <w:snapToGrid w:val="0"/>
              <w:jc w:val="center"/>
              <w:rPr>
                <w:color w:val="auto"/>
                <w:szCs w:val="21"/>
              </w:rPr>
            </w:pPr>
            <w:r>
              <w:rPr>
                <w:rFonts w:hint="eastAsia"/>
                <w:color w:val="auto"/>
                <w:szCs w:val="21"/>
              </w:rPr>
              <w:t>0.007839207</w:t>
            </w:r>
          </w:p>
        </w:tc>
        <w:tc>
          <w:tcPr>
            <w:tcW w:w="1468" w:type="pct"/>
            <w:vAlign w:val="center"/>
          </w:tcPr>
          <w:p w14:paraId="5986DD4F">
            <w:pPr>
              <w:snapToGrid w:val="0"/>
              <w:jc w:val="center"/>
              <w:rPr>
                <w:color w:val="auto"/>
                <w:szCs w:val="21"/>
              </w:rPr>
            </w:pPr>
            <w:r>
              <w:rPr>
                <w:rFonts w:hint="eastAsia"/>
                <w:color w:val="auto"/>
              </w:rPr>
              <w:t>0.01057671</w:t>
            </w:r>
          </w:p>
        </w:tc>
      </w:tr>
      <w:tr w14:paraId="615414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1D932E4">
            <w:pPr>
              <w:snapToGrid w:val="0"/>
              <w:jc w:val="center"/>
              <w:rPr>
                <w:color w:val="auto"/>
                <w:szCs w:val="21"/>
              </w:rPr>
            </w:pPr>
            <w:r>
              <w:rPr>
                <w:color w:val="auto"/>
                <w:szCs w:val="21"/>
              </w:rPr>
              <w:t>60</w:t>
            </w:r>
          </w:p>
        </w:tc>
        <w:tc>
          <w:tcPr>
            <w:tcW w:w="1468" w:type="pct"/>
            <w:vAlign w:val="center"/>
          </w:tcPr>
          <w:p w14:paraId="5C1DEB83">
            <w:pPr>
              <w:snapToGrid w:val="0"/>
              <w:jc w:val="center"/>
              <w:rPr>
                <w:color w:val="auto"/>
                <w:szCs w:val="21"/>
              </w:rPr>
            </w:pPr>
            <w:r>
              <w:rPr>
                <w:rFonts w:hint="eastAsia"/>
                <w:color w:val="auto"/>
                <w:szCs w:val="21"/>
              </w:rPr>
              <w:t>0</w:t>
            </w:r>
          </w:p>
        </w:tc>
        <w:tc>
          <w:tcPr>
            <w:tcW w:w="1468" w:type="pct"/>
            <w:vAlign w:val="center"/>
          </w:tcPr>
          <w:p w14:paraId="30D1E9E8">
            <w:pPr>
              <w:snapToGrid w:val="0"/>
              <w:jc w:val="center"/>
              <w:rPr>
                <w:color w:val="auto"/>
                <w:szCs w:val="21"/>
              </w:rPr>
            </w:pPr>
            <w:r>
              <w:rPr>
                <w:rFonts w:hint="eastAsia"/>
                <w:color w:val="auto"/>
              </w:rPr>
              <w:t>0.00217661</w:t>
            </w:r>
          </w:p>
        </w:tc>
        <w:tc>
          <w:tcPr>
            <w:tcW w:w="1468" w:type="pct"/>
            <w:vAlign w:val="center"/>
          </w:tcPr>
          <w:p w14:paraId="68282793">
            <w:pPr>
              <w:snapToGrid w:val="0"/>
              <w:jc w:val="center"/>
              <w:rPr>
                <w:color w:val="auto"/>
                <w:szCs w:val="21"/>
              </w:rPr>
            </w:pPr>
            <w:r>
              <w:rPr>
                <w:rFonts w:hint="eastAsia"/>
                <w:color w:val="auto"/>
              </w:rPr>
              <w:t>0.003312766</w:t>
            </w:r>
          </w:p>
        </w:tc>
      </w:tr>
      <w:tr w14:paraId="10117D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2783FE4D">
            <w:pPr>
              <w:snapToGrid w:val="0"/>
              <w:jc w:val="center"/>
              <w:rPr>
                <w:color w:val="auto"/>
                <w:szCs w:val="21"/>
              </w:rPr>
            </w:pPr>
            <w:r>
              <w:rPr>
                <w:color w:val="auto"/>
                <w:szCs w:val="21"/>
              </w:rPr>
              <w:t>70</w:t>
            </w:r>
          </w:p>
        </w:tc>
        <w:tc>
          <w:tcPr>
            <w:tcW w:w="1468" w:type="pct"/>
            <w:vAlign w:val="center"/>
          </w:tcPr>
          <w:p w14:paraId="5855F6EA">
            <w:pPr>
              <w:snapToGrid w:val="0"/>
              <w:jc w:val="center"/>
              <w:rPr>
                <w:color w:val="auto"/>
                <w:szCs w:val="21"/>
              </w:rPr>
            </w:pPr>
            <w:r>
              <w:rPr>
                <w:rFonts w:hint="eastAsia"/>
                <w:color w:val="auto"/>
                <w:szCs w:val="21"/>
              </w:rPr>
              <w:t>0</w:t>
            </w:r>
          </w:p>
        </w:tc>
        <w:tc>
          <w:tcPr>
            <w:tcW w:w="1468" w:type="pct"/>
            <w:vAlign w:val="center"/>
          </w:tcPr>
          <w:p w14:paraId="0A65DB02">
            <w:pPr>
              <w:snapToGrid w:val="0"/>
              <w:jc w:val="center"/>
              <w:rPr>
                <w:color w:val="auto"/>
                <w:szCs w:val="21"/>
              </w:rPr>
            </w:pPr>
            <w:r>
              <w:rPr>
                <w:rFonts w:hint="eastAsia"/>
                <w:color w:val="auto"/>
              </w:rPr>
              <w:t>0.000479853</w:t>
            </w:r>
          </w:p>
        </w:tc>
        <w:tc>
          <w:tcPr>
            <w:tcW w:w="1468" w:type="pct"/>
            <w:vAlign w:val="center"/>
          </w:tcPr>
          <w:p w14:paraId="296C979F">
            <w:pPr>
              <w:snapToGrid w:val="0"/>
              <w:jc w:val="center"/>
              <w:rPr>
                <w:color w:val="auto"/>
                <w:szCs w:val="21"/>
              </w:rPr>
            </w:pPr>
            <w:r>
              <w:rPr>
                <w:rFonts w:hint="eastAsia"/>
                <w:color w:val="auto"/>
              </w:rPr>
              <w:t>0.0008415892</w:t>
            </w:r>
          </w:p>
        </w:tc>
      </w:tr>
      <w:tr w14:paraId="2D0FB8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2D3679A4">
            <w:pPr>
              <w:snapToGrid w:val="0"/>
              <w:jc w:val="center"/>
              <w:rPr>
                <w:color w:val="auto"/>
                <w:szCs w:val="21"/>
              </w:rPr>
            </w:pPr>
            <w:r>
              <w:rPr>
                <w:color w:val="auto"/>
                <w:szCs w:val="21"/>
              </w:rPr>
              <w:t>80</w:t>
            </w:r>
          </w:p>
        </w:tc>
        <w:tc>
          <w:tcPr>
            <w:tcW w:w="1468" w:type="pct"/>
            <w:vAlign w:val="center"/>
          </w:tcPr>
          <w:p w14:paraId="746AD6A5">
            <w:pPr>
              <w:snapToGrid w:val="0"/>
              <w:jc w:val="center"/>
              <w:rPr>
                <w:color w:val="auto"/>
                <w:szCs w:val="21"/>
              </w:rPr>
            </w:pPr>
            <w:r>
              <w:rPr>
                <w:rFonts w:hint="eastAsia"/>
                <w:color w:val="auto"/>
                <w:szCs w:val="21"/>
              </w:rPr>
              <w:t>0</w:t>
            </w:r>
          </w:p>
        </w:tc>
        <w:tc>
          <w:tcPr>
            <w:tcW w:w="1468" w:type="pct"/>
            <w:vAlign w:val="center"/>
          </w:tcPr>
          <w:p w14:paraId="6D90E0AB">
            <w:pPr>
              <w:snapToGrid w:val="0"/>
              <w:jc w:val="center"/>
              <w:rPr>
                <w:color w:val="auto"/>
                <w:szCs w:val="21"/>
              </w:rPr>
            </w:pPr>
            <w:r>
              <w:rPr>
                <w:rFonts w:hint="eastAsia"/>
                <w:color w:val="auto"/>
              </w:rPr>
              <w:t>8.367019E-05</w:t>
            </w:r>
          </w:p>
        </w:tc>
        <w:tc>
          <w:tcPr>
            <w:tcW w:w="1468" w:type="pct"/>
            <w:vAlign w:val="center"/>
          </w:tcPr>
          <w:p w14:paraId="7BF9967B">
            <w:pPr>
              <w:snapToGrid w:val="0"/>
              <w:jc w:val="center"/>
              <w:rPr>
                <w:color w:val="auto"/>
                <w:szCs w:val="21"/>
              </w:rPr>
            </w:pPr>
            <w:r>
              <w:rPr>
                <w:rFonts w:hint="eastAsia"/>
                <w:color w:val="auto"/>
              </w:rPr>
              <w:t>0.0001727623</w:t>
            </w:r>
          </w:p>
        </w:tc>
      </w:tr>
      <w:tr w14:paraId="111DD6E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18ED774E">
            <w:pPr>
              <w:snapToGrid w:val="0"/>
              <w:jc w:val="center"/>
              <w:rPr>
                <w:color w:val="auto"/>
                <w:szCs w:val="21"/>
              </w:rPr>
            </w:pPr>
            <w:r>
              <w:rPr>
                <w:color w:val="auto"/>
                <w:szCs w:val="21"/>
              </w:rPr>
              <w:t>90</w:t>
            </w:r>
          </w:p>
        </w:tc>
        <w:tc>
          <w:tcPr>
            <w:tcW w:w="1468" w:type="pct"/>
            <w:vAlign w:val="center"/>
          </w:tcPr>
          <w:p w14:paraId="5208FE59">
            <w:pPr>
              <w:snapToGrid w:val="0"/>
              <w:jc w:val="center"/>
              <w:rPr>
                <w:color w:val="auto"/>
                <w:szCs w:val="21"/>
              </w:rPr>
            </w:pPr>
            <w:r>
              <w:rPr>
                <w:rFonts w:hint="eastAsia"/>
                <w:color w:val="auto"/>
                <w:szCs w:val="21"/>
              </w:rPr>
              <w:t>0</w:t>
            </w:r>
          </w:p>
        </w:tc>
        <w:tc>
          <w:tcPr>
            <w:tcW w:w="1468" w:type="pct"/>
            <w:vAlign w:val="center"/>
          </w:tcPr>
          <w:p w14:paraId="0AEFB55E">
            <w:pPr>
              <w:snapToGrid w:val="0"/>
              <w:jc w:val="center"/>
              <w:rPr>
                <w:color w:val="auto"/>
                <w:szCs w:val="21"/>
              </w:rPr>
            </w:pPr>
            <w:r>
              <w:rPr>
                <w:rFonts w:hint="eastAsia"/>
                <w:color w:val="auto"/>
              </w:rPr>
              <w:t>1.150608E-05</w:t>
            </w:r>
          </w:p>
        </w:tc>
        <w:tc>
          <w:tcPr>
            <w:tcW w:w="1468" w:type="pct"/>
            <w:vAlign w:val="center"/>
          </w:tcPr>
          <w:p w14:paraId="0941BCAA">
            <w:pPr>
              <w:snapToGrid w:val="0"/>
              <w:jc w:val="center"/>
              <w:rPr>
                <w:color w:val="auto"/>
                <w:szCs w:val="21"/>
              </w:rPr>
            </w:pPr>
            <w:r>
              <w:rPr>
                <w:rFonts w:hint="eastAsia"/>
                <w:color w:val="auto"/>
              </w:rPr>
              <w:t>2.857789E-05</w:t>
            </w:r>
          </w:p>
        </w:tc>
      </w:tr>
      <w:tr w14:paraId="29235C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52CAEAAD">
            <w:pPr>
              <w:snapToGrid w:val="0"/>
              <w:jc w:val="center"/>
              <w:rPr>
                <w:color w:val="auto"/>
                <w:szCs w:val="21"/>
              </w:rPr>
            </w:pPr>
            <w:r>
              <w:rPr>
                <w:color w:val="auto"/>
                <w:szCs w:val="21"/>
              </w:rPr>
              <w:t>100</w:t>
            </w:r>
          </w:p>
        </w:tc>
        <w:tc>
          <w:tcPr>
            <w:tcW w:w="1468" w:type="pct"/>
            <w:vAlign w:val="center"/>
          </w:tcPr>
          <w:p w14:paraId="11B572DA">
            <w:pPr>
              <w:snapToGrid w:val="0"/>
              <w:jc w:val="center"/>
              <w:rPr>
                <w:color w:val="auto"/>
                <w:szCs w:val="21"/>
              </w:rPr>
            </w:pPr>
            <w:r>
              <w:rPr>
                <w:rFonts w:hint="eastAsia"/>
                <w:color w:val="auto"/>
                <w:szCs w:val="21"/>
              </w:rPr>
              <w:t>0</w:t>
            </w:r>
          </w:p>
        </w:tc>
        <w:tc>
          <w:tcPr>
            <w:tcW w:w="1468" w:type="pct"/>
            <w:vAlign w:val="center"/>
          </w:tcPr>
          <w:p w14:paraId="035483B6">
            <w:pPr>
              <w:snapToGrid w:val="0"/>
              <w:jc w:val="center"/>
              <w:rPr>
                <w:color w:val="auto"/>
                <w:szCs w:val="21"/>
              </w:rPr>
            </w:pPr>
            <w:r>
              <w:rPr>
                <w:rFonts w:hint="eastAsia"/>
                <w:color w:val="auto"/>
                <w:szCs w:val="21"/>
              </w:rPr>
              <w:t>0</w:t>
            </w:r>
          </w:p>
        </w:tc>
        <w:tc>
          <w:tcPr>
            <w:tcW w:w="1468" w:type="pct"/>
            <w:vAlign w:val="center"/>
          </w:tcPr>
          <w:p w14:paraId="751425B3">
            <w:pPr>
              <w:snapToGrid w:val="0"/>
              <w:jc w:val="center"/>
              <w:rPr>
                <w:rFonts w:hint="eastAsia"/>
                <w:color w:val="auto"/>
              </w:rPr>
            </w:pPr>
            <w:r>
              <w:rPr>
                <w:rFonts w:hint="eastAsia"/>
                <w:color w:val="auto"/>
              </w:rPr>
              <w:t>3.801279E-06</w:t>
            </w:r>
          </w:p>
        </w:tc>
      </w:tr>
      <w:tr w14:paraId="086179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D03A2DC">
            <w:pPr>
              <w:snapToGrid w:val="0"/>
              <w:jc w:val="center"/>
              <w:rPr>
                <w:color w:val="auto"/>
                <w:szCs w:val="21"/>
              </w:rPr>
            </w:pPr>
            <w:r>
              <w:rPr>
                <w:color w:val="auto"/>
                <w:szCs w:val="21"/>
              </w:rPr>
              <w:t>110</w:t>
            </w:r>
          </w:p>
        </w:tc>
        <w:tc>
          <w:tcPr>
            <w:tcW w:w="1468" w:type="pct"/>
            <w:vAlign w:val="center"/>
          </w:tcPr>
          <w:p w14:paraId="177D7031">
            <w:pPr>
              <w:snapToGrid w:val="0"/>
              <w:jc w:val="center"/>
              <w:rPr>
                <w:color w:val="auto"/>
                <w:szCs w:val="21"/>
              </w:rPr>
            </w:pPr>
            <w:r>
              <w:rPr>
                <w:rFonts w:hint="eastAsia"/>
                <w:color w:val="auto"/>
                <w:szCs w:val="21"/>
              </w:rPr>
              <w:t>0</w:t>
            </w:r>
          </w:p>
        </w:tc>
        <w:tc>
          <w:tcPr>
            <w:tcW w:w="1468" w:type="pct"/>
            <w:vAlign w:val="center"/>
          </w:tcPr>
          <w:p w14:paraId="2371DB19">
            <w:pPr>
              <w:snapToGrid w:val="0"/>
              <w:jc w:val="center"/>
              <w:rPr>
                <w:color w:val="auto"/>
                <w:szCs w:val="21"/>
              </w:rPr>
            </w:pPr>
            <w:r>
              <w:rPr>
                <w:rFonts w:hint="eastAsia"/>
                <w:color w:val="auto"/>
                <w:szCs w:val="21"/>
              </w:rPr>
              <w:t>0</w:t>
            </w:r>
          </w:p>
        </w:tc>
        <w:tc>
          <w:tcPr>
            <w:tcW w:w="1468" w:type="pct"/>
            <w:vAlign w:val="center"/>
          </w:tcPr>
          <w:p w14:paraId="49962741">
            <w:pPr>
              <w:snapToGrid w:val="0"/>
              <w:jc w:val="center"/>
              <w:rPr>
                <w:rFonts w:hint="eastAsia"/>
                <w:color w:val="auto"/>
              </w:rPr>
            </w:pPr>
            <w:r>
              <w:rPr>
                <w:rFonts w:hint="eastAsia"/>
                <w:color w:val="auto"/>
              </w:rPr>
              <w:t>4.059223E-07</w:t>
            </w:r>
          </w:p>
        </w:tc>
      </w:tr>
      <w:tr w14:paraId="65DD00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1311B847">
            <w:pPr>
              <w:snapToGrid w:val="0"/>
              <w:jc w:val="center"/>
              <w:rPr>
                <w:color w:val="auto"/>
                <w:szCs w:val="21"/>
              </w:rPr>
            </w:pPr>
            <w:r>
              <w:rPr>
                <w:color w:val="auto"/>
                <w:szCs w:val="21"/>
              </w:rPr>
              <w:t>120</w:t>
            </w:r>
          </w:p>
        </w:tc>
        <w:tc>
          <w:tcPr>
            <w:tcW w:w="1468" w:type="pct"/>
            <w:vAlign w:val="center"/>
          </w:tcPr>
          <w:p w14:paraId="652B8CB6">
            <w:pPr>
              <w:snapToGrid w:val="0"/>
              <w:jc w:val="center"/>
              <w:rPr>
                <w:color w:val="auto"/>
                <w:szCs w:val="21"/>
              </w:rPr>
            </w:pPr>
            <w:r>
              <w:rPr>
                <w:rFonts w:hint="eastAsia"/>
                <w:color w:val="auto"/>
                <w:szCs w:val="21"/>
              </w:rPr>
              <w:t>0</w:t>
            </w:r>
          </w:p>
        </w:tc>
        <w:tc>
          <w:tcPr>
            <w:tcW w:w="1468" w:type="pct"/>
            <w:vAlign w:val="center"/>
          </w:tcPr>
          <w:p w14:paraId="27326FD0">
            <w:pPr>
              <w:snapToGrid w:val="0"/>
              <w:jc w:val="center"/>
              <w:rPr>
                <w:color w:val="auto"/>
                <w:szCs w:val="21"/>
              </w:rPr>
            </w:pPr>
            <w:r>
              <w:rPr>
                <w:rFonts w:hint="eastAsia"/>
                <w:color w:val="auto"/>
                <w:szCs w:val="21"/>
              </w:rPr>
              <w:t>0</w:t>
            </w:r>
          </w:p>
        </w:tc>
        <w:tc>
          <w:tcPr>
            <w:tcW w:w="1468" w:type="pct"/>
            <w:vAlign w:val="center"/>
          </w:tcPr>
          <w:p w14:paraId="4A3AE83C">
            <w:pPr>
              <w:snapToGrid w:val="0"/>
              <w:jc w:val="center"/>
              <w:rPr>
                <w:rFonts w:hint="eastAsia"/>
                <w:color w:val="auto"/>
              </w:rPr>
            </w:pPr>
            <w:r>
              <w:rPr>
                <w:rFonts w:hint="eastAsia"/>
                <w:color w:val="auto"/>
              </w:rPr>
              <w:t>3.475484E-08</w:t>
            </w:r>
          </w:p>
        </w:tc>
      </w:tr>
      <w:tr w14:paraId="6CA80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54BB6144">
            <w:pPr>
              <w:snapToGrid w:val="0"/>
              <w:jc w:val="center"/>
              <w:rPr>
                <w:color w:val="auto"/>
                <w:szCs w:val="21"/>
              </w:rPr>
            </w:pPr>
            <w:r>
              <w:rPr>
                <w:color w:val="auto"/>
                <w:szCs w:val="21"/>
              </w:rPr>
              <w:t>130</w:t>
            </w:r>
          </w:p>
        </w:tc>
        <w:tc>
          <w:tcPr>
            <w:tcW w:w="1468" w:type="pct"/>
            <w:vAlign w:val="center"/>
          </w:tcPr>
          <w:p w14:paraId="41118320">
            <w:pPr>
              <w:snapToGrid w:val="0"/>
              <w:jc w:val="center"/>
              <w:rPr>
                <w:color w:val="auto"/>
                <w:szCs w:val="21"/>
              </w:rPr>
            </w:pPr>
            <w:r>
              <w:rPr>
                <w:rFonts w:hint="eastAsia"/>
                <w:color w:val="auto"/>
                <w:szCs w:val="21"/>
              </w:rPr>
              <w:t>0</w:t>
            </w:r>
          </w:p>
        </w:tc>
        <w:tc>
          <w:tcPr>
            <w:tcW w:w="1468" w:type="pct"/>
            <w:vAlign w:val="center"/>
          </w:tcPr>
          <w:p w14:paraId="748CE112">
            <w:pPr>
              <w:snapToGrid w:val="0"/>
              <w:jc w:val="center"/>
              <w:rPr>
                <w:color w:val="auto"/>
                <w:szCs w:val="21"/>
              </w:rPr>
            </w:pPr>
            <w:r>
              <w:rPr>
                <w:rFonts w:hint="eastAsia"/>
                <w:color w:val="auto"/>
                <w:szCs w:val="21"/>
              </w:rPr>
              <w:t>0</w:t>
            </w:r>
          </w:p>
        </w:tc>
        <w:tc>
          <w:tcPr>
            <w:tcW w:w="1468" w:type="pct"/>
            <w:vAlign w:val="center"/>
          </w:tcPr>
          <w:p w14:paraId="4AE7371A">
            <w:pPr>
              <w:snapToGrid w:val="0"/>
              <w:jc w:val="center"/>
              <w:rPr>
                <w:rFonts w:hint="eastAsia"/>
                <w:color w:val="auto"/>
              </w:rPr>
            </w:pPr>
            <w:r>
              <w:rPr>
                <w:rFonts w:hint="eastAsia"/>
                <w:color w:val="auto"/>
              </w:rPr>
              <w:t>2.383433E-09</w:t>
            </w:r>
          </w:p>
        </w:tc>
      </w:tr>
      <w:tr w14:paraId="42A981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5498DE10">
            <w:pPr>
              <w:snapToGrid w:val="0"/>
              <w:jc w:val="center"/>
              <w:rPr>
                <w:color w:val="auto"/>
                <w:szCs w:val="21"/>
              </w:rPr>
            </w:pPr>
            <w:r>
              <w:rPr>
                <w:color w:val="auto"/>
                <w:szCs w:val="21"/>
              </w:rPr>
              <w:t>140</w:t>
            </w:r>
          </w:p>
        </w:tc>
        <w:tc>
          <w:tcPr>
            <w:tcW w:w="1468" w:type="pct"/>
            <w:vAlign w:val="center"/>
          </w:tcPr>
          <w:p w14:paraId="3FAFFA1F">
            <w:pPr>
              <w:snapToGrid w:val="0"/>
              <w:jc w:val="center"/>
              <w:rPr>
                <w:color w:val="auto"/>
                <w:szCs w:val="21"/>
              </w:rPr>
            </w:pPr>
            <w:r>
              <w:rPr>
                <w:rFonts w:hint="eastAsia"/>
                <w:color w:val="auto"/>
                <w:szCs w:val="21"/>
              </w:rPr>
              <w:t>0</w:t>
            </w:r>
          </w:p>
        </w:tc>
        <w:tc>
          <w:tcPr>
            <w:tcW w:w="1468" w:type="pct"/>
            <w:vAlign w:val="center"/>
          </w:tcPr>
          <w:p w14:paraId="628AD13D">
            <w:pPr>
              <w:snapToGrid w:val="0"/>
              <w:jc w:val="center"/>
              <w:rPr>
                <w:color w:val="auto"/>
                <w:szCs w:val="21"/>
              </w:rPr>
            </w:pPr>
            <w:r>
              <w:rPr>
                <w:rFonts w:hint="eastAsia"/>
                <w:color w:val="auto"/>
                <w:szCs w:val="21"/>
              </w:rPr>
              <w:t>0</w:t>
            </w:r>
          </w:p>
        </w:tc>
        <w:tc>
          <w:tcPr>
            <w:tcW w:w="1468" w:type="pct"/>
            <w:vAlign w:val="center"/>
          </w:tcPr>
          <w:p w14:paraId="1F7C8E15">
            <w:pPr>
              <w:snapToGrid w:val="0"/>
              <w:jc w:val="center"/>
              <w:rPr>
                <w:rFonts w:hint="eastAsia"/>
                <w:color w:val="auto"/>
              </w:rPr>
            </w:pPr>
            <w:r>
              <w:rPr>
                <w:rFonts w:hint="eastAsia"/>
                <w:color w:val="auto"/>
              </w:rPr>
              <w:t>1.354193E-10</w:t>
            </w:r>
          </w:p>
        </w:tc>
      </w:tr>
      <w:tr w14:paraId="241530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4CB9C474">
            <w:pPr>
              <w:snapToGrid w:val="0"/>
              <w:jc w:val="center"/>
              <w:rPr>
                <w:color w:val="auto"/>
                <w:szCs w:val="21"/>
              </w:rPr>
            </w:pPr>
            <w:r>
              <w:rPr>
                <w:color w:val="auto"/>
                <w:szCs w:val="21"/>
              </w:rPr>
              <w:t>150</w:t>
            </w:r>
          </w:p>
        </w:tc>
        <w:tc>
          <w:tcPr>
            <w:tcW w:w="1468" w:type="pct"/>
            <w:vAlign w:val="center"/>
          </w:tcPr>
          <w:p w14:paraId="691746F0">
            <w:pPr>
              <w:snapToGrid w:val="0"/>
              <w:jc w:val="center"/>
              <w:rPr>
                <w:color w:val="auto"/>
                <w:szCs w:val="21"/>
              </w:rPr>
            </w:pPr>
            <w:r>
              <w:rPr>
                <w:rFonts w:hint="eastAsia"/>
                <w:color w:val="auto"/>
                <w:szCs w:val="21"/>
              </w:rPr>
              <w:t>0</w:t>
            </w:r>
          </w:p>
        </w:tc>
        <w:tc>
          <w:tcPr>
            <w:tcW w:w="1468" w:type="pct"/>
            <w:vAlign w:val="center"/>
          </w:tcPr>
          <w:p w14:paraId="5EC8C7B8">
            <w:pPr>
              <w:snapToGrid w:val="0"/>
              <w:jc w:val="center"/>
              <w:rPr>
                <w:color w:val="auto"/>
                <w:szCs w:val="21"/>
              </w:rPr>
            </w:pPr>
            <w:r>
              <w:rPr>
                <w:rFonts w:hint="eastAsia"/>
                <w:color w:val="auto"/>
                <w:szCs w:val="21"/>
              </w:rPr>
              <w:t>0</w:t>
            </w:r>
          </w:p>
        </w:tc>
        <w:tc>
          <w:tcPr>
            <w:tcW w:w="1468" w:type="pct"/>
            <w:vAlign w:val="center"/>
          </w:tcPr>
          <w:p w14:paraId="29E28338">
            <w:pPr>
              <w:snapToGrid w:val="0"/>
              <w:jc w:val="center"/>
              <w:rPr>
                <w:rFonts w:hint="eastAsia"/>
                <w:color w:val="auto"/>
              </w:rPr>
            </w:pPr>
            <w:r>
              <w:rPr>
                <w:rFonts w:hint="eastAsia"/>
                <w:color w:val="auto"/>
              </w:rPr>
              <w:t>5.918221E-12</w:t>
            </w:r>
          </w:p>
        </w:tc>
      </w:tr>
      <w:tr w14:paraId="46B3FC7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62EF35C7">
            <w:pPr>
              <w:snapToGrid w:val="0"/>
              <w:jc w:val="center"/>
              <w:rPr>
                <w:color w:val="auto"/>
                <w:szCs w:val="21"/>
              </w:rPr>
            </w:pPr>
            <w:r>
              <w:rPr>
                <w:color w:val="auto"/>
                <w:szCs w:val="21"/>
              </w:rPr>
              <w:t>160</w:t>
            </w:r>
          </w:p>
        </w:tc>
        <w:tc>
          <w:tcPr>
            <w:tcW w:w="1468" w:type="pct"/>
            <w:vAlign w:val="center"/>
          </w:tcPr>
          <w:p w14:paraId="5BA6236F">
            <w:pPr>
              <w:snapToGrid w:val="0"/>
              <w:jc w:val="center"/>
              <w:rPr>
                <w:color w:val="auto"/>
                <w:szCs w:val="21"/>
              </w:rPr>
            </w:pPr>
            <w:r>
              <w:rPr>
                <w:rFonts w:hint="eastAsia"/>
                <w:color w:val="auto"/>
                <w:szCs w:val="21"/>
              </w:rPr>
              <w:t>0</w:t>
            </w:r>
          </w:p>
        </w:tc>
        <w:tc>
          <w:tcPr>
            <w:tcW w:w="1468" w:type="pct"/>
            <w:vAlign w:val="center"/>
          </w:tcPr>
          <w:p w14:paraId="7F8899CE">
            <w:pPr>
              <w:snapToGrid w:val="0"/>
              <w:jc w:val="center"/>
              <w:rPr>
                <w:color w:val="auto"/>
                <w:szCs w:val="21"/>
              </w:rPr>
            </w:pPr>
            <w:r>
              <w:rPr>
                <w:rFonts w:hint="eastAsia"/>
                <w:color w:val="auto"/>
                <w:szCs w:val="21"/>
              </w:rPr>
              <w:t>0</w:t>
            </w:r>
          </w:p>
        </w:tc>
        <w:tc>
          <w:tcPr>
            <w:tcW w:w="1468" w:type="pct"/>
            <w:vAlign w:val="center"/>
          </w:tcPr>
          <w:p w14:paraId="0A947299">
            <w:pPr>
              <w:snapToGrid w:val="0"/>
              <w:jc w:val="center"/>
              <w:rPr>
                <w:rFonts w:hint="eastAsia"/>
                <w:color w:val="auto"/>
              </w:rPr>
            </w:pPr>
            <w:r>
              <w:rPr>
                <w:rFonts w:hint="eastAsia"/>
                <w:color w:val="auto"/>
              </w:rPr>
              <w:t>2.149267E-13</w:t>
            </w:r>
          </w:p>
        </w:tc>
      </w:tr>
      <w:tr w14:paraId="46C36E9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3162A8AE">
            <w:pPr>
              <w:snapToGrid w:val="0"/>
              <w:jc w:val="center"/>
              <w:rPr>
                <w:color w:val="auto"/>
                <w:szCs w:val="21"/>
              </w:rPr>
            </w:pPr>
            <w:r>
              <w:rPr>
                <w:color w:val="auto"/>
                <w:szCs w:val="21"/>
              </w:rPr>
              <w:t>170</w:t>
            </w:r>
          </w:p>
        </w:tc>
        <w:tc>
          <w:tcPr>
            <w:tcW w:w="1468" w:type="pct"/>
            <w:vAlign w:val="center"/>
          </w:tcPr>
          <w:p w14:paraId="04E5A6E0">
            <w:pPr>
              <w:snapToGrid w:val="0"/>
              <w:jc w:val="center"/>
              <w:rPr>
                <w:color w:val="auto"/>
                <w:szCs w:val="21"/>
              </w:rPr>
            </w:pPr>
            <w:r>
              <w:rPr>
                <w:rFonts w:hint="eastAsia"/>
                <w:color w:val="auto"/>
                <w:szCs w:val="21"/>
              </w:rPr>
              <w:t>0</w:t>
            </w:r>
          </w:p>
        </w:tc>
        <w:tc>
          <w:tcPr>
            <w:tcW w:w="1468" w:type="pct"/>
            <w:vAlign w:val="center"/>
          </w:tcPr>
          <w:p w14:paraId="51436C43">
            <w:pPr>
              <w:snapToGrid w:val="0"/>
              <w:jc w:val="center"/>
              <w:rPr>
                <w:color w:val="auto"/>
                <w:szCs w:val="21"/>
              </w:rPr>
            </w:pPr>
            <w:r>
              <w:rPr>
                <w:rFonts w:hint="eastAsia"/>
                <w:color w:val="auto"/>
                <w:szCs w:val="21"/>
              </w:rPr>
              <w:t>0</w:t>
            </w:r>
          </w:p>
        </w:tc>
        <w:tc>
          <w:tcPr>
            <w:tcW w:w="1468" w:type="pct"/>
            <w:vAlign w:val="center"/>
          </w:tcPr>
          <w:p w14:paraId="72351A3F">
            <w:pPr>
              <w:snapToGrid w:val="0"/>
              <w:jc w:val="center"/>
              <w:rPr>
                <w:rFonts w:hint="eastAsia"/>
                <w:color w:val="auto"/>
              </w:rPr>
            </w:pPr>
            <w:r>
              <w:rPr>
                <w:rFonts w:hint="eastAsia"/>
                <w:color w:val="auto"/>
              </w:rPr>
              <w:t>3.18634E-15</w:t>
            </w:r>
          </w:p>
        </w:tc>
      </w:tr>
      <w:tr w14:paraId="5060DFD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2D30D41A">
            <w:pPr>
              <w:snapToGrid w:val="0"/>
              <w:jc w:val="center"/>
              <w:rPr>
                <w:color w:val="auto"/>
                <w:szCs w:val="21"/>
              </w:rPr>
            </w:pPr>
            <w:r>
              <w:rPr>
                <w:color w:val="auto"/>
                <w:szCs w:val="21"/>
              </w:rPr>
              <w:t>180</w:t>
            </w:r>
          </w:p>
        </w:tc>
        <w:tc>
          <w:tcPr>
            <w:tcW w:w="1468" w:type="pct"/>
            <w:vAlign w:val="center"/>
          </w:tcPr>
          <w:p w14:paraId="0B038E52">
            <w:pPr>
              <w:snapToGrid w:val="0"/>
              <w:jc w:val="center"/>
              <w:rPr>
                <w:color w:val="auto"/>
                <w:szCs w:val="21"/>
              </w:rPr>
            </w:pPr>
            <w:r>
              <w:rPr>
                <w:rFonts w:hint="eastAsia"/>
                <w:color w:val="auto"/>
                <w:szCs w:val="21"/>
              </w:rPr>
              <w:t>0</w:t>
            </w:r>
          </w:p>
        </w:tc>
        <w:tc>
          <w:tcPr>
            <w:tcW w:w="1468" w:type="pct"/>
            <w:vAlign w:val="center"/>
          </w:tcPr>
          <w:p w14:paraId="6D3D8F7B">
            <w:pPr>
              <w:snapToGrid w:val="0"/>
              <w:jc w:val="center"/>
              <w:rPr>
                <w:color w:val="auto"/>
                <w:szCs w:val="21"/>
              </w:rPr>
            </w:pPr>
            <w:r>
              <w:rPr>
                <w:rFonts w:hint="eastAsia"/>
                <w:color w:val="auto"/>
                <w:szCs w:val="21"/>
              </w:rPr>
              <w:t>0</w:t>
            </w:r>
          </w:p>
        </w:tc>
        <w:tc>
          <w:tcPr>
            <w:tcW w:w="1468" w:type="pct"/>
            <w:vAlign w:val="center"/>
          </w:tcPr>
          <w:p w14:paraId="4E046D40">
            <w:pPr>
              <w:snapToGrid w:val="0"/>
              <w:jc w:val="center"/>
              <w:rPr>
                <w:rFonts w:hint="eastAsia"/>
                <w:color w:val="auto"/>
              </w:rPr>
            </w:pPr>
            <w:r>
              <w:rPr>
                <w:rFonts w:hint="eastAsia"/>
                <w:color w:val="auto"/>
              </w:rPr>
              <w:t>6.661338E-17</w:t>
            </w:r>
          </w:p>
        </w:tc>
      </w:tr>
      <w:tr w14:paraId="7F7D52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4" w:type="pct"/>
            <w:vAlign w:val="center"/>
          </w:tcPr>
          <w:p w14:paraId="410AC812">
            <w:pPr>
              <w:snapToGrid w:val="0"/>
              <w:jc w:val="center"/>
              <w:rPr>
                <w:color w:val="auto"/>
                <w:szCs w:val="21"/>
              </w:rPr>
            </w:pPr>
            <w:r>
              <w:rPr>
                <w:rFonts w:hint="eastAsia"/>
                <w:color w:val="auto"/>
                <w:szCs w:val="21"/>
              </w:rPr>
              <w:t>达标距离</w:t>
            </w:r>
          </w:p>
        </w:tc>
        <w:tc>
          <w:tcPr>
            <w:tcW w:w="1468" w:type="pct"/>
            <w:vAlign w:val="center"/>
          </w:tcPr>
          <w:p w14:paraId="62BAAC51">
            <w:pPr>
              <w:snapToGrid w:val="0"/>
              <w:jc w:val="center"/>
              <w:rPr>
                <w:color w:val="auto"/>
                <w:szCs w:val="21"/>
              </w:rPr>
            </w:pPr>
            <w:r>
              <w:rPr>
                <w:color w:val="auto"/>
                <w:szCs w:val="21"/>
              </w:rPr>
              <w:t>0.0</w:t>
            </w:r>
            <w:r>
              <w:rPr>
                <w:rFonts w:hint="eastAsia"/>
                <w:color w:val="auto"/>
                <w:szCs w:val="21"/>
                <w:lang w:val="en-US" w:eastAsia="zh-CN"/>
              </w:rPr>
              <w:t>09</w:t>
            </w:r>
            <w:r>
              <w:rPr>
                <w:rFonts w:hint="eastAsia"/>
                <w:color w:val="auto"/>
                <w:szCs w:val="21"/>
              </w:rPr>
              <w:t>（</w:t>
            </w:r>
            <w:r>
              <w:rPr>
                <w:rFonts w:hint="eastAsia"/>
                <w:color w:val="auto"/>
                <w:szCs w:val="21"/>
                <w:lang w:val="en-US" w:eastAsia="zh-CN"/>
              </w:rPr>
              <w:t>13</w:t>
            </w:r>
            <w:r>
              <w:rPr>
                <w:color w:val="auto"/>
                <w:szCs w:val="21"/>
              </w:rPr>
              <w:t>m</w:t>
            </w:r>
            <w:r>
              <w:rPr>
                <w:rFonts w:hint="eastAsia"/>
                <w:color w:val="auto"/>
                <w:szCs w:val="21"/>
              </w:rPr>
              <w:t>）</w:t>
            </w:r>
          </w:p>
        </w:tc>
        <w:tc>
          <w:tcPr>
            <w:tcW w:w="1468" w:type="pct"/>
            <w:vAlign w:val="center"/>
          </w:tcPr>
          <w:p w14:paraId="7978040F">
            <w:pPr>
              <w:snapToGrid w:val="0"/>
              <w:jc w:val="center"/>
              <w:rPr>
                <w:color w:val="auto"/>
                <w:szCs w:val="21"/>
              </w:rPr>
            </w:pPr>
            <w:r>
              <w:rPr>
                <w:color w:val="auto"/>
                <w:szCs w:val="21"/>
              </w:rPr>
              <w:t>0.0</w:t>
            </w:r>
            <w:r>
              <w:rPr>
                <w:rFonts w:hint="eastAsia"/>
                <w:color w:val="auto"/>
                <w:szCs w:val="21"/>
                <w:lang w:val="en-US" w:eastAsia="zh-CN"/>
              </w:rPr>
              <w:t>098027</w:t>
            </w:r>
            <w:r>
              <w:rPr>
                <w:rFonts w:hint="eastAsia"/>
                <w:color w:val="auto"/>
                <w:szCs w:val="21"/>
              </w:rPr>
              <w:t>（</w:t>
            </w:r>
            <w:r>
              <w:rPr>
                <w:rFonts w:hint="eastAsia"/>
                <w:color w:val="auto"/>
                <w:szCs w:val="21"/>
                <w:lang w:val="en-US" w:eastAsia="zh-CN"/>
              </w:rPr>
              <w:t>20</w:t>
            </w:r>
            <w:r>
              <w:rPr>
                <w:color w:val="auto"/>
                <w:szCs w:val="21"/>
              </w:rPr>
              <w:t>m</w:t>
            </w:r>
            <w:r>
              <w:rPr>
                <w:rFonts w:hint="eastAsia"/>
                <w:color w:val="auto"/>
                <w:szCs w:val="21"/>
              </w:rPr>
              <w:t>）</w:t>
            </w:r>
          </w:p>
        </w:tc>
        <w:tc>
          <w:tcPr>
            <w:tcW w:w="1468" w:type="pct"/>
            <w:vAlign w:val="center"/>
          </w:tcPr>
          <w:p w14:paraId="29EE909F">
            <w:pPr>
              <w:snapToGrid w:val="0"/>
              <w:jc w:val="center"/>
              <w:rPr>
                <w:color w:val="auto"/>
                <w:szCs w:val="21"/>
              </w:rPr>
            </w:pPr>
            <w:r>
              <w:rPr>
                <w:rFonts w:hint="eastAsia"/>
                <w:color w:val="auto"/>
                <w:szCs w:val="21"/>
              </w:rPr>
              <w:t>0.0</w:t>
            </w:r>
            <w:r>
              <w:rPr>
                <w:rFonts w:hint="eastAsia"/>
                <w:color w:val="auto"/>
                <w:szCs w:val="21"/>
                <w:lang w:val="en-US" w:eastAsia="zh-CN"/>
              </w:rPr>
              <w:t>0</w:t>
            </w:r>
            <w:r>
              <w:rPr>
                <w:rFonts w:hint="eastAsia"/>
                <w:color w:val="auto"/>
                <w:szCs w:val="21"/>
              </w:rPr>
              <w:t>98668（5</w:t>
            </w:r>
            <w:r>
              <w:rPr>
                <w:rFonts w:hint="eastAsia"/>
                <w:color w:val="auto"/>
                <w:szCs w:val="21"/>
                <w:lang w:val="en-US" w:eastAsia="zh-CN"/>
              </w:rPr>
              <w:t>1</w:t>
            </w:r>
            <w:r>
              <w:rPr>
                <w:color w:val="auto"/>
                <w:szCs w:val="21"/>
              </w:rPr>
              <w:t>m</w:t>
            </w:r>
            <w:r>
              <w:rPr>
                <w:rFonts w:hint="eastAsia"/>
                <w:color w:val="auto"/>
                <w:szCs w:val="21"/>
              </w:rPr>
              <w:t>）</w:t>
            </w:r>
          </w:p>
        </w:tc>
      </w:tr>
    </w:tbl>
    <w:p w14:paraId="3790975A">
      <w:pPr>
        <w:jc w:val="center"/>
        <w:rPr>
          <w:b/>
          <w:color w:val="auto"/>
        </w:rPr>
      </w:pPr>
      <w:r>
        <w:rPr>
          <w:color w:val="auto"/>
        </w:rPr>
        <w:drawing>
          <wp:inline distT="0" distB="0" distL="114300" distR="114300">
            <wp:extent cx="5273675" cy="3208655"/>
            <wp:effectExtent l="0" t="0" r="3175" b="1079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8"/>
                    <a:stretch>
                      <a:fillRect/>
                    </a:stretch>
                  </pic:blipFill>
                  <pic:spPr>
                    <a:xfrm>
                      <a:off x="0" y="0"/>
                      <a:ext cx="5273675" cy="3208655"/>
                    </a:xfrm>
                    <a:prstGeom prst="rect">
                      <a:avLst/>
                    </a:prstGeom>
                    <a:noFill/>
                    <a:ln>
                      <a:noFill/>
                    </a:ln>
                  </pic:spPr>
                </pic:pic>
              </a:graphicData>
            </a:graphic>
          </wp:inline>
        </w:drawing>
      </w:r>
    </w:p>
    <w:p w14:paraId="6FADDF3B">
      <w:pPr>
        <w:pStyle w:val="76"/>
        <w:rPr>
          <w:color w:val="auto"/>
        </w:rPr>
      </w:pPr>
      <w:r>
        <w:rPr>
          <w:rFonts w:hint="eastAsia"/>
          <w:color w:val="auto"/>
        </w:rPr>
        <w:t>图5-2-1</w:t>
      </w:r>
      <w:r>
        <w:rPr>
          <w:rFonts w:hint="eastAsia"/>
          <w:color w:val="auto"/>
          <w:szCs w:val="21"/>
          <w:lang w:val="en-US" w:eastAsia="zh-CN"/>
        </w:rPr>
        <w:t>铅</w:t>
      </w:r>
      <w:r>
        <w:rPr>
          <w:rFonts w:hint="eastAsia" w:hAnsi="宋体"/>
          <w:color w:val="auto"/>
        </w:rPr>
        <w:t>泄漏</w:t>
      </w:r>
      <w:r>
        <w:rPr>
          <w:rFonts w:hint="eastAsia"/>
          <w:color w:val="auto"/>
        </w:rPr>
        <w:t>100天溶质迁移图</w:t>
      </w:r>
    </w:p>
    <w:p w14:paraId="4DF813E9">
      <w:pPr>
        <w:ind w:firstLine="102" w:firstLineChars="49"/>
        <w:jc w:val="both"/>
        <w:rPr>
          <w:b/>
          <w:color w:val="auto"/>
        </w:rPr>
      </w:pPr>
      <w:r>
        <w:rPr>
          <w:color w:val="auto"/>
        </w:rPr>
        <w:drawing>
          <wp:inline distT="0" distB="0" distL="114300" distR="114300">
            <wp:extent cx="5274310" cy="3192145"/>
            <wp:effectExtent l="0" t="0" r="2540" b="8255"/>
            <wp:docPr id="1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图片 3"/>
                    <pic:cNvPicPr>
                      <a:picLocks noChangeAspect="1"/>
                    </pic:cNvPicPr>
                  </pic:nvPicPr>
                  <pic:blipFill>
                    <a:blip r:embed="rId49"/>
                    <a:stretch>
                      <a:fillRect/>
                    </a:stretch>
                  </pic:blipFill>
                  <pic:spPr>
                    <a:xfrm>
                      <a:off x="0" y="0"/>
                      <a:ext cx="5274310" cy="3192145"/>
                    </a:xfrm>
                    <a:prstGeom prst="rect">
                      <a:avLst/>
                    </a:prstGeom>
                    <a:noFill/>
                    <a:ln>
                      <a:noFill/>
                    </a:ln>
                  </pic:spPr>
                </pic:pic>
              </a:graphicData>
            </a:graphic>
          </wp:inline>
        </w:drawing>
      </w:r>
    </w:p>
    <w:p w14:paraId="40DFBABF">
      <w:pPr>
        <w:pStyle w:val="76"/>
        <w:rPr>
          <w:color w:val="auto"/>
        </w:rPr>
      </w:pPr>
      <w:r>
        <w:rPr>
          <w:rFonts w:hint="eastAsia"/>
          <w:color w:val="auto"/>
        </w:rPr>
        <w:t>图5-2-2</w:t>
      </w:r>
      <w:r>
        <w:rPr>
          <w:rFonts w:hint="eastAsia"/>
          <w:color w:val="auto"/>
          <w:szCs w:val="21"/>
          <w:lang w:val="en-US" w:eastAsia="zh-CN"/>
        </w:rPr>
        <w:t>铅</w:t>
      </w:r>
      <w:r>
        <w:rPr>
          <w:rFonts w:hint="eastAsia" w:hAnsi="宋体"/>
          <w:color w:val="auto"/>
        </w:rPr>
        <w:t>泄漏</w:t>
      </w:r>
      <w:r>
        <w:rPr>
          <w:rFonts w:hint="eastAsia"/>
          <w:color w:val="auto"/>
        </w:rPr>
        <w:t>1000天溶质迁移图</w:t>
      </w:r>
    </w:p>
    <w:p w14:paraId="4682138B">
      <w:pPr>
        <w:pStyle w:val="18"/>
        <w:jc w:val="center"/>
        <w:rPr>
          <w:color w:val="auto"/>
          <w:sz w:val="24"/>
        </w:rPr>
      </w:pPr>
      <w:r>
        <w:rPr>
          <w:color w:val="auto"/>
        </w:rPr>
        <w:drawing>
          <wp:inline distT="0" distB="0" distL="114300" distR="114300">
            <wp:extent cx="5274310" cy="3230245"/>
            <wp:effectExtent l="0" t="0" r="2540" b="8255"/>
            <wp:docPr id="4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1"/>
                    <pic:cNvPicPr>
                      <a:picLocks noChangeAspect="1"/>
                    </pic:cNvPicPr>
                  </pic:nvPicPr>
                  <pic:blipFill>
                    <a:blip r:embed="rId50"/>
                    <a:stretch>
                      <a:fillRect/>
                    </a:stretch>
                  </pic:blipFill>
                  <pic:spPr>
                    <a:xfrm>
                      <a:off x="0" y="0"/>
                      <a:ext cx="5274310" cy="3230245"/>
                    </a:xfrm>
                    <a:prstGeom prst="rect">
                      <a:avLst/>
                    </a:prstGeom>
                    <a:noFill/>
                    <a:ln>
                      <a:noFill/>
                    </a:ln>
                  </pic:spPr>
                </pic:pic>
              </a:graphicData>
            </a:graphic>
          </wp:inline>
        </w:drawing>
      </w:r>
    </w:p>
    <w:p w14:paraId="7CC32A2D">
      <w:pPr>
        <w:pStyle w:val="76"/>
        <w:rPr>
          <w:color w:val="auto"/>
        </w:rPr>
      </w:pPr>
      <w:r>
        <w:rPr>
          <w:rFonts w:hint="eastAsia"/>
          <w:color w:val="auto"/>
        </w:rPr>
        <w:t>图5-2-3</w:t>
      </w:r>
      <w:r>
        <w:rPr>
          <w:rFonts w:hint="eastAsia"/>
          <w:color w:val="auto"/>
          <w:szCs w:val="21"/>
          <w:lang w:val="en-US" w:eastAsia="zh-CN"/>
        </w:rPr>
        <w:t>铅</w:t>
      </w:r>
      <w:r>
        <w:rPr>
          <w:rFonts w:hint="eastAsia" w:hAnsi="宋体"/>
          <w:color w:val="auto"/>
        </w:rPr>
        <w:t>泄漏</w:t>
      </w:r>
      <w:r>
        <w:rPr>
          <w:rFonts w:hint="eastAsia"/>
          <w:color w:val="auto"/>
          <w:lang w:val="en-US" w:eastAsia="zh-CN"/>
        </w:rPr>
        <w:t>1095</w:t>
      </w:r>
      <w:r>
        <w:rPr>
          <w:rFonts w:hint="eastAsia"/>
          <w:color w:val="auto"/>
        </w:rPr>
        <w:t>天溶质迁移图</w:t>
      </w:r>
    </w:p>
    <w:p w14:paraId="605DA858">
      <w:pPr>
        <w:pStyle w:val="76"/>
        <w:rPr>
          <w:color w:val="auto"/>
        </w:rPr>
      </w:pPr>
      <w:r>
        <w:rPr>
          <w:color w:val="auto"/>
        </w:rPr>
        <w:t>表</w:t>
      </w:r>
      <w:r>
        <w:rPr>
          <w:rFonts w:hint="eastAsia"/>
          <w:color w:val="auto"/>
        </w:rPr>
        <w:t>5-2-</w:t>
      </w:r>
      <w:r>
        <w:rPr>
          <w:color w:val="auto"/>
        </w:rPr>
        <w:t>8地</w:t>
      </w:r>
      <w:r>
        <w:rPr>
          <w:rFonts w:hint="eastAsia"/>
          <w:color w:val="auto"/>
        </w:rPr>
        <w:t>下</w:t>
      </w:r>
      <w:r>
        <w:rPr>
          <w:color w:val="auto"/>
        </w:rPr>
        <w:t>水预测计算结果</w:t>
      </w:r>
      <w:r>
        <w:rPr>
          <w:rFonts w:hint="eastAsia"/>
          <w:color w:val="auto"/>
        </w:rPr>
        <w:t>（</w:t>
      </w:r>
      <w:r>
        <w:rPr>
          <w:rFonts w:hint="eastAsia"/>
          <w:color w:val="auto"/>
          <w:lang w:val="en-US" w:eastAsia="zh-CN"/>
        </w:rPr>
        <w:t>氟化物</w:t>
      </w:r>
      <w:r>
        <w:rPr>
          <w:rFonts w:hint="eastAsia"/>
          <w:color w:val="auto"/>
        </w:rPr>
        <w:t>）</w:t>
      </w:r>
    </w:p>
    <w:tbl>
      <w:tblPr>
        <w:tblStyle w:val="95"/>
        <w:tblW w:w="4873"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59"/>
        <w:gridCol w:w="2377"/>
        <w:gridCol w:w="2377"/>
        <w:gridCol w:w="2382"/>
      </w:tblGrid>
      <w:tr w14:paraId="7424E9E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4"/>
            <w:vAlign w:val="center"/>
          </w:tcPr>
          <w:p w14:paraId="117954C0">
            <w:pPr>
              <w:snapToGrid w:val="0"/>
              <w:jc w:val="center"/>
              <w:rPr>
                <w:rFonts w:hint="default" w:eastAsia="宋体"/>
                <w:color w:val="auto"/>
                <w:szCs w:val="21"/>
                <w:lang w:val="en-US" w:eastAsia="zh-CN"/>
              </w:rPr>
            </w:pPr>
            <w:r>
              <w:rPr>
                <w:rFonts w:hint="eastAsia"/>
                <w:color w:val="auto"/>
                <w:szCs w:val="21"/>
                <w:lang w:val="en-US" w:eastAsia="zh-CN"/>
              </w:rPr>
              <w:t>氟化物</w:t>
            </w:r>
          </w:p>
        </w:tc>
      </w:tr>
      <w:tr w14:paraId="6B0137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restart"/>
            <w:vAlign w:val="center"/>
          </w:tcPr>
          <w:p w14:paraId="26606535">
            <w:pPr>
              <w:snapToGrid w:val="0"/>
              <w:jc w:val="center"/>
              <w:rPr>
                <w:color w:val="auto"/>
                <w:szCs w:val="21"/>
              </w:rPr>
            </w:pPr>
            <w:r>
              <w:rPr>
                <w:rFonts w:hint="eastAsia"/>
                <w:color w:val="auto"/>
                <w:szCs w:val="21"/>
              </w:rPr>
              <w:t>距离（m）</w:t>
            </w:r>
          </w:p>
        </w:tc>
        <w:tc>
          <w:tcPr>
            <w:tcW w:w="1468" w:type="pct"/>
            <w:vAlign w:val="center"/>
          </w:tcPr>
          <w:p w14:paraId="6759333F">
            <w:pPr>
              <w:snapToGrid w:val="0"/>
              <w:jc w:val="center"/>
              <w:rPr>
                <w:color w:val="auto"/>
                <w:szCs w:val="21"/>
              </w:rPr>
            </w:pPr>
            <w:r>
              <w:rPr>
                <w:color w:val="auto"/>
                <w:szCs w:val="21"/>
              </w:rPr>
              <w:t>100d</w:t>
            </w:r>
          </w:p>
        </w:tc>
        <w:tc>
          <w:tcPr>
            <w:tcW w:w="1468" w:type="pct"/>
            <w:vAlign w:val="center"/>
          </w:tcPr>
          <w:p w14:paraId="6E7C87F0">
            <w:pPr>
              <w:snapToGrid w:val="0"/>
              <w:jc w:val="center"/>
              <w:rPr>
                <w:color w:val="auto"/>
                <w:szCs w:val="21"/>
              </w:rPr>
            </w:pPr>
            <w:r>
              <w:rPr>
                <w:color w:val="auto"/>
                <w:szCs w:val="21"/>
              </w:rPr>
              <w:t>1000d</w:t>
            </w:r>
          </w:p>
        </w:tc>
        <w:tc>
          <w:tcPr>
            <w:tcW w:w="1470" w:type="pct"/>
            <w:vAlign w:val="center"/>
          </w:tcPr>
          <w:p w14:paraId="41B5AFD3">
            <w:pPr>
              <w:snapToGrid w:val="0"/>
              <w:jc w:val="center"/>
              <w:rPr>
                <w:color w:val="auto"/>
                <w:szCs w:val="21"/>
              </w:rPr>
            </w:pPr>
            <w:r>
              <w:rPr>
                <w:rFonts w:hint="eastAsia"/>
                <w:color w:val="auto"/>
                <w:szCs w:val="21"/>
                <w:lang w:val="en-US" w:eastAsia="zh-CN"/>
              </w:rPr>
              <w:t>1095</w:t>
            </w:r>
            <w:r>
              <w:rPr>
                <w:rFonts w:hint="eastAsia"/>
                <w:color w:val="auto"/>
                <w:szCs w:val="21"/>
              </w:rPr>
              <w:t>d</w:t>
            </w:r>
          </w:p>
        </w:tc>
      </w:tr>
      <w:tr w14:paraId="1AA38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Merge w:val="continue"/>
            <w:vAlign w:val="center"/>
          </w:tcPr>
          <w:p w14:paraId="5C71EF51">
            <w:pPr>
              <w:widowControl/>
              <w:snapToGrid w:val="0"/>
              <w:jc w:val="left"/>
              <w:rPr>
                <w:color w:val="auto"/>
                <w:szCs w:val="21"/>
              </w:rPr>
            </w:pPr>
          </w:p>
        </w:tc>
        <w:tc>
          <w:tcPr>
            <w:tcW w:w="1468" w:type="pct"/>
            <w:vAlign w:val="center"/>
          </w:tcPr>
          <w:p w14:paraId="53B6D1CB">
            <w:pPr>
              <w:snapToGrid w:val="0"/>
              <w:jc w:val="center"/>
              <w:rPr>
                <w:color w:val="auto"/>
                <w:szCs w:val="21"/>
              </w:rPr>
            </w:pPr>
            <w:r>
              <w:rPr>
                <w:rFonts w:hint="eastAsia"/>
                <w:color w:val="auto"/>
                <w:szCs w:val="21"/>
              </w:rPr>
              <w:t>浓度（</w:t>
            </w:r>
            <w:r>
              <w:rPr>
                <w:color w:val="auto"/>
                <w:szCs w:val="21"/>
              </w:rPr>
              <w:t>mg/L</w:t>
            </w:r>
            <w:r>
              <w:rPr>
                <w:rFonts w:hint="eastAsia"/>
                <w:color w:val="auto"/>
                <w:szCs w:val="21"/>
              </w:rPr>
              <w:t>）</w:t>
            </w:r>
          </w:p>
        </w:tc>
        <w:tc>
          <w:tcPr>
            <w:tcW w:w="1468" w:type="pct"/>
            <w:vAlign w:val="center"/>
          </w:tcPr>
          <w:p w14:paraId="1D6EAC34">
            <w:pPr>
              <w:snapToGrid w:val="0"/>
              <w:jc w:val="center"/>
              <w:rPr>
                <w:color w:val="auto"/>
                <w:szCs w:val="21"/>
              </w:rPr>
            </w:pPr>
            <w:r>
              <w:rPr>
                <w:rFonts w:hint="eastAsia"/>
                <w:color w:val="auto"/>
                <w:szCs w:val="21"/>
              </w:rPr>
              <w:t>浓度（</w:t>
            </w:r>
            <w:r>
              <w:rPr>
                <w:color w:val="auto"/>
                <w:szCs w:val="21"/>
              </w:rPr>
              <w:t>mg/L</w:t>
            </w:r>
            <w:r>
              <w:rPr>
                <w:rFonts w:hint="eastAsia"/>
                <w:color w:val="auto"/>
                <w:szCs w:val="21"/>
              </w:rPr>
              <w:t>）</w:t>
            </w:r>
          </w:p>
        </w:tc>
        <w:tc>
          <w:tcPr>
            <w:tcW w:w="1470" w:type="pct"/>
            <w:vAlign w:val="center"/>
          </w:tcPr>
          <w:p w14:paraId="7A2437AD">
            <w:pPr>
              <w:snapToGrid w:val="0"/>
              <w:jc w:val="center"/>
              <w:rPr>
                <w:color w:val="auto"/>
                <w:szCs w:val="21"/>
              </w:rPr>
            </w:pPr>
            <w:r>
              <w:rPr>
                <w:rFonts w:hint="eastAsia"/>
                <w:color w:val="auto"/>
                <w:szCs w:val="21"/>
              </w:rPr>
              <w:t>浓度（</w:t>
            </w:r>
            <w:r>
              <w:rPr>
                <w:color w:val="auto"/>
                <w:szCs w:val="21"/>
              </w:rPr>
              <w:t>mg/L</w:t>
            </w:r>
            <w:r>
              <w:rPr>
                <w:rFonts w:hint="eastAsia"/>
                <w:color w:val="auto"/>
                <w:szCs w:val="21"/>
              </w:rPr>
              <w:t>）</w:t>
            </w:r>
          </w:p>
        </w:tc>
      </w:tr>
      <w:tr w14:paraId="6082C6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48064FE3">
            <w:pPr>
              <w:snapToGrid w:val="0"/>
              <w:jc w:val="center"/>
              <w:rPr>
                <w:color w:val="auto"/>
                <w:szCs w:val="21"/>
              </w:rPr>
            </w:pPr>
            <w:r>
              <w:rPr>
                <w:color w:val="auto"/>
                <w:szCs w:val="21"/>
              </w:rPr>
              <w:t>0</w:t>
            </w:r>
          </w:p>
        </w:tc>
        <w:tc>
          <w:tcPr>
            <w:tcW w:w="1468" w:type="pct"/>
            <w:vAlign w:val="center"/>
          </w:tcPr>
          <w:p w14:paraId="3E429F6C">
            <w:pPr>
              <w:snapToGrid w:val="0"/>
              <w:jc w:val="center"/>
              <w:rPr>
                <w:color w:val="auto"/>
                <w:szCs w:val="21"/>
              </w:rPr>
            </w:pPr>
            <w:r>
              <w:rPr>
                <w:rFonts w:hint="eastAsia"/>
                <w:color w:val="auto"/>
                <w:szCs w:val="21"/>
              </w:rPr>
              <w:t>0.</w:t>
            </w:r>
            <w:r>
              <w:rPr>
                <w:rFonts w:hint="eastAsia"/>
                <w:color w:val="auto"/>
                <w:szCs w:val="21"/>
                <w:lang w:val="en-US" w:eastAsia="zh-CN"/>
              </w:rPr>
              <w:t>55</w:t>
            </w:r>
          </w:p>
        </w:tc>
        <w:tc>
          <w:tcPr>
            <w:tcW w:w="1468" w:type="pct"/>
            <w:vAlign w:val="center"/>
          </w:tcPr>
          <w:p w14:paraId="47C7DB6B">
            <w:pPr>
              <w:snapToGrid w:val="0"/>
              <w:jc w:val="center"/>
              <w:rPr>
                <w:color w:val="auto"/>
                <w:szCs w:val="21"/>
              </w:rPr>
            </w:pPr>
            <w:r>
              <w:rPr>
                <w:rFonts w:hint="eastAsia"/>
                <w:color w:val="auto"/>
                <w:szCs w:val="21"/>
              </w:rPr>
              <w:t>0.</w:t>
            </w:r>
            <w:r>
              <w:rPr>
                <w:rFonts w:hint="eastAsia"/>
                <w:color w:val="auto"/>
                <w:szCs w:val="21"/>
                <w:lang w:val="en-US" w:eastAsia="zh-CN"/>
              </w:rPr>
              <w:t>55</w:t>
            </w:r>
          </w:p>
        </w:tc>
        <w:tc>
          <w:tcPr>
            <w:tcW w:w="1470" w:type="pct"/>
            <w:vAlign w:val="center"/>
          </w:tcPr>
          <w:p w14:paraId="2352F495">
            <w:pPr>
              <w:snapToGrid w:val="0"/>
              <w:jc w:val="center"/>
              <w:rPr>
                <w:rFonts w:hint="default" w:eastAsia="宋体"/>
                <w:color w:val="auto"/>
                <w:szCs w:val="21"/>
                <w:lang w:val="en-US" w:eastAsia="zh-CN"/>
              </w:rPr>
            </w:pPr>
            <w:r>
              <w:rPr>
                <w:rFonts w:hint="eastAsia"/>
                <w:color w:val="auto"/>
                <w:szCs w:val="21"/>
              </w:rPr>
              <w:t>0.</w:t>
            </w:r>
            <w:r>
              <w:rPr>
                <w:rFonts w:hint="eastAsia"/>
                <w:color w:val="auto"/>
                <w:szCs w:val="21"/>
                <w:lang w:val="en-US" w:eastAsia="zh-CN"/>
              </w:rPr>
              <w:t>55</w:t>
            </w:r>
          </w:p>
        </w:tc>
      </w:tr>
      <w:tr w14:paraId="7AB6116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9D6FE54">
            <w:pPr>
              <w:snapToGrid w:val="0"/>
              <w:jc w:val="center"/>
              <w:rPr>
                <w:color w:val="auto"/>
                <w:szCs w:val="21"/>
              </w:rPr>
            </w:pPr>
            <w:r>
              <w:rPr>
                <w:color w:val="auto"/>
                <w:szCs w:val="21"/>
              </w:rPr>
              <w:t>10</w:t>
            </w:r>
          </w:p>
        </w:tc>
        <w:tc>
          <w:tcPr>
            <w:tcW w:w="1468" w:type="pct"/>
            <w:vAlign w:val="center"/>
          </w:tcPr>
          <w:p w14:paraId="7C4477A3">
            <w:pPr>
              <w:snapToGrid w:val="0"/>
              <w:jc w:val="center"/>
              <w:rPr>
                <w:color w:val="auto"/>
                <w:szCs w:val="21"/>
              </w:rPr>
            </w:pPr>
            <w:r>
              <w:rPr>
                <w:rFonts w:hint="eastAsia"/>
                <w:color w:val="auto"/>
              </w:rPr>
              <w:t>0.07972472</w:t>
            </w:r>
          </w:p>
        </w:tc>
        <w:tc>
          <w:tcPr>
            <w:tcW w:w="1468" w:type="pct"/>
            <w:vAlign w:val="center"/>
          </w:tcPr>
          <w:p w14:paraId="136FD2A2">
            <w:pPr>
              <w:snapToGrid w:val="0"/>
              <w:jc w:val="center"/>
              <w:rPr>
                <w:color w:val="auto"/>
                <w:szCs w:val="21"/>
              </w:rPr>
            </w:pPr>
            <w:r>
              <w:rPr>
                <w:rFonts w:hint="eastAsia"/>
                <w:color w:val="auto"/>
              </w:rPr>
              <w:t>0.4188681</w:t>
            </w:r>
          </w:p>
        </w:tc>
        <w:tc>
          <w:tcPr>
            <w:tcW w:w="1470" w:type="pct"/>
            <w:vAlign w:val="center"/>
          </w:tcPr>
          <w:p w14:paraId="21386E12">
            <w:pPr>
              <w:snapToGrid w:val="0"/>
              <w:jc w:val="center"/>
              <w:rPr>
                <w:color w:val="auto"/>
                <w:szCs w:val="21"/>
              </w:rPr>
            </w:pPr>
            <w:r>
              <w:rPr>
                <w:rFonts w:hint="eastAsia"/>
                <w:color w:val="auto"/>
              </w:rPr>
              <w:t>0.5171962</w:t>
            </w:r>
          </w:p>
        </w:tc>
      </w:tr>
      <w:tr w14:paraId="579516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41F78D76">
            <w:pPr>
              <w:snapToGrid w:val="0"/>
              <w:jc w:val="center"/>
              <w:rPr>
                <w:color w:val="auto"/>
                <w:szCs w:val="21"/>
              </w:rPr>
            </w:pPr>
            <w:r>
              <w:rPr>
                <w:color w:val="auto"/>
                <w:szCs w:val="21"/>
              </w:rPr>
              <w:t>20</w:t>
            </w:r>
          </w:p>
        </w:tc>
        <w:tc>
          <w:tcPr>
            <w:tcW w:w="1468" w:type="pct"/>
            <w:vAlign w:val="center"/>
          </w:tcPr>
          <w:p w14:paraId="697F04D4">
            <w:pPr>
              <w:snapToGrid w:val="0"/>
              <w:jc w:val="center"/>
              <w:rPr>
                <w:color w:val="auto"/>
                <w:szCs w:val="21"/>
              </w:rPr>
            </w:pPr>
            <w:r>
              <w:rPr>
                <w:rFonts w:hint="eastAsia"/>
                <w:color w:val="auto"/>
              </w:rPr>
              <w:t>0.001404443</w:t>
            </w:r>
          </w:p>
        </w:tc>
        <w:tc>
          <w:tcPr>
            <w:tcW w:w="1468" w:type="pct"/>
            <w:vAlign w:val="center"/>
          </w:tcPr>
          <w:p w14:paraId="05C77AAA">
            <w:pPr>
              <w:snapToGrid w:val="0"/>
              <w:jc w:val="center"/>
              <w:rPr>
                <w:color w:val="auto"/>
                <w:szCs w:val="21"/>
              </w:rPr>
            </w:pPr>
            <w:r>
              <w:rPr>
                <w:rFonts w:hint="eastAsia"/>
                <w:color w:val="auto"/>
              </w:rPr>
              <w:t>0.2695761</w:t>
            </w:r>
          </w:p>
        </w:tc>
        <w:tc>
          <w:tcPr>
            <w:tcW w:w="1470" w:type="pct"/>
            <w:vAlign w:val="center"/>
          </w:tcPr>
          <w:p w14:paraId="61634317">
            <w:pPr>
              <w:snapToGrid w:val="0"/>
              <w:jc w:val="center"/>
              <w:rPr>
                <w:color w:val="auto"/>
                <w:szCs w:val="21"/>
              </w:rPr>
            </w:pPr>
            <w:r>
              <w:rPr>
                <w:rFonts w:hint="eastAsia"/>
                <w:color w:val="auto"/>
              </w:rPr>
              <w:t>0.4709628</w:t>
            </w:r>
          </w:p>
        </w:tc>
      </w:tr>
      <w:tr w14:paraId="58407A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69C667B">
            <w:pPr>
              <w:snapToGrid w:val="0"/>
              <w:jc w:val="center"/>
              <w:rPr>
                <w:color w:val="auto"/>
                <w:szCs w:val="21"/>
              </w:rPr>
            </w:pPr>
            <w:r>
              <w:rPr>
                <w:color w:val="auto"/>
                <w:szCs w:val="21"/>
              </w:rPr>
              <w:t>30</w:t>
            </w:r>
          </w:p>
        </w:tc>
        <w:tc>
          <w:tcPr>
            <w:tcW w:w="1468" w:type="pct"/>
            <w:vAlign w:val="center"/>
          </w:tcPr>
          <w:p w14:paraId="03388740">
            <w:pPr>
              <w:snapToGrid w:val="0"/>
              <w:jc w:val="center"/>
              <w:rPr>
                <w:color w:val="auto"/>
                <w:szCs w:val="21"/>
              </w:rPr>
            </w:pPr>
            <w:r>
              <w:rPr>
                <w:rFonts w:hint="eastAsia"/>
                <w:color w:val="auto"/>
              </w:rPr>
              <w:t>2.421594E-06</w:t>
            </w:r>
          </w:p>
        </w:tc>
        <w:tc>
          <w:tcPr>
            <w:tcW w:w="1468" w:type="pct"/>
            <w:vAlign w:val="center"/>
          </w:tcPr>
          <w:p w14:paraId="4152E306">
            <w:pPr>
              <w:snapToGrid w:val="0"/>
              <w:jc w:val="center"/>
              <w:rPr>
                <w:color w:val="auto"/>
                <w:szCs w:val="21"/>
              </w:rPr>
            </w:pPr>
            <w:r>
              <w:rPr>
                <w:rFonts w:hint="eastAsia"/>
                <w:color w:val="auto"/>
              </w:rPr>
              <w:t>0.1433377</w:t>
            </w:r>
          </w:p>
        </w:tc>
        <w:tc>
          <w:tcPr>
            <w:tcW w:w="1470" w:type="pct"/>
            <w:vAlign w:val="center"/>
          </w:tcPr>
          <w:p w14:paraId="6E56B5A4">
            <w:pPr>
              <w:snapToGrid w:val="0"/>
              <w:jc w:val="center"/>
              <w:rPr>
                <w:color w:val="auto"/>
                <w:szCs w:val="21"/>
              </w:rPr>
            </w:pPr>
            <w:r>
              <w:rPr>
                <w:rFonts w:hint="eastAsia"/>
                <w:color w:val="auto"/>
              </w:rPr>
              <w:t>0.4129516</w:t>
            </w:r>
          </w:p>
        </w:tc>
      </w:tr>
      <w:tr w14:paraId="22628B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28C523C2">
            <w:pPr>
              <w:snapToGrid w:val="0"/>
              <w:jc w:val="center"/>
              <w:rPr>
                <w:color w:val="auto"/>
                <w:szCs w:val="21"/>
              </w:rPr>
            </w:pPr>
            <w:r>
              <w:rPr>
                <w:color w:val="auto"/>
                <w:szCs w:val="21"/>
              </w:rPr>
              <w:t>40</w:t>
            </w:r>
          </w:p>
        </w:tc>
        <w:tc>
          <w:tcPr>
            <w:tcW w:w="1468" w:type="pct"/>
            <w:vAlign w:val="center"/>
          </w:tcPr>
          <w:p w14:paraId="7A555109">
            <w:pPr>
              <w:snapToGrid w:val="0"/>
              <w:jc w:val="center"/>
              <w:rPr>
                <w:color w:val="auto"/>
                <w:szCs w:val="21"/>
              </w:rPr>
            </w:pPr>
            <w:r>
              <w:rPr>
                <w:rFonts w:hint="eastAsia"/>
                <w:color w:val="auto"/>
              </w:rPr>
              <w:t>3.768441E-10</w:t>
            </w:r>
          </w:p>
        </w:tc>
        <w:tc>
          <w:tcPr>
            <w:tcW w:w="1468" w:type="pct"/>
            <w:vAlign w:val="center"/>
          </w:tcPr>
          <w:p w14:paraId="4498F179">
            <w:pPr>
              <w:snapToGrid w:val="0"/>
              <w:jc w:val="center"/>
              <w:rPr>
                <w:color w:val="auto"/>
                <w:szCs w:val="21"/>
              </w:rPr>
            </w:pPr>
            <w:r>
              <w:rPr>
                <w:rFonts w:hint="eastAsia"/>
                <w:color w:val="auto"/>
              </w:rPr>
              <w:t>0.06198</w:t>
            </w:r>
          </w:p>
        </w:tc>
        <w:tc>
          <w:tcPr>
            <w:tcW w:w="1470" w:type="pct"/>
            <w:vAlign w:val="center"/>
          </w:tcPr>
          <w:p w14:paraId="285A1B5F">
            <w:pPr>
              <w:snapToGrid w:val="0"/>
              <w:jc w:val="center"/>
              <w:rPr>
                <w:color w:val="auto"/>
                <w:szCs w:val="21"/>
              </w:rPr>
            </w:pPr>
            <w:r>
              <w:rPr>
                <w:rFonts w:hint="eastAsia"/>
                <w:color w:val="auto"/>
              </w:rPr>
              <w:t>0.3469263</w:t>
            </w:r>
          </w:p>
        </w:tc>
      </w:tr>
      <w:tr w14:paraId="045ED0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1F642B0E">
            <w:pPr>
              <w:snapToGrid w:val="0"/>
              <w:jc w:val="center"/>
              <w:rPr>
                <w:color w:val="auto"/>
                <w:szCs w:val="21"/>
              </w:rPr>
            </w:pPr>
            <w:r>
              <w:rPr>
                <w:color w:val="auto"/>
                <w:szCs w:val="21"/>
              </w:rPr>
              <w:t>50</w:t>
            </w:r>
          </w:p>
        </w:tc>
        <w:tc>
          <w:tcPr>
            <w:tcW w:w="1468" w:type="pct"/>
            <w:vAlign w:val="center"/>
          </w:tcPr>
          <w:p w14:paraId="0C74303D">
            <w:pPr>
              <w:snapToGrid w:val="0"/>
              <w:jc w:val="center"/>
              <w:rPr>
                <w:color w:val="auto"/>
                <w:szCs w:val="21"/>
              </w:rPr>
            </w:pPr>
            <w:r>
              <w:rPr>
                <w:rFonts w:hint="eastAsia"/>
                <w:color w:val="auto"/>
              </w:rPr>
              <w:t>5.351419E-15</w:t>
            </w:r>
          </w:p>
        </w:tc>
        <w:tc>
          <w:tcPr>
            <w:tcW w:w="1468" w:type="pct"/>
            <w:vAlign w:val="center"/>
          </w:tcPr>
          <w:p w14:paraId="30F33AF6">
            <w:pPr>
              <w:snapToGrid w:val="0"/>
              <w:jc w:val="center"/>
              <w:rPr>
                <w:color w:val="auto"/>
                <w:szCs w:val="21"/>
              </w:rPr>
            </w:pPr>
            <w:r>
              <w:rPr>
                <w:rFonts w:hint="eastAsia"/>
                <w:color w:val="auto"/>
              </w:rPr>
              <w:t>0.02155782</w:t>
            </w:r>
          </w:p>
        </w:tc>
        <w:tc>
          <w:tcPr>
            <w:tcW w:w="1470" w:type="pct"/>
            <w:vAlign w:val="center"/>
          </w:tcPr>
          <w:p w14:paraId="53707A47">
            <w:pPr>
              <w:snapToGrid w:val="0"/>
              <w:jc w:val="center"/>
              <w:rPr>
                <w:color w:val="auto"/>
                <w:szCs w:val="21"/>
              </w:rPr>
            </w:pPr>
            <w:r>
              <w:rPr>
                <w:rFonts w:hint="eastAsia"/>
                <w:color w:val="auto"/>
              </w:rPr>
              <w:t>0.2780771</w:t>
            </w:r>
          </w:p>
        </w:tc>
      </w:tr>
      <w:tr w14:paraId="40739F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50B0F9C4">
            <w:pPr>
              <w:snapToGrid w:val="0"/>
              <w:jc w:val="center"/>
              <w:rPr>
                <w:color w:val="auto"/>
                <w:szCs w:val="21"/>
              </w:rPr>
            </w:pPr>
            <w:r>
              <w:rPr>
                <w:color w:val="auto"/>
                <w:szCs w:val="21"/>
              </w:rPr>
              <w:t>60</w:t>
            </w:r>
          </w:p>
        </w:tc>
        <w:tc>
          <w:tcPr>
            <w:tcW w:w="1468" w:type="pct"/>
            <w:vAlign w:val="center"/>
          </w:tcPr>
          <w:p w14:paraId="27D74342">
            <w:pPr>
              <w:snapToGrid w:val="0"/>
              <w:jc w:val="center"/>
              <w:rPr>
                <w:color w:val="auto"/>
                <w:szCs w:val="21"/>
              </w:rPr>
            </w:pPr>
            <w:r>
              <w:rPr>
                <w:rFonts w:hint="eastAsia"/>
                <w:color w:val="auto"/>
              </w:rPr>
              <w:t>0.07972472</w:t>
            </w:r>
          </w:p>
        </w:tc>
        <w:tc>
          <w:tcPr>
            <w:tcW w:w="1468" w:type="pct"/>
            <w:vAlign w:val="center"/>
          </w:tcPr>
          <w:p w14:paraId="5AFFA627">
            <w:pPr>
              <w:snapToGrid w:val="0"/>
              <w:jc w:val="center"/>
              <w:rPr>
                <w:color w:val="auto"/>
                <w:szCs w:val="21"/>
              </w:rPr>
            </w:pPr>
            <w:r>
              <w:rPr>
                <w:rFonts w:hint="eastAsia"/>
                <w:color w:val="auto"/>
              </w:rPr>
              <w:t>0.005985678</w:t>
            </w:r>
          </w:p>
        </w:tc>
        <w:tc>
          <w:tcPr>
            <w:tcW w:w="1470" w:type="pct"/>
            <w:vAlign w:val="center"/>
          </w:tcPr>
          <w:p w14:paraId="1E293D60">
            <w:pPr>
              <w:snapToGrid w:val="0"/>
              <w:jc w:val="center"/>
              <w:rPr>
                <w:color w:val="auto"/>
                <w:szCs w:val="21"/>
              </w:rPr>
            </w:pPr>
            <w:r>
              <w:rPr>
                <w:rFonts w:hint="eastAsia"/>
                <w:color w:val="auto"/>
              </w:rPr>
              <w:t>0.2119102</w:t>
            </w:r>
          </w:p>
        </w:tc>
      </w:tr>
      <w:tr w14:paraId="7B4AAF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430197DD">
            <w:pPr>
              <w:snapToGrid w:val="0"/>
              <w:jc w:val="center"/>
              <w:rPr>
                <w:color w:val="auto"/>
                <w:szCs w:val="21"/>
              </w:rPr>
            </w:pPr>
            <w:r>
              <w:rPr>
                <w:color w:val="auto"/>
                <w:szCs w:val="21"/>
              </w:rPr>
              <w:t>70</w:t>
            </w:r>
          </w:p>
        </w:tc>
        <w:tc>
          <w:tcPr>
            <w:tcW w:w="1468" w:type="pct"/>
            <w:vAlign w:val="center"/>
          </w:tcPr>
          <w:p w14:paraId="660612A5">
            <w:pPr>
              <w:snapToGrid w:val="0"/>
              <w:jc w:val="center"/>
              <w:rPr>
                <w:color w:val="auto"/>
                <w:szCs w:val="21"/>
              </w:rPr>
            </w:pPr>
            <w:r>
              <w:rPr>
                <w:rFonts w:hint="eastAsia"/>
                <w:color w:val="auto"/>
              </w:rPr>
              <w:t>0.001404443</w:t>
            </w:r>
          </w:p>
        </w:tc>
        <w:tc>
          <w:tcPr>
            <w:tcW w:w="1468" w:type="pct"/>
            <w:vAlign w:val="center"/>
          </w:tcPr>
          <w:p w14:paraId="72F3DDCF">
            <w:pPr>
              <w:snapToGrid w:val="0"/>
              <w:jc w:val="center"/>
              <w:rPr>
                <w:color w:val="auto"/>
                <w:szCs w:val="21"/>
              </w:rPr>
            </w:pPr>
            <w:r>
              <w:rPr>
                <w:rFonts w:hint="eastAsia"/>
                <w:color w:val="auto"/>
              </w:rPr>
              <w:t>0.001319596</w:t>
            </w:r>
          </w:p>
        </w:tc>
        <w:tc>
          <w:tcPr>
            <w:tcW w:w="1470" w:type="pct"/>
            <w:vAlign w:val="center"/>
          </w:tcPr>
          <w:p w14:paraId="2F5BEAE7">
            <w:pPr>
              <w:snapToGrid w:val="0"/>
              <w:jc w:val="center"/>
              <w:rPr>
                <w:color w:val="auto"/>
                <w:szCs w:val="21"/>
              </w:rPr>
            </w:pPr>
            <w:r>
              <w:rPr>
                <w:rFonts w:hint="eastAsia"/>
                <w:color w:val="auto"/>
              </w:rPr>
              <w:t>0.1530862</w:t>
            </w:r>
          </w:p>
        </w:tc>
      </w:tr>
      <w:tr w14:paraId="76FC3BB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2DBCA464">
            <w:pPr>
              <w:snapToGrid w:val="0"/>
              <w:jc w:val="center"/>
              <w:rPr>
                <w:color w:val="auto"/>
                <w:szCs w:val="21"/>
              </w:rPr>
            </w:pPr>
            <w:r>
              <w:rPr>
                <w:color w:val="auto"/>
                <w:szCs w:val="21"/>
              </w:rPr>
              <w:t>80</w:t>
            </w:r>
          </w:p>
        </w:tc>
        <w:tc>
          <w:tcPr>
            <w:tcW w:w="1468" w:type="pct"/>
            <w:vAlign w:val="center"/>
          </w:tcPr>
          <w:p w14:paraId="452B9C3E">
            <w:pPr>
              <w:snapToGrid w:val="0"/>
              <w:jc w:val="center"/>
              <w:rPr>
                <w:color w:val="auto"/>
                <w:szCs w:val="21"/>
              </w:rPr>
            </w:pPr>
            <w:r>
              <w:rPr>
                <w:rFonts w:hint="eastAsia"/>
                <w:color w:val="auto"/>
              </w:rPr>
              <w:t>2.421594E-06</w:t>
            </w:r>
          </w:p>
        </w:tc>
        <w:tc>
          <w:tcPr>
            <w:tcW w:w="1468" w:type="pct"/>
            <w:vAlign w:val="center"/>
          </w:tcPr>
          <w:p w14:paraId="23A66CA1">
            <w:pPr>
              <w:snapToGrid w:val="0"/>
              <w:jc w:val="center"/>
              <w:rPr>
                <w:color w:val="auto"/>
                <w:szCs w:val="21"/>
              </w:rPr>
            </w:pPr>
            <w:r>
              <w:rPr>
                <w:rFonts w:hint="eastAsia"/>
                <w:color w:val="auto"/>
              </w:rPr>
              <w:t>0.000230093</w:t>
            </w:r>
          </w:p>
        </w:tc>
        <w:tc>
          <w:tcPr>
            <w:tcW w:w="1470" w:type="pct"/>
            <w:vAlign w:val="center"/>
          </w:tcPr>
          <w:p w14:paraId="446AE32D">
            <w:pPr>
              <w:snapToGrid w:val="0"/>
              <w:jc w:val="center"/>
              <w:rPr>
                <w:color w:val="auto"/>
                <w:szCs w:val="21"/>
              </w:rPr>
            </w:pPr>
            <w:r>
              <w:rPr>
                <w:rFonts w:hint="eastAsia"/>
                <w:color w:val="auto"/>
              </w:rPr>
              <w:t>0.1045892</w:t>
            </w:r>
          </w:p>
        </w:tc>
      </w:tr>
      <w:tr w14:paraId="545A95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593" w:type="pct"/>
            <w:vAlign w:val="center"/>
          </w:tcPr>
          <w:p w14:paraId="5B5E69F8">
            <w:pPr>
              <w:snapToGrid w:val="0"/>
              <w:jc w:val="center"/>
              <w:rPr>
                <w:color w:val="auto"/>
                <w:szCs w:val="21"/>
              </w:rPr>
            </w:pPr>
            <w:r>
              <w:rPr>
                <w:color w:val="auto"/>
                <w:szCs w:val="21"/>
              </w:rPr>
              <w:t>90</w:t>
            </w:r>
          </w:p>
        </w:tc>
        <w:tc>
          <w:tcPr>
            <w:tcW w:w="1468" w:type="pct"/>
            <w:vAlign w:val="center"/>
          </w:tcPr>
          <w:p w14:paraId="54C58072">
            <w:pPr>
              <w:snapToGrid w:val="0"/>
              <w:jc w:val="center"/>
              <w:rPr>
                <w:color w:val="auto"/>
                <w:szCs w:val="21"/>
              </w:rPr>
            </w:pPr>
            <w:r>
              <w:rPr>
                <w:rFonts w:hint="eastAsia"/>
                <w:color w:val="auto"/>
              </w:rPr>
              <w:t>3.768441E-10</w:t>
            </w:r>
          </w:p>
        </w:tc>
        <w:tc>
          <w:tcPr>
            <w:tcW w:w="1468" w:type="pct"/>
            <w:vAlign w:val="center"/>
          </w:tcPr>
          <w:p w14:paraId="268B7D8C">
            <w:pPr>
              <w:snapToGrid w:val="0"/>
              <w:jc w:val="center"/>
              <w:rPr>
                <w:color w:val="auto"/>
                <w:szCs w:val="21"/>
              </w:rPr>
            </w:pPr>
            <w:r>
              <w:rPr>
                <w:rFonts w:hint="eastAsia"/>
                <w:color w:val="auto"/>
              </w:rPr>
              <w:t>3.164173E-05</w:t>
            </w:r>
          </w:p>
        </w:tc>
        <w:tc>
          <w:tcPr>
            <w:tcW w:w="1470" w:type="pct"/>
            <w:vAlign w:val="center"/>
          </w:tcPr>
          <w:p w14:paraId="6B413BD9">
            <w:pPr>
              <w:snapToGrid w:val="0"/>
              <w:jc w:val="center"/>
              <w:rPr>
                <w:color w:val="auto"/>
                <w:szCs w:val="21"/>
              </w:rPr>
            </w:pPr>
            <w:r>
              <w:rPr>
                <w:rFonts w:hint="eastAsia"/>
                <w:color w:val="auto"/>
              </w:rPr>
              <w:t>0.06744701</w:t>
            </w:r>
          </w:p>
        </w:tc>
      </w:tr>
      <w:tr w14:paraId="1598E14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3E934619">
            <w:pPr>
              <w:snapToGrid w:val="0"/>
              <w:jc w:val="center"/>
              <w:rPr>
                <w:color w:val="auto"/>
                <w:szCs w:val="21"/>
              </w:rPr>
            </w:pPr>
            <w:r>
              <w:rPr>
                <w:color w:val="auto"/>
                <w:szCs w:val="21"/>
              </w:rPr>
              <w:t>100</w:t>
            </w:r>
          </w:p>
        </w:tc>
        <w:tc>
          <w:tcPr>
            <w:tcW w:w="1468" w:type="pct"/>
            <w:vAlign w:val="center"/>
          </w:tcPr>
          <w:p w14:paraId="57B02782">
            <w:pPr>
              <w:snapToGrid w:val="0"/>
              <w:jc w:val="center"/>
              <w:rPr>
                <w:color w:val="auto"/>
                <w:szCs w:val="21"/>
              </w:rPr>
            </w:pPr>
            <w:r>
              <w:rPr>
                <w:rFonts w:hint="eastAsia"/>
                <w:color w:val="auto"/>
              </w:rPr>
              <w:t>5.351419E-15</w:t>
            </w:r>
          </w:p>
        </w:tc>
        <w:tc>
          <w:tcPr>
            <w:tcW w:w="1468" w:type="pct"/>
            <w:vAlign w:val="center"/>
          </w:tcPr>
          <w:p w14:paraId="746AB7A3">
            <w:pPr>
              <w:snapToGrid w:val="0"/>
              <w:jc w:val="center"/>
              <w:rPr>
                <w:color w:val="auto"/>
                <w:szCs w:val="21"/>
              </w:rPr>
            </w:pPr>
            <w:r>
              <w:rPr>
                <w:rFonts w:hint="eastAsia"/>
                <w:color w:val="auto"/>
              </w:rPr>
              <w:t>3.424331E-06</w:t>
            </w:r>
          </w:p>
        </w:tc>
        <w:tc>
          <w:tcPr>
            <w:tcW w:w="1470" w:type="pct"/>
            <w:vAlign w:val="center"/>
          </w:tcPr>
          <w:p w14:paraId="633233B4">
            <w:pPr>
              <w:snapToGrid w:val="0"/>
              <w:jc w:val="center"/>
              <w:rPr>
                <w:color w:val="auto"/>
                <w:szCs w:val="21"/>
              </w:rPr>
            </w:pPr>
            <w:r>
              <w:rPr>
                <w:rFonts w:hint="eastAsia"/>
                <w:color w:val="auto"/>
              </w:rPr>
              <w:t>0.04098984</w:t>
            </w:r>
          </w:p>
        </w:tc>
      </w:tr>
      <w:tr w14:paraId="3BA6BC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1C7C7732">
            <w:pPr>
              <w:snapToGrid w:val="0"/>
              <w:jc w:val="center"/>
              <w:rPr>
                <w:color w:val="auto"/>
                <w:szCs w:val="21"/>
              </w:rPr>
            </w:pPr>
            <w:r>
              <w:rPr>
                <w:color w:val="auto"/>
                <w:szCs w:val="21"/>
              </w:rPr>
              <w:t>110</w:t>
            </w:r>
          </w:p>
        </w:tc>
        <w:tc>
          <w:tcPr>
            <w:tcW w:w="1468" w:type="pct"/>
            <w:vAlign w:val="center"/>
          </w:tcPr>
          <w:p w14:paraId="61166E45">
            <w:pPr>
              <w:snapToGrid w:val="0"/>
              <w:jc w:val="center"/>
              <w:rPr>
                <w:rFonts w:hint="eastAsia" w:eastAsia="宋体"/>
                <w:color w:val="auto"/>
                <w:szCs w:val="21"/>
                <w:lang w:val="en-US" w:eastAsia="zh-CN"/>
              </w:rPr>
            </w:pPr>
            <w:r>
              <w:rPr>
                <w:rFonts w:hint="eastAsia"/>
                <w:color w:val="auto"/>
                <w:szCs w:val="21"/>
                <w:lang w:val="en-US" w:eastAsia="zh-CN"/>
              </w:rPr>
              <w:t>0</w:t>
            </w:r>
          </w:p>
        </w:tc>
        <w:tc>
          <w:tcPr>
            <w:tcW w:w="1468" w:type="pct"/>
            <w:vAlign w:val="center"/>
          </w:tcPr>
          <w:p w14:paraId="13005688">
            <w:pPr>
              <w:snapToGrid w:val="0"/>
              <w:jc w:val="center"/>
              <w:rPr>
                <w:color w:val="auto"/>
                <w:szCs w:val="21"/>
              </w:rPr>
            </w:pPr>
            <w:r>
              <w:rPr>
                <w:rFonts w:hint="eastAsia"/>
                <w:color w:val="auto"/>
              </w:rPr>
              <w:t>2.91159E-07</w:t>
            </w:r>
          </w:p>
        </w:tc>
        <w:tc>
          <w:tcPr>
            <w:tcW w:w="1470" w:type="pct"/>
            <w:vAlign w:val="center"/>
          </w:tcPr>
          <w:p w14:paraId="4553528B">
            <w:pPr>
              <w:snapToGrid w:val="0"/>
              <w:jc w:val="center"/>
              <w:rPr>
                <w:color w:val="auto"/>
                <w:szCs w:val="21"/>
              </w:rPr>
            </w:pPr>
            <w:r>
              <w:rPr>
                <w:rFonts w:hint="eastAsia"/>
                <w:color w:val="auto"/>
              </w:rPr>
              <w:t>0.02344582</w:t>
            </w:r>
          </w:p>
        </w:tc>
      </w:tr>
      <w:tr w14:paraId="715E4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585202BF">
            <w:pPr>
              <w:snapToGrid w:val="0"/>
              <w:jc w:val="center"/>
              <w:rPr>
                <w:color w:val="auto"/>
                <w:szCs w:val="21"/>
              </w:rPr>
            </w:pPr>
            <w:r>
              <w:rPr>
                <w:color w:val="auto"/>
                <w:szCs w:val="21"/>
              </w:rPr>
              <w:t>120</w:t>
            </w:r>
          </w:p>
        </w:tc>
        <w:tc>
          <w:tcPr>
            <w:tcW w:w="1468" w:type="pct"/>
            <w:vAlign w:val="center"/>
          </w:tcPr>
          <w:p w14:paraId="794F9435">
            <w:pPr>
              <w:snapToGrid w:val="0"/>
              <w:jc w:val="center"/>
              <w:rPr>
                <w:rFonts w:hint="eastAsia" w:eastAsia="宋体"/>
                <w:color w:val="auto"/>
                <w:szCs w:val="21"/>
                <w:lang w:val="en-US" w:eastAsia="zh-CN"/>
              </w:rPr>
            </w:pPr>
            <w:r>
              <w:rPr>
                <w:rFonts w:hint="eastAsia"/>
                <w:color w:val="auto"/>
                <w:szCs w:val="21"/>
                <w:lang w:val="en-US" w:eastAsia="zh-CN"/>
              </w:rPr>
              <w:t>0</w:t>
            </w:r>
          </w:p>
        </w:tc>
        <w:tc>
          <w:tcPr>
            <w:tcW w:w="1468" w:type="pct"/>
            <w:vAlign w:val="center"/>
          </w:tcPr>
          <w:p w14:paraId="7CE72E9E">
            <w:pPr>
              <w:snapToGrid w:val="0"/>
              <w:jc w:val="center"/>
              <w:rPr>
                <w:color w:val="auto"/>
                <w:szCs w:val="21"/>
              </w:rPr>
            </w:pPr>
            <w:r>
              <w:rPr>
                <w:rFonts w:hint="eastAsia"/>
                <w:color w:val="auto"/>
              </w:rPr>
              <w:t>1.942488E-08</w:t>
            </w:r>
          </w:p>
        </w:tc>
        <w:tc>
          <w:tcPr>
            <w:tcW w:w="1470" w:type="pct"/>
            <w:vAlign w:val="center"/>
          </w:tcPr>
          <w:p w14:paraId="4C1CD06D">
            <w:pPr>
              <w:snapToGrid w:val="0"/>
              <w:jc w:val="center"/>
              <w:rPr>
                <w:color w:val="auto"/>
                <w:szCs w:val="21"/>
              </w:rPr>
            </w:pPr>
            <w:r>
              <w:rPr>
                <w:rFonts w:hint="eastAsia"/>
                <w:color w:val="auto"/>
              </w:rPr>
              <w:t>0.01260865</w:t>
            </w:r>
          </w:p>
        </w:tc>
      </w:tr>
      <w:tr w14:paraId="1D7CA9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497EA68A">
            <w:pPr>
              <w:snapToGrid w:val="0"/>
              <w:jc w:val="center"/>
              <w:rPr>
                <w:color w:val="auto"/>
                <w:szCs w:val="21"/>
              </w:rPr>
            </w:pPr>
            <w:r>
              <w:rPr>
                <w:color w:val="auto"/>
                <w:szCs w:val="21"/>
              </w:rPr>
              <w:t>130</w:t>
            </w:r>
          </w:p>
        </w:tc>
        <w:tc>
          <w:tcPr>
            <w:tcW w:w="1468" w:type="pct"/>
            <w:vAlign w:val="center"/>
          </w:tcPr>
          <w:p w14:paraId="7C959C84">
            <w:pPr>
              <w:snapToGrid w:val="0"/>
              <w:jc w:val="center"/>
              <w:rPr>
                <w:color w:val="auto"/>
                <w:szCs w:val="21"/>
              </w:rPr>
            </w:pPr>
            <w:r>
              <w:rPr>
                <w:rFonts w:hint="eastAsia"/>
                <w:color w:val="auto"/>
                <w:szCs w:val="21"/>
              </w:rPr>
              <w:t>0</w:t>
            </w:r>
          </w:p>
        </w:tc>
        <w:tc>
          <w:tcPr>
            <w:tcW w:w="1468" w:type="pct"/>
            <w:vAlign w:val="center"/>
          </w:tcPr>
          <w:p w14:paraId="6130D629">
            <w:pPr>
              <w:snapToGrid w:val="0"/>
              <w:jc w:val="center"/>
              <w:rPr>
                <w:color w:val="auto"/>
                <w:szCs w:val="21"/>
              </w:rPr>
            </w:pPr>
            <w:r>
              <w:rPr>
                <w:rFonts w:hint="eastAsia"/>
                <w:color w:val="auto"/>
              </w:rPr>
              <w:t>1.015803E-09</w:t>
            </w:r>
          </w:p>
        </w:tc>
        <w:tc>
          <w:tcPr>
            <w:tcW w:w="1470" w:type="pct"/>
            <w:vAlign w:val="center"/>
          </w:tcPr>
          <w:p w14:paraId="779F3751">
            <w:pPr>
              <w:snapToGrid w:val="0"/>
              <w:jc w:val="center"/>
              <w:rPr>
                <w:color w:val="auto"/>
                <w:szCs w:val="21"/>
              </w:rPr>
            </w:pPr>
            <w:r>
              <w:rPr>
                <w:rFonts w:hint="eastAsia"/>
                <w:color w:val="auto"/>
              </w:rPr>
              <w:t>0.006369488</w:t>
            </w:r>
          </w:p>
        </w:tc>
      </w:tr>
      <w:tr w14:paraId="5D2D23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07DA0402">
            <w:pPr>
              <w:snapToGrid w:val="0"/>
              <w:jc w:val="center"/>
              <w:rPr>
                <w:color w:val="auto"/>
                <w:szCs w:val="21"/>
              </w:rPr>
            </w:pPr>
            <w:r>
              <w:rPr>
                <w:color w:val="auto"/>
                <w:szCs w:val="21"/>
              </w:rPr>
              <w:t>140</w:t>
            </w:r>
          </w:p>
        </w:tc>
        <w:tc>
          <w:tcPr>
            <w:tcW w:w="1468" w:type="pct"/>
            <w:vAlign w:val="center"/>
          </w:tcPr>
          <w:p w14:paraId="589D5523">
            <w:pPr>
              <w:snapToGrid w:val="0"/>
              <w:jc w:val="center"/>
              <w:rPr>
                <w:color w:val="auto"/>
                <w:szCs w:val="21"/>
              </w:rPr>
            </w:pPr>
            <w:r>
              <w:rPr>
                <w:rFonts w:hint="eastAsia"/>
                <w:color w:val="auto"/>
                <w:szCs w:val="21"/>
              </w:rPr>
              <w:t>0</w:t>
            </w:r>
          </w:p>
        </w:tc>
        <w:tc>
          <w:tcPr>
            <w:tcW w:w="1468" w:type="pct"/>
            <w:vAlign w:val="center"/>
          </w:tcPr>
          <w:p w14:paraId="27B9771D">
            <w:pPr>
              <w:snapToGrid w:val="0"/>
              <w:jc w:val="center"/>
              <w:rPr>
                <w:color w:val="auto"/>
                <w:szCs w:val="21"/>
              </w:rPr>
            </w:pPr>
            <w:r>
              <w:rPr>
                <w:rFonts w:hint="eastAsia"/>
                <w:color w:val="auto"/>
              </w:rPr>
              <w:t>4.292188E-11</w:t>
            </w:r>
          </w:p>
        </w:tc>
        <w:tc>
          <w:tcPr>
            <w:tcW w:w="1470" w:type="pct"/>
            <w:vAlign w:val="center"/>
          </w:tcPr>
          <w:p w14:paraId="78D0B7CC">
            <w:pPr>
              <w:snapToGrid w:val="0"/>
              <w:jc w:val="center"/>
              <w:rPr>
                <w:color w:val="auto"/>
                <w:szCs w:val="21"/>
              </w:rPr>
            </w:pPr>
            <w:r>
              <w:rPr>
                <w:rFonts w:hint="eastAsia"/>
                <w:color w:val="auto"/>
              </w:rPr>
              <w:t>0.003020347</w:t>
            </w:r>
          </w:p>
        </w:tc>
      </w:tr>
      <w:tr w14:paraId="7C62A7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50E7026F">
            <w:pPr>
              <w:snapToGrid w:val="0"/>
              <w:jc w:val="center"/>
              <w:rPr>
                <w:color w:val="auto"/>
                <w:szCs w:val="21"/>
              </w:rPr>
            </w:pPr>
            <w:r>
              <w:rPr>
                <w:color w:val="auto"/>
                <w:szCs w:val="21"/>
              </w:rPr>
              <w:t>150</w:t>
            </w:r>
          </w:p>
        </w:tc>
        <w:tc>
          <w:tcPr>
            <w:tcW w:w="1468" w:type="pct"/>
            <w:vAlign w:val="center"/>
          </w:tcPr>
          <w:p w14:paraId="6206B946">
            <w:pPr>
              <w:snapToGrid w:val="0"/>
              <w:jc w:val="center"/>
              <w:rPr>
                <w:color w:val="auto"/>
                <w:szCs w:val="21"/>
              </w:rPr>
            </w:pPr>
            <w:r>
              <w:rPr>
                <w:rFonts w:hint="eastAsia"/>
                <w:color w:val="auto"/>
                <w:szCs w:val="21"/>
              </w:rPr>
              <w:t>0</w:t>
            </w:r>
          </w:p>
        </w:tc>
        <w:tc>
          <w:tcPr>
            <w:tcW w:w="1468" w:type="pct"/>
            <w:vAlign w:val="center"/>
          </w:tcPr>
          <w:p w14:paraId="4A5DD325">
            <w:pPr>
              <w:snapToGrid w:val="0"/>
              <w:jc w:val="center"/>
              <w:rPr>
                <w:color w:val="auto"/>
                <w:szCs w:val="21"/>
              </w:rPr>
            </w:pPr>
            <w:r>
              <w:rPr>
                <w:rFonts w:hint="eastAsia"/>
                <w:color w:val="auto"/>
              </w:rPr>
              <w:t>1.370894E-12</w:t>
            </w:r>
          </w:p>
        </w:tc>
        <w:tc>
          <w:tcPr>
            <w:tcW w:w="1470" w:type="pct"/>
            <w:vAlign w:val="center"/>
          </w:tcPr>
          <w:p w14:paraId="5B569E39">
            <w:pPr>
              <w:snapToGrid w:val="0"/>
              <w:jc w:val="center"/>
              <w:rPr>
                <w:color w:val="auto"/>
                <w:szCs w:val="21"/>
              </w:rPr>
            </w:pPr>
            <w:r>
              <w:rPr>
                <w:rFonts w:hint="eastAsia"/>
                <w:color w:val="auto"/>
              </w:rPr>
              <w:t>0.001343572</w:t>
            </w:r>
          </w:p>
        </w:tc>
      </w:tr>
      <w:tr w14:paraId="6F5752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0D6524F5">
            <w:pPr>
              <w:snapToGrid w:val="0"/>
              <w:jc w:val="center"/>
              <w:rPr>
                <w:color w:val="auto"/>
                <w:szCs w:val="21"/>
              </w:rPr>
            </w:pPr>
            <w:r>
              <w:rPr>
                <w:color w:val="auto"/>
                <w:szCs w:val="21"/>
              </w:rPr>
              <w:t>160</w:t>
            </w:r>
          </w:p>
        </w:tc>
        <w:tc>
          <w:tcPr>
            <w:tcW w:w="1468" w:type="pct"/>
            <w:vAlign w:val="center"/>
          </w:tcPr>
          <w:p w14:paraId="5D608DC1">
            <w:pPr>
              <w:snapToGrid w:val="0"/>
              <w:jc w:val="center"/>
              <w:rPr>
                <w:color w:val="auto"/>
                <w:szCs w:val="21"/>
              </w:rPr>
            </w:pPr>
            <w:r>
              <w:rPr>
                <w:rFonts w:hint="eastAsia"/>
                <w:color w:val="auto"/>
                <w:szCs w:val="21"/>
              </w:rPr>
              <w:t>0</w:t>
            </w:r>
          </w:p>
        </w:tc>
        <w:tc>
          <w:tcPr>
            <w:tcW w:w="1468" w:type="pct"/>
            <w:vAlign w:val="center"/>
          </w:tcPr>
          <w:p w14:paraId="78E68613">
            <w:pPr>
              <w:snapToGrid w:val="0"/>
              <w:jc w:val="center"/>
              <w:rPr>
                <w:color w:val="auto"/>
                <w:szCs w:val="21"/>
              </w:rPr>
            </w:pPr>
            <w:r>
              <w:rPr>
                <w:rFonts w:hint="eastAsia"/>
                <w:color w:val="auto"/>
              </w:rPr>
              <w:t>1.889877E-14</w:t>
            </w:r>
          </w:p>
        </w:tc>
        <w:tc>
          <w:tcPr>
            <w:tcW w:w="1470" w:type="pct"/>
            <w:vAlign w:val="center"/>
          </w:tcPr>
          <w:p w14:paraId="2417278B">
            <w:pPr>
              <w:snapToGrid w:val="0"/>
              <w:jc w:val="center"/>
              <w:rPr>
                <w:color w:val="auto"/>
                <w:szCs w:val="21"/>
              </w:rPr>
            </w:pPr>
            <w:r>
              <w:rPr>
                <w:rFonts w:hint="eastAsia"/>
                <w:color w:val="auto"/>
              </w:rPr>
              <w:t>0.0005603947</w:t>
            </w:r>
          </w:p>
        </w:tc>
      </w:tr>
      <w:tr w14:paraId="34844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79C2D902">
            <w:pPr>
              <w:snapToGrid w:val="0"/>
              <w:jc w:val="center"/>
              <w:rPr>
                <w:color w:val="auto"/>
                <w:szCs w:val="21"/>
              </w:rPr>
            </w:pPr>
            <w:r>
              <w:rPr>
                <w:color w:val="auto"/>
                <w:szCs w:val="21"/>
              </w:rPr>
              <w:t>170</w:t>
            </w:r>
          </w:p>
        </w:tc>
        <w:tc>
          <w:tcPr>
            <w:tcW w:w="1468" w:type="pct"/>
            <w:vAlign w:val="center"/>
          </w:tcPr>
          <w:p w14:paraId="460E9BC9">
            <w:pPr>
              <w:snapToGrid w:val="0"/>
              <w:jc w:val="center"/>
              <w:rPr>
                <w:color w:val="auto"/>
                <w:szCs w:val="21"/>
              </w:rPr>
            </w:pPr>
            <w:r>
              <w:rPr>
                <w:rFonts w:hint="eastAsia"/>
                <w:color w:val="auto"/>
                <w:szCs w:val="21"/>
              </w:rPr>
              <w:t>0</w:t>
            </w:r>
          </w:p>
        </w:tc>
        <w:tc>
          <w:tcPr>
            <w:tcW w:w="1468" w:type="pct"/>
            <w:vAlign w:val="center"/>
          </w:tcPr>
          <w:p w14:paraId="14F33467">
            <w:pPr>
              <w:snapToGrid w:val="0"/>
              <w:jc w:val="center"/>
              <w:rPr>
                <w:color w:val="auto"/>
                <w:szCs w:val="21"/>
              </w:rPr>
            </w:pPr>
            <w:r>
              <w:rPr>
                <w:rFonts w:hint="eastAsia"/>
                <w:color w:val="auto"/>
              </w:rPr>
              <w:t>3.663736E-16</w:t>
            </w:r>
          </w:p>
        </w:tc>
        <w:tc>
          <w:tcPr>
            <w:tcW w:w="1470" w:type="pct"/>
            <w:vAlign w:val="center"/>
          </w:tcPr>
          <w:p w14:paraId="02635EB5">
            <w:pPr>
              <w:snapToGrid w:val="0"/>
              <w:jc w:val="both"/>
              <w:rPr>
                <w:color w:val="auto"/>
                <w:szCs w:val="21"/>
              </w:rPr>
            </w:pPr>
            <w:r>
              <w:rPr>
                <w:rFonts w:hint="eastAsia"/>
                <w:color w:val="auto"/>
              </w:rPr>
              <w:t xml:space="preserve">     0.0002190623</w:t>
            </w:r>
          </w:p>
        </w:tc>
      </w:tr>
      <w:tr w14:paraId="554D25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4EF38281">
            <w:pPr>
              <w:snapToGrid w:val="0"/>
              <w:jc w:val="center"/>
              <w:rPr>
                <w:color w:val="auto"/>
                <w:szCs w:val="21"/>
              </w:rPr>
            </w:pPr>
            <w:r>
              <w:rPr>
                <w:color w:val="auto"/>
                <w:szCs w:val="21"/>
              </w:rPr>
              <w:t>180</w:t>
            </w:r>
          </w:p>
        </w:tc>
        <w:tc>
          <w:tcPr>
            <w:tcW w:w="1468" w:type="pct"/>
            <w:vAlign w:val="center"/>
          </w:tcPr>
          <w:p w14:paraId="3A7B1804">
            <w:pPr>
              <w:snapToGrid w:val="0"/>
              <w:jc w:val="center"/>
              <w:rPr>
                <w:color w:val="auto"/>
                <w:szCs w:val="21"/>
              </w:rPr>
            </w:pPr>
            <w:r>
              <w:rPr>
                <w:rFonts w:hint="eastAsia"/>
                <w:color w:val="auto"/>
                <w:szCs w:val="21"/>
              </w:rPr>
              <w:t>0</w:t>
            </w:r>
          </w:p>
        </w:tc>
        <w:tc>
          <w:tcPr>
            <w:tcW w:w="1468" w:type="pct"/>
            <w:vAlign w:val="center"/>
          </w:tcPr>
          <w:p w14:paraId="7659B858">
            <w:pPr>
              <w:snapToGrid w:val="0"/>
              <w:jc w:val="center"/>
              <w:rPr>
                <w:color w:val="auto"/>
                <w:szCs w:val="21"/>
              </w:rPr>
            </w:pPr>
            <w:r>
              <w:rPr>
                <w:rFonts w:hint="eastAsia"/>
                <w:color w:val="auto"/>
                <w:szCs w:val="21"/>
              </w:rPr>
              <w:t>0</w:t>
            </w:r>
          </w:p>
        </w:tc>
        <w:tc>
          <w:tcPr>
            <w:tcW w:w="1470" w:type="pct"/>
            <w:vAlign w:val="center"/>
          </w:tcPr>
          <w:p w14:paraId="30249D57">
            <w:pPr>
              <w:snapToGrid w:val="0"/>
              <w:jc w:val="center"/>
              <w:rPr>
                <w:color w:val="auto"/>
                <w:szCs w:val="21"/>
              </w:rPr>
            </w:pPr>
            <w:r>
              <w:rPr>
                <w:rFonts w:hint="eastAsia"/>
                <w:color w:val="auto"/>
              </w:rPr>
              <w:t>8.022706E-05</w:t>
            </w:r>
          </w:p>
        </w:tc>
      </w:tr>
      <w:tr w14:paraId="190DC2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22AF81B3">
            <w:pPr>
              <w:snapToGrid w:val="0"/>
              <w:jc w:val="center"/>
              <w:rPr>
                <w:color w:val="auto"/>
                <w:szCs w:val="21"/>
              </w:rPr>
            </w:pPr>
            <w:r>
              <w:rPr>
                <w:color w:val="auto"/>
                <w:szCs w:val="21"/>
              </w:rPr>
              <w:t>190</w:t>
            </w:r>
          </w:p>
        </w:tc>
        <w:tc>
          <w:tcPr>
            <w:tcW w:w="1468" w:type="pct"/>
            <w:vAlign w:val="center"/>
          </w:tcPr>
          <w:p w14:paraId="02FB1520">
            <w:pPr>
              <w:snapToGrid w:val="0"/>
              <w:jc w:val="center"/>
              <w:rPr>
                <w:color w:val="auto"/>
                <w:szCs w:val="21"/>
              </w:rPr>
            </w:pPr>
            <w:r>
              <w:rPr>
                <w:rFonts w:hint="eastAsia"/>
                <w:color w:val="auto"/>
                <w:szCs w:val="21"/>
              </w:rPr>
              <w:t>0</w:t>
            </w:r>
          </w:p>
        </w:tc>
        <w:tc>
          <w:tcPr>
            <w:tcW w:w="1468" w:type="pct"/>
            <w:vAlign w:val="center"/>
          </w:tcPr>
          <w:p w14:paraId="40BAACE2">
            <w:pPr>
              <w:snapToGrid w:val="0"/>
              <w:jc w:val="center"/>
              <w:rPr>
                <w:color w:val="auto"/>
                <w:szCs w:val="21"/>
              </w:rPr>
            </w:pPr>
            <w:r>
              <w:rPr>
                <w:rFonts w:hint="eastAsia"/>
                <w:color w:val="auto"/>
                <w:szCs w:val="21"/>
              </w:rPr>
              <w:t>0</w:t>
            </w:r>
          </w:p>
        </w:tc>
        <w:tc>
          <w:tcPr>
            <w:tcW w:w="1470" w:type="pct"/>
            <w:vAlign w:val="center"/>
          </w:tcPr>
          <w:p w14:paraId="280646F2">
            <w:pPr>
              <w:snapToGrid w:val="0"/>
              <w:jc w:val="center"/>
              <w:rPr>
                <w:color w:val="auto"/>
                <w:szCs w:val="21"/>
              </w:rPr>
            </w:pPr>
            <w:r>
              <w:rPr>
                <w:rFonts w:hint="eastAsia"/>
                <w:color w:val="auto"/>
              </w:rPr>
              <w:t>2.751792E-05</w:t>
            </w:r>
          </w:p>
        </w:tc>
      </w:tr>
      <w:tr w14:paraId="48D89B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E8FE886">
            <w:pPr>
              <w:snapToGrid w:val="0"/>
              <w:jc w:val="center"/>
              <w:rPr>
                <w:color w:val="auto"/>
                <w:szCs w:val="21"/>
              </w:rPr>
            </w:pPr>
            <w:r>
              <w:rPr>
                <w:color w:val="auto"/>
                <w:szCs w:val="21"/>
              </w:rPr>
              <w:t>200</w:t>
            </w:r>
          </w:p>
        </w:tc>
        <w:tc>
          <w:tcPr>
            <w:tcW w:w="1468" w:type="pct"/>
            <w:vAlign w:val="center"/>
          </w:tcPr>
          <w:p w14:paraId="4BC1BF74">
            <w:pPr>
              <w:snapToGrid w:val="0"/>
              <w:jc w:val="center"/>
              <w:rPr>
                <w:color w:val="auto"/>
                <w:szCs w:val="21"/>
              </w:rPr>
            </w:pPr>
            <w:r>
              <w:rPr>
                <w:rFonts w:hint="eastAsia"/>
                <w:color w:val="auto"/>
                <w:szCs w:val="21"/>
              </w:rPr>
              <w:t>0</w:t>
            </w:r>
          </w:p>
        </w:tc>
        <w:tc>
          <w:tcPr>
            <w:tcW w:w="1468" w:type="pct"/>
            <w:vAlign w:val="center"/>
          </w:tcPr>
          <w:p w14:paraId="0FF2CAD4">
            <w:pPr>
              <w:snapToGrid w:val="0"/>
              <w:jc w:val="center"/>
              <w:rPr>
                <w:color w:val="auto"/>
                <w:szCs w:val="21"/>
              </w:rPr>
            </w:pPr>
            <w:r>
              <w:rPr>
                <w:rFonts w:hint="eastAsia"/>
                <w:color w:val="auto"/>
                <w:szCs w:val="21"/>
              </w:rPr>
              <w:t>0</w:t>
            </w:r>
          </w:p>
        </w:tc>
        <w:tc>
          <w:tcPr>
            <w:tcW w:w="1470" w:type="pct"/>
            <w:vAlign w:val="center"/>
          </w:tcPr>
          <w:p w14:paraId="352EBF26">
            <w:pPr>
              <w:snapToGrid w:val="0"/>
              <w:jc w:val="center"/>
              <w:rPr>
                <w:color w:val="auto"/>
                <w:szCs w:val="21"/>
              </w:rPr>
            </w:pPr>
            <w:r>
              <w:rPr>
                <w:rFonts w:hint="eastAsia"/>
                <w:color w:val="auto"/>
              </w:rPr>
              <w:t>8.837562E-06</w:t>
            </w:r>
          </w:p>
        </w:tc>
      </w:tr>
      <w:tr w14:paraId="086041E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593" w:type="pct"/>
            <w:vAlign w:val="center"/>
          </w:tcPr>
          <w:p w14:paraId="7B17E12D">
            <w:pPr>
              <w:snapToGrid w:val="0"/>
              <w:jc w:val="center"/>
              <w:rPr>
                <w:color w:val="auto"/>
                <w:szCs w:val="21"/>
              </w:rPr>
            </w:pPr>
            <w:r>
              <w:rPr>
                <w:color w:val="auto"/>
                <w:szCs w:val="21"/>
              </w:rPr>
              <w:t>210</w:t>
            </w:r>
          </w:p>
        </w:tc>
        <w:tc>
          <w:tcPr>
            <w:tcW w:w="1468" w:type="pct"/>
            <w:vAlign w:val="center"/>
          </w:tcPr>
          <w:p w14:paraId="28CEB4F0">
            <w:pPr>
              <w:snapToGrid w:val="0"/>
              <w:jc w:val="center"/>
              <w:rPr>
                <w:color w:val="auto"/>
                <w:szCs w:val="21"/>
              </w:rPr>
            </w:pPr>
            <w:r>
              <w:rPr>
                <w:rFonts w:hint="eastAsia"/>
                <w:color w:val="auto"/>
                <w:szCs w:val="21"/>
              </w:rPr>
              <w:t>0</w:t>
            </w:r>
          </w:p>
        </w:tc>
        <w:tc>
          <w:tcPr>
            <w:tcW w:w="1468" w:type="pct"/>
            <w:vAlign w:val="center"/>
          </w:tcPr>
          <w:p w14:paraId="41416D1C">
            <w:pPr>
              <w:snapToGrid w:val="0"/>
              <w:jc w:val="center"/>
              <w:rPr>
                <w:color w:val="auto"/>
                <w:szCs w:val="21"/>
              </w:rPr>
            </w:pPr>
            <w:r>
              <w:rPr>
                <w:rFonts w:hint="eastAsia"/>
                <w:color w:val="auto"/>
                <w:szCs w:val="21"/>
              </w:rPr>
              <w:t>0</w:t>
            </w:r>
          </w:p>
        </w:tc>
        <w:tc>
          <w:tcPr>
            <w:tcW w:w="1470" w:type="pct"/>
            <w:vAlign w:val="center"/>
          </w:tcPr>
          <w:p w14:paraId="054CAA62">
            <w:pPr>
              <w:snapToGrid w:val="0"/>
              <w:jc w:val="center"/>
              <w:rPr>
                <w:color w:val="auto"/>
                <w:szCs w:val="21"/>
              </w:rPr>
            </w:pPr>
            <w:r>
              <w:rPr>
                <w:rFonts w:hint="eastAsia"/>
                <w:color w:val="auto"/>
              </w:rPr>
              <w:t>2.656852E-06</w:t>
            </w:r>
          </w:p>
        </w:tc>
      </w:tr>
      <w:tr w14:paraId="3E3C7A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c>
          <w:tcPr>
            <w:tcW w:w="593" w:type="pct"/>
            <w:vAlign w:val="center"/>
          </w:tcPr>
          <w:p w14:paraId="02A2625C">
            <w:pPr>
              <w:snapToGrid w:val="0"/>
              <w:jc w:val="center"/>
              <w:rPr>
                <w:color w:val="auto"/>
                <w:szCs w:val="21"/>
              </w:rPr>
            </w:pPr>
            <w:r>
              <w:rPr>
                <w:color w:val="auto"/>
                <w:szCs w:val="21"/>
              </w:rPr>
              <w:t>220</w:t>
            </w:r>
          </w:p>
        </w:tc>
        <w:tc>
          <w:tcPr>
            <w:tcW w:w="1468" w:type="pct"/>
            <w:vAlign w:val="center"/>
          </w:tcPr>
          <w:p w14:paraId="5816F9EE">
            <w:pPr>
              <w:snapToGrid w:val="0"/>
              <w:jc w:val="center"/>
              <w:rPr>
                <w:color w:val="auto"/>
                <w:szCs w:val="21"/>
              </w:rPr>
            </w:pPr>
            <w:r>
              <w:rPr>
                <w:rFonts w:hint="eastAsia"/>
                <w:color w:val="auto"/>
                <w:szCs w:val="21"/>
              </w:rPr>
              <w:t>0</w:t>
            </w:r>
          </w:p>
        </w:tc>
        <w:tc>
          <w:tcPr>
            <w:tcW w:w="1468" w:type="pct"/>
            <w:vAlign w:val="center"/>
          </w:tcPr>
          <w:p w14:paraId="78F085DD">
            <w:pPr>
              <w:snapToGrid w:val="0"/>
              <w:jc w:val="center"/>
              <w:rPr>
                <w:color w:val="auto"/>
                <w:szCs w:val="21"/>
              </w:rPr>
            </w:pPr>
            <w:r>
              <w:rPr>
                <w:rFonts w:hint="eastAsia"/>
                <w:color w:val="auto"/>
                <w:szCs w:val="21"/>
              </w:rPr>
              <w:t>0</w:t>
            </w:r>
          </w:p>
        </w:tc>
        <w:tc>
          <w:tcPr>
            <w:tcW w:w="1470" w:type="pct"/>
            <w:vAlign w:val="center"/>
          </w:tcPr>
          <w:p w14:paraId="71CC8152">
            <w:pPr>
              <w:snapToGrid w:val="0"/>
              <w:jc w:val="center"/>
              <w:rPr>
                <w:color w:val="auto"/>
                <w:szCs w:val="21"/>
              </w:rPr>
            </w:pPr>
            <w:r>
              <w:rPr>
                <w:rFonts w:hint="eastAsia"/>
                <w:color w:val="auto"/>
              </w:rPr>
              <w:t>7.475321E-07</w:t>
            </w:r>
          </w:p>
        </w:tc>
      </w:tr>
      <w:tr w14:paraId="2750FE5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0" w:hRule="atLeast"/>
        </w:trPr>
        <w:tc>
          <w:tcPr>
            <w:tcW w:w="593" w:type="pct"/>
            <w:vAlign w:val="center"/>
          </w:tcPr>
          <w:p w14:paraId="5F9C6DE9">
            <w:pPr>
              <w:snapToGrid w:val="0"/>
              <w:jc w:val="center"/>
              <w:rPr>
                <w:color w:val="auto"/>
                <w:szCs w:val="21"/>
              </w:rPr>
            </w:pPr>
            <w:r>
              <w:rPr>
                <w:color w:val="auto"/>
                <w:szCs w:val="21"/>
              </w:rPr>
              <w:t>230</w:t>
            </w:r>
          </w:p>
        </w:tc>
        <w:tc>
          <w:tcPr>
            <w:tcW w:w="1468" w:type="pct"/>
            <w:vAlign w:val="center"/>
          </w:tcPr>
          <w:p w14:paraId="0977B0E5">
            <w:pPr>
              <w:snapToGrid w:val="0"/>
              <w:jc w:val="center"/>
              <w:rPr>
                <w:color w:val="auto"/>
                <w:szCs w:val="21"/>
              </w:rPr>
            </w:pPr>
            <w:r>
              <w:rPr>
                <w:rFonts w:hint="eastAsia"/>
                <w:color w:val="auto"/>
                <w:szCs w:val="21"/>
              </w:rPr>
              <w:t>0</w:t>
            </w:r>
          </w:p>
        </w:tc>
        <w:tc>
          <w:tcPr>
            <w:tcW w:w="1468" w:type="pct"/>
            <w:vAlign w:val="center"/>
          </w:tcPr>
          <w:p w14:paraId="6E286D2B">
            <w:pPr>
              <w:snapToGrid w:val="0"/>
              <w:jc w:val="center"/>
              <w:rPr>
                <w:color w:val="auto"/>
                <w:szCs w:val="21"/>
              </w:rPr>
            </w:pPr>
            <w:r>
              <w:rPr>
                <w:rFonts w:hint="eastAsia"/>
                <w:color w:val="auto"/>
                <w:szCs w:val="21"/>
              </w:rPr>
              <w:t>0</w:t>
            </w:r>
          </w:p>
        </w:tc>
        <w:tc>
          <w:tcPr>
            <w:tcW w:w="1470" w:type="pct"/>
            <w:vAlign w:val="center"/>
          </w:tcPr>
          <w:p w14:paraId="2182CC6C">
            <w:pPr>
              <w:snapToGrid w:val="0"/>
              <w:jc w:val="center"/>
              <w:rPr>
                <w:color w:val="auto"/>
                <w:szCs w:val="21"/>
              </w:rPr>
            </w:pPr>
            <w:r>
              <w:rPr>
                <w:rFonts w:hint="eastAsia"/>
                <w:color w:val="auto"/>
              </w:rPr>
              <w:t>1.968056E-07</w:t>
            </w:r>
          </w:p>
        </w:tc>
      </w:tr>
      <w:tr w14:paraId="727965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897A324">
            <w:pPr>
              <w:snapToGrid w:val="0"/>
              <w:jc w:val="center"/>
              <w:rPr>
                <w:color w:val="auto"/>
                <w:szCs w:val="21"/>
              </w:rPr>
            </w:pPr>
            <w:r>
              <w:rPr>
                <w:color w:val="auto"/>
                <w:szCs w:val="21"/>
              </w:rPr>
              <w:t>240</w:t>
            </w:r>
          </w:p>
        </w:tc>
        <w:tc>
          <w:tcPr>
            <w:tcW w:w="1468" w:type="pct"/>
            <w:vAlign w:val="center"/>
          </w:tcPr>
          <w:p w14:paraId="1A677D38">
            <w:pPr>
              <w:snapToGrid w:val="0"/>
              <w:jc w:val="center"/>
              <w:rPr>
                <w:color w:val="auto"/>
                <w:szCs w:val="21"/>
              </w:rPr>
            </w:pPr>
            <w:r>
              <w:rPr>
                <w:rFonts w:hint="eastAsia"/>
                <w:color w:val="auto"/>
                <w:szCs w:val="21"/>
              </w:rPr>
              <w:t>0</w:t>
            </w:r>
          </w:p>
        </w:tc>
        <w:tc>
          <w:tcPr>
            <w:tcW w:w="1468" w:type="pct"/>
            <w:vAlign w:val="center"/>
          </w:tcPr>
          <w:p w14:paraId="48CFCA3E">
            <w:pPr>
              <w:snapToGrid w:val="0"/>
              <w:jc w:val="center"/>
              <w:rPr>
                <w:color w:val="auto"/>
                <w:szCs w:val="21"/>
              </w:rPr>
            </w:pPr>
            <w:r>
              <w:rPr>
                <w:rFonts w:hint="eastAsia"/>
                <w:color w:val="auto"/>
                <w:szCs w:val="21"/>
              </w:rPr>
              <w:t>0</w:t>
            </w:r>
          </w:p>
        </w:tc>
        <w:tc>
          <w:tcPr>
            <w:tcW w:w="1470" w:type="pct"/>
            <w:vAlign w:val="center"/>
          </w:tcPr>
          <w:p w14:paraId="579B4CB9">
            <w:pPr>
              <w:snapToGrid w:val="0"/>
              <w:jc w:val="center"/>
              <w:rPr>
                <w:color w:val="auto"/>
                <w:szCs w:val="21"/>
              </w:rPr>
            </w:pPr>
            <w:r>
              <w:rPr>
                <w:rFonts w:hint="eastAsia"/>
                <w:color w:val="auto"/>
              </w:rPr>
              <w:t>5.00442E-08</w:t>
            </w:r>
          </w:p>
        </w:tc>
      </w:tr>
      <w:tr w14:paraId="7320EE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1CD0C0D7">
            <w:pPr>
              <w:snapToGrid w:val="0"/>
              <w:jc w:val="center"/>
              <w:rPr>
                <w:color w:val="auto"/>
                <w:szCs w:val="21"/>
              </w:rPr>
            </w:pPr>
            <w:r>
              <w:rPr>
                <w:color w:val="auto"/>
                <w:szCs w:val="21"/>
              </w:rPr>
              <w:t>250</w:t>
            </w:r>
          </w:p>
        </w:tc>
        <w:tc>
          <w:tcPr>
            <w:tcW w:w="1468" w:type="pct"/>
            <w:vAlign w:val="center"/>
          </w:tcPr>
          <w:p w14:paraId="34861387">
            <w:pPr>
              <w:snapToGrid w:val="0"/>
              <w:jc w:val="center"/>
              <w:rPr>
                <w:color w:val="auto"/>
                <w:szCs w:val="21"/>
              </w:rPr>
            </w:pPr>
            <w:r>
              <w:rPr>
                <w:rFonts w:hint="eastAsia"/>
                <w:color w:val="auto"/>
                <w:szCs w:val="21"/>
              </w:rPr>
              <w:t>0</w:t>
            </w:r>
          </w:p>
        </w:tc>
        <w:tc>
          <w:tcPr>
            <w:tcW w:w="1468" w:type="pct"/>
            <w:vAlign w:val="center"/>
          </w:tcPr>
          <w:p w14:paraId="3B287EB6">
            <w:pPr>
              <w:snapToGrid w:val="0"/>
              <w:jc w:val="center"/>
              <w:rPr>
                <w:color w:val="auto"/>
                <w:szCs w:val="21"/>
              </w:rPr>
            </w:pPr>
            <w:r>
              <w:rPr>
                <w:rFonts w:hint="eastAsia"/>
                <w:color w:val="auto"/>
                <w:szCs w:val="21"/>
              </w:rPr>
              <w:t>0</w:t>
            </w:r>
          </w:p>
        </w:tc>
        <w:tc>
          <w:tcPr>
            <w:tcW w:w="1470" w:type="pct"/>
            <w:vAlign w:val="center"/>
          </w:tcPr>
          <w:p w14:paraId="6E9C9A07">
            <w:pPr>
              <w:snapToGrid w:val="0"/>
              <w:jc w:val="center"/>
              <w:rPr>
                <w:color w:val="auto"/>
                <w:szCs w:val="21"/>
              </w:rPr>
            </w:pPr>
            <w:r>
              <w:rPr>
                <w:rFonts w:hint="eastAsia"/>
                <w:color w:val="auto"/>
              </w:rPr>
              <w:t>1.149484E-08</w:t>
            </w:r>
          </w:p>
        </w:tc>
      </w:tr>
      <w:tr w14:paraId="08DC5E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0893F58">
            <w:pPr>
              <w:snapToGrid w:val="0"/>
              <w:jc w:val="center"/>
              <w:rPr>
                <w:color w:val="auto"/>
                <w:szCs w:val="21"/>
              </w:rPr>
            </w:pPr>
            <w:r>
              <w:rPr>
                <w:color w:val="auto"/>
                <w:szCs w:val="21"/>
              </w:rPr>
              <w:t>260</w:t>
            </w:r>
          </w:p>
        </w:tc>
        <w:tc>
          <w:tcPr>
            <w:tcW w:w="1468" w:type="pct"/>
            <w:vAlign w:val="center"/>
          </w:tcPr>
          <w:p w14:paraId="1D90CF85">
            <w:pPr>
              <w:snapToGrid w:val="0"/>
              <w:jc w:val="center"/>
              <w:rPr>
                <w:color w:val="auto"/>
                <w:szCs w:val="21"/>
              </w:rPr>
            </w:pPr>
            <w:r>
              <w:rPr>
                <w:rFonts w:hint="eastAsia"/>
                <w:color w:val="auto"/>
                <w:szCs w:val="21"/>
              </w:rPr>
              <w:t>0</w:t>
            </w:r>
          </w:p>
        </w:tc>
        <w:tc>
          <w:tcPr>
            <w:tcW w:w="1468" w:type="pct"/>
            <w:vAlign w:val="center"/>
          </w:tcPr>
          <w:p w14:paraId="55640C3B">
            <w:pPr>
              <w:snapToGrid w:val="0"/>
              <w:jc w:val="center"/>
              <w:rPr>
                <w:color w:val="auto"/>
                <w:szCs w:val="21"/>
              </w:rPr>
            </w:pPr>
            <w:r>
              <w:rPr>
                <w:rFonts w:hint="eastAsia"/>
                <w:color w:val="auto"/>
                <w:szCs w:val="21"/>
              </w:rPr>
              <w:t>0</w:t>
            </w:r>
          </w:p>
        </w:tc>
        <w:tc>
          <w:tcPr>
            <w:tcW w:w="1470" w:type="pct"/>
            <w:vAlign w:val="center"/>
          </w:tcPr>
          <w:p w14:paraId="3277C93D">
            <w:pPr>
              <w:snapToGrid w:val="0"/>
              <w:jc w:val="center"/>
              <w:rPr>
                <w:color w:val="auto"/>
                <w:szCs w:val="21"/>
              </w:rPr>
            </w:pPr>
            <w:r>
              <w:rPr>
                <w:rFonts w:hint="eastAsia"/>
                <w:color w:val="auto"/>
              </w:rPr>
              <w:t>2.469813E-09</w:t>
            </w:r>
          </w:p>
        </w:tc>
      </w:tr>
      <w:tr w14:paraId="5E3392C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6A491EA">
            <w:pPr>
              <w:snapToGrid w:val="0"/>
              <w:jc w:val="center"/>
              <w:rPr>
                <w:color w:val="auto"/>
                <w:szCs w:val="21"/>
              </w:rPr>
            </w:pPr>
            <w:r>
              <w:rPr>
                <w:color w:val="auto"/>
                <w:szCs w:val="21"/>
              </w:rPr>
              <w:t>270</w:t>
            </w:r>
          </w:p>
        </w:tc>
        <w:tc>
          <w:tcPr>
            <w:tcW w:w="1468" w:type="pct"/>
            <w:vAlign w:val="center"/>
          </w:tcPr>
          <w:p w14:paraId="65BB7D6A">
            <w:pPr>
              <w:snapToGrid w:val="0"/>
              <w:jc w:val="center"/>
              <w:rPr>
                <w:color w:val="auto"/>
                <w:szCs w:val="21"/>
              </w:rPr>
            </w:pPr>
            <w:r>
              <w:rPr>
                <w:rFonts w:hint="eastAsia"/>
                <w:color w:val="auto"/>
                <w:szCs w:val="21"/>
              </w:rPr>
              <w:t>0</w:t>
            </w:r>
          </w:p>
        </w:tc>
        <w:tc>
          <w:tcPr>
            <w:tcW w:w="1468" w:type="pct"/>
            <w:vAlign w:val="center"/>
          </w:tcPr>
          <w:p w14:paraId="1B48992A">
            <w:pPr>
              <w:snapToGrid w:val="0"/>
              <w:jc w:val="center"/>
              <w:rPr>
                <w:color w:val="auto"/>
                <w:szCs w:val="21"/>
              </w:rPr>
            </w:pPr>
            <w:r>
              <w:rPr>
                <w:rFonts w:hint="eastAsia"/>
                <w:color w:val="auto"/>
                <w:szCs w:val="21"/>
              </w:rPr>
              <w:t>0</w:t>
            </w:r>
          </w:p>
        </w:tc>
        <w:tc>
          <w:tcPr>
            <w:tcW w:w="1470" w:type="pct"/>
            <w:vAlign w:val="center"/>
          </w:tcPr>
          <w:p w14:paraId="1D9B181B">
            <w:pPr>
              <w:snapToGrid w:val="0"/>
              <w:jc w:val="center"/>
              <w:rPr>
                <w:color w:val="auto"/>
                <w:szCs w:val="21"/>
              </w:rPr>
            </w:pPr>
            <w:r>
              <w:rPr>
                <w:rFonts w:hint="eastAsia"/>
                <w:color w:val="auto"/>
              </w:rPr>
              <w:t>4.960685E-10</w:t>
            </w:r>
          </w:p>
        </w:tc>
      </w:tr>
      <w:tr w14:paraId="523F52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704CDF85">
            <w:pPr>
              <w:snapToGrid w:val="0"/>
              <w:jc w:val="center"/>
              <w:rPr>
                <w:color w:val="auto"/>
                <w:szCs w:val="21"/>
              </w:rPr>
            </w:pPr>
            <w:r>
              <w:rPr>
                <w:color w:val="auto"/>
                <w:szCs w:val="21"/>
              </w:rPr>
              <w:t>280</w:t>
            </w:r>
          </w:p>
        </w:tc>
        <w:tc>
          <w:tcPr>
            <w:tcW w:w="1468" w:type="pct"/>
            <w:vAlign w:val="center"/>
          </w:tcPr>
          <w:p w14:paraId="170F9776">
            <w:pPr>
              <w:snapToGrid w:val="0"/>
              <w:jc w:val="center"/>
              <w:rPr>
                <w:color w:val="auto"/>
                <w:szCs w:val="21"/>
              </w:rPr>
            </w:pPr>
            <w:r>
              <w:rPr>
                <w:rFonts w:hint="eastAsia"/>
                <w:color w:val="auto"/>
                <w:szCs w:val="21"/>
              </w:rPr>
              <w:t>0</w:t>
            </w:r>
          </w:p>
        </w:tc>
        <w:tc>
          <w:tcPr>
            <w:tcW w:w="1468" w:type="pct"/>
            <w:vAlign w:val="center"/>
          </w:tcPr>
          <w:p w14:paraId="64B76616">
            <w:pPr>
              <w:snapToGrid w:val="0"/>
              <w:jc w:val="center"/>
              <w:rPr>
                <w:color w:val="auto"/>
                <w:szCs w:val="21"/>
              </w:rPr>
            </w:pPr>
            <w:r>
              <w:rPr>
                <w:rFonts w:hint="eastAsia"/>
                <w:color w:val="auto"/>
                <w:szCs w:val="21"/>
              </w:rPr>
              <w:t>0</w:t>
            </w:r>
          </w:p>
        </w:tc>
        <w:tc>
          <w:tcPr>
            <w:tcW w:w="1470" w:type="pct"/>
            <w:vAlign w:val="center"/>
          </w:tcPr>
          <w:p w14:paraId="64566AE3">
            <w:pPr>
              <w:snapToGrid w:val="0"/>
              <w:jc w:val="center"/>
              <w:rPr>
                <w:color w:val="auto"/>
                <w:szCs w:val="21"/>
              </w:rPr>
            </w:pPr>
            <w:r>
              <w:rPr>
                <w:rFonts w:hint="eastAsia"/>
                <w:color w:val="auto"/>
              </w:rPr>
              <w:t>8.803004E-11</w:t>
            </w:r>
          </w:p>
        </w:tc>
      </w:tr>
      <w:tr w14:paraId="344601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5B467B35">
            <w:pPr>
              <w:snapToGrid w:val="0"/>
              <w:jc w:val="center"/>
              <w:rPr>
                <w:color w:val="auto"/>
                <w:szCs w:val="21"/>
              </w:rPr>
            </w:pPr>
            <w:r>
              <w:rPr>
                <w:rFonts w:hint="eastAsia"/>
                <w:color w:val="auto"/>
                <w:szCs w:val="21"/>
              </w:rPr>
              <w:t>290</w:t>
            </w:r>
          </w:p>
        </w:tc>
        <w:tc>
          <w:tcPr>
            <w:tcW w:w="1468" w:type="pct"/>
            <w:vAlign w:val="center"/>
          </w:tcPr>
          <w:p w14:paraId="46654E99">
            <w:pPr>
              <w:snapToGrid w:val="0"/>
              <w:jc w:val="center"/>
              <w:rPr>
                <w:color w:val="auto"/>
                <w:szCs w:val="21"/>
              </w:rPr>
            </w:pPr>
            <w:r>
              <w:rPr>
                <w:rFonts w:hint="eastAsia"/>
                <w:color w:val="auto"/>
                <w:szCs w:val="21"/>
              </w:rPr>
              <w:t>0</w:t>
            </w:r>
          </w:p>
        </w:tc>
        <w:tc>
          <w:tcPr>
            <w:tcW w:w="1468" w:type="pct"/>
            <w:vAlign w:val="center"/>
          </w:tcPr>
          <w:p w14:paraId="1E41B397">
            <w:pPr>
              <w:snapToGrid w:val="0"/>
              <w:jc w:val="center"/>
              <w:rPr>
                <w:color w:val="auto"/>
                <w:szCs w:val="21"/>
              </w:rPr>
            </w:pPr>
            <w:r>
              <w:rPr>
                <w:rFonts w:hint="eastAsia"/>
                <w:color w:val="auto"/>
                <w:szCs w:val="21"/>
              </w:rPr>
              <w:t>0</w:t>
            </w:r>
          </w:p>
        </w:tc>
        <w:tc>
          <w:tcPr>
            <w:tcW w:w="1470" w:type="pct"/>
            <w:vAlign w:val="center"/>
          </w:tcPr>
          <w:p w14:paraId="49AB088C">
            <w:pPr>
              <w:snapToGrid w:val="0"/>
              <w:jc w:val="center"/>
              <w:rPr>
                <w:color w:val="auto"/>
                <w:szCs w:val="21"/>
              </w:rPr>
            </w:pPr>
            <w:r>
              <w:rPr>
                <w:rFonts w:hint="eastAsia"/>
                <w:color w:val="auto"/>
              </w:rPr>
              <w:t>9.008058E-12</w:t>
            </w:r>
          </w:p>
        </w:tc>
      </w:tr>
      <w:tr w14:paraId="4D4846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109B748E">
            <w:pPr>
              <w:snapToGrid w:val="0"/>
              <w:jc w:val="center"/>
              <w:rPr>
                <w:color w:val="auto"/>
                <w:szCs w:val="21"/>
              </w:rPr>
            </w:pPr>
            <w:r>
              <w:rPr>
                <w:rFonts w:hint="eastAsia"/>
                <w:color w:val="auto"/>
                <w:szCs w:val="21"/>
              </w:rPr>
              <w:t>300</w:t>
            </w:r>
          </w:p>
        </w:tc>
        <w:tc>
          <w:tcPr>
            <w:tcW w:w="1468" w:type="pct"/>
            <w:vAlign w:val="center"/>
          </w:tcPr>
          <w:p w14:paraId="124DB82B">
            <w:pPr>
              <w:snapToGrid w:val="0"/>
              <w:jc w:val="center"/>
              <w:rPr>
                <w:color w:val="auto"/>
                <w:szCs w:val="21"/>
              </w:rPr>
            </w:pPr>
            <w:r>
              <w:rPr>
                <w:rFonts w:hint="eastAsia"/>
                <w:color w:val="auto"/>
                <w:szCs w:val="21"/>
              </w:rPr>
              <w:t>0</w:t>
            </w:r>
          </w:p>
        </w:tc>
        <w:tc>
          <w:tcPr>
            <w:tcW w:w="1468" w:type="pct"/>
            <w:vAlign w:val="center"/>
          </w:tcPr>
          <w:p w14:paraId="7A253F8D">
            <w:pPr>
              <w:snapToGrid w:val="0"/>
              <w:jc w:val="center"/>
              <w:rPr>
                <w:color w:val="auto"/>
                <w:szCs w:val="21"/>
              </w:rPr>
            </w:pPr>
            <w:r>
              <w:rPr>
                <w:rFonts w:hint="eastAsia"/>
                <w:color w:val="auto"/>
                <w:szCs w:val="21"/>
              </w:rPr>
              <w:t>0</w:t>
            </w:r>
          </w:p>
        </w:tc>
        <w:tc>
          <w:tcPr>
            <w:tcW w:w="1470" w:type="pct"/>
            <w:vAlign w:val="center"/>
          </w:tcPr>
          <w:p w14:paraId="75DE5E4C">
            <w:pPr>
              <w:snapToGrid w:val="0"/>
              <w:jc w:val="center"/>
              <w:rPr>
                <w:color w:val="auto"/>
                <w:szCs w:val="21"/>
              </w:rPr>
            </w:pPr>
            <w:r>
              <w:rPr>
                <w:rFonts w:hint="eastAsia"/>
                <w:color w:val="auto"/>
              </w:rPr>
              <w:t>1.478806E-12</w:t>
            </w:r>
          </w:p>
        </w:tc>
      </w:tr>
      <w:tr w14:paraId="054C81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250A5CA6">
            <w:pPr>
              <w:snapToGrid w:val="0"/>
              <w:jc w:val="center"/>
              <w:rPr>
                <w:color w:val="auto"/>
                <w:szCs w:val="21"/>
              </w:rPr>
            </w:pPr>
            <w:r>
              <w:rPr>
                <w:rFonts w:hint="eastAsia"/>
                <w:color w:val="auto"/>
                <w:szCs w:val="21"/>
              </w:rPr>
              <w:t>310</w:t>
            </w:r>
          </w:p>
        </w:tc>
        <w:tc>
          <w:tcPr>
            <w:tcW w:w="1468" w:type="pct"/>
            <w:vAlign w:val="center"/>
          </w:tcPr>
          <w:p w14:paraId="110CC492">
            <w:pPr>
              <w:snapToGrid w:val="0"/>
              <w:jc w:val="center"/>
              <w:rPr>
                <w:color w:val="auto"/>
                <w:szCs w:val="21"/>
              </w:rPr>
            </w:pPr>
            <w:r>
              <w:rPr>
                <w:rFonts w:hint="eastAsia"/>
                <w:color w:val="auto"/>
                <w:szCs w:val="21"/>
              </w:rPr>
              <w:t>0</w:t>
            </w:r>
          </w:p>
        </w:tc>
        <w:tc>
          <w:tcPr>
            <w:tcW w:w="1468" w:type="pct"/>
            <w:vAlign w:val="center"/>
          </w:tcPr>
          <w:p w14:paraId="322D4BDB">
            <w:pPr>
              <w:snapToGrid w:val="0"/>
              <w:jc w:val="center"/>
              <w:rPr>
                <w:color w:val="auto"/>
                <w:szCs w:val="21"/>
              </w:rPr>
            </w:pPr>
            <w:r>
              <w:rPr>
                <w:rFonts w:hint="eastAsia"/>
                <w:color w:val="auto"/>
                <w:szCs w:val="21"/>
              </w:rPr>
              <w:t>0</w:t>
            </w:r>
          </w:p>
        </w:tc>
        <w:tc>
          <w:tcPr>
            <w:tcW w:w="1470" w:type="pct"/>
            <w:vAlign w:val="center"/>
          </w:tcPr>
          <w:p w14:paraId="1DA31901">
            <w:pPr>
              <w:snapToGrid w:val="0"/>
              <w:jc w:val="center"/>
              <w:rPr>
                <w:color w:val="auto"/>
                <w:szCs w:val="21"/>
              </w:rPr>
            </w:pPr>
            <w:r>
              <w:rPr>
                <w:rFonts w:hint="eastAsia"/>
                <w:color w:val="auto"/>
              </w:rPr>
              <w:t>2.44646E-13</w:t>
            </w:r>
          </w:p>
        </w:tc>
      </w:tr>
      <w:tr w14:paraId="49C95A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3696AFBB">
            <w:pPr>
              <w:snapToGrid w:val="0"/>
              <w:jc w:val="center"/>
              <w:rPr>
                <w:color w:val="auto"/>
                <w:szCs w:val="21"/>
              </w:rPr>
            </w:pPr>
            <w:r>
              <w:rPr>
                <w:rFonts w:hint="eastAsia"/>
                <w:color w:val="auto"/>
                <w:szCs w:val="21"/>
              </w:rPr>
              <w:t>320</w:t>
            </w:r>
          </w:p>
        </w:tc>
        <w:tc>
          <w:tcPr>
            <w:tcW w:w="1468" w:type="pct"/>
            <w:vAlign w:val="center"/>
          </w:tcPr>
          <w:p w14:paraId="4B83F63C">
            <w:pPr>
              <w:snapToGrid w:val="0"/>
              <w:jc w:val="center"/>
              <w:rPr>
                <w:color w:val="auto"/>
                <w:szCs w:val="21"/>
              </w:rPr>
            </w:pPr>
            <w:r>
              <w:rPr>
                <w:rFonts w:hint="eastAsia"/>
                <w:color w:val="auto"/>
                <w:szCs w:val="21"/>
              </w:rPr>
              <w:t>0</w:t>
            </w:r>
          </w:p>
        </w:tc>
        <w:tc>
          <w:tcPr>
            <w:tcW w:w="1468" w:type="pct"/>
            <w:vAlign w:val="center"/>
          </w:tcPr>
          <w:p w14:paraId="32F209D5">
            <w:pPr>
              <w:snapToGrid w:val="0"/>
              <w:jc w:val="center"/>
              <w:rPr>
                <w:color w:val="auto"/>
                <w:szCs w:val="21"/>
              </w:rPr>
            </w:pPr>
            <w:r>
              <w:rPr>
                <w:rFonts w:hint="eastAsia"/>
                <w:color w:val="auto"/>
                <w:szCs w:val="21"/>
              </w:rPr>
              <w:t>0</w:t>
            </w:r>
          </w:p>
        </w:tc>
        <w:tc>
          <w:tcPr>
            <w:tcW w:w="1470" w:type="pct"/>
            <w:vAlign w:val="center"/>
          </w:tcPr>
          <w:p w14:paraId="77579FB4">
            <w:pPr>
              <w:snapToGrid w:val="0"/>
              <w:jc w:val="center"/>
              <w:rPr>
                <w:color w:val="auto"/>
                <w:szCs w:val="21"/>
              </w:rPr>
            </w:pPr>
            <w:r>
              <w:rPr>
                <w:rFonts w:hint="eastAsia"/>
                <w:color w:val="auto"/>
              </w:rPr>
              <w:t>3.486656E-14</w:t>
            </w:r>
          </w:p>
        </w:tc>
      </w:tr>
      <w:tr w14:paraId="157A31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03E80F5B">
            <w:pPr>
              <w:snapToGrid w:val="0"/>
              <w:jc w:val="center"/>
              <w:rPr>
                <w:color w:val="auto"/>
                <w:szCs w:val="21"/>
              </w:rPr>
            </w:pPr>
            <w:r>
              <w:rPr>
                <w:rFonts w:hint="eastAsia"/>
                <w:color w:val="auto"/>
                <w:szCs w:val="21"/>
              </w:rPr>
              <w:t>330</w:t>
            </w:r>
          </w:p>
        </w:tc>
        <w:tc>
          <w:tcPr>
            <w:tcW w:w="1468" w:type="pct"/>
            <w:vAlign w:val="center"/>
          </w:tcPr>
          <w:p w14:paraId="1E0FEDE2">
            <w:pPr>
              <w:snapToGrid w:val="0"/>
              <w:jc w:val="center"/>
              <w:rPr>
                <w:color w:val="auto"/>
                <w:szCs w:val="21"/>
              </w:rPr>
            </w:pPr>
            <w:r>
              <w:rPr>
                <w:rFonts w:hint="eastAsia"/>
                <w:color w:val="auto"/>
                <w:szCs w:val="21"/>
              </w:rPr>
              <w:t>0</w:t>
            </w:r>
          </w:p>
        </w:tc>
        <w:tc>
          <w:tcPr>
            <w:tcW w:w="1468" w:type="pct"/>
            <w:vAlign w:val="center"/>
          </w:tcPr>
          <w:p w14:paraId="44469EF0">
            <w:pPr>
              <w:snapToGrid w:val="0"/>
              <w:jc w:val="center"/>
              <w:rPr>
                <w:color w:val="auto"/>
                <w:szCs w:val="21"/>
              </w:rPr>
            </w:pPr>
            <w:r>
              <w:rPr>
                <w:rFonts w:hint="eastAsia"/>
                <w:color w:val="auto"/>
                <w:szCs w:val="21"/>
              </w:rPr>
              <w:t>0</w:t>
            </w:r>
          </w:p>
        </w:tc>
        <w:tc>
          <w:tcPr>
            <w:tcW w:w="1470" w:type="pct"/>
            <w:vAlign w:val="center"/>
          </w:tcPr>
          <w:p w14:paraId="20ED7064">
            <w:pPr>
              <w:snapToGrid w:val="0"/>
              <w:jc w:val="center"/>
              <w:rPr>
                <w:color w:val="auto"/>
                <w:szCs w:val="21"/>
              </w:rPr>
            </w:pPr>
            <w:r>
              <w:rPr>
                <w:rFonts w:hint="eastAsia"/>
                <w:color w:val="auto"/>
              </w:rPr>
              <w:t>4.640732E-15</w:t>
            </w:r>
          </w:p>
        </w:tc>
      </w:tr>
      <w:tr w14:paraId="2F4139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6EF9FE7E">
            <w:pPr>
              <w:snapToGrid w:val="0"/>
              <w:jc w:val="center"/>
              <w:rPr>
                <w:color w:val="auto"/>
                <w:szCs w:val="21"/>
              </w:rPr>
            </w:pPr>
            <w:r>
              <w:rPr>
                <w:rFonts w:hint="eastAsia"/>
                <w:color w:val="auto"/>
                <w:szCs w:val="21"/>
              </w:rPr>
              <w:t>340</w:t>
            </w:r>
          </w:p>
        </w:tc>
        <w:tc>
          <w:tcPr>
            <w:tcW w:w="1468" w:type="pct"/>
            <w:vAlign w:val="center"/>
          </w:tcPr>
          <w:p w14:paraId="56517BF5">
            <w:pPr>
              <w:snapToGrid w:val="0"/>
              <w:jc w:val="center"/>
              <w:rPr>
                <w:color w:val="auto"/>
                <w:szCs w:val="21"/>
              </w:rPr>
            </w:pPr>
            <w:r>
              <w:rPr>
                <w:rFonts w:hint="eastAsia"/>
                <w:color w:val="auto"/>
                <w:szCs w:val="21"/>
              </w:rPr>
              <w:t>0</w:t>
            </w:r>
          </w:p>
        </w:tc>
        <w:tc>
          <w:tcPr>
            <w:tcW w:w="1468" w:type="pct"/>
            <w:vAlign w:val="center"/>
          </w:tcPr>
          <w:p w14:paraId="7B5A44B8">
            <w:pPr>
              <w:snapToGrid w:val="0"/>
              <w:jc w:val="center"/>
              <w:rPr>
                <w:color w:val="auto"/>
                <w:szCs w:val="21"/>
              </w:rPr>
            </w:pPr>
            <w:r>
              <w:rPr>
                <w:rFonts w:hint="eastAsia"/>
                <w:color w:val="auto"/>
                <w:szCs w:val="21"/>
              </w:rPr>
              <w:t>0</w:t>
            </w:r>
          </w:p>
        </w:tc>
        <w:tc>
          <w:tcPr>
            <w:tcW w:w="1470" w:type="pct"/>
            <w:vAlign w:val="center"/>
          </w:tcPr>
          <w:p w14:paraId="5192DAC4">
            <w:pPr>
              <w:snapToGrid w:val="0"/>
              <w:jc w:val="center"/>
              <w:rPr>
                <w:color w:val="auto"/>
                <w:szCs w:val="21"/>
              </w:rPr>
            </w:pPr>
            <w:r>
              <w:rPr>
                <w:rFonts w:hint="eastAsia"/>
                <w:color w:val="auto"/>
              </w:rPr>
              <w:t>5.800915E-16</w:t>
            </w:r>
          </w:p>
        </w:tc>
      </w:tr>
      <w:tr w14:paraId="2A50B72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2439006C">
            <w:pPr>
              <w:snapToGrid w:val="0"/>
              <w:jc w:val="center"/>
              <w:rPr>
                <w:color w:val="auto"/>
                <w:szCs w:val="21"/>
              </w:rPr>
            </w:pPr>
            <w:r>
              <w:rPr>
                <w:rFonts w:hint="eastAsia"/>
                <w:color w:val="auto"/>
                <w:szCs w:val="21"/>
              </w:rPr>
              <w:t>350</w:t>
            </w:r>
          </w:p>
        </w:tc>
        <w:tc>
          <w:tcPr>
            <w:tcW w:w="1468" w:type="pct"/>
            <w:vAlign w:val="center"/>
          </w:tcPr>
          <w:p w14:paraId="544D210D">
            <w:pPr>
              <w:snapToGrid w:val="0"/>
              <w:jc w:val="center"/>
              <w:rPr>
                <w:color w:val="auto"/>
                <w:szCs w:val="21"/>
              </w:rPr>
            </w:pPr>
            <w:r>
              <w:rPr>
                <w:rFonts w:hint="eastAsia"/>
                <w:color w:val="auto"/>
                <w:szCs w:val="21"/>
              </w:rPr>
              <w:t>0</w:t>
            </w:r>
          </w:p>
        </w:tc>
        <w:tc>
          <w:tcPr>
            <w:tcW w:w="1468" w:type="pct"/>
            <w:vAlign w:val="center"/>
          </w:tcPr>
          <w:p w14:paraId="3AAB7FF1">
            <w:pPr>
              <w:snapToGrid w:val="0"/>
              <w:jc w:val="center"/>
              <w:rPr>
                <w:color w:val="auto"/>
                <w:szCs w:val="21"/>
              </w:rPr>
            </w:pPr>
            <w:r>
              <w:rPr>
                <w:rFonts w:hint="eastAsia"/>
                <w:color w:val="auto"/>
                <w:szCs w:val="21"/>
              </w:rPr>
              <w:t>0</w:t>
            </w:r>
          </w:p>
        </w:tc>
        <w:tc>
          <w:tcPr>
            <w:tcW w:w="1470" w:type="pct"/>
            <w:vAlign w:val="center"/>
          </w:tcPr>
          <w:p w14:paraId="13CA6B41">
            <w:pPr>
              <w:snapToGrid w:val="0"/>
              <w:jc w:val="center"/>
              <w:rPr>
                <w:color w:val="auto"/>
                <w:szCs w:val="21"/>
              </w:rPr>
            </w:pPr>
            <w:r>
              <w:rPr>
                <w:rFonts w:hint="eastAsia"/>
                <w:color w:val="auto"/>
              </w:rPr>
              <w:t>6.106227E-17</w:t>
            </w:r>
          </w:p>
        </w:tc>
      </w:tr>
      <w:tr w14:paraId="636792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93" w:type="pct"/>
            <w:vAlign w:val="center"/>
          </w:tcPr>
          <w:p w14:paraId="15527AD1">
            <w:pPr>
              <w:snapToGrid w:val="0"/>
              <w:jc w:val="center"/>
              <w:rPr>
                <w:color w:val="auto"/>
                <w:szCs w:val="21"/>
              </w:rPr>
            </w:pPr>
            <w:r>
              <w:rPr>
                <w:rFonts w:hint="eastAsia"/>
                <w:color w:val="auto"/>
                <w:szCs w:val="21"/>
              </w:rPr>
              <w:t>达标距离</w:t>
            </w:r>
          </w:p>
        </w:tc>
        <w:tc>
          <w:tcPr>
            <w:tcW w:w="1468" w:type="pct"/>
            <w:vAlign w:val="center"/>
          </w:tcPr>
          <w:p w14:paraId="1742069B">
            <w:pPr>
              <w:snapToGrid w:val="0"/>
              <w:jc w:val="center"/>
              <w:rPr>
                <w:color w:val="auto"/>
                <w:szCs w:val="21"/>
              </w:rPr>
            </w:pPr>
            <w:r>
              <w:rPr>
                <w:color w:val="auto"/>
                <w:szCs w:val="21"/>
              </w:rPr>
              <w:t>0.0</w:t>
            </w:r>
            <w:r>
              <w:rPr>
                <w:rFonts w:hint="eastAsia"/>
                <w:color w:val="auto"/>
                <w:szCs w:val="21"/>
                <w:lang w:val="en-US" w:eastAsia="zh-CN"/>
              </w:rPr>
              <w:t>55</w:t>
            </w:r>
            <w:r>
              <w:rPr>
                <w:rFonts w:hint="eastAsia"/>
                <w:color w:val="auto"/>
                <w:szCs w:val="21"/>
              </w:rPr>
              <w:t>（</w:t>
            </w:r>
            <w:r>
              <w:rPr>
                <w:rFonts w:hint="eastAsia"/>
                <w:color w:val="auto"/>
                <w:szCs w:val="21"/>
                <w:lang w:val="en-US" w:eastAsia="zh-CN"/>
              </w:rPr>
              <w:t>0</w:t>
            </w:r>
            <w:r>
              <w:rPr>
                <w:color w:val="auto"/>
                <w:szCs w:val="21"/>
              </w:rPr>
              <w:t>m</w:t>
            </w:r>
            <w:r>
              <w:rPr>
                <w:rFonts w:hint="eastAsia"/>
                <w:color w:val="auto"/>
                <w:szCs w:val="21"/>
              </w:rPr>
              <w:t>）</w:t>
            </w:r>
          </w:p>
        </w:tc>
        <w:tc>
          <w:tcPr>
            <w:tcW w:w="1468" w:type="pct"/>
            <w:vAlign w:val="center"/>
          </w:tcPr>
          <w:p w14:paraId="436E28A3">
            <w:pPr>
              <w:snapToGrid w:val="0"/>
              <w:jc w:val="center"/>
              <w:rPr>
                <w:color w:val="auto"/>
                <w:szCs w:val="21"/>
              </w:rPr>
            </w:pPr>
            <w:r>
              <w:rPr>
                <w:color w:val="auto"/>
                <w:szCs w:val="21"/>
              </w:rPr>
              <w:t>0.0</w:t>
            </w:r>
            <w:r>
              <w:rPr>
                <w:rFonts w:hint="eastAsia"/>
                <w:color w:val="auto"/>
                <w:szCs w:val="21"/>
                <w:lang w:val="en-US" w:eastAsia="zh-CN"/>
              </w:rPr>
              <w:t>55</w:t>
            </w:r>
            <w:r>
              <w:rPr>
                <w:rFonts w:hint="eastAsia"/>
                <w:color w:val="auto"/>
                <w:szCs w:val="21"/>
              </w:rPr>
              <w:t>（</w:t>
            </w:r>
            <w:r>
              <w:rPr>
                <w:rFonts w:hint="eastAsia"/>
                <w:color w:val="auto"/>
                <w:szCs w:val="21"/>
                <w:lang w:val="en-US" w:eastAsia="zh-CN"/>
              </w:rPr>
              <w:t>0</w:t>
            </w:r>
            <w:r>
              <w:rPr>
                <w:color w:val="auto"/>
                <w:szCs w:val="21"/>
              </w:rPr>
              <w:t>m</w:t>
            </w:r>
            <w:r>
              <w:rPr>
                <w:rFonts w:hint="eastAsia"/>
                <w:color w:val="auto"/>
                <w:szCs w:val="21"/>
              </w:rPr>
              <w:t>）</w:t>
            </w:r>
          </w:p>
        </w:tc>
        <w:tc>
          <w:tcPr>
            <w:tcW w:w="1470" w:type="pct"/>
            <w:vAlign w:val="center"/>
          </w:tcPr>
          <w:p w14:paraId="20332E40">
            <w:pPr>
              <w:snapToGrid w:val="0"/>
              <w:jc w:val="center"/>
              <w:rPr>
                <w:color w:val="auto"/>
                <w:szCs w:val="21"/>
              </w:rPr>
            </w:pPr>
            <w:r>
              <w:rPr>
                <w:color w:val="auto"/>
                <w:szCs w:val="21"/>
              </w:rPr>
              <w:t>0.0</w:t>
            </w:r>
            <w:r>
              <w:rPr>
                <w:rFonts w:hint="eastAsia"/>
                <w:color w:val="auto"/>
                <w:szCs w:val="21"/>
                <w:lang w:val="en-US" w:eastAsia="zh-CN"/>
              </w:rPr>
              <w:t>55</w:t>
            </w:r>
            <w:r>
              <w:rPr>
                <w:rFonts w:hint="eastAsia"/>
                <w:color w:val="auto"/>
                <w:szCs w:val="21"/>
              </w:rPr>
              <w:t>（</w:t>
            </w:r>
            <w:r>
              <w:rPr>
                <w:rFonts w:hint="eastAsia"/>
                <w:color w:val="auto"/>
                <w:szCs w:val="21"/>
                <w:lang w:val="en-US" w:eastAsia="zh-CN"/>
              </w:rPr>
              <w:t>0</w:t>
            </w:r>
            <w:r>
              <w:rPr>
                <w:color w:val="auto"/>
                <w:szCs w:val="21"/>
              </w:rPr>
              <w:t>m</w:t>
            </w:r>
            <w:r>
              <w:rPr>
                <w:rFonts w:hint="eastAsia"/>
                <w:color w:val="auto"/>
                <w:szCs w:val="21"/>
              </w:rPr>
              <w:t>）</w:t>
            </w:r>
          </w:p>
        </w:tc>
      </w:tr>
    </w:tbl>
    <w:p w14:paraId="577C5363">
      <w:pPr>
        <w:pStyle w:val="59"/>
        <w:spacing w:line="240" w:lineRule="auto"/>
        <w:ind w:firstLine="199" w:firstLineChars="83"/>
        <w:jc w:val="both"/>
        <w:rPr>
          <w:color w:val="auto"/>
        </w:rPr>
      </w:pPr>
      <w:r>
        <w:rPr>
          <w:color w:val="auto"/>
        </w:rPr>
        <w:drawing>
          <wp:inline distT="0" distB="0" distL="114300" distR="114300">
            <wp:extent cx="5270500" cy="3178810"/>
            <wp:effectExtent l="0" t="0" r="6350" b="2540"/>
            <wp:docPr id="12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图片 8"/>
                    <pic:cNvPicPr>
                      <a:picLocks noChangeAspect="1"/>
                    </pic:cNvPicPr>
                  </pic:nvPicPr>
                  <pic:blipFill>
                    <a:blip r:embed="rId51"/>
                    <a:stretch>
                      <a:fillRect/>
                    </a:stretch>
                  </pic:blipFill>
                  <pic:spPr>
                    <a:xfrm>
                      <a:off x="0" y="0"/>
                      <a:ext cx="5270500" cy="3178810"/>
                    </a:xfrm>
                    <a:prstGeom prst="rect">
                      <a:avLst/>
                    </a:prstGeom>
                    <a:noFill/>
                    <a:ln>
                      <a:noFill/>
                    </a:ln>
                  </pic:spPr>
                </pic:pic>
              </a:graphicData>
            </a:graphic>
          </wp:inline>
        </w:drawing>
      </w:r>
    </w:p>
    <w:p w14:paraId="235B16AE">
      <w:pPr>
        <w:pStyle w:val="76"/>
        <w:rPr>
          <w:color w:val="auto"/>
        </w:rPr>
      </w:pPr>
      <w:r>
        <w:rPr>
          <w:rFonts w:hint="eastAsia"/>
          <w:color w:val="auto"/>
        </w:rPr>
        <w:t>图5-2-</w:t>
      </w:r>
      <w:r>
        <w:rPr>
          <w:color w:val="auto"/>
        </w:rPr>
        <w:t>4</w:t>
      </w:r>
      <w:r>
        <w:rPr>
          <w:rFonts w:hint="eastAsia"/>
          <w:color w:val="auto"/>
          <w:lang w:val="en-US" w:eastAsia="zh-CN"/>
        </w:rPr>
        <w:t>氟化物</w:t>
      </w:r>
      <w:r>
        <w:rPr>
          <w:rFonts w:hint="eastAsia" w:hAnsi="宋体"/>
          <w:color w:val="auto"/>
        </w:rPr>
        <w:t>泄漏</w:t>
      </w:r>
      <w:r>
        <w:rPr>
          <w:color w:val="auto"/>
        </w:rPr>
        <w:t>100</w:t>
      </w:r>
      <w:r>
        <w:rPr>
          <w:rFonts w:hint="eastAsia"/>
          <w:color w:val="auto"/>
        </w:rPr>
        <w:t>天溶质迁移图</w:t>
      </w:r>
    </w:p>
    <w:p w14:paraId="22842DEB">
      <w:pPr>
        <w:pStyle w:val="59"/>
        <w:spacing w:line="240" w:lineRule="auto"/>
        <w:ind w:left="0" w:leftChars="0" w:firstLine="0" w:firstLineChars="0"/>
        <w:jc w:val="both"/>
        <w:rPr>
          <w:color w:val="auto"/>
        </w:rPr>
      </w:pPr>
      <w:r>
        <w:rPr>
          <w:color w:val="auto"/>
        </w:rPr>
        <w:drawing>
          <wp:inline distT="0" distB="0" distL="114300" distR="114300">
            <wp:extent cx="5274310" cy="3075305"/>
            <wp:effectExtent l="0" t="0" r="2540" b="10795"/>
            <wp:docPr id="1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图片 6"/>
                    <pic:cNvPicPr>
                      <a:picLocks noChangeAspect="1"/>
                    </pic:cNvPicPr>
                  </pic:nvPicPr>
                  <pic:blipFill>
                    <a:blip r:embed="rId52"/>
                    <a:stretch>
                      <a:fillRect/>
                    </a:stretch>
                  </pic:blipFill>
                  <pic:spPr>
                    <a:xfrm>
                      <a:off x="0" y="0"/>
                      <a:ext cx="5274310" cy="3075305"/>
                    </a:xfrm>
                    <a:prstGeom prst="rect">
                      <a:avLst/>
                    </a:prstGeom>
                    <a:noFill/>
                    <a:ln>
                      <a:noFill/>
                    </a:ln>
                  </pic:spPr>
                </pic:pic>
              </a:graphicData>
            </a:graphic>
          </wp:inline>
        </w:drawing>
      </w:r>
    </w:p>
    <w:p w14:paraId="2CA4F105">
      <w:pPr>
        <w:pStyle w:val="76"/>
        <w:rPr>
          <w:color w:val="auto"/>
        </w:rPr>
      </w:pPr>
      <w:r>
        <w:rPr>
          <w:rFonts w:hint="eastAsia"/>
          <w:color w:val="auto"/>
        </w:rPr>
        <w:t>图5-2-</w:t>
      </w:r>
      <w:r>
        <w:rPr>
          <w:color w:val="auto"/>
        </w:rPr>
        <w:t>5</w:t>
      </w:r>
      <w:r>
        <w:rPr>
          <w:rFonts w:hint="eastAsia"/>
          <w:color w:val="auto"/>
          <w:lang w:val="en-US" w:eastAsia="zh-CN"/>
        </w:rPr>
        <w:t>氟化物</w:t>
      </w:r>
      <w:r>
        <w:rPr>
          <w:rFonts w:hint="eastAsia" w:hAnsi="宋体"/>
          <w:color w:val="auto"/>
        </w:rPr>
        <w:t>泄漏</w:t>
      </w:r>
      <w:r>
        <w:rPr>
          <w:color w:val="auto"/>
        </w:rPr>
        <w:t>1000</w:t>
      </w:r>
      <w:r>
        <w:rPr>
          <w:rFonts w:hint="eastAsia"/>
          <w:color w:val="auto"/>
        </w:rPr>
        <w:t>天溶质迁移图</w:t>
      </w:r>
    </w:p>
    <w:p w14:paraId="34D4EB97">
      <w:pPr>
        <w:pStyle w:val="59"/>
        <w:spacing w:line="240" w:lineRule="auto"/>
        <w:ind w:left="0" w:leftChars="0" w:firstLine="0" w:firstLineChars="0"/>
        <w:jc w:val="both"/>
        <w:rPr>
          <w:color w:val="auto"/>
        </w:rPr>
      </w:pPr>
      <w:r>
        <w:rPr>
          <w:color w:val="auto"/>
        </w:rPr>
        <w:drawing>
          <wp:inline distT="0" distB="0" distL="114300" distR="114300">
            <wp:extent cx="5270500" cy="3187700"/>
            <wp:effectExtent l="0" t="0" r="6350" b="12700"/>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53"/>
                    <a:stretch>
                      <a:fillRect/>
                    </a:stretch>
                  </pic:blipFill>
                  <pic:spPr>
                    <a:xfrm>
                      <a:off x="0" y="0"/>
                      <a:ext cx="5270500" cy="3187700"/>
                    </a:xfrm>
                    <a:prstGeom prst="rect">
                      <a:avLst/>
                    </a:prstGeom>
                    <a:noFill/>
                    <a:ln>
                      <a:noFill/>
                    </a:ln>
                  </pic:spPr>
                </pic:pic>
              </a:graphicData>
            </a:graphic>
          </wp:inline>
        </w:drawing>
      </w:r>
    </w:p>
    <w:p w14:paraId="382D8E20">
      <w:pPr>
        <w:pStyle w:val="76"/>
        <w:rPr>
          <w:color w:val="auto"/>
        </w:rPr>
      </w:pPr>
      <w:r>
        <w:rPr>
          <w:rFonts w:hint="eastAsia"/>
          <w:color w:val="auto"/>
        </w:rPr>
        <w:t>图5-2-</w:t>
      </w:r>
      <w:r>
        <w:rPr>
          <w:color w:val="auto"/>
        </w:rPr>
        <w:t>6</w:t>
      </w:r>
      <w:r>
        <w:rPr>
          <w:rFonts w:hint="eastAsia"/>
          <w:color w:val="auto"/>
          <w:lang w:val="en-US" w:eastAsia="zh-CN"/>
        </w:rPr>
        <w:t>氟化物</w:t>
      </w:r>
      <w:r>
        <w:rPr>
          <w:rFonts w:hint="eastAsia" w:hAnsi="宋体"/>
          <w:color w:val="auto"/>
        </w:rPr>
        <w:t>泄漏</w:t>
      </w:r>
      <w:r>
        <w:rPr>
          <w:rFonts w:hint="eastAsia"/>
          <w:color w:val="auto"/>
          <w:lang w:val="en-US" w:eastAsia="zh-CN"/>
        </w:rPr>
        <w:t>1095</w:t>
      </w:r>
      <w:r>
        <w:rPr>
          <w:rFonts w:hint="eastAsia"/>
          <w:color w:val="auto"/>
        </w:rPr>
        <w:t>天溶质迁移图</w:t>
      </w:r>
    </w:p>
    <w:p w14:paraId="3B92D4D2">
      <w:pPr>
        <w:pStyle w:val="59"/>
        <w:ind w:firstLine="480"/>
        <w:rPr>
          <w:rFonts w:hint="eastAsia"/>
          <w:color w:val="auto"/>
          <w:highlight w:val="none"/>
        </w:rPr>
      </w:pPr>
      <w:r>
        <w:rPr>
          <w:rFonts w:hint="eastAsia"/>
          <w:color w:val="auto"/>
          <w:lang w:val="en-US" w:eastAsia="zh-CN"/>
        </w:rPr>
        <w:t>铅、氟化物在水动力条件作用下随着时间的增长，渗漏点位置污染物通过地下水径流向下游迁移，在运移100d时，距离污染源13m地下水铅浓度满足《地下水质量标准》（GB/T14848-2017）</w:t>
      </w:r>
      <w:r>
        <w:rPr>
          <w:rFonts w:hint="eastAsia"/>
          <w:color w:val="auto"/>
          <w:lang w:val="en-US" w:eastAsia="zh-CN"/>
        </w:rPr>
        <w:fldChar w:fldCharType="begin"/>
      </w:r>
      <w:r>
        <w:rPr>
          <w:rFonts w:hint="eastAsia"/>
          <w:color w:val="auto"/>
          <w:lang w:val="en-US" w:eastAsia="zh-CN"/>
        </w:rPr>
        <w:instrText xml:space="preserve"> = 3 \* ROMAN </w:instrText>
      </w:r>
      <w:r>
        <w:rPr>
          <w:rFonts w:hint="eastAsia"/>
          <w:color w:val="auto"/>
          <w:lang w:val="en-US" w:eastAsia="zh-CN"/>
        </w:rPr>
        <w:fldChar w:fldCharType="separate"/>
      </w:r>
      <w:r>
        <w:rPr>
          <w:rFonts w:hint="eastAsia"/>
          <w:color w:val="auto"/>
          <w:lang w:val="en-US" w:eastAsia="zh-CN"/>
        </w:rPr>
        <w:t>III</w:t>
      </w:r>
      <w:r>
        <w:rPr>
          <w:rFonts w:hint="eastAsia"/>
          <w:color w:val="auto"/>
          <w:lang w:val="en-US" w:eastAsia="zh-CN"/>
        </w:rPr>
        <w:fldChar w:fldCharType="end"/>
      </w:r>
      <w:r>
        <w:rPr>
          <w:rFonts w:hint="eastAsia"/>
          <w:color w:val="auto"/>
          <w:lang w:val="en-US" w:eastAsia="zh-CN"/>
        </w:rPr>
        <w:t>类水标准的规定，距离污染源1m地下水氟化物浓度满足《地下水质量标准》（GB/T14848-2017）</w:t>
      </w:r>
      <w:r>
        <w:rPr>
          <w:rFonts w:hint="eastAsia"/>
          <w:color w:val="auto"/>
          <w:lang w:val="en-US" w:eastAsia="zh-CN"/>
        </w:rPr>
        <w:fldChar w:fldCharType="begin"/>
      </w:r>
      <w:r>
        <w:rPr>
          <w:rFonts w:hint="eastAsia"/>
          <w:color w:val="auto"/>
          <w:lang w:val="en-US" w:eastAsia="zh-CN"/>
        </w:rPr>
        <w:instrText xml:space="preserve"> = 3 \* ROMAN </w:instrText>
      </w:r>
      <w:r>
        <w:rPr>
          <w:rFonts w:hint="eastAsia"/>
          <w:color w:val="auto"/>
          <w:lang w:val="en-US" w:eastAsia="zh-CN"/>
        </w:rPr>
        <w:fldChar w:fldCharType="separate"/>
      </w:r>
      <w:r>
        <w:rPr>
          <w:rFonts w:hint="eastAsia"/>
          <w:color w:val="auto"/>
          <w:lang w:val="en-US" w:eastAsia="zh-CN"/>
        </w:rPr>
        <w:t>III</w:t>
      </w:r>
      <w:r>
        <w:rPr>
          <w:rFonts w:hint="eastAsia"/>
          <w:color w:val="auto"/>
          <w:lang w:val="en-US" w:eastAsia="zh-CN"/>
        </w:rPr>
        <w:fldChar w:fldCharType="end"/>
      </w:r>
      <w:r>
        <w:rPr>
          <w:rFonts w:hint="eastAsia"/>
          <w:color w:val="auto"/>
          <w:lang w:val="en-US" w:eastAsia="zh-CN"/>
        </w:rPr>
        <w:t>类水标准的规定；在运移1000d时，距离污染源13m地下水总铅浓度满足《地下水质量标准》（GB/T14848-2017）</w:t>
      </w:r>
      <w:r>
        <w:rPr>
          <w:rFonts w:hint="eastAsia"/>
          <w:color w:val="auto"/>
          <w:lang w:val="en-US" w:eastAsia="zh-CN"/>
        </w:rPr>
        <w:fldChar w:fldCharType="begin"/>
      </w:r>
      <w:r>
        <w:rPr>
          <w:rFonts w:hint="eastAsia"/>
          <w:color w:val="auto"/>
          <w:lang w:val="en-US" w:eastAsia="zh-CN"/>
        </w:rPr>
        <w:instrText xml:space="preserve"> = 3 \* ROMAN </w:instrText>
      </w:r>
      <w:r>
        <w:rPr>
          <w:rFonts w:hint="eastAsia"/>
          <w:color w:val="auto"/>
          <w:lang w:val="en-US" w:eastAsia="zh-CN"/>
        </w:rPr>
        <w:fldChar w:fldCharType="separate"/>
      </w:r>
      <w:r>
        <w:rPr>
          <w:rFonts w:hint="eastAsia"/>
          <w:color w:val="auto"/>
          <w:lang w:val="en-US" w:eastAsia="zh-CN"/>
        </w:rPr>
        <w:t>III</w:t>
      </w:r>
      <w:r>
        <w:rPr>
          <w:rFonts w:hint="eastAsia"/>
          <w:color w:val="auto"/>
          <w:lang w:val="en-US" w:eastAsia="zh-CN"/>
        </w:rPr>
        <w:fldChar w:fldCharType="end"/>
      </w:r>
      <w:r>
        <w:rPr>
          <w:rFonts w:hint="eastAsia"/>
          <w:color w:val="auto"/>
          <w:lang w:val="en-US" w:eastAsia="zh-CN"/>
        </w:rPr>
        <w:t>类水标准的规定，距离污染源1m地下水氟化物浓度满足《地下水质量标准》</w:t>
      </w:r>
      <w:r>
        <w:rPr>
          <w:rFonts w:hint="eastAsia"/>
          <w:color w:val="auto"/>
        </w:rPr>
        <w:t>（GB/T14848-2017）</w:t>
      </w:r>
      <w:r>
        <w:rPr>
          <w:rFonts w:hint="eastAsia"/>
          <w:color w:val="auto"/>
        </w:rPr>
        <w:fldChar w:fldCharType="begin"/>
      </w:r>
      <w:r>
        <w:rPr>
          <w:rFonts w:hint="eastAsia"/>
          <w:color w:val="auto"/>
        </w:rPr>
        <w:instrText xml:space="preserve"> = 3 \* ROMAN </w:instrText>
      </w:r>
      <w:r>
        <w:rPr>
          <w:rFonts w:hint="eastAsia"/>
          <w:color w:val="auto"/>
        </w:rPr>
        <w:fldChar w:fldCharType="separate"/>
      </w:r>
      <w:r>
        <w:rPr>
          <w:rFonts w:hint="eastAsia"/>
          <w:color w:val="auto"/>
        </w:rPr>
        <w:t>III</w:t>
      </w:r>
      <w:r>
        <w:rPr>
          <w:rFonts w:hint="eastAsia"/>
          <w:color w:val="auto"/>
        </w:rPr>
        <w:fldChar w:fldCharType="end"/>
      </w:r>
      <w:r>
        <w:rPr>
          <w:rFonts w:hint="eastAsia"/>
          <w:color w:val="auto"/>
        </w:rPr>
        <w:t>类水标准的规定；在运移</w:t>
      </w:r>
      <w:r>
        <w:rPr>
          <w:rFonts w:hint="eastAsia"/>
          <w:color w:val="auto"/>
          <w:lang w:val="en-US" w:eastAsia="zh-CN"/>
        </w:rPr>
        <w:t>1095</w:t>
      </w:r>
      <w:r>
        <w:rPr>
          <w:rFonts w:hint="eastAsia"/>
          <w:color w:val="auto"/>
        </w:rPr>
        <w:t>d时，距离污染源5</w:t>
      </w:r>
      <w:r>
        <w:rPr>
          <w:rFonts w:hint="eastAsia"/>
          <w:color w:val="auto"/>
          <w:lang w:val="en-US" w:eastAsia="zh-CN"/>
        </w:rPr>
        <w:t>1</w:t>
      </w:r>
      <w:r>
        <w:rPr>
          <w:rFonts w:hint="eastAsia"/>
          <w:color w:val="auto"/>
        </w:rPr>
        <w:t>m地下水</w:t>
      </w:r>
      <w:r>
        <w:rPr>
          <w:rFonts w:hint="eastAsia"/>
          <w:color w:val="auto"/>
          <w:lang w:val="en-US" w:eastAsia="zh-CN"/>
        </w:rPr>
        <w:t>铅</w:t>
      </w:r>
      <w:r>
        <w:rPr>
          <w:rFonts w:hint="eastAsia"/>
          <w:color w:val="auto"/>
        </w:rPr>
        <w:t>浓度满足《地下水质量标准》（GB/T14848-2017）</w:t>
      </w:r>
      <w:r>
        <w:rPr>
          <w:rFonts w:hint="eastAsia"/>
          <w:color w:val="auto"/>
        </w:rPr>
        <w:fldChar w:fldCharType="begin"/>
      </w:r>
      <w:r>
        <w:rPr>
          <w:rFonts w:hint="eastAsia"/>
          <w:color w:val="auto"/>
        </w:rPr>
        <w:instrText xml:space="preserve"> = 3 \* ROMAN </w:instrText>
      </w:r>
      <w:r>
        <w:rPr>
          <w:rFonts w:hint="eastAsia"/>
          <w:color w:val="auto"/>
        </w:rPr>
        <w:fldChar w:fldCharType="separate"/>
      </w:r>
      <w:r>
        <w:rPr>
          <w:rFonts w:hint="eastAsia"/>
          <w:color w:val="auto"/>
        </w:rPr>
        <w:t>III</w:t>
      </w:r>
      <w:r>
        <w:rPr>
          <w:rFonts w:hint="eastAsia"/>
          <w:color w:val="auto"/>
        </w:rPr>
        <w:fldChar w:fldCharType="end"/>
      </w:r>
      <w:r>
        <w:rPr>
          <w:rFonts w:hint="eastAsia"/>
          <w:color w:val="auto"/>
        </w:rPr>
        <w:t>类水标准的规定，距离污染源</w:t>
      </w:r>
      <w:r>
        <w:rPr>
          <w:rFonts w:hint="eastAsia"/>
          <w:color w:val="auto"/>
          <w:lang w:val="en-US" w:eastAsia="zh-CN"/>
        </w:rPr>
        <w:t>1</w:t>
      </w:r>
      <w:r>
        <w:rPr>
          <w:rFonts w:hint="eastAsia"/>
          <w:color w:val="auto"/>
        </w:rPr>
        <w:t>m地下水</w:t>
      </w:r>
      <w:r>
        <w:rPr>
          <w:rFonts w:hint="eastAsia"/>
          <w:color w:val="auto"/>
          <w:lang w:val="en-US" w:eastAsia="zh-CN"/>
        </w:rPr>
        <w:t>氟化物</w:t>
      </w:r>
      <w:r>
        <w:rPr>
          <w:rFonts w:hint="eastAsia"/>
          <w:color w:val="auto"/>
        </w:rPr>
        <w:t>浓度满足《地下水质量标准》（GB/T14848-2017）</w:t>
      </w:r>
      <w:r>
        <w:rPr>
          <w:rFonts w:hint="eastAsia"/>
          <w:color w:val="auto"/>
        </w:rPr>
        <w:fldChar w:fldCharType="begin"/>
      </w:r>
      <w:r>
        <w:rPr>
          <w:rFonts w:hint="eastAsia"/>
          <w:color w:val="auto"/>
        </w:rPr>
        <w:instrText xml:space="preserve"> = 3 \* ROMAN </w:instrText>
      </w:r>
      <w:r>
        <w:rPr>
          <w:rFonts w:hint="eastAsia"/>
          <w:color w:val="auto"/>
        </w:rPr>
        <w:fldChar w:fldCharType="separate"/>
      </w:r>
      <w:r>
        <w:rPr>
          <w:rFonts w:hint="eastAsia"/>
          <w:color w:val="auto"/>
        </w:rPr>
        <w:t>III</w:t>
      </w:r>
      <w:r>
        <w:rPr>
          <w:rFonts w:hint="eastAsia"/>
          <w:color w:val="auto"/>
        </w:rPr>
        <w:fldChar w:fldCharType="end"/>
      </w:r>
      <w:r>
        <w:rPr>
          <w:rFonts w:hint="eastAsia"/>
          <w:color w:val="auto"/>
        </w:rPr>
        <w:t>类水标准的</w:t>
      </w:r>
      <w:r>
        <w:rPr>
          <w:rFonts w:hint="eastAsia"/>
          <w:color w:val="auto"/>
          <w:highlight w:val="none"/>
        </w:rPr>
        <w:t>规定。评价范围内地下水下游方向</w:t>
      </w:r>
      <w:r>
        <w:rPr>
          <w:rFonts w:hint="eastAsia"/>
          <w:color w:val="auto"/>
          <w:highlight w:val="none"/>
          <w:lang w:val="en-US" w:eastAsia="zh-CN"/>
        </w:rPr>
        <w:t>51</w:t>
      </w:r>
      <w:r>
        <w:rPr>
          <w:rFonts w:hint="eastAsia"/>
          <w:color w:val="auto"/>
          <w:highlight w:val="none"/>
        </w:rPr>
        <w:t>m范围内无饮用水源，不会对区域地下水带来影响。结合环境风险评估报告，项目</w:t>
      </w:r>
      <w:r>
        <w:rPr>
          <w:rFonts w:hint="eastAsia"/>
          <w:color w:val="auto"/>
          <w:highlight w:val="none"/>
          <w:lang w:val="en-US" w:eastAsia="zh-CN"/>
        </w:rPr>
        <w:t>灰渣</w:t>
      </w:r>
      <w:r>
        <w:rPr>
          <w:rFonts w:hint="eastAsia"/>
          <w:color w:val="auto"/>
          <w:highlight w:val="none"/>
        </w:rPr>
        <w:t>中可溶性重金属含量较低，对地下水水质的影响轻微，淋溶水不会对地下水环境造成明显影响，对周边环境风险可接受。</w:t>
      </w:r>
    </w:p>
    <w:p w14:paraId="191057F3">
      <w:pPr>
        <w:pStyle w:val="137"/>
        <w:rPr>
          <w:color w:val="auto"/>
          <w:highlight w:val="none"/>
        </w:rPr>
      </w:pPr>
      <w:r>
        <w:rPr>
          <w:color w:val="auto"/>
          <w:highlight w:val="none"/>
        </w:rPr>
        <w:t>5.2.4声环境影响预测与分析</w:t>
      </w:r>
    </w:p>
    <w:p w14:paraId="78F9E12B">
      <w:pPr>
        <w:pStyle w:val="59"/>
        <w:ind w:firstLine="480"/>
        <w:rPr>
          <w:color w:val="auto"/>
        </w:rPr>
      </w:pPr>
      <w:r>
        <w:rPr>
          <w:rFonts w:hint="eastAsia"/>
          <w:color w:val="auto"/>
        </w:rPr>
        <w:t>依据主要噪声设备噪声源强，考虑室外声波传播条件、气象参数及有关资料，采用《环境影响评价技术导则</w:t>
      </w:r>
      <w:r>
        <w:rPr>
          <w:color w:val="auto"/>
        </w:rPr>
        <w:t xml:space="preserve"> 声环境》(HJ2.4-2021)中推荐的预测方法进行预测。</w:t>
      </w:r>
    </w:p>
    <w:p w14:paraId="32A6FEAD">
      <w:pPr>
        <w:pStyle w:val="135"/>
        <w:rPr>
          <w:color w:val="auto"/>
        </w:rPr>
      </w:pPr>
      <w:r>
        <w:rPr>
          <w:rFonts w:hint="eastAsia"/>
          <w:color w:val="auto"/>
        </w:rPr>
        <w:t>5.2.4.1</w:t>
      </w:r>
      <w:r>
        <w:rPr>
          <w:color w:val="auto"/>
        </w:rPr>
        <w:t>噪声源</w:t>
      </w:r>
      <w:r>
        <w:rPr>
          <w:rFonts w:hint="eastAsia"/>
          <w:color w:val="auto"/>
        </w:rPr>
        <w:t>强</w:t>
      </w:r>
    </w:p>
    <w:p w14:paraId="5E243254">
      <w:pPr>
        <w:pStyle w:val="59"/>
        <w:ind w:firstLine="480"/>
        <w:rPr>
          <w:color w:val="auto"/>
        </w:rPr>
      </w:pPr>
      <w:r>
        <w:rPr>
          <w:rFonts w:hint="eastAsia"/>
          <w:color w:val="auto"/>
        </w:rPr>
        <w:t>本项目产生噪声的设备主要有洒水车和作业机械。</w:t>
      </w:r>
    </w:p>
    <w:p w14:paraId="0BE56B44">
      <w:pPr>
        <w:pStyle w:val="76"/>
        <w:rPr>
          <w:color w:val="auto"/>
        </w:rPr>
      </w:pPr>
      <w:r>
        <w:rPr>
          <w:color w:val="auto"/>
        </w:rPr>
        <w:t>表5-2-9噪声源强调查清单（室外声源</w:t>
      </w:r>
      <w:r>
        <w:rPr>
          <w:rFonts w:hint="eastAsia"/>
          <w:color w:val="auto"/>
        </w:rPr>
        <w:t>移动源</w:t>
      </w:r>
      <w:r>
        <w:rPr>
          <w:color w:val="auto"/>
        </w:rPr>
        <w:t>）</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01"/>
        <w:gridCol w:w="1900"/>
        <w:gridCol w:w="598"/>
        <w:gridCol w:w="485"/>
        <w:gridCol w:w="478"/>
        <w:gridCol w:w="500"/>
        <w:gridCol w:w="1733"/>
        <w:gridCol w:w="1244"/>
        <w:gridCol w:w="767"/>
      </w:tblGrid>
      <w:tr w14:paraId="103492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11" w:hRule="exact"/>
        </w:trPr>
        <w:tc>
          <w:tcPr>
            <w:tcW w:w="362" w:type="pct"/>
            <w:vMerge w:val="restart"/>
            <w:vAlign w:val="center"/>
          </w:tcPr>
          <w:p w14:paraId="6011DC7A">
            <w:pPr>
              <w:pStyle w:val="84"/>
              <w:rPr>
                <w:rFonts w:ascii="Times New Roman" w:hAnsi="Times New Roman"/>
                <w:color w:val="auto"/>
              </w:rPr>
            </w:pPr>
            <w:bookmarkStart w:id="155" w:name="PT_5"/>
            <w:r>
              <w:rPr>
                <w:rFonts w:ascii="Times New Roman" w:hAnsi="Times New Roman"/>
                <w:color w:val="auto"/>
              </w:rPr>
              <w:t>序号</w:t>
            </w:r>
          </w:p>
        </w:tc>
        <w:tc>
          <w:tcPr>
            <w:tcW w:w="1144" w:type="pct"/>
            <w:vMerge w:val="restart"/>
            <w:vAlign w:val="center"/>
          </w:tcPr>
          <w:p w14:paraId="347D06D7">
            <w:pPr>
              <w:pStyle w:val="84"/>
              <w:rPr>
                <w:rFonts w:ascii="Times New Roman" w:hAnsi="Times New Roman"/>
                <w:color w:val="auto"/>
              </w:rPr>
            </w:pPr>
            <w:r>
              <w:rPr>
                <w:rFonts w:ascii="Times New Roman" w:hAnsi="Times New Roman"/>
                <w:color w:val="auto"/>
              </w:rPr>
              <w:t>声源名称</w:t>
            </w:r>
          </w:p>
        </w:tc>
        <w:tc>
          <w:tcPr>
            <w:tcW w:w="360" w:type="pct"/>
            <w:vMerge w:val="restart"/>
            <w:vAlign w:val="center"/>
          </w:tcPr>
          <w:p w14:paraId="06D5E43A">
            <w:pPr>
              <w:pStyle w:val="84"/>
              <w:rPr>
                <w:rFonts w:ascii="Times New Roman" w:hAnsi="Times New Roman"/>
                <w:color w:val="auto"/>
              </w:rPr>
            </w:pPr>
            <w:r>
              <w:rPr>
                <w:rFonts w:ascii="Times New Roman" w:hAnsi="Times New Roman"/>
                <w:color w:val="auto"/>
              </w:rPr>
              <w:t>型号</w:t>
            </w:r>
          </w:p>
        </w:tc>
        <w:tc>
          <w:tcPr>
            <w:tcW w:w="881" w:type="pct"/>
            <w:gridSpan w:val="3"/>
            <w:vAlign w:val="center"/>
          </w:tcPr>
          <w:p w14:paraId="277B46D3">
            <w:pPr>
              <w:pStyle w:val="84"/>
              <w:rPr>
                <w:rFonts w:ascii="Times New Roman" w:hAnsi="Times New Roman"/>
                <w:color w:val="auto"/>
              </w:rPr>
            </w:pPr>
            <w:r>
              <w:rPr>
                <w:rFonts w:ascii="Times New Roman" w:hAnsi="Times New Roman"/>
                <w:color w:val="auto"/>
              </w:rPr>
              <w:t>空间相对位置/m</w:t>
            </w:r>
          </w:p>
        </w:tc>
        <w:tc>
          <w:tcPr>
            <w:tcW w:w="1043" w:type="pct"/>
            <w:vAlign w:val="center"/>
          </w:tcPr>
          <w:p w14:paraId="31BEFD3E">
            <w:pPr>
              <w:pStyle w:val="84"/>
              <w:rPr>
                <w:rFonts w:ascii="Times New Roman" w:hAnsi="Times New Roman"/>
                <w:color w:val="auto"/>
              </w:rPr>
            </w:pPr>
            <w:r>
              <w:rPr>
                <w:rFonts w:ascii="Times New Roman" w:hAnsi="Times New Roman"/>
                <w:color w:val="auto"/>
              </w:rPr>
              <w:t>声源源强</w:t>
            </w:r>
          </w:p>
        </w:tc>
        <w:tc>
          <w:tcPr>
            <w:tcW w:w="749" w:type="pct"/>
            <w:vMerge w:val="restart"/>
            <w:vAlign w:val="center"/>
          </w:tcPr>
          <w:p w14:paraId="7B4331AB">
            <w:pPr>
              <w:pStyle w:val="84"/>
              <w:rPr>
                <w:rFonts w:ascii="Times New Roman" w:hAnsi="Times New Roman"/>
                <w:color w:val="auto"/>
              </w:rPr>
            </w:pPr>
            <w:r>
              <w:rPr>
                <w:rFonts w:ascii="Times New Roman" w:hAnsi="Times New Roman"/>
                <w:color w:val="auto"/>
              </w:rPr>
              <w:t>声源控制措施</w:t>
            </w:r>
          </w:p>
        </w:tc>
        <w:tc>
          <w:tcPr>
            <w:tcW w:w="461" w:type="pct"/>
            <w:vMerge w:val="restart"/>
            <w:vAlign w:val="center"/>
          </w:tcPr>
          <w:p w14:paraId="258BE74C">
            <w:pPr>
              <w:pStyle w:val="84"/>
              <w:rPr>
                <w:rFonts w:ascii="Times New Roman" w:hAnsi="Times New Roman"/>
                <w:color w:val="auto"/>
              </w:rPr>
            </w:pPr>
            <w:r>
              <w:rPr>
                <w:rFonts w:ascii="Times New Roman" w:hAnsi="Times New Roman"/>
                <w:color w:val="auto"/>
              </w:rPr>
              <w:t>运行时段</w:t>
            </w:r>
          </w:p>
        </w:tc>
      </w:tr>
      <w:tr w14:paraId="3BC8DA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40" w:hRule="atLeast"/>
        </w:trPr>
        <w:tc>
          <w:tcPr>
            <w:tcW w:w="362" w:type="pct"/>
            <w:vMerge w:val="continue"/>
            <w:vAlign w:val="center"/>
          </w:tcPr>
          <w:p w14:paraId="3457F68E">
            <w:pPr>
              <w:pStyle w:val="84"/>
              <w:rPr>
                <w:rFonts w:ascii="Times New Roman" w:hAnsi="Times New Roman"/>
                <w:color w:val="auto"/>
              </w:rPr>
            </w:pPr>
          </w:p>
        </w:tc>
        <w:tc>
          <w:tcPr>
            <w:tcW w:w="1144" w:type="pct"/>
            <w:vMerge w:val="continue"/>
            <w:vAlign w:val="center"/>
          </w:tcPr>
          <w:p w14:paraId="70A1843B">
            <w:pPr>
              <w:pStyle w:val="84"/>
              <w:rPr>
                <w:rFonts w:ascii="Times New Roman" w:hAnsi="Times New Roman"/>
                <w:color w:val="auto"/>
              </w:rPr>
            </w:pPr>
          </w:p>
        </w:tc>
        <w:tc>
          <w:tcPr>
            <w:tcW w:w="360" w:type="pct"/>
            <w:vMerge w:val="continue"/>
            <w:vAlign w:val="center"/>
          </w:tcPr>
          <w:p w14:paraId="6F41562C">
            <w:pPr>
              <w:pStyle w:val="84"/>
              <w:rPr>
                <w:rFonts w:ascii="Times New Roman" w:hAnsi="Times New Roman"/>
                <w:color w:val="auto"/>
              </w:rPr>
            </w:pPr>
          </w:p>
        </w:tc>
        <w:tc>
          <w:tcPr>
            <w:tcW w:w="292" w:type="pct"/>
            <w:vAlign w:val="center"/>
          </w:tcPr>
          <w:p w14:paraId="6EC8F095">
            <w:pPr>
              <w:pStyle w:val="84"/>
              <w:rPr>
                <w:rFonts w:ascii="Times New Roman" w:hAnsi="Times New Roman"/>
                <w:color w:val="auto"/>
              </w:rPr>
            </w:pPr>
            <w:r>
              <w:rPr>
                <w:rFonts w:ascii="Times New Roman" w:hAnsi="Times New Roman"/>
                <w:color w:val="auto"/>
              </w:rPr>
              <w:t>X</w:t>
            </w:r>
          </w:p>
        </w:tc>
        <w:tc>
          <w:tcPr>
            <w:tcW w:w="288" w:type="pct"/>
            <w:vAlign w:val="center"/>
          </w:tcPr>
          <w:p w14:paraId="31E700FE">
            <w:pPr>
              <w:pStyle w:val="84"/>
              <w:rPr>
                <w:rFonts w:ascii="Times New Roman" w:hAnsi="Times New Roman"/>
                <w:color w:val="auto"/>
              </w:rPr>
            </w:pPr>
            <w:r>
              <w:rPr>
                <w:rFonts w:ascii="Times New Roman" w:hAnsi="Times New Roman"/>
                <w:color w:val="auto"/>
              </w:rPr>
              <w:t>Y</w:t>
            </w:r>
          </w:p>
        </w:tc>
        <w:tc>
          <w:tcPr>
            <w:tcW w:w="301" w:type="pct"/>
            <w:vAlign w:val="center"/>
          </w:tcPr>
          <w:p w14:paraId="60AEADD1">
            <w:pPr>
              <w:pStyle w:val="84"/>
              <w:rPr>
                <w:rFonts w:ascii="Times New Roman" w:hAnsi="Times New Roman"/>
                <w:color w:val="auto"/>
              </w:rPr>
            </w:pPr>
            <w:r>
              <w:rPr>
                <w:rFonts w:ascii="Times New Roman" w:hAnsi="Times New Roman"/>
                <w:color w:val="auto"/>
              </w:rPr>
              <w:t>Z</w:t>
            </w:r>
          </w:p>
        </w:tc>
        <w:tc>
          <w:tcPr>
            <w:tcW w:w="1043" w:type="pct"/>
            <w:vAlign w:val="center"/>
          </w:tcPr>
          <w:p w14:paraId="0282C1FC">
            <w:pPr>
              <w:pStyle w:val="84"/>
              <w:rPr>
                <w:rFonts w:ascii="Times New Roman" w:hAnsi="Times New Roman"/>
                <w:color w:val="auto"/>
              </w:rPr>
            </w:pPr>
            <w:r>
              <w:rPr>
                <w:rFonts w:ascii="Times New Roman" w:hAnsi="Times New Roman"/>
                <w:color w:val="auto"/>
              </w:rPr>
              <w:t>声功率级dB(A)</w:t>
            </w:r>
          </w:p>
        </w:tc>
        <w:tc>
          <w:tcPr>
            <w:tcW w:w="749" w:type="pct"/>
            <w:vMerge w:val="continue"/>
            <w:vAlign w:val="center"/>
          </w:tcPr>
          <w:p w14:paraId="19F379F0">
            <w:pPr>
              <w:pStyle w:val="84"/>
              <w:rPr>
                <w:rFonts w:ascii="Times New Roman" w:hAnsi="Times New Roman"/>
                <w:color w:val="auto"/>
              </w:rPr>
            </w:pPr>
          </w:p>
        </w:tc>
        <w:tc>
          <w:tcPr>
            <w:tcW w:w="461" w:type="pct"/>
            <w:vMerge w:val="continue"/>
            <w:vAlign w:val="center"/>
          </w:tcPr>
          <w:p w14:paraId="7D29CCF5">
            <w:pPr>
              <w:pStyle w:val="84"/>
              <w:rPr>
                <w:rFonts w:ascii="Times New Roman" w:hAnsi="Times New Roman"/>
                <w:color w:val="auto"/>
              </w:rPr>
            </w:pPr>
          </w:p>
        </w:tc>
      </w:tr>
      <w:tr w14:paraId="0916A3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62" w:type="pct"/>
            <w:vAlign w:val="center"/>
          </w:tcPr>
          <w:p w14:paraId="08A7EDEA">
            <w:pPr>
              <w:pStyle w:val="84"/>
              <w:rPr>
                <w:rFonts w:ascii="Times New Roman" w:hAnsi="Times New Roman"/>
                <w:color w:val="auto"/>
              </w:rPr>
            </w:pPr>
            <w:r>
              <w:rPr>
                <w:rFonts w:ascii="Times New Roman" w:hAnsi="Times New Roman"/>
                <w:color w:val="auto"/>
              </w:rPr>
              <w:t>1</w:t>
            </w:r>
          </w:p>
        </w:tc>
        <w:tc>
          <w:tcPr>
            <w:tcW w:w="1144" w:type="pct"/>
            <w:vAlign w:val="center"/>
          </w:tcPr>
          <w:p w14:paraId="57E1F558">
            <w:pPr>
              <w:pStyle w:val="84"/>
              <w:rPr>
                <w:rFonts w:ascii="Times New Roman" w:hAnsi="Times New Roman"/>
                <w:color w:val="auto"/>
              </w:rPr>
            </w:pPr>
            <w:r>
              <w:rPr>
                <w:rFonts w:ascii="Times New Roman" w:hAnsi="Times New Roman"/>
                <w:color w:val="auto"/>
              </w:rPr>
              <w:t>推土机</w:t>
            </w:r>
          </w:p>
        </w:tc>
        <w:tc>
          <w:tcPr>
            <w:tcW w:w="360" w:type="pct"/>
            <w:vAlign w:val="center"/>
          </w:tcPr>
          <w:p w14:paraId="21F8435D">
            <w:pPr>
              <w:pStyle w:val="84"/>
              <w:rPr>
                <w:rFonts w:ascii="Times New Roman" w:hAnsi="Times New Roman"/>
                <w:color w:val="auto"/>
              </w:rPr>
            </w:pPr>
            <w:r>
              <w:rPr>
                <w:rFonts w:ascii="Times New Roman" w:hAnsi="Times New Roman"/>
                <w:color w:val="auto"/>
              </w:rPr>
              <w:t>/</w:t>
            </w:r>
          </w:p>
        </w:tc>
        <w:tc>
          <w:tcPr>
            <w:tcW w:w="292" w:type="pct"/>
            <w:vAlign w:val="center"/>
          </w:tcPr>
          <w:p w14:paraId="7CF6EA4F">
            <w:pPr>
              <w:pStyle w:val="84"/>
              <w:rPr>
                <w:rFonts w:ascii="Times New Roman" w:hAnsi="Times New Roman"/>
                <w:color w:val="auto"/>
              </w:rPr>
            </w:pPr>
            <w:r>
              <w:rPr>
                <w:rFonts w:ascii="Times New Roman" w:hAnsi="Times New Roman"/>
                <w:color w:val="auto"/>
              </w:rPr>
              <w:t>/</w:t>
            </w:r>
          </w:p>
        </w:tc>
        <w:tc>
          <w:tcPr>
            <w:tcW w:w="288" w:type="pct"/>
            <w:vAlign w:val="center"/>
          </w:tcPr>
          <w:p w14:paraId="4AF8B81E">
            <w:pPr>
              <w:pStyle w:val="84"/>
              <w:rPr>
                <w:rFonts w:ascii="Times New Roman" w:hAnsi="Times New Roman"/>
                <w:color w:val="auto"/>
              </w:rPr>
            </w:pPr>
            <w:r>
              <w:rPr>
                <w:rFonts w:ascii="Times New Roman" w:hAnsi="Times New Roman"/>
                <w:color w:val="auto"/>
              </w:rPr>
              <w:t>/</w:t>
            </w:r>
          </w:p>
        </w:tc>
        <w:tc>
          <w:tcPr>
            <w:tcW w:w="301" w:type="pct"/>
            <w:vAlign w:val="center"/>
          </w:tcPr>
          <w:p w14:paraId="2CB45692">
            <w:pPr>
              <w:pStyle w:val="84"/>
              <w:rPr>
                <w:rFonts w:ascii="Times New Roman" w:hAnsi="Times New Roman"/>
                <w:color w:val="auto"/>
              </w:rPr>
            </w:pPr>
            <w:r>
              <w:rPr>
                <w:rFonts w:ascii="Times New Roman" w:hAnsi="Times New Roman"/>
                <w:color w:val="auto"/>
              </w:rPr>
              <w:t>/</w:t>
            </w:r>
          </w:p>
        </w:tc>
        <w:tc>
          <w:tcPr>
            <w:tcW w:w="1043" w:type="pct"/>
            <w:vAlign w:val="center"/>
          </w:tcPr>
          <w:p w14:paraId="33126876">
            <w:pPr>
              <w:pStyle w:val="84"/>
              <w:rPr>
                <w:rFonts w:ascii="Times New Roman" w:hAnsi="Times New Roman"/>
                <w:color w:val="auto"/>
              </w:rPr>
            </w:pPr>
            <w:r>
              <w:rPr>
                <w:rFonts w:ascii="Times New Roman" w:hAnsi="Times New Roman"/>
                <w:color w:val="auto"/>
              </w:rPr>
              <w:t>86</w:t>
            </w:r>
          </w:p>
        </w:tc>
        <w:tc>
          <w:tcPr>
            <w:tcW w:w="749" w:type="pct"/>
            <w:vMerge w:val="restart"/>
            <w:vAlign w:val="center"/>
          </w:tcPr>
          <w:p w14:paraId="19335047">
            <w:pPr>
              <w:pStyle w:val="84"/>
              <w:rPr>
                <w:rFonts w:ascii="Times New Roman" w:hAnsi="Times New Roman"/>
                <w:color w:val="auto"/>
              </w:rPr>
            </w:pPr>
            <w:r>
              <w:rPr>
                <w:rFonts w:ascii="Times New Roman" w:hAnsi="Times New Roman"/>
                <w:color w:val="auto"/>
              </w:rPr>
              <w:t>选用低噪声车辆，加强车辆维护保养</w:t>
            </w:r>
          </w:p>
        </w:tc>
        <w:tc>
          <w:tcPr>
            <w:tcW w:w="461" w:type="pct"/>
            <w:vAlign w:val="center"/>
          </w:tcPr>
          <w:p w14:paraId="574044E3">
            <w:pPr>
              <w:pStyle w:val="84"/>
              <w:rPr>
                <w:rFonts w:ascii="Times New Roman" w:hAnsi="Times New Roman"/>
                <w:color w:val="auto"/>
              </w:rPr>
            </w:pPr>
            <w:r>
              <w:rPr>
                <w:rFonts w:ascii="Times New Roman" w:hAnsi="Times New Roman"/>
                <w:color w:val="auto"/>
              </w:rPr>
              <w:t>全天</w:t>
            </w:r>
          </w:p>
        </w:tc>
      </w:tr>
      <w:tr w14:paraId="43EB1A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PrEx>
        <w:trPr>
          <w:trHeight w:val="231" w:hRule="atLeast"/>
        </w:trPr>
        <w:tc>
          <w:tcPr>
            <w:tcW w:w="362" w:type="pct"/>
            <w:vAlign w:val="center"/>
          </w:tcPr>
          <w:p w14:paraId="0638B537">
            <w:pPr>
              <w:pStyle w:val="84"/>
              <w:rPr>
                <w:rFonts w:ascii="Times New Roman" w:hAnsi="Times New Roman"/>
                <w:color w:val="auto"/>
              </w:rPr>
            </w:pPr>
            <w:r>
              <w:rPr>
                <w:rFonts w:ascii="Times New Roman" w:hAnsi="Times New Roman"/>
                <w:color w:val="auto"/>
              </w:rPr>
              <w:t>2</w:t>
            </w:r>
          </w:p>
        </w:tc>
        <w:tc>
          <w:tcPr>
            <w:tcW w:w="1144" w:type="pct"/>
            <w:vAlign w:val="center"/>
          </w:tcPr>
          <w:p w14:paraId="05CE5C58">
            <w:pPr>
              <w:pStyle w:val="84"/>
              <w:rPr>
                <w:rFonts w:ascii="Times New Roman" w:hAnsi="Times New Roman"/>
                <w:color w:val="auto"/>
              </w:rPr>
            </w:pPr>
            <w:r>
              <w:rPr>
                <w:rFonts w:ascii="Times New Roman" w:hAnsi="Times New Roman"/>
                <w:color w:val="auto"/>
              </w:rPr>
              <w:t>压实机</w:t>
            </w:r>
          </w:p>
        </w:tc>
        <w:tc>
          <w:tcPr>
            <w:tcW w:w="360" w:type="pct"/>
            <w:vAlign w:val="center"/>
          </w:tcPr>
          <w:p w14:paraId="08CFF443">
            <w:pPr>
              <w:pStyle w:val="84"/>
              <w:rPr>
                <w:rFonts w:ascii="Times New Roman" w:hAnsi="Times New Roman"/>
                <w:color w:val="auto"/>
              </w:rPr>
            </w:pPr>
            <w:r>
              <w:rPr>
                <w:rFonts w:ascii="Times New Roman" w:hAnsi="Times New Roman"/>
                <w:color w:val="auto"/>
              </w:rPr>
              <w:t>/</w:t>
            </w:r>
          </w:p>
        </w:tc>
        <w:tc>
          <w:tcPr>
            <w:tcW w:w="292" w:type="pct"/>
            <w:vAlign w:val="center"/>
          </w:tcPr>
          <w:p w14:paraId="52DFF8F6">
            <w:pPr>
              <w:pStyle w:val="84"/>
              <w:rPr>
                <w:rFonts w:ascii="Times New Roman" w:hAnsi="Times New Roman"/>
                <w:color w:val="auto"/>
              </w:rPr>
            </w:pPr>
            <w:r>
              <w:rPr>
                <w:rFonts w:ascii="Times New Roman" w:hAnsi="Times New Roman"/>
                <w:color w:val="auto"/>
              </w:rPr>
              <w:t>/</w:t>
            </w:r>
          </w:p>
        </w:tc>
        <w:tc>
          <w:tcPr>
            <w:tcW w:w="288" w:type="pct"/>
            <w:vAlign w:val="center"/>
          </w:tcPr>
          <w:p w14:paraId="365AD23B">
            <w:pPr>
              <w:pStyle w:val="84"/>
              <w:rPr>
                <w:rFonts w:ascii="Times New Roman" w:hAnsi="Times New Roman"/>
                <w:color w:val="auto"/>
              </w:rPr>
            </w:pPr>
            <w:r>
              <w:rPr>
                <w:rFonts w:ascii="Times New Roman" w:hAnsi="Times New Roman"/>
                <w:color w:val="auto"/>
              </w:rPr>
              <w:t>/</w:t>
            </w:r>
          </w:p>
        </w:tc>
        <w:tc>
          <w:tcPr>
            <w:tcW w:w="301" w:type="pct"/>
            <w:vAlign w:val="center"/>
          </w:tcPr>
          <w:p w14:paraId="713FE5C4">
            <w:pPr>
              <w:pStyle w:val="84"/>
              <w:rPr>
                <w:rFonts w:ascii="Times New Roman" w:hAnsi="Times New Roman"/>
                <w:color w:val="auto"/>
              </w:rPr>
            </w:pPr>
            <w:r>
              <w:rPr>
                <w:rFonts w:ascii="Times New Roman" w:hAnsi="Times New Roman"/>
                <w:color w:val="auto"/>
              </w:rPr>
              <w:t>/</w:t>
            </w:r>
          </w:p>
        </w:tc>
        <w:tc>
          <w:tcPr>
            <w:tcW w:w="1043" w:type="pct"/>
            <w:vAlign w:val="center"/>
          </w:tcPr>
          <w:p w14:paraId="6FBCADAD">
            <w:pPr>
              <w:pStyle w:val="84"/>
              <w:rPr>
                <w:rFonts w:ascii="Times New Roman" w:hAnsi="Times New Roman"/>
                <w:color w:val="auto"/>
              </w:rPr>
            </w:pPr>
            <w:r>
              <w:rPr>
                <w:rFonts w:ascii="Times New Roman" w:hAnsi="Times New Roman"/>
                <w:color w:val="auto"/>
              </w:rPr>
              <w:t>86</w:t>
            </w:r>
          </w:p>
        </w:tc>
        <w:tc>
          <w:tcPr>
            <w:tcW w:w="749" w:type="pct"/>
            <w:vMerge w:val="continue"/>
            <w:vAlign w:val="center"/>
          </w:tcPr>
          <w:p w14:paraId="29812254">
            <w:pPr>
              <w:pStyle w:val="84"/>
              <w:rPr>
                <w:rFonts w:ascii="Times New Roman" w:hAnsi="Times New Roman"/>
                <w:color w:val="auto"/>
              </w:rPr>
            </w:pPr>
          </w:p>
        </w:tc>
        <w:tc>
          <w:tcPr>
            <w:tcW w:w="461" w:type="pct"/>
            <w:vAlign w:val="center"/>
          </w:tcPr>
          <w:p w14:paraId="454B82CF">
            <w:pPr>
              <w:pStyle w:val="84"/>
              <w:rPr>
                <w:rFonts w:ascii="Times New Roman" w:hAnsi="Times New Roman"/>
                <w:color w:val="auto"/>
              </w:rPr>
            </w:pPr>
            <w:r>
              <w:rPr>
                <w:rFonts w:ascii="Times New Roman" w:hAnsi="Times New Roman"/>
                <w:color w:val="auto"/>
              </w:rPr>
              <w:t>全天</w:t>
            </w:r>
          </w:p>
        </w:tc>
      </w:tr>
      <w:tr w14:paraId="347805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62" w:type="pct"/>
            <w:vAlign w:val="center"/>
          </w:tcPr>
          <w:p w14:paraId="7A484263">
            <w:pPr>
              <w:pStyle w:val="84"/>
              <w:rPr>
                <w:rFonts w:ascii="Times New Roman" w:hAnsi="Times New Roman"/>
                <w:color w:val="auto"/>
              </w:rPr>
            </w:pPr>
            <w:r>
              <w:rPr>
                <w:rFonts w:ascii="Times New Roman" w:hAnsi="Times New Roman"/>
                <w:color w:val="auto"/>
              </w:rPr>
              <w:t>3</w:t>
            </w:r>
          </w:p>
        </w:tc>
        <w:tc>
          <w:tcPr>
            <w:tcW w:w="1144" w:type="pct"/>
            <w:vAlign w:val="center"/>
          </w:tcPr>
          <w:p w14:paraId="2E70EF02">
            <w:pPr>
              <w:pStyle w:val="84"/>
              <w:rPr>
                <w:rFonts w:ascii="Times New Roman" w:hAnsi="Times New Roman"/>
                <w:color w:val="auto"/>
              </w:rPr>
            </w:pPr>
            <w:r>
              <w:rPr>
                <w:rFonts w:ascii="Times New Roman" w:hAnsi="Times New Roman"/>
                <w:color w:val="auto"/>
              </w:rPr>
              <w:t>铲车</w:t>
            </w:r>
          </w:p>
        </w:tc>
        <w:tc>
          <w:tcPr>
            <w:tcW w:w="360" w:type="pct"/>
            <w:vAlign w:val="center"/>
          </w:tcPr>
          <w:p w14:paraId="4AF29AC6">
            <w:pPr>
              <w:pStyle w:val="84"/>
              <w:rPr>
                <w:rFonts w:ascii="Times New Roman" w:hAnsi="Times New Roman"/>
                <w:color w:val="auto"/>
              </w:rPr>
            </w:pPr>
            <w:r>
              <w:rPr>
                <w:rFonts w:ascii="Times New Roman" w:hAnsi="Times New Roman"/>
                <w:color w:val="auto"/>
              </w:rPr>
              <w:t>/</w:t>
            </w:r>
          </w:p>
        </w:tc>
        <w:tc>
          <w:tcPr>
            <w:tcW w:w="292" w:type="pct"/>
            <w:vAlign w:val="center"/>
          </w:tcPr>
          <w:p w14:paraId="18542742">
            <w:pPr>
              <w:pStyle w:val="84"/>
              <w:rPr>
                <w:rFonts w:ascii="Times New Roman" w:hAnsi="Times New Roman"/>
                <w:color w:val="auto"/>
              </w:rPr>
            </w:pPr>
            <w:r>
              <w:rPr>
                <w:rFonts w:ascii="Times New Roman" w:hAnsi="Times New Roman"/>
                <w:color w:val="auto"/>
              </w:rPr>
              <w:t>/</w:t>
            </w:r>
          </w:p>
        </w:tc>
        <w:tc>
          <w:tcPr>
            <w:tcW w:w="288" w:type="pct"/>
            <w:vAlign w:val="center"/>
          </w:tcPr>
          <w:p w14:paraId="522D8365">
            <w:pPr>
              <w:pStyle w:val="84"/>
              <w:rPr>
                <w:rFonts w:ascii="Times New Roman" w:hAnsi="Times New Roman"/>
                <w:color w:val="auto"/>
              </w:rPr>
            </w:pPr>
            <w:r>
              <w:rPr>
                <w:rFonts w:ascii="Times New Roman" w:hAnsi="Times New Roman"/>
                <w:color w:val="auto"/>
              </w:rPr>
              <w:t>/</w:t>
            </w:r>
          </w:p>
        </w:tc>
        <w:tc>
          <w:tcPr>
            <w:tcW w:w="301" w:type="pct"/>
            <w:vAlign w:val="center"/>
          </w:tcPr>
          <w:p w14:paraId="3D6090EB">
            <w:pPr>
              <w:pStyle w:val="84"/>
              <w:rPr>
                <w:rFonts w:ascii="Times New Roman" w:hAnsi="Times New Roman"/>
                <w:color w:val="auto"/>
              </w:rPr>
            </w:pPr>
            <w:r>
              <w:rPr>
                <w:rFonts w:ascii="Times New Roman" w:hAnsi="Times New Roman"/>
                <w:color w:val="auto"/>
              </w:rPr>
              <w:t>/</w:t>
            </w:r>
          </w:p>
        </w:tc>
        <w:tc>
          <w:tcPr>
            <w:tcW w:w="1043" w:type="pct"/>
            <w:vAlign w:val="center"/>
          </w:tcPr>
          <w:p w14:paraId="4DFA4C8B">
            <w:pPr>
              <w:pStyle w:val="84"/>
              <w:rPr>
                <w:rFonts w:ascii="Times New Roman" w:hAnsi="Times New Roman"/>
                <w:color w:val="auto"/>
              </w:rPr>
            </w:pPr>
            <w:r>
              <w:rPr>
                <w:rFonts w:ascii="Times New Roman" w:hAnsi="Times New Roman"/>
                <w:color w:val="auto"/>
              </w:rPr>
              <w:t>90</w:t>
            </w:r>
          </w:p>
        </w:tc>
        <w:tc>
          <w:tcPr>
            <w:tcW w:w="749" w:type="pct"/>
            <w:vMerge w:val="continue"/>
            <w:vAlign w:val="center"/>
          </w:tcPr>
          <w:p w14:paraId="4B402D63">
            <w:pPr>
              <w:pStyle w:val="84"/>
              <w:rPr>
                <w:rFonts w:ascii="Times New Roman" w:hAnsi="Times New Roman"/>
                <w:color w:val="auto"/>
              </w:rPr>
            </w:pPr>
          </w:p>
        </w:tc>
        <w:tc>
          <w:tcPr>
            <w:tcW w:w="461" w:type="pct"/>
            <w:vAlign w:val="center"/>
          </w:tcPr>
          <w:p w14:paraId="0C9FF4B9">
            <w:pPr>
              <w:pStyle w:val="84"/>
              <w:rPr>
                <w:rFonts w:ascii="Times New Roman" w:hAnsi="Times New Roman"/>
                <w:color w:val="auto"/>
              </w:rPr>
            </w:pPr>
            <w:r>
              <w:rPr>
                <w:rFonts w:ascii="Times New Roman" w:hAnsi="Times New Roman"/>
                <w:color w:val="auto"/>
              </w:rPr>
              <w:t>全天</w:t>
            </w:r>
          </w:p>
        </w:tc>
      </w:tr>
      <w:tr w14:paraId="7AB1B2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1" w:hRule="atLeast"/>
        </w:trPr>
        <w:tc>
          <w:tcPr>
            <w:tcW w:w="362" w:type="pct"/>
            <w:vAlign w:val="center"/>
          </w:tcPr>
          <w:p w14:paraId="2C77AB9A">
            <w:pPr>
              <w:pStyle w:val="84"/>
              <w:rPr>
                <w:rFonts w:ascii="Times New Roman" w:hAnsi="Times New Roman"/>
                <w:color w:val="auto"/>
              </w:rPr>
            </w:pPr>
            <w:r>
              <w:rPr>
                <w:rFonts w:ascii="Times New Roman" w:hAnsi="Times New Roman"/>
                <w:color w:val="auto"/>
              </w:rPr>
              <w:t>4</w:t>
            </w:r>
          </w:p>
        </w:tc>
        <w:tc>
          <w:tcPr>
            <w:tcW w:w="1144" w:type="pct"/>
            <w:vAlign w:val="center"/>
          </w:tcPr>
          <w:p w14:paraId="247F7116">
            <w:pPr>
              <w:pStyle w:val="84"/>
              <w:rPr>
                <w:rFonts w:ascii="Times New Roman" w:hAnsi="Times New Roman"/>
                <w:color w:val="auto"/>
              </w:rPr>
            </w:pPr>
            <w:r>
              <w:rPr>
                <w:rFonts w:ascii="Times New Roman" w:hAnsi="Times New Roman"/>
                <w:color w:val="auto"/>
              </w:rPr>
              <w:t>洒水车</w:t>
            </w:r>
          </w:p>
        </w:tc>
        <w:tc>
          <w:tcPr>
            <w:tcW w:w="360" w:type="pct"/>
            <w:vAlign w:val="center"/>
          </w:tcPr>
          <w:p w14:paraId="6F88CF5D">
            <w:pPr>
              <w:pStyle w:val="84"/>
              <w:rPr>
                <w:rFonts w:ascii="Times New Roman" w:hAnsi="Times New Roman"/>
                <w:color w:val="auto"/>
              </w:rPr>
            </w:pPr>
            <w:r>
              <w:rPr>
                <w:rFonts w:ascii="Times New Roman" w:hAnsi="Times New Roman"/>
                <w:color w:val="auto"/>
              </w:rPr>
              <w:t>/</w:t>
            </w:r>
          </w:p>
        </w:tc>
        <w:tc>
          <w:tcPr>
            <w:tcW w:w="292" w:type="pct"/>
            <w:vAlign w:val="center"/>
          </w:tcPr>
          <w:p w14:paraId="716FD306">
            <w:pPr>
              <w:pStyle w:val="84"/>
              <w:rPr>
                <w:rFonts w:ascii="Times New Roman" w:hAnsi="Times New Roman"/>
                <w:color w:val="auto"/>
              </w:rPr>
            </w:pPr>
            <w:r>
              <w:rPr>
                <w:rFonts w:ascii="Times New Roman" w:hAnsi="Times New Roman"/>
                <w:color w:val="auto"/>
              </w:rPr>
              <w:t>/</w:t>
            </w:r>
          </w:p>
        </w:tc>
        <w:tc>
          <w:tcPr>
            <w:tcW w:w="288" w:type="pct"/>
            <w:vAlign w:val="center"/>
          </w:tcPr>
          <w:p w14:paraId="7E33034E">
            <w:pPr>
              <w:pStyle w:val="84"/>
              <w:rPr>
                <w:rFonts w:ascii="Times New Roman" w:hAnsi="Times New Roman"/>
                <w:color w:val="auto"/>
              </w:rPr>
            </w:pPr>
            <w:r>
              <w:rPr>
                <w:rFonts w:ascii="Times New Roman" w:hAnsi="Times New Roman"/>
                <w:color w:val="auto"/>
              </w:rPr>
              <w:t>/</w:t>
            </w:r>
          </w:p>
        </w:tc>
        <w:tc>
          <w:tcPr>
            <w:tcW w:w="301" w:type="pct"/>
            <w:vAlign w:val="center"/>
          </w:tcPr>
          <w:p w14:paraId="249DEF4B">
            <w:pPr>
              <w:pStyle w:val="84"/>
              <w:rPr>
                <w:rFonts w:ascii="Times New Roman" w:hAnsi="Times New Roman"/>
                <w:color w:val="auto"/>
              </w:rPr>
            </w:pPr>
            <w:r>
              <w:rPr>
                <w:rFonts w:ascii="Times New Roman" w:hAnsi="Times New Roman"/>
                <w:color w:val="auto"/>
              </w:rPr>
              <w:t>/</w:t>
            </w:r>
          </w:p>
        </w:tc>
        <w:tc>
          <w:tcPr>
            <w:tcW w:w="1043" w:type="pct"/>
            <w:vAlign w:val="center"/>
          </w:tcPr>
          <w:p w14:paraId="6E3E8E45">
            <w:pPr>
              <w:pStyle w:val="84"/>
              <w:rPr>
                <w:rFonts w:ascii="Times New Roman" w:hAnsi="Times New Roman"/>
                <w:color w:val="auto"/>
              </w:rPr>
            </w:pPr>
            <w:r>
              <w:rPr>
                <w:rFonts w:ascii="Times New Roman" w:hAnsi="Times New Roman"/>
                <w:color w:val="auto"/>
              </w:rPr>
              <w:t>81</w:t>
            </w:r>
          </w:p>
        </w:tc>
        <w:tc>
          <w:tcPr>
            <w:tcW w:w="749" w:type="pct"/>
            <w:vMerge w:val="continue"/>
            <w:vAlign w:val="center"/>
          </w:tcPr>
          <w:p w14:paraId="7D0BB7C0">
            <w:pPr>
              <w:pStyle w:val="84"/>
              <w:rPr>
                <w:rFonts w:ascii="Times New Roman" w:hAnsi="Times New Roman"/>
                <w:color w:val="auto"/>
              </w:rPr>
            </w:pPr>
          </w:p>
        </w:tc>
        <w:tc>
          <w:tcPr>
            <w:tcW w:w="461" w:type="pct"/>
            <w:vAlign w:val="center"/>
          </w:tcPr>
          <w:p w14:paraId="6BE0EC03">
            <w:pPr>
              <w:pStyle w:val="84"/>
              <w:rPr>
                <w:rFonts w:ascii="Times New Roman" w:hAnsi="Times New Roman"/>
                <w:color w:val="auto"/>
              </w:rPr>
            </w:pPr>
            <w:r>
              <w:rPr>
                <w:rFonts w:ascii="Times New Roman" w:hAnsi="Times New Roman"/>
                <w:color w:val="auto"/>
              </w:rPr>
              <w:t>全天</w:t>
            </w:r>
          </w:p>
        </w:tc>
      </w:tr>
      <w:bookmarkEnd w:id="155"/>
    </w:tbl>
    <w:p w14:paraId="404AD37C">
      <w:pPr>
        <w:pStyle w:val="135"/>
        <w:rPr>
          <w:snapToGrid w:val="0"/>
          <w:color w:val="auto"/>
        </w:rPr>
      </w:pPr>
      <w:r>
        <w:rPr>
          <w:rFonts w:hint="eastAsia"/>
          <w:snapToGrid w:val="0"/>
          <w:color w:val="auto"/>
        </w:rPr>
        <w:t>5.2.4.2</w:t>
      </w:r>
      <w:r>
        <w:rPr>
          <w:snapToGrid w:val="0"/>
          <w:color w:val="auto"/>
        </w:rPr>
        <w:t>噪声影响</w:t>
      </w:r>
      <w:r>
        <w:rPr>
          <w:rFonts w:hint="eastAsia"/>
          <w:snapToGrid w:val="0"/>
          <w:color w:val="auto"/>
        </w:rPr>
        <w:t>预测与</w:t>
      </w:r>
      <w:r>
        <w:rPr>
          <w:snapToGrid w:val="0"/>
          <w:color w:val="auto"/>
        </w:rPr>
        <w:t>分析</w:t>
      </w:r>
    </w:p>
    <w:p w14:paraId="099FAC73">
      <w:pPr>
        <w:pStyle w:val="59"/>
        <w:ind w:firstLine="480"/>
        <w:rPr>
          <w:color w:val="auto"/>
          <w:lang w:val="zh-CN"/>
        </w:rPr>
      </w:pPr>
      <w:r>
        <w:rPr>
          <w:rFonts w:hint="eastAsia"/>
          <w:color w:val="auto"/>
          <w:lang w:val="zh-CN"/>
        </w:rPr>
        <w:t>1、环境数据</w:t>
      </w:r>
    </w:p>
    <w:p w14:paraId="4F16F0B0">
      <w:pPr>
        <w:pStyle w:val="59"/>
        <w:ind w:firstLine="480"/>
        <w:rPr>
          <w:color w:val="auto"/>
        </w:rPr>
      </w:pPr>
      <w:r>
        <w:rPr>
          <w:color w:val="auto"/>
        </w:rPr>
        <w:t>噪声环境影响预测基础数据见</w:t>
      </w:r>
      <w:r>
        <w:rPr>
          <w:rFonts w:hint="eastAsia"/>
          <w:color w:val="auto"/>
        </w:rPr>
        <w:t>下表</w:t>
      </w:r>
      <w:r>
        <w:rPr>
          <w:color w:val="auto"/>
        </w:rPr>
        <w:t>。</w:t>
      </w:r>
    </w:p>
    <w:p w14:paraId="7C5028BC">
      <w:pPr>
        <w:pStyle w:val="76"/>
        <w:rPr>
          <w:color w:val="auto"/>
        </w:rPr>
      </w:pPr>
      <w:r>
        <w:rPr>
          <w:color w:val="auto"/>
        </w:rPr>
        <w:t>表5-2-10项目噪声环境影响预测基础数据表</w:t>
      </w:r>
      <w:bookmarkStart w:id="156" w:name="PT_4"/>
    </w:p>
    <w:tbl>
      <w:tblPr>
        <w:tblStyle w:val="45"/>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45"/>
        <w:gridCol w:w="2177"/>
        <w:gridCol w:w="1660"/>
        <w:gridCol w:w="1660"/>
        <w:gridCol w:w="1659"/>
      </w:tblGrid>
      <w:tr w14:paraId="023A15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6" w:hRule="exact"/>
          <w:jc w:val="center"/>
        </w:trPr>
        <w:tc>
          <w:tcPr>
            <w:tcW w:w="690" w:type="pct"/>
            <w:tcBorders>
              <w:tl2br w:val="nil"/>
              <w:tr2bl w:val="nil"/>
            </w:tcBorders>
            <w:vAlign w:val="center"/>
          </w:tcPr>
          <w:p w14:paraId="1419C91A">
            <w:pPr>
              <w:pStyle w:val="84"/>
              <w:rPr>
                <w:color w:val="auto"/>
              </w:rPr>
            </w:pPr>
            <w:r>
              <w:rPr>
                <w:color w:val="auto"/>
              </w:rPr>
              <w:t>序号</w:t>
            </w:r>
          </w:p>
        </w:tc>
        <w:tc>
          <w:tcPr>
            <w:tcW w:w="1311" w:type="pct"/>
            <w:tcBorders>
              <w:tl2br w:val="nil"/>
              <w:tr2bl w:val="nil"/>
            </w:tcBorders>
            <w:vAlign w:val="center"/>
          </w:tcPr>
          <w:p w14:paraId="3B4D50C1">
            <w:pPr>
              <w:pStyle w:val="84"/>
              <w:rPr>
                <w:color w:val="auto"/>
              </w:rPr>
            </w:pPr>
            <w:r>
              <w:rPr>
                <w:color w:val="auto"/>
              </w:rPr>
              <w:t>名称</w:t>
            </w:r>
          </w:p>
        </w:tc>
        <w:tc>
          <w:tcPr>
            <w:tcW w:w="1000" w:type="pct"/>
            <w:tcBorders>
              <w:tl2br w:val="nil"/>
              <w:tr2bl w:val="nil"/>
            </w:tcBorders>
            <w:vAlign w:val="center"/>
          </w:tcPr>
          <w:p w14:paraId="2C0BF37D">
            <w:pPr>
              <w:pStyle w:val="84"/>
              <w:rPr>
                <w:color w:val="auto"/>
              </w:rPr>
            </w:pPr>
            <w:r>
              <w:rPr>
                <w:color w:val="auto"/>
              </w:rPr>
              <w:t>单位</w:t>
            </w:r>
          </w:p>
        </w:tc>
        <w:tc>
          <w:tcPr>
            <w:tcW w:w="1000" w:type="pct"/>
            <w:tcBorders>
              <w:tl2br w:val="nil"/>
              <w:tr2bl w:val="nil"/>
            </w:tcBorders>
            <w:vAlign w:val="center"/>
          </w:tcPr>
          <w:p w14:paraId="37F1B4B2">
            <w:pPr>
              <w:pStyle w:val="84"/>
              <w:rPr>
                <w:color w:val="auto"/>
              </w:rPr>
            </w:pPr>
            <w:r>
              <w:rPr>
                <w:color w:val="auto"/>
              </w:rPr>
              <w:t>数据</w:t>
            </w:r>
          </w:p>
        </w:tc>
        <w:tc>
          <w:tcPr>
            <w:tcW w:w="999" w:type="pct"/>
            <w:tcBorders>
              <w:tl2br w:val="nil"/>
              <w:tr2bl w:val="nil"/>
            </w:tcBorders>
            <w:vAlign w:val="center"/>
          </w:tcPr>
          <w:p w14:paraId="0244DA9B">
            <w:pPr>
              <w:pStyle w:val="84"/>
              <w:rPr>
                <w:color w:val="auto"/>
              </w:rPr>
            </w:pPr>
            <w:r>
              <w:rPr>
                <w:color w:val="auto"/>
              </w:rPr>
              <w:t>备注</w:t>
            </w:r>
          </w:p>
        </w:tc>
      </w:tr>
      <w:tr w14:paraId="30623EC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0" w:type="pct"/>
            <w:tcBorders>
              <w:tl2br w:val="nil"/>
              <w:tr2bl w:val="nil"/>
            </w:tcBorders>
            <w:shd w:val="clear" w:color="auto" w:fill="FFFFFF"/>
            <w:vAlign w:val="center"/>
          </w:tcPr>
          <w:p w14:paraId="03D39648">
            <w:pPr>
              <w:pStyle w:val="84"/>
              <w:rPr>
                <w:color w:val="auto"/>
              </w:rPr>
            </w:pPr>
            <w:r>
              <w:rPr>
                <w:color w:val="auto"/>
              </w:rPr>
              <w:t>1</w:t>
            </w:r>
          </w:p>
        </w:tc>
        <w:tc>
          <w:tcPr>
            <w:tcW w:w="1311" w:type="pct"/>
            <w:tcBorders>
              <w:tl2br w:val="nil"/>
              <w:tr2bl w:val="nil"/>
            </w:tcBorders>
            <w:shd w:val="clear" w:color="auto" w:fill="FFFFFF"/>
            <w:vAlign w:val="center"/>
          </w:tcPr>
          <w:p w14:paraId="1DE26C2D">
            <w:pPr>
              <w:pStyle w:val="84"/>
              <w:rPr>
                <w:color w:val="auto"/>
              </w:rPr>
            </w:pPr>
            <w:r>
              <w:rPr>
                <w:color w:val="auto"/>
              </w:rPr>
              <w:t>年平均风速</w:t>
            </w:r>
          </w:p>
        </w:tc>
        <w:tc>
          <w:tcPr>
            <w:tcW w:w="1000" w:type="pct"/>
            <w:tcBorders>
              <w:tl2br w:val="nil"/>
              <w:tr2bl w:val="nil"/>
            </w:tcBorders>
            <w:shd w:val="clear" w:color="auto" w:fill="FFFFFF"/>
            <w:vAlign w:val="center"/>
          </w:tcPr>
          <w:p w14:paraId="08E57B8B">
            <w:pPr>
              <w:pStyle w:val="84"/>
              <w:rPr>
                <w:color w:val="auto"/>
              </w:rPr>
            </w:pPr>
            <w:r>
              <w:rPr>
                <w:color w:val="auto"/>
              </w:rPr>
              <w:t>m/s</w:t>
            </w:r>
          </w:p>
        </w:tc>
        <w:tc>
          <w:tcPr>
            <w:tcW w:w="1000" w:type="pct"/>
            <w:tcBorders>
              <w:tl2br w:val="nil"/>
              <w:tr2bl w:val="nil"/>
            </w:tcBorders>
            <w:shd w:val="clear" w:color="auto" w:fill="FFFFFF"/>
            <w:vAlign w:val="center"/>
          </w:tcPr>
          <w:p w14:paraId="2694EDC2">
            <w:pPr>
              <w:pStyle w:val="84"/>
              <w:rPr>
                <w:color w:val="auto"/>
              </w:rPr>
            </w:pPr>
            <w:r>
              <w:rPr>
                <w:color w:val="auto"/>
              </w:rPr>
              <w:t>3.1</w:t>
            </w:r>
          </w:p>
        </w:tc>
        <w:tc>
          <w:tcPr>
            <w:tcW w:w="999" w:type="pct"/>
            <w:tcBorders>
              <w:tl2br w:val="nil"/>
              <w:tr2bl w:val="nil"/>
            </w:tcBorders>
            <w:shd w:val="clear" w:color="auto" w:fill="FFFFFF"/>
            <w:vAlign w:val="center"/>
          </w:tcPr>
          <w:p w14:paraId="1D738FCB">
            <w:pPr>
              <w:pStyle w:val="84"/>
              <w:rPr>
                <w:color w:val="auto"/>
              </w:rPr>
            </w:pPr>
          </w:p>
        </w:tc>
      </w:tr>
      <w:tr w14:paraId="78BD9D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0" w:type="pct"/>
            <w:tcBorders>
              <w:tl2br w:val="nil"/>
              <w:tr2bl w:val="nil"/>
            </w:tcBorders>
            <w:shd w:val="clear" w:color="auto" w:fill="FFFFFF"/>
            <w:vAlign w:val="center"/>
          </w:tcPr>
          <w:p w14:paraId="643A095A">
            <w:pPr>
              <w:pStyle w:val="84"/>
              <w:rPr>
                <w:color w:val="auto"/>
              </w:rPr>
            </w:pPr>
            <w:r>
              <w:rPr>
                <w:color w:val="auto"/>
              </w:rPr>
              <w:t>2</w:t>
            </w:r>
          </w:p>
        </w:tc>
        <w:tc>
          <w:tcPr>
            <w:tcW w:w="1311" w:type="pct"/>
            <w:tcBorders>
              <w:tl2br w:val="nil"/>
              <w:tr2bl w:val="nil"/>
            </w:tcBorders>
            <w:shd w:val="clear" w:color="auto" w:fill="FFFFFF"/>
            <w:vAlign w:val="center"/>
          </w:tcPr>
          <w:p w14:paraId="7E24D4E3">
            <w:pPr>
              <w:pStyle w:val="84"/>
              <w:rPr>
                <w:color w:val="auto"/>
              </w:rPr>
            </w:pPr>
            <w:r>
              <w:rPr>
                <w:color w:val="auto"/>
              </w:rPr>
              <w:t>主导风向</w:t>
            </w:r>
          </w:p>
        </w:tc>
        <w:tc>
          <w:tcPr>
            <w:tcW w:w="1000" w:type="pct"/>
            <w:tcBorders>
              <w:tl2br w:val="nil"/>
              <w:tr2bl w:val="nil"/>
            </w:tcBorders>
            <w:shd w:val="clear" w:color="auto" w:fill="FFFFFF"/>
            <w:vAlign w:val="center"/>
          </w:tcPr>
          <w:p w14:paraId="55846891">
            <w:pPr>
              <w:pStyle w:val="84"/>
              <w:rPr>
                <w:color w:val="auto"/>
              </w:rPr>
            </w:pPr>
            <w:r>
              <w:rPr>
                <w:color w:val="auto"/>
              </w:rPr>
              <w:t>/</w:t>
            </w:r>
          </w:p>
        </w:tc>
        <w:tc>
          <w:tcPr>
            <w:tcW w:w="1000" w:type="pct"/>
            <w:tcBorders>
              <w:tl2br w:val="nil"/>
              <w:tr2bl w:val="nil"/>
            </w:tcBorders>
            <w:shd w:val="clear" w:color="auto" w:fill="FFFFFF"/>
            <w:vAlign w:val="center"/>
          </w:tcPr>
          <w:p w14:paraId="3335511C">
            <w:pPr>
              <w:pStyle w:val="84"/>
              <w:rPr>
                <w:color w:val="auto"/>
              </w:rPr>
            </w:pPr>
            <w:r>
              <w:rPr>
                <w:rFonts w:hint="eastAsia"/>
                <w:color w:val="auto"/>
              </w:rPr>
              <w:t>W</w:t>
            </w:r>
          </w:p>
        </w:tc>
        <w:tc>
          <w:tcPr>
            <w:tcW w:w="999" w:type="pct"/>
            <w:tcBorders>
              <w:tl2br w:val="nil"/>
              <w:tr2bl w:val="nil"/>
            </w:tcBorders>
            <w:shd w:val="clear" w:color="auto" w:fill="FFFFFF"/>
            <w:vAlign w:val="center"/>
          </w:tcPr>
          <w:p w14:paraId="19B71EAC">
            <w:pPr>
              <w:pStyle w:val="84"/>
              <w:rPr>
                <w:color w:val="auto"/>
              </w:rPr>
            </w:pPr>
          </w:p>
        </w:tc>
      </w:tr>
      <w:tr w14:paraId="3DDA8A5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0" w:type="pct"/>
            <w:tcBorders>
              <w:tl2br w:val="nil"/>
              <w:tr2bl w:val="nil"/>
            </w:tcBorders>
            <w:shd w:val="clear" w:color="auto" w:fill="FFFFFF"/>
            <w:vAlign w:val="center"/>
          </w:tcPr>
          <w:p w14:paraId="21D86E76">
            <w:pPr>
              <w:pStyle w:val="84"/>
              <w:rPr>
                <w:color w:val="auto"/>
              </w:rPr>
            </w:pPr>
            <w:r>
              <w:rPr>
                <w:color w:val="auto"/>
              </w:rPr>
              <w:t>3</w:t>
            </w:r>
          </w:p>
        </w:tc>
        <w:tc>
          <w:tcPr>
            <w:tcW w:w="1311" w:type="pct"/>
            <w:tcBorders>
              <w:tl2br w:val="nil"/>
              <w:tr2bl w:val="nil"/>
            </w:tcBorders>
            <w:shd w:val="clear" w:color="auto" w:fill="FFFFFF"/>
            <w:vAlign w:val="center"/>
          </w:tcPr>
          <w:p w14:paraId="45039DF8">
            <w:pPr>
              <w:pStyle w:val="84"/>
              <w:rPr>
                <w:color w:val="auto"/>
              </w:rPr>
            </w:pPr>
            <w:r>
              <w:rPr>
                <w:color w:val="auto"/>
              </w:rPr>
              <w:t>年平均气温</w:t>
            </w:r>
          </w:p>
        </w:tc>
        <w:tc>
          <w:tcPr>
            <w:tcW w:w="1000" w:type="pct"/>
            <w:tcBorders>
              <w:tl2br w:val="nil"/>
              <w:tr2bl w:val="nil"/>
            </w:tcBorders>
            <w:shd w:val="clear" w:color="auto" w:fill="FFFFFF"/>
            <w:vAlign w:val="center"/>
          </w:tcPr>
          <w:p w14:paraId="334ED5B3">
            <w:pPr>
              <w:pStyle w:val="84"/>
              <w:rPr>
                <w:color w:val="auto"/>
              </w:rPr>
            </w:pPr>
            <w:r>
              <w:rPr>
                <w:rFonts w:hint="eastAsia"/>
                <w:color w:val="auto"/>
              </w:rPr>
              <w:t>℃</w:t>
            </w:r>
          </w:p>
        </w:tc>
        <w:tc>
          <w:tcPr>
            <w:tcW w:w="1000" w:type="pct"/>
            <w:tcBorders>
              <w:tl2br w:val="nil"/>
              <w:tr2bl w:val="nil"/>
            </w:tcBorders>
            <w:shd w:val="clear" w:color="auto" w:fill="FFFFFF"/>
            <w:vAlign w:val="center"/>
          </w:tcPr>
          <w:p w14:paraId="480585B1">
            <w:pPr>
              <w:pStyle w:val="84"/>
              <w:rPr>
                <w:color w:val="auto"/>
              </w:rPr>
            </w:pPr>
            <w:r>
              <w:rPr>
                <w:color w:val="auto"/>
              </w:rPr>
              <w:t>4.9</w:t>
            </w:r>
          </w:p>
        </w:tc>
        <w:tc>
          <w:tcPr>
            <w:tcW w:w="999" w:type="pct"/>
            <w:tcBorders>
              <w:tl2br w:val="nil"/>
              <w:tr2bl w:val="nil"/>
            </w:tcBorders>
            <w:shd w:val="clear" w:color="auto" w:fill="FFFFFF"/>
            <w:vAlign w:val="center"/>
          </w:tcPr>
          <w:p w14:paraId="75CD6AAB">
            <w:pPr>
              <w:pStyle w:val="84"/>
              <w:rPr>
                <w:color w:val="auto"/>
              </w:rPr>
            </w:pPr>
          </w:p>
        </w:tc>
      </w:tr>
      <w:tr w14:paraId="5782068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0" w:type="pct"/>
            <w:tcBorders>
              <w:tl2br w:val="nil"/>
              <w:tr2bl w:val="nil"/>
            </w:tcBorders>
            <w:shd w:val="clear" w:color="auto" w:fill="FFFFFF"/>
            <w:vAlign w:val="center"/>
          </w:tcPr>
          <w:p w14:paraId="313E9802">
            <w:pPr>
              <w:pStyle w:val="84"/>
              <w:rPr>
                <w:color w:val="auto"/>
              </w:rPr>
            </w:pPr>
            <w:r>
              <w:rPr>
                <w:color w:val="auto"/>
              </w:rPr>
              <w:t>4</w:t>
            </w:r>
          </w:p>
        </w:tc>
        <w:tc>
          <w:tcPr>
            <w:tcW w:w="1311" w:type="pct"/>
            <w:tcBorders>
              <w:tl2br w:val="nil"/>
              <w:tr2bl w:val="nil"/>
            </w:tcBorders>
            <w:shd w:val="clear" w:color="auto" w:fill="FFFFFF"/>
            <w:vAlign w:val="center"/>
          </w:tcPr>
          <w:p w14:paraId="5C6FA3EF">
            <w:pPr>
              <w:pStyle w:val="84"/>
              <w:rPr>
                <w:color w:val="auto"/>
              </w:rPr>
            </w:pPr>
            <w:r>
              <w:rPr>
                <w:color w:val="auto"/>
              </w:rPr>
              <w:t>年平均相对湿度</w:t>
            </w:r>
          </w:p>
        </w:tc>
        <w:tc>
          <w:tcPr>
            <w:tcW w:w="1000" w:type="pct"/>
            <w:tcBorders>
              <w:tl2br w:val="nil"/>
              <w:tr2bl w:val="nil"/>
            </w:tcBorders>
            <w:shd w:val="clear" w:color="auto" w:fill="FFFFFF"/>
            <w:vAlign w:val="center"/>
          </w:tcPr>
          <w:p w14:paraId="72895B5B">
            <w:pPr>
              <w:pStyle w:val="84"/>
              <w:rPr>
                <w:color w:val="auto"/>
              </w:rPr>
            </w:pPr>
            <w:r>
              <w:rPr>
                <w:color w:val="auto"/>
              </w:rPr>
              <w:t>%</w:t>
            </w:r>
          </w:p>
        </w:tc>
        <w:tc>
          <w:tcPr>
            <w:tcW w:w="1000" w:type="pct"/>
            <w:tcBorders>
              <w:tl2br w:val="nil"/>
              <w:tr2bl w:val="nil"/>
            </w:tcBorders>
            <w:shd w:val="clear" w:color="auto" w:fill="FFFFFF"/>
            <w:vAlign w:val="center"/>
          </w:tcPr>
          <w:p w14:paraId="7744123D">
            <w:pPr>
              <w:pStyle w:val="84"/>
              <w:rPr>
                <w:color w:val="auto"/>
              </w:rPr>
            </w:pPr>
            <w:r>
              <w:rPr>
                <w:color w:val="auto"/>
              </w:rPr>
              <w:t>65</w:t>
            </w:r>
          </w:p>
        </w:tc>
        <w:tc>
          <w:tcPr>
            <w:tcW w:w="999" w:type="pct"/>
            <w:tcBorders>
              <w:tl2br w:val="nil"/>
              <w:tr2bl w:val="nil"/>
            </w:tcBorders>
            <w:shd w:val="clear" w:color="auto" w:fill="FFFFFF"/>
            <w:vAlign w:val="center"/>
          </w:tcPr>
          <w:p w14:paraId="003DA3EC">
            <w:pPr>
              <w:pStyle w:val="84"/>
              <w:rPr>
                <w:color w:val="auto"/>
              </w:rPr>
            </w:pPr>
          </w:p>
        </w:tc>
      </w:tr>
      <w:tr w14:paraId="21C14C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690" w:type="pct"/>
            <w:tcBorders>
              <w:tl2br w:val="nil"/>
              <w:tr2bl w:val="nil"/>
            </w:tcBorders>
            <w:shd w:val="clear" w:color="auto" w:fill="FFFFFF"/>
            <w:vAlign w:val="center"/>
          </w:tcPr>
          <w:p w14:paraId="5F54C273">
            <w:pPr>
              <w:pStyle w:val="84"/>
              <w:rPr>
                <w:color w:val="auto"/>
              </w:rPr>
            </w:pPr>
            <w:r>
              <w:rPr>
                <w:color w:val="auto"/>
              </w:rPr>
              <w:t>5</w:t>
            </w:r>
          </w:p>
        </w:tc>
        <w:tc>
          <w:tcPr>
            <w:tcW w:w="1311" w:type="pct"/>
            <w:tcBorders>
              <w:tl2br w:val="nil"/>
              <w:tr2bl w:val="nil"/>
            </w:tcBorders>
            <w:shd w:val="clear" w:color="auto" w:fill="FFFFFF"/>
            <w:vAlign w:val="center"/>
          </w:tcPr>
          <w:p w14:paraId="7E38BB79">
            <w:pPr>
              <w:pStyle w:val="84"/>
              <w:rPr>
                <w:color w:val="auto"/>
              </w:rPr>
            </w:pPr>
            <w:r>
              <w:rPr>
                <w:color w:val="auto"/>
              </w:rPr>
              <w:t>大气压强</w:t>
            </w:r>
          </w:p>
        </w:tc>
        <w:tc>
          <w:tcPr>
            <w:tcW w:w="1000" w:type="pct"/>
            <w:tcBorders>
              <w:tl2br w:val="nil"/>
              <w:tr2bl w:val="nil"/>
            </w:tcBorders>
            <w:shd w:val="clear" w:color="auto" w:fill="FFFFFF"/>
            <w:vAlign w:val="center"/>
          </w:tcPr>
          <w:p w14:paraId="29071B51">
            <w:pPr>
              <w:pStyle w:val="84"/>
              <w:rPr>
                <w:color w:val="auto"/>
              </w:rPr>
            </w:pPr>
            <w:r>
              <w:rPr>
                <w:color w:val="auto"/>
              </w:rPr>
              <w:t>atm</w:t>
            </w:r>
          </w:p>
        </w:tc>
        <w:tc>
          <w:tcPr>
            <w:tcW w:w="1000" w:type="pct"/>
            <w:tcBorders>
              <w:tl2br w:val="nil"/>
              <w:tr2bl w:val="nil"/>
            </w:tcBorders>
            <w:shd w:val="clear" w:color="auto" w:fill="FFFFFF"/>
            <w:vAlign w:val="center"/>
          </w:tcPr>
          <w:p w14:paraId="41589CE6">
            <w:pPr>
              <w:pStyle w:val="84"/>
              <w:rPr>
                <w:color w:val="auto"/>
              </w:rPr>
            </w:pPr>
            <w:r>
              <w:rPr>
                <w:color w:val="auto"/>
              </w:rPr>
              <w:t>1</w:t>
            </w:r>
          </w:p>
        </w:tc>
        <w:tc>
          <w:tcPr>
            <w:tcW w:w="999" w:type="pct"/>
            <w:tcBorders>
              <w:tl2br w:val="nil"/>
              <w:tr2bl w:val="nil"/>
            </w:tcBorders>
            <w:shd w:val="clear" w:color="auto" w:fill="FFFFFF"/>
            <w:vAlign w:val="center"/>
          </w:tcPr>
          <w:p w14:paraId="4749F1CB">
            <w:pPr>
              <w:pStyle w:val="84"/>
              <w:rPr>
                <w:color w:val="auto"/>
              </w:rPr>
            </w:pPr>
          </w:p>
        </w:tc>
      </w:tr>
      <w:bookmarkEnd w:id="156"/>
    </w:tbl>
    <w:p w14:paraId="55C494FC">
      <w:pPr>
        <w:pStyle w:val="59"/>
        <w:ind w:firstLine="480"/>
        <w:rPr>
          <w:color w:val="auto"/>
          <w:lang w:val="zh-CN"/>
        </w:rPr>
      </w:pPr>
      <w:r>
        <w:rPr>
          <w:rFonts w:hint="eastAsia"/>
          <w:color w:val="auto"/>
          <w:lang w:val="zh-CN"/>
        </w:rPr>
        <w:t>2、预测模式</w:t>
      </w:r>
    </w:p>
    <w:p w14:paraId="2B154023">
      <w:pPr>
        <w:pStyle w:val="59"/>
        <w:ind w:firstLine="480"/>
        <w:rPr>
          <w:snapToGrid w:val="0"/>
          <w:color w:val="auto"/>
        </w:rPr>
      </w:pPr>
      <w:r>
        <w:rPr>
          <w:snapToGrid w:val="0"/>
          <w:color w:val="auto"/>
        </w:rPr>
        <w:t>根据《环境影响评价技术导则 声环境》（HJ2.4-2021）</w:t>
      </w:r>
      <w:r>
        <w:rPr>
          <w:rFonts w:hint="eastAsia"/>
          <w:snapToGrid w:val="0"/>
          <w:color w:val="auto"/>
        </w:rPr>
        <w:t>要求，本项目声环境影响预测模型采用附录A（规范性附录）的户外声传播衰减基本公式。</w:t>
      </w:r>
    </w:p>
    <w:p w14:paraId="43402372">
      <w:pPr>
        <w:pStyle w:val="59"/>
        <w:ind w:firstLine="480"/>
        <w:rPr>
          <w:snapToGrid w:val="0"/>
          <w:color w:val="auto"/>
        </w:rPr>
      </w:pPr>
      <w:r>
        <w:rPr>
          <w:rFonts w:hint="eastAsia"/>
          <w:snapToGrid w:val="0"/>
          <w:color w:val="auto"/>
        </w:rPr>
        <w:t>设第</w:t>
      </w:r>
      <w:r>
        <w:rPr>
          <w:i/>
          <w:iCs/>
          <w:snapToGrid w:val="0"/>
          <w:color w:val="auto"/>
        </w:rPr>
        <w:t>i</w:t>
      </w:r>
      <w:r>
        <w:rPr>
          <w:snapToGrid w:val="0"/>
          <w:color w:val="auto"/>
        </w:rPr>
        <w:t>个室外声源在预测点产生的A声级为</w:t>
      </w:r>
      <w:r>
        <w:rPr>
          <w:i/>
          <w:iCs/>
          <w:snapToGrid w:val="0"/>
          <w:color w:val="auto"/>
        </w:rPr>
        <w:t>L</w:t>
      </w:r>
      <w:r>
        <w:rPr>
          <w:snapToGrid w:val="0"/>
          <w:color w:val="auto"/>
          <w:vertAlign w:val="subscript"/>
        </w:rPr>
        <w:t>Ai</w:t>
      </w:r>
      <w:r>
        <w:rPr>
          <w:rFonts w:hint="eastAsia"/>
          <w:snapToGrid w:val="0"/>
          <w:color w:val="auto"/>
        </w:rPr>
        <w:t>，在</w:t>
      </w:r>
      <w:r>
        <w:rPr>
          <w:snapToGrid w:val="0"/>
          <w:color w:val="auto"/>
        </w:rPr>
        <w:t>T时间内该声源</w:t>
      </w:r>
      <w:r>
        <w:rPr>
          <w:rFonts w:hint="eastAsia"/>
          <w:snapToGrid w:val="0"/>
          <w:color w:val="auto"/>
          <w:lang w:eastAsia="zh-CN"/>
        </w:rPr>
        <w:t>工作</w:t>
      </w:r>
      <w:r>
        <w:rPr>
          <w:snapToGrid w:val="0"/>
          <w:color w:val="auto"/>
        </w:rPr>
        <w:t>时间为</w:t>
      </w:r>
      <w:r>
        <w:rPr>
          <w:i/>
          <w:iCs/>
          <w:snapToGrid w:val="0"/>
          <w:color w:val="auto"/>
        </w:rPr>
        <w:t>t</w:t>
      </w:r>
      <w:r>
        <w:rPr>
          <w:snapToGrid w:val="0"/>
          <w:color w:val="auto"/>
        </w:rPr>
        <w:t>i</w:t>
      </w:r>
      <w:r>
        <w:rPr>
          <w:rFonts w:hint="eastAsia"/>
          <w:snapToGrid w:val="0"/>
          <w:color w:val="auto"/>
        </w:rPr>
        <w:t>；第</w:t>
      </w:r>
      <w:r>
        <w:rPr>
          <w:i/>
          <w:iCs/>
          <w:snapToGrid w:val="0"/>
          <w:color w:val="auto"/>
        </w:rPr>
        <w:t>j</w:t>
      </w:r>
      <w:r>
        <w:rPr>
          <w:snapToGrid w:val="0"/>
          <w:color w:val="auto"/>
        </w:rPr>
        <w:t>个等效室</w:t>
      </w:r>
      <w:r>
        <w:rPr>
          <w:rFonts w:hint="eastAsia"/>
          <w:snapToGrid w:val="0"/>
          <w:color w:val="auto"/>
        </w:rPr>
        <w:t>外声源在预测点产生的</w:t>
      </w:r>
      <w:r>
        <w:rPr>
          <w:snapToGrid w:val="0"/>
          <w:color w:val="auto"/>
        </w:rPr>
        <w:t>A声级为</w:t>
      </w:r>
      <w:r>
        <w:rPr>
          <w:i/>
          <w:iCs/>
          <w:snapToGrid w:val="0"/>
          <w:color w:val="auto"/>
        </w:rPr>
        <w:t>L</w:t>
      </w:r>
      <w:r>
        <w:rPr>
          <w:snapToGrid w:val="0"/>
          <w:color w:val="auto"/>
          <w:vertAlign w:val="subscript"/>
        </w:rPr>
        <w:t>Aj</w:t>
      </w:r>
      <w:r>
        <w:rPr>
          <w:rFonts w:hint="eastAsia"/>
          <w:snapToGrid w:val="0"/>
          <w:color w:val="auto"/>
        </w:rPr>
        <w:t>，在</w:t>
      </w:r>
      <w:r>
        <w:rPr>
          <w:i/>
          <w:iCs/>
          <w:snapToGrid w:val="0"/>
          <w:color w:val="auto"/>
        </w:rPr>
        <w:t>T</w:t>
      </w:r>
      <w:r>
        <w:rPr>
          <w:snapToGrid w:val="0"/>
          <w:color w:val="auto"/>
        </w:rPr>
        <w:t>时间内该声源工作时间为</w:t>
      </w:r>
      <w:r>
        <w:rPr>
          <w:i/>
          <w:iCs/>
          <w:snapToGrid w:val="0"/>
          <w:color w:val="auto"/>
        </w:rPr>
        <w:t>t</w:t>
      </w:r>
      <w:r>
        <w:rPr>
          <w:snapToGrid w:val="0"/>
          <w:color w:val="auto"/>
        </w:rPr>
        <w:t>j</w:t>
      </w:r>
      <w:r>
        <w:rPr>
          <w:rFonts w:hint="eastAsia"/>
          <w:snapToGrid w:val="0"/>
          <w:color w:val="auto"/>
        </w:rPr>
        <w:t>，则拟建工程声源对预测点产生的贡献值（</w:t>
      </w:r>
      <w:r>
        <w:rPr>
          <w:i/>
          <w:iCs/>
          <w:snapToGrid w:val="0"/>
          <w:color w:val="auto"/>
        </w:rPr>
        <w:t>L</w:t>
      </w:r>
      <w:r>
        <w:rPr>
          <w:snapToGrid w:val="0"/>
          <w:color w:val="auto"/>
          <w:vertAlign w:val="subscript"/>
        </w:rPr>
        <w:t>eqg</w:t>
      </w:r>
      <w:r>
        <w:rPr>
          <w:snapToGrid w:val="0"/>
          <w:color w:val="auto"/>
        </w:rPr>
        <w:t>）为：</w:t>
      </w:r>
    </w:p>
    <w:p w14:paraId="3DE18734">
      <w:pPr>
        <w:pStyle w:val="59"/>
        <w:spacing w:line="240" w:lineRule="auto"/>
        <w:ind w:firstLine="480"/>
        <w:jc w:val="center"/>
        <w:rPr>
          <w:snapToGrid w:val="0"/>
          <w:color w:val="auto"/>
        </w:rPr>
      </w:pPr>
      <w:r>
        <w:rPr>
          <w:snapToGrid w:val="0"/>
          <w:color w:val="auto"/>
        </w:rPr>
        <w:drawing>
          <wp:inline distT="0" distB="0" distL="0" distR="0">
            <wp:extent cx="2457450" cy="571500"/>
            <wp:effectExtent l="0" t="0" r="0" b="0"/>
            <wp:docPr id="207919659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196593" name="图片 2"/>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a:xfrm>
                      <a:off x="0" y="0"/>
                      <a:ext cx="2457450" cy="571500"/>
                    </a:xfrm>
                    <a:prstGeom prst="rect">
                      <a:avLst/>
                    </a:prstGeom>
                    <a:noFill/>
                    <a:ln>
                      <a:noFill/>
                    </a:ln>
                  </pic:spPr>
                </pic:pic>
              </a:graphicData>
            </a:graphic>
          </wp:inline>
        </w:drawing>
      </w:r>
    </w:p>
    <w:p w14:paraId="0A7EB834">
      <w:pPr>
        <w:pStyle w:val="59"/>
        <w:ind w:firstLine="480"/>
        <w:rPr>
          <w:color w:val="auto"/>
        </w:rPr>
      </w:pPr>
      <w:r>
        <w:rPr>
          <w:rFonts w:hint="eastAsia"/>
          <w:color w:val="auto"/>
        </w:rPr>
        <w:t>式中：</w:t>
      </w:r>
      <w:r>
        <w:rPr>
          <w:i/>
          <w:color w:val="auto"/>
        </w:rPr>
        <w:t>L</w:t>
      </w:r>
      <w:r>
        <w:rPr>
          <w:color w:val="auto"/>
          <w:vertAlign w:val="subscript"/>
        </w:rPr>
        <w:t>eqg</w:t>
      </w:r>
      <w:r>
        <w:rPr>
          <w:color w:val="auto"/>
        </w:rPr>
        <w:t>——</w:t>
      </w:r>
      <w:r>
        <w:rPr>
          <w:rFonts w:hint="eastAsia"/>
          <w:color w:val="auto"/>
        </w:rPr>
        <w:t>建设项目声源在预测点产生的噪声贡献值，</w:t>
      </w:r>
      <w:r>
        <w:rPr>
          <w:color w:val="auto"/>
        </w:rPr>
        <w:t>dB</w:t>
      </w:r>
      <w:r>
        <w:rPr>
          <w:rFonts w:hint="eastAsia"/>
          <w:color w:val="auto"/>
        </w:rPr>
        <w:t>；</w:t>
      </w:r>
    </w:p>
    <w:p w14:paraId="7A3D8430">
      <w:pPr>
        <w:pStyle w:val="59"/>
        <w:ind w:firstLine="480"/>
        <w:rPr>
          <w:color w:val="auto"/>
        </w:rPr>
      </w:pPr>
      <w:r>
        <w:rPr>
          <w:i/>
          <w:color w:val="auto"/>
        </w:rPr>
        <w:t>T</w:t>
      </w:r>
      <w:r>
        <w:rPr>
          <w:color w:val="auto"/>
        </w:rPr>
        <w:t>——</w:t>
      </w:r>
      <w:r>
        <w:rPr>
          <w:rFonts w:hint="eastAsia"/>
          <w:color w:val="auto"/>
        </w:rPr>
        <w:t>用于计算等效声级的时间，</w:t>
      </w:r>
      <w:r>
        <w:rPr>
          <w:color w:val="auto"/>
        </w:rPr>
        <w:t>s</w:t>
      </w:r>
      <w:r>
        <w:rPr>
          <w:rFonts w:hint="eastAsia"/>
          <w:color w:val="auto"/>
        </w:rPr>
        <w:t>；</w:t>
      </w:r>
    </w:p>
    <w:p w14:paraId="1316FE54">
      <w:pPr>
        <w:pStyle w:val="59"/>
        <w:ind w:firstLine="480"/>
        <w:rPr>
          <w:color w:val="auto"/>
        </w:rPr>
      </w:pPr>
      <w:r>
        <w:rPr>
          <w:i/>
          <w:color w:val="auto"/>
        </w:rPr>
        <w:t>N</w:t>
      </w:r>
      <w:r>
        <w:rPr>
          <w:color w:val="auto"/>
        </w:rPr>
        <w:t>——</w:t>
      </w:r>
      <w:r>
        <w:rPr>
          <w:rFonts w:hint="eastAsia"/>
          <w:color w:val="auto"/>
        </w:rPr>
        <w:t>室外声源个数；</w:t>
      </w:r>
    </w:p>
    <w:p w14:paraId="0E1A3BB0">
      <w:pPr>
        <w:pStyle w:val="59"/>
        <w:ind w:firstLine="480"/>
        <w:rPr>
          <w:color w:val="auto"/>
        </w:rPr>
      </w:pPr>
      <w:r>
        <w:rPr>
          <w:i/>
          <w:color w:val="auto"/>
        </w:rPr>
        <w:t>ti</w:t>
      </w:r>
      <w:r>
        <w:rPr>
          <w:color w:val="auto"/>
        </w:rPr>
        <w:t>——</w:t>
      </w:r>
      <w:r>
        <w:rPr>
          <w:rFonts w:hint="eastAsia"/>
          <w:color w:val="auto"/>
        </w:rPr>
        <w:t>在</w:t>
      </w:r>
      <w:r>
        <w:rPr>
          <w:i/>
          <w:color w:val="auto"/>
        </w:rPr>
        <w:t>T</w:t>
      </w:r>
      <w:r>
        <w:rPr>
          <w:rFonts w:hint="eastAsia"/>
          <w:color w:val="auto"/>
        </w:rPr>
        <w:t>时间内</w:t>
      </w:r>
      <w:r>
        <w:rPr>
          <w:i/>
          <w:color w:val="auto"/>
        </w:rPr>
        <w:t>i</w:t>
      </w:r>
      <w:r>
        <w:rPr>
          <w:rFonts w:hint="eastAsia"/>
          <w:color w:val="auto"/>
        </w:rPr>
        <w:t>声源工作时间，</w:t>
      </w:r>
      <w:r>
        <w:rPr>
          <w:color w:val="auto"/>
        </w:rPr>
        <w:t>s</w:t>
      </w:r>
      <w:r>
        <w:rPr>
          <w:rFonts w:hint="eastAsia"/>
          <w:color w:val="auto"/>
        </w:rPr>
        <w:t>；</w:t>
      </w:r>
    </w:p>
    <w:p w14:paraId="1560A761">
      <w:pPr>
        <w:pStyle w:val="59"/>
        <w:ind w:firstLine="480"/>
        <w:rPr>
          <w:color w:val="auto"/>
        </w:rPr>
      </w:pPr>
      <w:r>
        <w:rPr>
          <w:i/>
          <w:color w:val="auto"/>
        </w:rPr>
        <w:t>M</w:t>
      </w:r>
      <w:r>
        <w:rPr>
          <w:color w:val="auto"/>
        </w:rPr>
        <w:t>——</w:t>
      </w:r>
      <w:r>
        <w:rPr>
          <w:rFonts w:hint="eastAsia"/>
          <w:color w:val="auto"/>
        </w:rPr>
        <w:t>等效室外声源个数；</w:t>
      </w:r>
    </w:p>
    <w:p w14:paraId="7BD28491">
      <w:pPr>
        <w:pStyle w:val="59"/>
        <w:ind w:firstLine="480"/>
        <w:rPr>
          <w:color w:val="auto"/>
        </w:rPr>
      </w:pPr>
      <w:r>
        <w:rPr>
          <w:i/>
          <w:color w:val="auto"/>
        </w:rPr>
        <w:t>tj</w:t>
      </w:r>
      <w:r>
        <w:rPr>
          <w:color w:val="auto"/>
        </w:rPr>
        <w:t>——</w:t>
      </w:r>
      <w:r>
        <w:rPr>
          <w:rFonts w:hint="eastAsia"/>
          <w:color w:val="auto"/>
        </w:rPr>
        <w:t>在</w:t>
      </w:r>
      <w:r>
        <w:rPr>
          <w:i/>
          <w:color w:val="auto"/>
        </w:rPr>
        <w:t>T</w:t>
      </w:r>
      <w:r>
        <w:rPr>
          <w:rFonts w:hint="eastAsia"/>
          <w:color w:val="auto"/>
        </w:rPr>
        <w:t>时间内</w:t>
      </w:r>
      <w:r>
        <w:rPr>
          <w:i/>
          <w:color w:val="auto"/>
        </w:rPr>
        <w:t>j</w:t>
      </w:r>
      <w:r>
        <w:rPr>
          <w:rFonts w:hint="eastAsia"/>
          <w:color w:val="auto"/>
        </w:rPr>
        <w:t>声源工作时间，</w:t>
      </w:r>
      <w:r>
        <w:rPr>
          <w:color w:val="auto"/>
        </w:rPr>
        <w:t>s</w:t>
      </w:r>
      <w:r>
        <w:rPr>
          <w:rFonts w:hint="eastAsia"/>
          <w:color w:val="auto"/>
        </w:rPr>
        <w:t>。</w:t>
      </w:r>
    </w:p>
    <w:p w14:paraId="3912E317">
      <w:pPr>
        <w:pStyle w:val="135"/>
        <w:rPr>
          <w:snapToGrid w:val="0"/>
          <w:color w:val="auto"/>
        </w:rPr>
      </w:pPr>
      <w:r>
        <w:rPr>
          <w:snapToGrid w:val="0"/>
          <w:color w:val="auto"/>
        </w:rPr>
        <w:t>5.2.4.3预测结果</w:t>
      </w:r>
    </w:p>
    <w:p w14:paraId="78FDEC51">
      <w:pPr>
        <w:pStyle w:val="59"/>
        <w:ind w:firstLine="480"/>
        <w:rPr>
          <w:color w:val="auto"/>
        </w:rPr>
      </w:pPr>
      <w:r>
        <w:rPr>
          <w:color w:val="auto"/>
        </w:rPr>
        <w:t>噪声预测采用网格布点法，建立直角坐标系，厂界噪声预测结果见</w:t>
      </w:r>
      <w:r>
        <w:rPr>
          <w:rFonts w:hint="eastAsia"/>
          <w:color w:val="auto"/>
        </w:rPr>
        <w:t>下表。</w:t>
      </w:r>
    </w:p>
    <w:p w14:paraId="183C2AD1">
      <w:pPr>
        <w:pStyle w:val="59"/>
        <w:ind w:firstLine="480"/>
        <w:rPr>
          <w:color w:val="auto"/>
          <w:highlight w:val="none"/>
        </w:rPr>
      </w:pPr>
      <w:r>
        <w:rPr>
          <w:rFonts w:hint="eastAsia"/>
          <w:color w:val="auto"/>
        </w:rPr>
        <w:t>通过作业时设置围挡</w:t>
      </w:r>
      <w:r>
        <w:rPr>
          <w:color w:val="auto"/>
        </w:rPr>
        <w:t>、车辆限速行驶、禁止鸣笛、</w:t>
      </w:r>
      <w:r>
        <w:rPr>
          <w:rFonts w:hint="eastAsia"/>
          <w:color w:val="auto"/>
        </w:rPr>
        <w:t>采用</w:t>
      </w:r>
      <w:r>
        <w:rPr>
          <w:color w:val="auto"/>
        </w:rPr>
        <w:t>低噪声设备，采取减振隔声</w:t>
      </w:r>
      <w:r>
        <w:rPr>
          <w:color w:val="auto"/>
          <w:highlight w:val="none"/>
        </w:rPr>
        <w:t>等措施，减少</w:t>
      </w:r>
      <w:r>
        <w:rPr>
          <w:rFonts w:hint="eastAsia"/>
          <w:color w:val="auto"/>
          <w:highlight w:val="none"/>
        </w:rPr>
        <w:t>回填区</w:t>
      </w:r>
      <w:r>
        <w:rPr>
          <w:color w:val="auto"/>
          <w:highlight w:val="none"/>
        </w:rPr>
        <w:t>设备噪声影响。由</w:t>
      </w:r>
      <w:r>
        <w:rPr>
          <w:rFonts w:hint="eastAsia"/>
          <w:color w:val="auto"/>
          <w:highlight w:val="none"/>
        </w:rPr>
        <w:t>下表</w:t>
      </w:r>
      <w:r>
        <w:rPr>
          <w:color w:val="auto"/>
          <w:highlight w:val="none"/>
        </w:rPr>
        <w:t>可知，本项目投产后厂界昼间噪声</w:t>
      </w:r>
      <w:r>
        <w:rPr>
          <w:rFonts w:hint="eastAsia"/>
          <w:color w:val="auto"/>
          <w:highlight w:val="none"/>
        </w:rPr>
        <w:t>贡献</w:t>
      </w:r>
      <w:r>
        <w:rPr>
          <w:color w:val="auto"/>
          <w:highlight w:val="none"/>
        </w:rPr>
        <w:t>值</w:t>
      </w:r>
      <w:r>
        <w:rPr>
          <w:rFonts w:hint="eastAsia"/>
          <w:bCs/>
          <w:color w:val="auto"/>
          <w:highlight w:val="none"/>
        </w:rPr>
        <w:t>满足</w:t>
      </w:r>
      <w:r>
        <w:rPr>
          <w:bCs/>
          <w:color w:val="auto"/>
          <w:highlight w:val="none"/>
        </w:rPr>
        <w:t>《工业企业厂界环境噪声排放标准》(GB12348-2008)表1中</w:t>
      </w:r>
      <w:r>
        <w:rPr>
          <w:rFonts w:hint="eastAsia"/>
          <w:bCs/>
          <w:color w:val="auto"/>
          <w:highlight w:val="none"/>
        </w:rPr>
        <w:t>1</w:t>
      </w:r>
      <w:r>
        <w:rPr>
          <w:bCs/>
          <w:color w:val="auto"/>
          <w:highlight w:val="none"/>
        </w:rPr>
        <w:t>类标准</w:t>
      </w:r>
      <w:r>
        <w:rPr>
          <w:color w:val="auto"/>
          <w:highlight w:val="none"/>
        </w:rPr>
        <w:t>。</w:t>
      </w:r>
    </w:p>
    <w:p w14:paraId="1725FC31">
      <w:pPr>
        <w:pStyle w:val="76"/>
        <w:rPr>
          <w:color w:val="auto"/>
          <w:highlight w:val="none"/>
        </w:rPr>
      </w:pPr>
      <w:r>
        <w:rPr>
          <w:color w:val="auto"/>
          <w:highlight w:val="none"/>
        </w:rPr>
        <w:t>表</w:t>
      </w:r>
      <w:r>
        <w:rPr>
          <w:rFonts w:hint="eastAsia"/>
          <w:color w:val="auto"/>
          <w:highlight w:val="none"/>
        </w:rPr>
        <w:t>5-2-11</w:t>
      </w:r>
      <w:r>
        <w:rPr>
          <w:color w:val="auto"/>
          <w:highlight w:val="none"/>
        </w:rPr>
        <w:t>厂界及噪声</w:t>
      </w:r>
      <w:r>
        <w:rPr>
          <w:rFonts w:hint="eastAsia"/>
          <w:color w:val="auto"/>
          <w:highlight w:val="none"/>
        </w:rPr>
        <w:t>贡献</w:t>
      </w:r>
      <w:r>
        <w:rPr>
          <w:color w:val="auto"/>
          <w:highlight w:val="none"/>
        </w:rPr>
        <w:t>结果一览表 单位：dB(A)</w:t>
      </w:r>
    </w:p>
    <w:tbl>
      <w:tblPr>
        <w:tblStyle w:val="45"/>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369"/>
        <w:gridCol w:w="1399"/>
        <w:gridCol w:w="1558"/>
        <w:gridCol w:w="1977"/>
      </w:tblGrid>
      <w:tr w14:paraId="0742BF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29" w:type="pct"/>
            <w:vMerge w:val="restart"/>
            <w:tcBorders>
              <w:tl2br w:val="nil"/>
              <w:tr2bl w:val="nil"/>
            </w:tcBorders>
            <w:vAlign w:val="center"/>
          </w:tcPr>
          <w:p w14:paraId="6E8ECF61">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预测点</w:t>
            </w:r>
          </w:p>
        </w:tc>
        <w:tc>
          <w:tcPr>
            <w:tcW w:w="842" w:type="pct"/>
            <w:vMerge w:val="restart"/>
            <w:tcBorders>
              <w:tl2br w:val="nil"/>
              <w:tr2bl w:val="nil"/>
            </w:tcBorders>
            <w:vAlign w:val="center"/>
          </w:tcPr>
          <w:p w14:paraId="4C5187A9">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时段</w:t>
            </w:r>
          </w:p>
        </w:tc>
        <w:tc>
          <w:tcPr>
            <w:tcW w:w="938" w:type="pct"/>
            <w:vMerge w:val="restart"/>
            <w:tcBorders>
              <w:tl2br w:val="nil"/>
              <w:tr2bl w:val="nil"/>
            </w:tcBorders>
            <w:vAlign w:val="center"/>
          </w:tcPr>
          <w:p w14:paraId="08596537">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贡献值</w:t>
            </w:r>
          </w:p>
        </w:tc>
        <w:tc>
          <w:tcPr>
            <w:tcW w:w="1190" w:type="pct"/>
            <w:vMerge w:val="restart"/>
            <w:tcBorders>
              <w:tl2br w:val="nil"/>
              <w:tr2bl w:val="nil"/>
            </w:tcBorders>
            <w:vAlign w:val="center"/>
          </w:tcPr>
          <w:p w14:paraId="17B42A63">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达标情况</w:t>
            </w:r>
          </w:p>
        </w:tc>
      </w:tr>
      <w:tr w14:paraId="1CFBE4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2029" w:type="pct"/>
            <w:vMerge w:val="continue"/>
            <w:tcBorders>
              <w:tl2br w:val="nil"/>
              <w:tr2bl w:val="nil"/>
            </w:tcBorders>
            <w:vAlign w:val="center"/>
          </w:tcPr>
          <w:p w14:paraId="65C52CF7">
            <w:pPr>
              <w:pStyle w:val="59"/>
              <w:widowControl w:val="0"/>
              <w:spacing w:line="0" w:lineRule="atLeast"/>
              <w:ind w:firstLine="0" w:firstLineChars="0"/>
              <w:jc w:val="center"/>
              <w:rPr>
                <w:rFonts w:cs="Times New Roman"/>
                <w:color w:val="auto"/>
                <w:sz w:val="21"/>
                <w:szCs w:val="21"/>
                <w:highlight w:val="none"/>
              </w:rPr>
            </w:pPr>
          </w:p>
        </w:tc>
        <w:tc>
          <w:tcPr>
            <w:tcW w:w="842" w:type="pct"/>
            <w:vMerge w:val="continue"/>
            <w:tcBorders>
              <w:tl2br w:val="nil"/>
              <w:tr2bl w:val="nil"/>
            </w:tcBorders>
            <w:vAlign w:val="center"/>
          </w:tcPr>
          <w:p w14:paraId="5A48146E">
            <w:pPr>
              <w:pStyle w:val="59"/>
              <w:widowControl w:val="0"/>
              <w:spacing w:line="0" w:lineRule="atLeast"/>
              <w:ind w:firstLine="0" w:firstLineChars="0"/>
              <w:jc w:val="center"/>
              <w:rPr>
                <w:rFonts w:cs="Times New Roman"/>
                <w:color w:val="auto"/>
                <w:sz w:val="21"/>
                <w:szCs w:val="21"/>
                <w:highlight w:val="none"/>
              </w:rPr>
            </w:pPr>
          </w:p>
        </w:tc>
        <w:tc>
          <w:tcPr>
            <w:tcW w:w="938" w:type="pct"/>
            <w:vMerge w:val="continue"/>
            <w:tcBorders>
              <w:tl2br w:val="nil"/>
              <w:tr2bl w:val="nil"/>
            </w:tcBorders>
            <w:vAlign w:val="center"/>
          </w:tcPr>
          <w:p w14:paraId="2A013191">
            <w:pPr>
              <w:pStyle w:val="59"/>
              <w:widowControl w:val="0"/>
              <w:spacing w:line="0" w:lineRule="atLeast"/>
              <w:ind w:firstLine="0" w:firstLineChars="0"/>
              <w:jc w:val="center"/>
              <w:rPr>
                <w:rFonts w:cs="Times New Roman"/>
                <w:color w:val="auto"/>
                <w:sz w:val="21"/>
                <w:szCs w:val="21"/>
                <w:highlight w:val="none"/>
              </w:rPr>
            </w:pPr>
          </w:p>
        </w:tc>
        <w:tc>
          <w:tcPr>
            <w:tcW w:w="1190" w:type="pct"/>
            <w:vMerge w:val="continue"/>
            <w:tcBorders>
              <w:tl2br w:val="nil"/>
              <w:tr2bl w:val="nil"/>
            </w:tcBorders>
            <w:vAlign w:val="center"/>
          </w:tcPr>
          <w:p w14:paraId="37885893">
            <w:pPr>
              <w:pStyle w:val="59"/>
              <w:widowControl w:val="0"/>
              <w:spacing w:line="0" w:lineRule="atLeast"/>
              <w:ind w:firstLine="0" w:firstLineChars="0"/>
              <w:jc w:val="center"/>
              <w:rPr>
                <w:rFonts w:cs="Times New Roman"/>
                <w:color w:val="auto"/>
                <w:sz w:val="21"/>
                <w:szCs w:val="21"/>
                <w:highlight w:val="none"/>
              </w:rPr>
            </w:pPr>
          </w:p>
        </w:tc>
      </w:tr>
      <w:tr w14:paraId="631706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2029" w:type="pct"/>
            <w:tcBorders>
              <w:tl2br w:val="nil"/>
              <w:tr2bl w:val="nil"/>
            </w:tcBorders>
            <w:vAlign w:val="center"/>
          </w:tcPr>
          <w:p w14:paraId="2F15FFC4">
            <w:pPr>
              <w:pStyle w:val="59"/>
              <w:widowControl w:val="0"/>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作业</w:t>
            </w:r>
            <w:r>
              <w:rPr>
                <w:rFonts w:cs="Times New Roman"/>
                <w:color w:val="auto"/>
                <w:sz w:val="21"/>
                <w:szCs w:val="21"/>
                <w:highlight w:val="none"/>
              </w:rPr>
              <w:t>区东侧1m处</w:t>
            </w:r>
          </w:p>
        </w:tc>
        <w:tc>
          <w:tcPr>
            <w:tcW w:w="842" w:type="pct"/>
            <w:tcBorders>
              <w:tl2br w:val="nil"/>
              <w:tr2bl w:val="nil"/>
            </w:tcBorders>
            <w:vAlign w:val="center"/>
          </w:tcPr>
          <w:p w14:paraId="3ACAC5A7">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昼间</w:t>
            </w:r>
          </w:p>
        </w:tc>
        <w:tc>
          <w:tcPr>
            <w:tcW w:w="938" w:type="pct"/>
            <w:tcBorders>
              <w:tl2br w:val="nil"/>
              <w:tr2bl w:val="nil"/>
            </w:tcBorders>
            <w:vAlign w:val="center"/>
          </w:tcPr>
          <w:p w14:paraId="1DB0A87C">
            <w:pPr>
              <w:pStyle w:val="59"/>
              <w:widowControl w:val="0"/>
              <w:spacing w:line="0" w:lineRule="atLeas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rPr>
              <w:t>3</w:t>
            </w:r>
            <w:r>
              <w:rPr>
                <w:rFonts w:hint="eastAsia" w:cs="Times New Roman"/>
                <w:color w:val="auto"/>
                <w:sz w:val="21"/>
                <w:szCs w:val="21"/>
                <w:highlight w:val="none"/>
                <w:lang w:val="en-US" w:eastAsia="zh-CN"/>
              </w:rPr>
              <w:t>4.2</w:t>
            </w:r>
          </w:p>
        </w:tc>
        <w:tc>
          <w:tcPr>
            <w:tcW w:w="1190" w:type="pct"/>
            <w:tcBorders>
              <w:tl2br w:val="nil"/>
              <w:tr2bl w:val="nil"/>
            </w:tcBorders>
            <w:vAlign w:val="center"/>
          </w:tcPr>
          <w:p w14:paraId="1DFA02F0">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达标</w:t>
            </w:r>
          </w:p>
        </w:tc>
      </w:tr>
      <w:tr w14:paraId="64A042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2029" w:type="pct"/>
            <w:tcBorders>
              <w:tl2br w:val="nil"/>
              <w:tr2bl w:val="nil"/>
            </w:tcBorders>
            <w:vAlign w:val="center"/>
          </w:tcPr>
          <w:p w14:paraId="4B83FD2E">
            <w:pPr>
              <w:pStyle w:val="59"/>
              <w:widowControl w:val="0"/>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作业</w:t>
            </w:r>
            <w:r>
              <w:rPr>
                <w:rFonts w:cs="Times New Roman"/>
                <w:color w:val="auto"/>
                <w:sz w:val="21"/>
                <w:szCs w:val="21"/>
                <w:highlight w:val="none"/>
              </w:rPr>
              <w:t>区南侧1m处</w:t>
            </w:r>
          </w:p>
        </w:tc>
        <w:tc>
          <w:tcPr>
            <w:tcW w:w="842" w:type="pct"/>
            <w:tcBorders>
              <w:tl2br w:val="nil"/>
              <w:tr2bl w:val="nil"/>
            </w:tcBorders>
            <w:vAlign w:val="center"/>
          </w:tcPr>
          <w:p w14:paraId="7E03052D">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昼间</w:t>
            </w:r>
          </w:p>
        </w:tc>
        <w:tc>
          <w:tcPr>
            <w:tcW w:w="938" w:type="pct"/>
            <w:tcBorders>
              <w:tl2br w:val="nil"/>
              <w:tr2bl w:val="nil"/>
            </w:tcBorders>
            <w:vAlign w:val="center"/>
          </w:tcPr>
          <w:p w14:paraId="25F260CC">
            <w:pPr>
              <w:pStyle w:val="59"/>
              <w:widowControl w:val="0"/>
              <w:spacing w:line="0" w:lineRule="atLeas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37.2</w:t>
            </w:r>
          </w:p>
        </w:tc>
        <w:tc>
          <w:tcPr>
            <w:tcW w:w="1190" w:type="pct"/>
            <w:tcBorders>
              <w:tl2br w:val="nil"/>
              <w:tr2bl w:val="nil"/>
            </w:tcBorders>
            <w:vAlign w:val="center"/>
          </w:tcPr>
          <w:p w14:paraId="07F3AAED">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达标</w:t>
            </w:r>
          </w:p>
        </w:tc>
      </w:tr>
      <w:tr w14:paraId="61173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2029" w:type="pct"/>
            <w:tcBorders>
              <w:tl2br w:val="nil"/>
              <w:tr2bl w:val="nil"/>
            </w:tcBorders>
            <w:vAlign w:val="center"/>
          </w:tcPr>
          <w:p w14:paraId="0C298BE7">
            <w:pPr>
              <w:pStyle w:val="59"/>
              <w:widowControl w:val="0"/>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作业</w:t>
            </w:r>
            <w:r>
              <w:rPr>
                <w:rFonts w:cs="Times New Roman"/>
                <w:color w:val="auto"/>
                <w:sz w:val="21"/>
                <w:szCs w:val="21"/>
                <w:highlight w:val="none"/>
              </w:rPr>
              <w:t>区西侧1m处</w:t>
            </w:r>
          </w:p>
        </w:tc>
        <w:tc>
          <w:tcPr>
            <w:tcW w:w="842" w:type="pct"/>
            <w:tcBorders>
              <w:tl2br w:val="nil"/>
              <w:tr2bl w:val="nil"/>
            </w:tcBorders>
            <w:vAlign w:val="center"/>
          </w:tcPr>
          <w:p w14:paraId="47DD1E19">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昼间</w:t>
            </w:r>
          </w:p>
        </w:tc>
        <w:tc>
          <w:tcPr>
            <w:tcW w:w="938" w:type="pct"/>
            <w:tcBorders>
              <w:tl2br w:val="nil"/>
              <w:tr2bl w:val="nil"/>
            </w:tcBorders>
            <w:vAlign w:val="center"/>
          </w:tcPr>
          <w:p w14:paraId="534B2959">
            <w:pPr>
              <w:pStyle w:val="59"/>
              <w:widowControl w:val="0"/>
              <w:spacing w:line="0" w:lineRule="atLeas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38.5</w:t>
            </w:r>
          </w:p>
        </w:tc>
        <w:tc>
          <w:tcPr>
            <w:tcW w:w="1190" w:type="pct"/>
            <w:tcBorders>
              <w:tl2br w:val="nil"/>
              <w:tr2bl w:val="nil"/>
            </w:tcBorders>
            <w:vAlign w:val="center"/>
          </w:tcPr>
          <w:p w14:paraId="57006980">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达标</w:t>
            </w:r>
          </w:p>
        </w:tc>
      </w:tr>
      <w:tr w14:paraId="3B281D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64" w:hRule="atLeast"/>
          <w:jc w:val="center"/>
        </w:trPr>
        <w:tc>
          <w:tcPr>
            <w:tcW w:w="2029" w:type="pct"/>
            <w:tcBorders>
              <w:tl2br w:val="nil"/>
              <w:tr2bl w:val="nil"/>
            </w:tcBorders>
            <w:vAlign w:val="center"/>
          </w:tcPr>
          <w:p w14:paraId="3CB450AE">
            <w:pPr>
              <w:pStyle w:val="59"/>
              <w:widowControl w:val="0"/>
              <w:spacing w:line="0" w:lineRule="atLeast"/>
              <w:ind w:firstLine="0" w:firstLineChars="0"/>
              <w:jc w:val="center"/>
              <w:rPr>
                <w:rFonts w:cs="Times New Roman"/>
                <w:color w:val="auto"/>
                <w:sz w:val="21"/>
                <w:szCs w:val="21"/>
                <w:highlight w:val="none"/>
              </w:rPr>
            </w:pPr>
            <w:r>
              <w:rPr>
                <w:rFonts w:hint="eastAsia" w:cs="Times New Roman"/>
                <w:color w:val="auto"/>
                <w:sz w:val="21"/>
                <w:szCs w:val="21"/>
                <w:highlight w:val="none"/>
              </w:rPr>
              <w:t>作业</w:t>
            </w:r>
            <w:r>
              <w:rPr>
                <w:rFonts w:cs="Times New Roman"/>
                <w:color w:val="auto"/>
                <w:sz w:val="21"/>
                <w:szCs w:val="21"/>
                <w:highlight w:val="none"/>
              </w:rPr>
              <w:t>区北侧1m处</w:t>
            </w:r>
          </w:p>
        </w:tc>
        <w:tc>
          <w:tcPr>
            <w:tcW w:w="842" w:type="pct"/>
            <w:tcBorders>
              <w:tl2br w:val="nil"/>
              <w:tr2bl w:val="nil"/>
            </w:tcBorders>
            <w:vAlign w:val="center"/>
          </w:tcPr>
          <w:p w14:paraId="6D18AA66">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昼间</w:t>
            </w:r>
          </w:p>
        </w:tc>
        <w:tc>
          <w:tcPr>
            <w:tcW w:w="938" w:type="pct"/>
            <w:tcBorders>
              <w:tl2br w:val="nil"/>
              <w:tr2bl w:val="nil"/>
            </w:tcBorders>
            <w:vAlign w:val="center"/>
          </w:tcPr>
          <w:p w14:paraId="6D268539">
            <w:pPr>
              <w:pStyle w:val="59"/>
              <w:widowControl w:val="0"/>
              <w:spacing w:line="0" w:lineRule="atLeast"/>
              <w:ind w:firstLine="0" w:firstLineChars="0"/>
              <w:jc w:val="center"/>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41.3</w:t>
            </w:r>
          </w:p>
        </w:tc>
        <w:tc>
          <w:tcPr>
            <w:tcW w:w="1190" w:type="pct"/>
            <w:tcBorders>
              <w:tl2br w:val="nil"/>
              <w:tr2bl w:val="nil"/>
            </w:tcBorders>
            <w:vAlign w:val="center"/>
          </w:tcPr>
          <w:p w14:paraId="633F2E2A">
            <w:pPr>
              <w:pStyle w:val="59"/>
              <w:widowControl w:val="0"/>
              <w:spacing w:line="0" w:lineRule="atLeast"/>
              <w:ind w:firstLine="0" w:firstLineChars="0"/>
              <w:jc w:val="center"/>
              <w:rPr>
                <w:rFonts w:cs="Times New Roman"/>
                <w:color w:val="auto"/>
                <w:sz w:val="21"/>
                <w:szCs w:val="21"/>
                <w:highlight w:val="none"/>
              </w:rPr>
            </w:pPr>
            <w:r>
              <w:rPr>
                <w:rFonts w:cs="Times New Roman"/>
                <w:color w:val="auto"/>
                <w:sz w:val="21"/>
                <w:szCs w:val="21"/>
                <w:highlight w:val="none"/>
              </w:rPr>
              <w:t>达标</w:t>
            </w:r>
          </w:p>
        </w:tc>
      </w:tr>
    </w:tbl>
    <w:p w14:paraId="359A247D">
      <w:pPr>
        <w:pStyle w:val="135"/>
        <w:rPr>
          <w:color w:val="auto"/>
        </w:rPr>
      </w:pPr>
      <w:r>
        <w:rPr>
          <w:rFonts w:hint="eastAsia"/>
          <w:color w:val="auto"/>
        </w:rPr>
        <w:t>5</w:t>
      </w:r>
      <w:r>
        <w:rPr>
          <w:color w:val="auto"/>
        </w:rPr>
        <w:t>.2.4.4</w:t>
      </w:r>
      <w:r>
        <w:rPr>
          <w:rFonts w:hint="eastAsia"/>
          <w:color w:val="auto"/>
        </w:rPr>
        <w:t>交通噪声影响分析</w:t>
      </w:r>
    </w:p>
    <w:p w14:paraId="6724EFE5">
      <w:pPr>
        <w:pStyle w:val="59"/>
        <w:ind w:firstLine="480"/>
        <w:rPr>
          <w:color w:val="auto"/>
        </w:rPr>
      </w:pPr>
      <w:r>
        <w:rPr>
          <w:rFonts w:hint="eastAsia"/>
          <w:color w:val="auto"/>
        </w:rPr>
        <w:t>（1）噪声源强</w:t>
      </w:r>
    </w:p>
    <w:p w14:paraId="5A3985A2">
      <w:pPr>
        <w:pStyle w:val="59"/>
        <w:ind w:firstLine="480"/>
        <w:rPr>
          <w:color w:val="auto"/>
        </w:rPr>
      </w:pPr>
      <w:r>
        <w:rPr>
          <w:color w:val="auto"/>
        </w:rPr>
        <w:t>运输车辆时速为20km/h时，平均辐射噪声级(7.5m处)约69.25dB(A)。</w:t>
      </w:r>
    </w:p>
    <w:p w14:paraId="58688B32">
      <w:pPr>
        <w:pStyle w:val="59"/>
        <w:ind w:firstLine="480"/>
        <w:rPr>
          <w:color w:val="auto"/>
        </w:rPr>
      </w:pPr>
      <w:r>
        <w:rPr>
          <w:rFonts w:hint="eastAsia"/>
          <w:color w:val="auto"/>
        </w:rPr>
        <w:t>（2）影响预测</w:t>
      </w:r>
    </w:p>
    <w:p w14:paraId="2749902F">
      <w:pPr>
        <w:pStyle w:val="59"/>
        <w:ind w:firstLine="480"/>
        <w:rPr>
          <w:color w:val="auto"/>
        </w:rPr>
      </w:pPr>
      <w:r>
        <w:rPr>
          <w:rFonts w:hint="eastAsia"/>
          <w:color w:val="auto"/>
        </w:rPr>
        <w:t>评价采用《环境影响评价技术导则 声环境》(</w:t>
      </w:r>
      <w:r>
        <w:rPr>
          <w:color w:val="auto"/>
        </w:rPr>
        <w:t>HJ2.4-2021</w:t>
      </w:r>
      <w:r>
        <w:rPr>
          <w:rFonts w:hint="eastAsia"/>
          <w:color w:val="auto"/>
        </w:rPr>
        <w:t>)中的公路交通噪声预测模式，模式的误差范围为±</w:t>
      </w:r>
      <w:r>
        <w:rPr>
          <w:color w:val="auto"/>
        </w:rPr>
        <w:t>2.5dB</w:t>
      </w:r>
      <w:r>
        <w:rPr>
          <w:rFonts w:hint="eastAsia"/>
          <w:color w:val="auto"/>
        </w:rPr>
        <w:t>(</w:t>
      </w:r>
      <w:r>
        <w:rPr>
          <w:color w:val="auto"/>
        </w:rPr>
        <w:t>A</w:t>
      </w:r>
      <w:r>
        <w:rPr>
          <w:rFonts w:hint="eastAsia"/>
          <w:color w:val="auto"/>
        </w:rPr>
        <w:t>)，模式如下：第</w:t>
      </w:r>
      <w:r>
        <w:rPr>
          <w:color w:val="auto"/>
        </w:rPr>
        <w:t>i</w:t>
      </w:r>
      <w:r>
        <w:rPr>
          <w:rFonts w:hint="eastAsia"/>
          <w:color w:val="auto"/>
        </w:rPr>
        <w:t>类车等效声级预测模式：</w:t>
      </w:r>
    </w:p>
    <w:p w14:paraId="4DDAB50F">
      <w:pPr>
        <w:pStyle w:val="59"/>
        <w:spacing w:line="240" w:lineRule="auto"/>
        <w:ind w:firstLine="480"/>
        <w:jc w:val="center"/>
        <w:rPr>
          <w:color w:val="auto"/>
        </w:rPr>
      </w:pPr>
      <w:r>
        <w:rPr>
          <w:color w:val="auto"/>
        </w:rPr>
        <w:drawing>
          <wp:inline distT="0" distB="0" distL="0" distR="0">
            <wp:extent cx="3686175" cy="476250"/>
            <wp:effectExtent l="0" t="0" r="9525" b="0"/>
            <wp:docPr id="323651465"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651465" name="图片 13"/>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a:xfrm>
                      <a:off x="0" y="0"/>
                      <a:ext cx="3686175" cy="476250"/>
                    </a:xfrm>
                    <a:prstGeom prst="rect">
                      <a:avLst/>
                    </a:prstGeom>
                    <a:noFill/>
                    <a:ln>
                      <a:noFill/>
                    </a:ln>
                  </pic:spPr>
                </pic:pic>
              </a:graphicData>
            </a:graphic>
          </wp:inline>
        </w:drawing>
      </w:r>
    </w:p>
    <w:p w14:paraId="541EA353">
      <w:pPr>
        <w:pStyle w:val="59"/>
        <w:ind w:firstLine="480"/>
        <w:rPr>
          <w:color w:val="auto"/>
        </w:rPr>
      </w:pPr>
      <w:r>
        <w:rPr>
          <w:rFonts w:hint="eastAsia"/>
          <w:color w:val="auto"/>
        </w:rPr>
        <w:t>式中：</w:t>
      </w:r>
      <w:r>
        <w:rPr>
          <w:i/>
          <w:color w:val="auto"/>
        </w:rPr>
        <w:t>L</w:t>
      </w:r>
      <w:r>
        <w:rPr>
          <w:color w:val="auto"/>
        </w:rPr>
        <w:t>eq(</w:t>
      </w:r>
      <w:r>
        <w:rPr>
          <w:i/>
          <w:color w:val="auto"/>
        </w:rPr>
        <w:t>h</w:t>
      </w:r>
      <w:r>
        <w:rPr>
          <w:color w:val="auto"/>
        </w:rPr>
        <w:t>)——</w:t>
      </w:r>
      <w:r>
        <w:rPr>
          <w:rFonts w:hint="eastAsia"/>
          <w:color w:val="auto"/>
        </w:rPr>
        <w:t>第</w:t>
      </w:r>
      <w:r>
        <w:rPr>
          <w:i/>
          <w:color w:val="auto"/>
        </w:rPr>
        <w:t>i</w:t>
      </w:r>
      <w:r>
        <w:rPr>
          <w:rFonts w:hint="eastAsia"/>
          <w:color w:val="auto"/>
        </w:rPr>
        <w:t>类车的小时等效声级，</w:t>
      </w:r>
      <w:r>
        <w:rPr>
          <w:color w:val="auto"/>
        </w:rPr>
        <w:t>dB(A)</w:t>
      </w:r>
      <w:r>
        <w:rPr>
          <w:rFonts w:hint="eastAsia"/>
          <w:color w:val="auto"/>
        </w:rPr>
        <w:t>；</w:t>
      </w:r>
    </w:p>
    <w:p w14:paraId="30E2C715">
      <w:pPr>
        <w:pStyle w:val="59"/>
        <w:spacing w:line="240" w:lineRule="auto"/>
        <w:ind w:firstLine="480"/>
        <w:rPr>
          <w:color w:val="auto"/>
        </w:rPr>
      </w:pPr>
      <w:r>
        <w:rPr>
          <w:color w:val="auto"/>
        </w:rPr>
        <w:drawing>
          <wp:inline distT="0" distB="0" distL="0" distR="0">
            <wp:extent cx="381000" cy="270510"/>
            <wp:effectExtent l="0" t="0" r="0" b="0"/>
            <wp:docPr id="196643799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437995" name="图片 16"/>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a:xfrm>
                      <a:off x="0" y="0"/>
                      <a:ext cx="385801" cy="274512"/>
                    </a:xfrm>
                    <a:prstGeom prst="rect">
                      <a:avLst/>
                    </a:prstGeom>
                    <a:noFill/>
                    <a:ln>
                      <a:noFill/>
                    </a:ln>
                  </pic:spPr>
                </pic:pic>
              </a:graphicData>
            </a:graphic>
          </wp:inline>
        </w:drawing>
      </w:r>
      <w:r>
        <w:rPr>
          <w:color w:val="auto"/>
        </w:rPr>
        <w:t>——</w:t>
      </w:r>
      <w:r>
        <w:rPr>
          <w:rFonts w:hint="eastAsia"/>
          <w:color w:val="auto"/>
        </w:rPr>
        <w:t>第</w:t>
      </w:r>
      <w:r>
        <w:rPr>
          <w:i/>
          <w:color w:val="auto"/>
        </w:rPr>
        <w:t>i</w:t>
      </w:r>
      <w:r>
        <w:rPr>
          <w:rFonts w:hint="eastAsia"/>
          <w:color w:val="auto"/>
        </w:rPr>
        <w:t>类车速度为</w:t>
      </w:r>
      <w:r>
        <w:rPr>
          <w:i/>
          <w:color w:val="auto"/>
        </w:rPr>
        <w:t>V</w:t>
      </w:r>
      <w:r>
        <w:rPr>
          <w:i/>
          <w:color w:val="auto"/>
          <w:vertAlign w:val="subscript"/>
        </w:rPr>
        <w:t>i</w:t>
      </w:r>
      <w:r>
        <w:rPr>
          <w:rFonts w:hint="eastAsia"/>
          <w:color w:val="auto"/>
        </w:rPr>
        <w:t>，</w:t>
      </w:r>
      <w:r>
        <w:rPr>
          <w:color w:val="auto"/>
        </w:rPr>
        <w:t>km/h</w:t>
      </w:r>
      <w:r>
        <w:rPr>
          <w:rFonts w:hint="eastAsia"/>
          <w:color w:val="auto"/>
        </w:rPr>
        <w:t>，水平距离为</w:t>
      </w:r>
      <w:r>
        <w:rPr>
          <w:color w:val="auto"/>
        </w:rPr>
        <w:t>7.5m</w:t>
      </w:r>
      <w:r>
        <w:rPr>
          <w:rFonts w:hint="eastAsia"/>
          <w:color w:val="auto"/>
        </w:rPr>
        <w:t>处的能量平均</w:t>
      </w:r>
      <w:r>
        <w:rPr>
          <w:color w:val="auto"/>
        </w:rPr>
        <w:t>A</w:t>
      </w:r>
      <w:r>
        <w:rPr>
          <w:rFonts w:hint="eastAsia"/>
          <w:color w:val="auto"/>
        </w:rPr>
        <w:t>声级，</w:t>
      </w:r>
      <w:r>
        <w:rPr>
          <w:color w:val="auto"/>
        </w:rPr>
        <w:t>dB</w:t>
      </w:r>
      <w:r>
        <w:rPr>
          <w:rFonts w:hint="eastAsia"/>
          <w:color w:val="auto"/>
        </w:rPr>
        <w:t>，取7</w:t>
      </w:r>
      <w:r>
        <w:rPr>
          <w:color w:val="auto"/>
        </w:rPr>
        <w:t>4.9</w:t>
      </w:r>
      <w:r>
        <w:rPr>
          <w:rFonts w:hint="eastAsia"/>
          <w:color w:val="auto"/>
        </w:rPr>
        <w:t>；</w:t>
      </w:r>
    </w:p>
    <w:p w14:paraId="27A3EF88">
      <w:pPr>
        <w:pStyle w:val="59"/>
        <w:ind w:firstLine="480"/>
        <w:rPr>
          <w:color w:val="auto"/>
        </w:rPr>
      </w:pPr>
      <w:r>
        <w:rPr>
          <w:i/>
          <w:color w:val="auto"/>
        </w:rPr>
        <w:t>Ni</w:t>
      </w:r>
      <w:r>
        <w:rPr>
          <w:color w:val="auto"/>
        </w:rPr>
        <w:t>——</w:t>
      </w:r>
      <w:r>
        <w:rPr>
          <w:rFonts w:hint="eastAsia"/>
          <w:color w:val="auto"/>
        </w:rPr>
        <w:t>昼间，夜间通过某个预测点的第</w:t>
      </w:r>
      <w:r>
        <w:rPr>
          <w:i/>
          <w:color w:val="auto"/>
        </w:rPr>
        <w:t>i</w:t>
      </w:r>
      <w:r>
        <w:rPr>
          <w:rFonts w:hint="eastAsia"/>
          <w:color w:val="auto"/>
        </w:rPr>
        <w:t>类车平均小时车流量，辆</w:t>
      </w:r>
      <w:r>
        <w:rPr>
          <w:color w:val="auto"/>
        </w:rPr>
        <w:t>/h</w:t>
      </w:r>
      <w:r>
        <w:rPr>
          <w:rFonts w:hint="eastAsia"/>
          <w:color w:val="auto"/>
        </w:rPr>
        <w:t>，取</w:t>
      </w:r>
      <w:r>
        <w:rPr>
          <w:color w:val="auto"/>
        </w:rPr>
        <w:t>2.8</w:t>
      </w:r>
      <w:r>
        <w:rPr>
          <w:rFonts w:hint="eastAsia"/>
          <w:color w:val="auto"/>
        </w:rPr>
        <w:t>；</w:t>
      </w:r>
    </w:p>
    <w:p w14:paraId="75A18B11">
      <w:pPr>
        <w:pStyle w:val="59"/>
        <w:ind w:firstLine="480"/>
        <w:rPr>
          <w:color w:val="auto"/>
        </w:rPr>
      </w:pPr>
      <w:r>
        <w:rPr>
          <w:i/>
          <w:color w:val="auto"/>
        </w:rPr>
        <w:t>Vi</w:t>
      </w:r>
      <w:r>
        <w:rPr>
          <w:color w:val="auto"/>
        </w:rPr>
        <w:t>——</w:t>
      </w:r>
      <w:r>
        <w:rPr>
          <w:rFonts w:hint="eastAsia"/>
          <w:color w:val="auto"/>
        </w:rPr>
        <w:t>第</w:t>
      </w:r>
      <w:r>
        <w:rPr>
          <w:i/>
          <w:color w:val="auto"/>
        </w:rPr>
        <w:t>i</w:t>
      </w:r>
      <w:r>
        <w:rPr>
          <w:rFonts w:hint="eastAsia"/>
          <w:color w:val="auto"/>
        </w:rPr>
        <w:t>类车的平均车速，</w:t>
      </w:r>
      <w:r>
        <w:rPr>
          <w:color w:val="auto"/>
        </w:rPr>
        <w:t>km/h</w:t>
      </w:r>
      <w:r>
        <w:rPr>
          <w:rFonts w:hint="eastAsia"/>
          <w:color w:val="auto"/>
        </w:rPr>
        <w:t>，取2</w:t>
      </w:r>
      <w:r>
        <w:rPr>
          <w:color w:val="auto"/>
        </w:rPr>
        <w:t>0</w:t>
      </w:r>
      <w:r>
        <w:rPr>
          <w:rFonts w:hint="eastAsia"/>
          <w:color w:val="auto"/>
        </w:rPr>
        <w:t>；</w:t>
      </w:r>
    </w:p>
    <w:p w14:paraId="5F650211">
      <w:pPr>
        <w:pStyle w:val="59"/>
        <w:ind w:firstLine="480"/>
        <w:rPr>
          <w:color w:val="auto"/>
        </w:rPr>
      </w:pPr>
      <w:r>
        <w:rPr>
          <w:i/>
          <w:color w:val="auto"/>
        </w:rPr>
        <w:t>T</w:t>
      </w:r>
      <w:r>
        <w:rPr>
          <w:color w:val="auto"/>
        </w:rPr>
        <w:t>——</w:t>
      </w:r>
      <w:r>
        <w:rPr>
          <w:rFonts w:hint="eastAsia"/>
          <w:color w:val="auto"/>
        </w:rPr>
        <w:t>计算等效声级的时间，</w:t>
      </w:r>
      <w:r>
        <w:rPr>
          <w:color w:val="auto"/>
        </w:rPr>
        <w:t>1h</w:t>
      </w:r>
      <w:r>
        <w:rPr>
          <w:rFonts w:hint="eastAsia"/>
          <w:color w:val="auto"/>
        </w:rPr>
        <w:t>；</w:t>
      </w:r>
    </w:p>
    <w:p w14:paraId="0AAFE1C2">
      <w:pPr>
        <w:pStyle w:val="59"/>
        <w:spacing w:line="240" w:lineRule="auto"/>
        <w:ind w:firstLine="480"/>
        <w:rPr>
          <w:color w:val="auto"/>
        </w:rPr>
      </w:pPr>
      <w:r>
        <w:rPr>
          <w:color w:val="auto"/>
        </w:rPr>
        <w:drawing>
          <wp:inline distT="0" distB="0" distL="0" distR="0">
            <wp:extent cx="381000" cy="238760"/>
            <wp:effectExtent l="0" t="0" r="0" b="8890"/>
            <wp:docPr id="1652301204"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301204" name="图片 17"/>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384083" cy="240993"/>
                    </a:xfrm>
                    <a:prstGeom prst="rect">
                      <a:avLst/>
                    </a:prstGeom>
                    <a:noFill/>
                    <a:ln>
                      <a:noFill/>
                    </a:ln>
                  </pic:spPr>
                </pic:pic>
              </a:graphicData>
            </a:graphic>
          </wp:inline>
        </w:drawing>
      </w:r>
      <w:r>
        <w:rPr>
          <w:color w:val="auto"/>
        </w:rPr>
        <w:t>——</w:t>
      </w:r>
      <w:r>
        <w:rPr>
          <w:rFonts w:hint="eastAsia"/>
          <w:color w:val="auto"/>
        </w:rPr>
        <w:t>距离衰减量，</w:t>
      </w:r>
      <w:r>
        <w:rPr>
          <w:color w:val="auto"/>
        </w:rPr>
        <w:t>dB(A)</w:t>
      </w:r>
      <w:r>
        <w:rPr>
          <w:rFonts w:hint="eastAsia"/>
          <w:color w:val="auto"/>
        </w:rPr>
        <w:t>，小时车流量大于等于</w:t>
      </w:r>
      <w:r>
        <w:rPr>
          <w:color w:val="auto"/>
        </w:rPr>
        <w:t>300</w:t>
      </w:r>
      <w:r>
        <w:rPr>
          <w:rFonts w:hint="eastAsia"/>
          <w:color w:val="auto"/>
        </w:rPr>
        <w:t>辆</w:t>
      </w:r>
      <w:r>
        <w:rPr>
          <w:color w:val="auto"/>
        </w:rPr>
        <w:t>/</w:t>
      </w:r>
      <w:r>
        <w:rPr>
          <w:rFonts w:hint="eastAsia"/>
          <w:color w:val="auto"/>
        </w:rPr>
        <w:t>小时：</w:t>
      </w:r>
    </w:p>
    <w:p w14:paraId="2529AE05">
      <w:pPr>
        <w:pStyle w:val="59"/>
        <w:spacing w:line="240" w:lineRule="auto"/>
        <w:ind w:firstLine="480"/>
        <w:rPr>
          <w:color w:val="auto"/>
        </w:rPr>
      </w:pPr>
      <w:r>
        <w:rPr>
          <w:color w:val="auto"/>
        </w:rPr>
        <w:drawing>
          <wp:inline distT="0" distB="0" distL="0" distR="0">
            <wp:extent cx="352425" cy="220980"/>
            <wp:effectExtent l="0" t="0" r="0" b="7620"/>
            <wp:docPr id="1265565563"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5565563" name="图片 1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354812" cy="222627"/>
                    </a:xfrm>
                    <a:prstGeom prst="rect">
                      <a:avLst/>
                    </a:prstGeom>
                    <a:noFill/>
                    <a:ln>
                      <a:noFill/>
                    </a:ln>
                  </pic:spPr>
                </pic:pic>
              </a:graphicData>
            </a:graphic>
          </wp:inline>
        </w:drawing>
      </w:r>
      <w:r>
        <w:rPr>
          <w:color w:val="auto"/>
        </w:rPr>
        <w:t>=10lg(7.5/</w:t>
      </w:r>
      <w:r>
        <w:rPr>
          <w:i/>
          <w:color w:val="auto"/>
        </w:rPr>
        <w:t>r</w:t>
      </w:r>
      <w:r>
        <w:rPr>
          <w:color w:val="auto"/>
        </w:rPr>
        <w:t>)</w:t>
      </w:r>
      <w:r>
        <w:rPr>
          <w:rFonts w:hint="eastAsia"/>
          <w:color w:val="auto"/>
        </w:rPr>
        <w:t>，小时车流量小于</w:t>
      </w:r>
      <w:r>
        <w:rPr>
          <w:color w:val="auto"/>
        </w:rPr>
        <w:t>300</w:t>
      </w:r>
      <w:r>
        <w:rPr>
          <w:rFonts w:hint="eastAsia"/>
          <w:color w:val="auto"/>
        </w:rPr>
        <w:t>辆</w:t>
      </w:r>
      <w:r>
        <w:rPr>
          <w:color w:val="auto"/>
        </w:rPr>
        <w:t>/</w:t>
      </w:r>
      <w:r>
        <w:rPr>
          <w:rFonts w:hint="eastAsia"/>
          <w:color w:val="auto"/>
        </w:rPr>
        <w:t>小时：</w:t>
      </w:r>
      <w:r>
        <w:rPr>
          <w:color w:val="auto"/>
        </w:rPr>
        <w:drawing>
          <wp:inline distT="0" distB="0" distL="0" distR="0">
            <wp:extent cx="381000" cy="238760"/>
            <wp:effectExtent l="0" t="0" r="0" b="8890"/>
            <wp:docPr id="1242498105"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498105" name="图片 19"/>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384619" cy="241330"/>
                    </a:xfrm>
                    <a:prstGeom prst="rect">
                      <a:avLst/>
                    </a:prstGeom>
                    <a:noFill/>
                    <a:ln>
                      <a:noFill/>
                    </a:ln>
                  </pic:spPr>
                </pic:pic>
              </a:graphicData>
            </a:graphic>
          </wp:inline>
        </w:drawing>
      </w:r>
      <w:r>
        <w:rPr>
          <w:color w:val="auto"/>
        </w:rPr>
        <w:t>=15lg(7.5/</w:t>
      </w:r>
      <w:r>
        <w:rPr>
          <w:i/>
          <w:color w:val="auto"/>
        </w:rPr>
        <w:t>r</w:t>
      </w:r>
      <w:r>
        <w:rPr>
          <w:color w:val="auto"/>
        </w:rPr>
        <w:t>)</w:t>
      </w:r>
      <w:r>
        <w:rPr>
          <w:rFonts w:hint="eastAsia"/>
          <w:color w:val="auto"/>
        </w:rPr>
        <w:t>；</w:t>
      </w:r>
    </w:p>
    <w:p w14:paraId="4EAC3975">
      <w:pPr>
        <w:pStyle w:val="59"/>
        <w:ind w:firstLine="480"/>
        <w:rPr>
          <w:color w:val="auto"/>
        </w:rPr>
      </w:pPr>
      <w:r>
        <w:rPr>
          <w:i/>
          <w:color w:val="auto"/>
        </w:rPr>
        <w:t>r</w:t>
      </w:r>
      <w:r>
        <w:rPr>
          <w:color w:val="auto"/>
        </w:rPr>
        <w:t>——</w:t>
      </w:r>
      <w:r>
        <w:rPr>
          <w:rFonts w:hint="eastAsia"/>
          <w:color w:val="auto"/>
        </w:rPr>
        <w:t>从车道中心线到预测点的距离，</w:t>
      </w:r>
      <w:r>
        <w:rPr>
          <w:color w:val="auto"/>
        </w:rPr>
        <w:t>m</w:t>
      </w:r>
      <w:r>
        <w:rPr>
          <w:rFonts w:hint="eastAsia"/>
          <w:color w:val="auto"/>
        </w:rPr>
        <w:t>，式（</w:t>
      </w:r>
      <w:r>
        <w:rPr>
          <w:color w:val="auto"/>
        </w:rPr>
        <w:t>B.7</w:t>
      </w:r>
      <w:r>
        <w:rPr>
          <w:rFonts w:hint="eastAsia"/>
          <w:color w:val="auto"/>
        </w:rPr>
        <w:t>）适用于</w:t>
      </w:r>
      <w:r>
        <w:rPr>
          <w:i/>
          <w:color w:val="auto"/>
        </w:rPr>
        <w:t>r</w:t>
      </w:r>
      <w:r>
        <w:rPr>
          <w:rFonts w:hint="eastAsia"/>
          <w:color w:val="auto"/>
        </w:rPr>
        <w:t>＞</w:t>
      </w:r>
      <w:r>
        <w:rPr>
          <w:color w:val="auto"/>
        </w:rPr>
        <w:t>7.5m</w:t>
      </w:r>
      <w:r>
        <w:rPr>
          <w:rFonts w:hint="eastAsia"/>
          <w:color w:val="auto"/>
        </w:rPr>
        <w:t>的预测点的噪声预测；</w:t>
      </w:r>
    </w:p>
    <w:p w14:paraId="06B9ABF1">
      <w:pPr>
        <w:pStyle w:val="59"/>
        <w:ind w:firstLine="480"/>
        <w:rPr>
          <w:color w:val="auto"/>
        </w:rPr>
      </w:pPr>
      <w:r>
        <w:rPr>
          <w:rFonts w:ascii="Symbol" w:hAnsi="Symbol"/>
          <w:i/>
          <w:color w:val="auto"/>
        </w:rPr>
        <w:t></w:t>
      </w:r>
      <w:r>
        <w:rPr>
          <w:i/>
          <w:color w:val="auto"/>
          <w:spacing w:val="-32"/>
        </w:rPr>
        <w:t xml:space="preserve"> </w:t>
      </w:r>
      <w:r>
        <w:rPr>
          <w:color w:val="auto"/>
          <w:position w:val="-4"/>
          <w:sz w:val="11"/>
          <w:szCs w:val="11"/>
        </w:rPr>
        <w:t>1</w:t>
      </w:r>
      <w:r>
        <w:rPr>
          <w:color w:val="auto"/>
          <w:spacing w:val="18"/>
          <w:position w:val="-4"/>
          <w:sz w:val="11"/>
          <w:szCs w:val="11"/>
        </w:rPr>
        <w:t xml:space="preserve"> </w:t>
      </w:r>
      <w:r>
        <w:rPr>
          <w:rFonts w:ascii="宋体" w:hAnsi="宋体"/>
          <w:color w:val="auto"/>
          <w:spacing w:val="5"/>
          <w:position w:val="1"/>
        </w:rPr>
        <w:t>、</w:t>
      </w:r>
      <w:r>
        <w:rPr>
          <w:rFonts w:ascii="Symbol" w:hAnsi="Symbol"/>
          <w:i/>
          <w:color w:val="auto"/>
        </w:rPr>
        <w:t></w:t>
      </w:r>
      <w:r>
        <w:rPr>
          <w:i/>
          <w:color w:val="auto"/>
          <w:spacing w:val="-17"/>
        </w:rPr>
        <w:t xml:space="preserve"> </w:t>
      </w:r>
      <w:r>
        <w:rPr>
          <w:color w:val="auto"/>
          <w:position w:val="-4"/>
          <w:sz w:val="11"/>
          <w:szCs w:val="11"/>
        </w:rPr>
        <w:t>2</w:t>
      </w:r>
      <w:r>
        <w:rPr>
          <w:color w:val="auto"/>
          <w:spacing w:val="26"/>
          <w:position w:val="-4"/>
          <w:sz w:val="11"/>
          <w:szCs w:val="11"/>
        </w:rPr>
        <w:t xml:space="preserve"> </w:t>
      </w:r>
      <w:r>
        <w:rPr>
          <w:color w:val="auto"/>
        </w:rPr>
        <w:t>——预测点到有限长路段两端的张角，弧度</w:t>
      </w:r>
      <w:r>
        <w:rPr>
          <w:rFonts w:hint="eastAsia"/>
          <w:color w:val="auto"/>
        </w:rPr>
        <w:t>。</w:t>
      </w:r>
    </w:p>
    <w:p w14:paraId="64826579">
      <w:pPr>
        <w:pStyle w:val="59"/>
        <w:spacing w:line="240" w:lineRule="auto"/>
        <w:ind w:firstLine="480"/>
        <w:rPr>
          <w:color w:val="auto"/>
        </w:rPr>
      </w:pPr>
      <w:r>
        <w:rPr>
          <w:color w:val="auto"/>
        </w:rPr>
        <w:drawing>
          <wp:inline distT="0" distB="0" distL="0" distR="0">
            <wp:extent cx="200025" cy="245745"/>
            <wp:effectExtent l="0" t="0" r="0" b="1905"/>
            <wp:docPr id="190175626"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175626" name="图片 2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203065" cy="249927"/>
                    </a:xfrm>
                    <a:prstGeom prst="rect">
                      <a:avLst/>
                    </a:prstGeom>
                    <a:noFill/>
                    <a:ln>
                      <a:noFill/>
                    </a:ln>
                  </pic:spPr>
                </pic:pic>
              </a:graphicData>
            </a:graphic>
          </wp:inline>
        </w:drawing>
      </w:r>
      <w:r>
        <w:rPr>
          <w:color w:val="auto"/>
        </w:rPr>
        <w:t>——</w:t>
      </w:r>
      <w:r>
        <w:rPr>
          <w:rFonts w:hint="eastAsia"/>
          <w:color w:val="auto"/>
        </w:rPr>
        <w:t>由其他因素引起的修正量，取0。</w:t>
      </w:r>
    </w:p>
    <w:p w14:paraId="15787605">
      <w:pPr>
        <w:pStyle w:val="59"/>
        <w:ind w:firstLine="480"/>
        <w:rPr>
          <w:color w:val="auto"/>
        </w:rPr>
      </w:pPr>
      <w:r>
        <w:rPr>
          <w:rFonts w:hint="eastAsia"/>
          <w:color w:val="auto"/>
        </w:rPr>
        <w:t>（3）预测结果</w:t>
      </w:r>
    </w:p>
    <w:p w14:paraId="77997B80">
      <w:pPr>
        <w:pStyle w:val="59"/>
        <w:ind w:firstLine="480"/>
        <w:rPr>
          <w:color w:val="auto"/>
        </w:rPr>
      </w:pPr>
      <w:r>
        <w:rPr>
          <w:rFonts w:hint="eastAsia"/>
          <w:color w:val="auto"/>
        </w:rPr>
        <w:t>本次噪声预测包括运输道路两侧</w:t>
      </w:r>
      <w:r>
        <w:rPr>
          <w:color w:val="auto"/>
        </w:rPr>
        <w:t>10~100m</w:t>
      </w:r>
      <w:r>
        <w:rPr>
          <w:rFonts w:hint="eastAsia"/>
          <w:color w:val="auto"/>
        </w:rPr>
        <w:t>车速为</w:t>
      </w:r>
      <w:r>
        <w:rPr>
          <w:color w:val="auto"/>
        </w:rPr>
        <w:t>20km/h</w:t>
      </w:r>
      <w:r>
        <w:rPr>
          <w:rFonts w:hint="eastAsia"/>
          <w:color w:val="auto"/>
        </w:rPr>
        <w:t>时的噪声值。运输道路噪声预测结果表见下表所示。</w:t>
      </w:r>
    </w:p>
    <w:p w14:paraId="1AECF9BC">
      <w:pPr>
        <w:pStyle w:val="76"/>
        <w:rPr>
          <w:color w:val="auto"/>
          <w:highlight w:val="none"/>
        </w:rPr>
      </w:pPr>
      <w:r>
        <w:rPr>
          <w:rFonts w:hint="eastAsia"/>
          <w:color w:val="auto"/>
          <w:highlight w:val="none"/>
        </w:rPr>
        <w:t>表</w:t>
      </w:r>
      <w:r>
        <w:rPr>
          <w:color w:val="auto"/>
          <w:highlight w:val="none"/>
        </w:rPr>
        <w:t>5-2-12</w:t>
      </w:r>
      <w:r>
        <w:rPr>
          <w:rFonts w:hint="eastAsia"/>
          <w:color w:val="auto"/>
          <w:highlight w:val="none"/>
        </w:rPr>
        <w:t>运输车辆噪声影响预测结果单位：</w:t>
      </w:r>
      <w:r>
        <w:rPr>
          <w:color w:val="auto"/>
          <w:highlight w:val="none"/>
        </w:rPr>
        <w:t>dB</w:t>
      </w:r>
      <w:r>
        <w:rPr>
          <w:rFonts w:hint="eastAsia"/>
          <w:color w:val="auto"/>
          <w:highlight w:val="none"/>
        </w:rPr>
        <w:t>(</w:t>
      </w:r>
      <w:r>
        <w:rPr>
          <w:color w:val="auto"/>
          <w:highlight w:val="none"/>
        </w:rPr>
        <w:t>A</w:t>
      </w:r>
      <w:r>
        <w:rPr>
          <w:rFonts w:hint="eastAsia"/>
          <w:color w:val="auto"/>
          <w:highlight w:val="none"/>
        </w:rPr>
        <w:t>)</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30"/>
        <w:gridCol w:w="1113"/>
        <w:gridCol w:w="1113"/>
        <w:gridCol w:w="1113"/>
        <w:gridCol w:w="1113"/>
        <w:gridCol w:w="1113"/>
        <w:gridCol w:w="1111"/>
      </w:tblGrid>
      <w:tr w14:paraId="57571C1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28" w:hRule="atLeast"/>
        </w:trPr>
        <w:tc>
          <w:tcPr>
            <w:tcW w:w="981" w:type="pct"/>
            <w:vAlign w:val="center"/>
          </w:tcPr>
          <w:p w14:paraId="361BF61D">
            <w:pPr>
              <w:pStyle w:val="84"/>
              <w:ind w:firstLine="372"/>
              <w:jc w:val="right"/>
              <w:rPr>
                <w:rFonts w:ascii="Calibri" w:hAnsi="Calibri"/>
                <w:color w:val="auto"/>
                <w:highlight w:val="none"/>
              </w:rPr>
            </w:pPr>
            <w:r>
              <w:rPr>
                <w:rFonts w:hint="eastAsia" w:ascii="Calibri" w:hAnsi="Calibri"/>
                <w:color w:val="auto"/>
                <w:highlight w:val="none"/>
              </w:rPr>
              <w:t>距离</w:t>
            </w:r>
          </w:p>
          <w:p w14:paraId="1D1EA3B7">
            <w:pPr>
              <w:pStyle w:val="84"/>
              <w:jc w:val="left"/>
              <w:rPr>
                <w:rFonts w:ascii="Calibri" w:hAnsi="Calibri"/>
                <w:color w:val="auto"/>
                <w:highlight w:val="none"/>
              </w:rPr>
            </w:pPr>
            <w:r>
              <w:rPr>
                <w:rFonts w:hint="eastAsia" w:ascii="Calibri" w:hAnsi="Calibri"/>
                <w:color w:val="auto"/>
                <w:highlight w:val="none"/>
              </w:rPr>
              <w:t>声级值</w:t>
            </w:r>
          </w:p>
        </w:tc>
        <w:tc>
          <w:tcPr>
            <w:tcW w:w="4019" w:type="pct"/>
            <w:gridSpan w:val="6"/>
            <w:vAlign w:val="center"/>
          </w:tcPr>
          <w:p w14:paraId="7A066B4B">
            <w:pPr>
              <w:pStyle w:val="84"/>
              <w:ind w:firstLine="372"/>
              <w:rPr>
                <w:rFonts w:ascii="Calibri" w:hAnsi="Calibri"/>
                <w:color w:val="auto"/>
                <w:highlight w:val="none"/>
              </w:rPr>
            </w:pPr>
            <w:r>
              <w:rPr>
                <w:rFonts w:hint="eastAsia" w:ascii="Calibri" w:hAnsi="Calibri"/>
                <w:color w:val="auto"/>
                <w:highlight w:val="none"/>
              </w:rPr>
              <w:t>距路面中心线距离</w:t>
            </w:r>
            <w:r>
              <w:rPr>
                <w:rFonts w:ascii="Times New Roman" w:hAnsi="Times New Roman"/>
                <w:color w:val="auto"/>
                <w:highlight w:val="none"/>
              </w:rPr>
              <w:t>（m）</w:t>
            </w:r>
          </w:p>
        </w:tc>
      </w:tr>
      <w:tr w14:paraId="386A65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vMerge w:val="restart"/>
            <w:vAlign w:val="center"/>
          </w:tcPr>
          <w:p w14:paraId="582E4FC6">
            <w:pPr>
              <w:pStyle w:val="84"/>
              <w:rPr>
                <w:rFonts w:ascii="Times New Roman" w:hAnsi="Times New Roman"/>
                <w:color w:val="auto"/>
                <w:highlight w:val="none"/>
              </w:rPr>
            </w:pPr>
            <w:r>
              <w:rPr>
                <w:rFonts w:ascii="Times New Roman" w:hAnsi="Times New Roman"/>
                <w:color w:val="auto"/>
                <w:highlight w:val="none"/>
              </w:rPr>
              <w:t>预测值</w:t>
            </w:r>
          </w:p>
        </w:tc>
        <w:tc>
          <w:tcPr>
            <w:tcW w:w="670" w:type="pct"/>
            <w:vAlign w:val="center"/>
          </w:tcPr>
          <w:p w14:paraId="3666DBF1">
            <w:pPr>
              <w:pStyle w:val="84"/>
              <w:rPr>
                <w:rFonts w:ascii="Times New Roman" w:hAnsi="Times New Roman"/>
                <w:color w:val="auto"/>
                <w:highlight w:val="none"/>
              </w:rPr>
            </w:pPr>
            <w:r>
              <w:rPr>
                <w:rFonts w:ascii="Times New Roman" w:hAnsi="Times New Roman"/>
                <w:color w:val="auto"/>
                <w:highlight w:val="none"/>
              </w:rPr>
              <w:t>10</w:t>
            </w:r>
          </w:p>
        </w:tc>
        <w:tc>
          <w:tcPr>
            <w:tcW w:w="670" w:type="pct"/>
            <w:vAlign w:val="center"/>
          </w:tcPr>
          <w:p w14:paraId="1E3E221D">
            <w:pPr>
              <w:pStyle w:val="84"/>
              <w:rPr>
                <w:rFonts w:ascii="Times New Roman" w:hAnsi="Times New Roman"/>
                <w:color w:val="auto"/>
                <w:highlight w:val="none"/>
              </w:rPr>
            </w:pPr>
            <w:r>
              <w:rPr>
                <w:rFonts w:ascii="Times New Roman" w:hAnsi="Times New Roman"/>
                <w:color w:val="auto"/>
                <w:highlight w:val="none"/>
              </w:rPr>
              <w:t>20</w:t>
            </w:r>
          </w:p>
        </w:tc>
        <w:tc>
          <w:tcPr>
            <w:tcW w:w="670" w:type="pct"/>
            <w:vAlign w:val="center"/>
          </w:tcPr>
          <w:p w14:paraId="15B66052">
            <w:pPr>
              <w:pStyle w:val="84"/>
              <w:rPr>
                <w:rFonts w:ascii="Times New Roman" w:hAnsi="Times New Roman"/>
                <w:color w:val="auto"/>
                <w:highlight w:val="none"/>
              </w:rPr>
            </w:pPr>
            <w:r>
              <w:rPr>
                <w:rFonts w:ascii="Times New Roman" w:hAnsi="Times New Roman"/>
                <w:color w:val="auto"/>
                <w:highlight w:val="none"/>
              </w:rPr>
              <w:t>30</w:t>
            </w:r>
          </w:p>
        </w:tc>
        <w:tc>
          <w:tcPr>
            <w:tcW w:w="670" w:type="pct"/>
            <w:vAlign w:val="center"/>
          </w:tcPr>
          <w:p w14:paraId="7504EAF0">
            <w:pPr>
              <w:pStyle w:val="84"/>
              <w:rPr>
                <w:rFonts w:ascii="Times New Roman" w:hAnsi="Times New Roman"/>
                <w:color w:val="auto"/>
                <w:highlight w:val="none"/>
              </w:rPr>
            </w:pPr>
            <w:r>
              <w:rPr>
                <w:rFonts w:ascii="Times New Roman" w:hAnsi="Times New Roman"/>
                <w:color w:val="auto"/>
                <w:highlight w:val="none"/>
              </w:rPr>
              <w:t>40</w:t>
            </w:r>
          </w:p>
        </w:tc>
        <w:tc>
          <w:tcPr>
            <w:tcW w:w="670" w:type="pct"/>
            <w:vAlign w:val="center"/>
          </w:tcPr>
          <w:p w14:paraId="0F21F274">
            <w:pPr>
              <w:pStyle w:val="84"/>
              <w:rPr>
                <w:rFonts w:ascii="Times New Roman" w:hAnsi="Times New Roman"/>
                <w:color w:val="auto"/>
                <w:highlight w:val="none"/>
              </w:rPr>
            </w:pPr>
            <w:r>
              <w:rPr>
                <w:rFonts w:ascii="Times New Roman" w:hAnsi="Times New Roman"/>
                <w:color w:val="auto"/>
                <w:highlight w:val="none"/>
              </w:rPr>
              <w:t>50</w:t>
            </w:r>
          </w:p>
        </w:tc>
        <w:tc>
          <w:tcPr>
            <w:tcW w:w="670" w:type="pct"/>
            <w:vAlign w:val="center"/>
          </w:tcPr>
          <w:p w14:paraId="0353E75E">
            <w:pPr>
              <w:pStyle w:val="84"/>
              <w:rPr>
                <w:rFonts w:ascii="Times New Roman" w:hAnsi="Times New Roman"/>
                <w:color w:val="auto"/>
                <w:highlight w:val="none"/>
              </w:rPr>
            </w:pPr>
            <w:r>
              <w:rPr>
                <w:rFonts w:ascii="Times New Roman" w:hAnsi="Times New Roman"/>
                <w:color w:val="auto"/>
                <w:highlight w:val="none"/>
              </w:rPr>
              <w:t>100</w:t>
            </w:r>
          </w:p>
        </w:tc>
      </w:tr>
      <w:tr w14:paraId="7635FE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981" w:type="pct"/>
            <w:vMerge w:val="continue"/>
            <w:vAlign w:val="center"/>
          </w:tcPr>
          <w:p w14:paraId="1660D4BC">
            <w:pPr>
              <w:pStyle w:val="84"/>
              <w:rPr>
                <w:rFonts w:ascii="Times New Roman" w:hAnsi="Times New Roman"/>
                <w:color w:val="auto"/>
                <w:highlight w:val="none"/>
              </w:rPr>
            </w:pPr>
          </w:p>
        </w:tc>
        <w:tc>
          <w:tcPr>
            <w:tcW w:w="670" w:type="pct"/>
            <w:vAlign w:val="center"/>
          </w:tcPr>
          <w:p w14:paraId="34018512">
            <w:pPr>
              <w:pStyle w:val="84"/>
              <w:rPr>
                <w:rFonts w:ascii="Times New Roman" w:hAnsi="Times New Roman"/>
                <w:color w:val="auto"/>
                <w:highlight w:val="none"/>
              </w:rPr>
            </w:pPr>
            <w:r>
              <w:rPr>
                <w:rFonts w:ascii="Times New Roman" w:hAnsi="Times New Roman"/>
                <w:color w:val="auto"/>
                <w:highlight w:val="none"/>
              </w:rPr>
              <w:t>43.81</w:t>
            </w:r>
          </w:p>
        </w:tc>
        <w:tc>
          <w:tcPr>
            <w:tcW w:w="670" w:type="pct"/>
            <w:vAlign w:val="center"/>
          </w:tcPr>
          <w:p w14:paraId="5C7B986E">
            <w:pPr>
              <w:pStyle w:val="84"/>
              <w:rPr>
                <w:rFonts w:ascii="Times New Roman" w:hAnsi="Times New Roman"/>
                <w:color w:val="auto"/>
                <w:highlight w:val="none"/>
              </w:rPr>
            </w:pPr>
            <w:r>
              <w:rPr>
                <w:rFonts w:ascii="Times New Roman" w:hAnsi="Times New Roman"/>
                <w:color w:val="auto"/>
                <w:highlight w:val="none"/>
              </w:rPr>
              <w:t>40.67</w:t>
            </w:r>
          </w:p>
        </w:tc>
        <w:tc>
          <w:tcPr>
            <w:tcW w:w="670" w:type="pct"/>
            <w:vAlign w:val="center"/>
          </w:tcPr>
          <w:p w14:paraId="26B98080">
            <w:pPr>
              <w:pStyle w:val="84"/>
              <w:rPr>
                <w:rFonts w:ascii="Times New Roman" w:hAnsi="Times New Roman"/>
                <w:color w:val="auto"/>
                <w:highlight w:val="none"/>
              </w:rPr>
            </w:pPr>
            <w:r>
              <w:rPr>
                <w:rFonts w:ascii="Times New Roman" w:hAnsi="Times New Roman"/>
                <w:color w:val="auto"/>
                <w:highlight w:val="none"/>
              </w:rPr>
              <w:t>38.04</w:t>
            </w:r>
          </w:p>
        </w:tc>
        <w:tc>
          <w:tcPr>
            <w:tcW w:w="670" w:type="pct"/>
            <w:vAlign w:val="center"/>
          </w:tcPr>
          <w:p w14:paraId="77868F68">
            <w:pPr>
              <w:pStyle w:val="84"/>
              <w:rPr>
                <w:rFonts w:ascii="Times New Roman" w:hAnsi="Times New Roman"/>
                <w:color w:val="auto"/>
                <w:highlight w:val="none"/>
              </w:rPr>
            </w:pPr>
            <w:r>
              <w:rPr>
                <w:rFonts w:ascii="Times New Roman" w:hAnsi="Times New Roman"/>
                <w:color w:val="auto"/>
                <w:highlight w:val="none"/>
              </w:rPr>
              <w:t>36.10</w:t>
            </w:r>
          </w:p>
        </w:tc>
        <w:tc>
          <w:tcPr>
            <w:tcW w:w="670" w:type="pct"/>
            <w:vAlign w:val="center"/>
          </w:tcPr>
          <w:p w14:paraId="317E94AC">
            <w:pPr>
              <w:pStyle w:val="84"/>
              <w:rPr>
                <w:rFonts w:ascii="Times New Roman" w:hAnsi="Times New Roman"/>
                <w:color w:val="auto"/>
                <w:highlight w:val="none"/>
              </w:rPr>
            </w:pPr>
            <w:r>
              <w:rPr>
                <w:rFonts w:ascii="Times New Roman" w:hAnsi="Times New Roman"/>
                <w:color w:val="auto"/>
                <w:highlight w:val="none"/>
              </w:rPr>
              <w:t>34.61</w:t>
            </w:r>
          </w:p>
        </w:tc>
        <w:tc>
          <w:tcPr>
            <w:tcW w:w="670" w:type="pct"/>
            <w:vAlign w:val="center"/>
          </w:tcPr>
          <w:p w14:paraId="0E0F2C91">
            <w:pPr>
              <w:pStyle w:val="84"/>
              <w:rPr>
                <w:rFonts w:ascii="Times New Roman" w:hAnsi="Times New Roman"/>
                <w:color w:val="auto"/>
                <w:highlight w:val="none"/>
              </w:rPr>
            </w:pPr>
            <w:r>
              <w:rPr>
                <w:rFonts w:ascii="Times New Roman" w:hAnsi="Times New Roman"/>
                <w:color w:val="auto"/>
                <w:highlight w:val="none"/>
              </w:rPr>
              <w:t>28.94</w:t>
            </w:r>
          </w:p>
        </w:tc>
      </w:tr>
    </w:tbl>
    <w:p w14:paraId="403DB644">
      <w:pPr>
        <w:pStyle w:val="59"/>
        <w:ind w:firstLine="480"/>
        <w:rPr>
          <w:color w:val="auto"/>
        </w:rPr>
      </w:pPr>
      <w:r>
        <w:rPr>
          <w:rFonts w:hint="eastAsia"/>
          <w:color w:val="auto"/>
        </w:rPr>
        <w:t>由上表可知，行车速度在</w:t>
      </w:r>
      <w:r>
        <w:rPr>
          <w:color w:val="auto"/>
        </w:rPr>
        <w:t>20km/h</w:t>
      </w:r>
      <w:r>
        <w:rPr>
          <w:rFonts w:hint="eastAsia"/>
          <w:color w:val="auto"/>
        </w:rPr>
        <w:t>的情况下，道路红线两侧</w:t>
      </w:r>
      <w:r>
        <w:rPr>
          <w:color w:val="auto"/>
        </w:rPr>
        <w:t>10m</w:t>
      </w:r>
      <w:r>
        <w:rPr>
          <w:rFonts w:hint="eastAsia"/>
          <w:color w:val="auto"/>
        </w:rPr>
        <w:t>~</w:t>
      </w:r>
      <w:r>
        <w:rPr>
          <w:color w:val="auto"/>
        </w:rPr>
        <w:t>100m</w:t>
      </w:r>
      <w:r>
        <w:rPr>
          <w:rFonts w:hint="eastAsia"/>
          <w:color w:val="auto"/>
        </w:rPr>
        <w:t>范围内昼间、夜间均可满足《声环境质量标准》(</w:t>
      </w:r>
      <w:r>
        <w:rPr>
          <w:color w:val="auto"/>
        </w:rPr>
        <w:t>GB3096-2008</w:t>
      </w:r>
      <w:r>
        <w:rPr>
          <w:rFonts w:hint="eastAsia"/>
          <w:color w:val="auto"/>
        </w:rPr>
        <w:t>)</w:t>
      </w:r>
      <w:r>
        <w:rPr>
          <w:color w:val="auto"/>
        </w:rPr>
        <w:t>1</w:t>
      </w:r>
      <w:r>
        <w:rPr>
          <w:rFonts w:hint="eastAsia"/>
          <w:color w:val="auto"/>
        </w:rPr>
        <w:t>类标准限值要求。</w:t>
      </w:r>
      <w:r>
        <w:rPr>
          <w:rFonts w:hint="eastAsia"/>
          <w:color w:val="auto"/>
          <w:lang w:eastAsia="zh-CN"/>
        </w:rPr>
        <w:t>灰渣</w:t>
      </w:r>
      <w:r>
        <w:rPr>
          <w:rFonts w:hint="eastAsia"/>
          <w:color w:val="auto"/>
        </w:rPr>
        <w:t>的运入，将使区域道路车流量增多，高峰时运输车辆将增加</w:t>
      </w:r>
      <w:r>
        <w:rPr>
          <w:color w:val="auto"/>
        </w:rPr>
        <w:t>2.8辆/h，由于是间断运输，增加车流量较小，对交通噪声贡献量不会很大。运输车辆在经过沿途声环境敏感点时禁止</w:t>
      </w:r>
      <w:r>
        <w:rPr>
          <w:rFonts w:hint="eastAsia"/>
          <w:color w:val="auto"/>
        </w:rPr>
        <w:t>鸣笛</w:t>
      </w:r>
      <w:r>
        <w:rPr>
          <w:color w:val="auto"/>
        </w:rPr>
        <w:t>，</w:t>
      </w:r>
      <w:r>
        <w:rPr>
          <w:rFonts w:hint="eastAsia"/>
          <w:color w:val="auto"/>
        </w:rPr>
        <w:t>减速慢行，</w:t>
      </w:r>
      <w:r>
        <w:rPr>
          <w:color w:val="auto"/>
        </w:rPr>
        <w:t>对周围</w:t>
      </w:r>
      <w:r>
        <w:rPr>
          <w:rFonts w:hint="eastAsia"/>
          <w:color w:val="auto"/>
        </w:rPr>
        <w:t>敏感点</w:t>
      </w:r>
      <w:r>
        <w:rPr>
          <w:color w:val="auto"/>
        </w:rPr>
        <w:t>声环境影响较小。</w:t>
      </w:r>
    </w:p>
    <w:p w14:paraId="065120ED">
      <w:pPr>
        <w:pStyle w:val="137"/>
        <w:rPr>
          <w:color w:val="auto"/>
        </w:rPr>
      </w:pPr>
      <w:r>
        <w:rPr>
          <w:color w:val="auto"/>
        </w:rPr>
        <w:t>5.2.5固体废物环境影响分析</w:t>
      </w:r>
    </w:p>
    <w:p w14:paraId="55574BB2">
      <w:pPr>
        <w:pStyle w:val="59"/>
        <w:ind w:firstLine="480"/>
        <w:rPr>
          <w:color w:val="auto"/>
        </w:rPr>
      </w:pPr>
      <w:r>
        <w:rPr>
          <w:rFonts w:hint="eastAsia"/>
          <w:color w:val="auto"/>
        </w:rPr>
        <w:t>运营中产生的固体废物较少，主要有</w:t>
      </w:r>
      <w:r>
        <w:rPr>
          <w:rFonts w:hint="eastAsia"/>
          <w:color w:val="auto"/>
          <w:lang w:val="en-US" w:eastAsia="zh-CN"/>
        </w:rPr>
        <w:tab/>
      </w:r>
      <w:r>
        <w:rPr>
          <w:rFonts w:hint="eastAsia"/>
          <w:color w:val="auto"/>
        </w:rPr>
        <w:t>生产管理人员等产生的少量生活垃圾和暂存池沉渣。</w:t>
      </w:r>
    </w:p>
    <w:p w14:paraId="1E6EB08A">
      <w:pPr>
        <w:pStyle w:val="59"/>
        <w:ind w:firstLine="480"/>
        <w:rPr>
          <w:color w:val="auto"/>
        </w:rPr>
      </w:pPr>
      <w:r>
        <w:rPr>
          <w:rFonts w:hint="eastAsia"/>
          <w:color w:val="auto"/>
        </w:rPr>
        <w:t>生活垃圾统一收集后定期运往垃圾填埋场处置。暂存池沉渣定期清理回填区回填处置；同时加强进场固废的检查，严禁有毒、有害的危险废物及生活垃圾进入固废处置场。</w:t>
      </w:r>
    </w:p>
    <w:p w14:paraId="3C3AF3D5">
      <w:pPr>
        <w:pStyle w:val="59"/>
        <w:ind w:firstLine="480"/>
        <w:rPr>
          <w:color w:val="auto"/>
        </w:rPr>
      </w:pPr>
      <w:r>
        <w:rPr>
          <w:rFonts w:hint="eastAsia"/>
          <w:color w:val="auto"/>
        </w:rPr>
        <w:t>综上所述，遵循资源化、减量化、无害化的原则，本项目回填复垦期产生的固体废物均可以得到安全、妥善的处理处置，对周围环境影响较小。</w:t>
      </w:r>
    </w:p>
    <w:p w14:paraId="769B9158">
      <w:pPr>
        <w:pStyle w:val="137"/>
        <w:rPr>
          <w:color w:val="auto"/>
        </w:rPr>
      </w:pPr>
      <w:r>
        <w:rPr>
          <w:color w:val="auto"/>
        </w:rPr>
        <w:t>5.2.6土壤影响评价</w:t>
      </w:r>
    </w:p>
    <w:p w14:paraId="3AFA1377">
      <w:pPr>
        <w:pStyle w:val="135"/>
        <w:rPr>
          <w:color w:val="auto"/>
        </w:rPr>
      </w:pPr>
      <w:r>
        <w:rPr>
          <w:color w:val="auto"/>
        </w:rPr>
        <w:t>5.2.6.1土壤环境影响识别</w:t>
      </w:r>
    </w:p>
    <w:p w14:paraId="5BEAE6E5">
      <w:pPr>
        <w:pStyle w:val="59"/>
        <w:ind w:firstLine="480"/>
        <w:rPr>
          <w:color w:val="auto"/>
        </w:rPr>
      </w:pPr>
      <w:r>
        <w:rPr>
          <w:rFonts w:hint="eastAsia"/>
          <w:color w:val="auto"/>
        </w:rPr>
        <w:t>本项目为</w:t>
      </w:r>
      <w:r>
        <w:rPr>
          <w:rFonts w:hint="eastAsia"/>
          <w:color w:val="auto"/>
          <w:lang w:eastAsia="zh-CN"/>
        </w:rPr>
        <w:t>灰渣</w:t>
      </w:r>
      <w:r>
        <w:rPr>
          <w:rFonts w:hint="eastAsia"/>
          <w:color w:val="auto"/>
        </w:rPr>
        <w:t>回填复垦项目，土壤环境影响主要是</w:t>
      </w:r>
      <w:r>
        <w:rPr>
          <w:rFonts w:hint="eastAsia"/>
          <w:color w:val="auto"/>
          <w:lang w:eastAsia="zh-CN"/>
        </w:rPr>
        <w:t>灰渣</w:t>
      </w:r>
      <w:r>
        <w:rPr>
          <w:rFonts w:hint="eastAsia"/>
          <w:color w:val="auto"/>
        </w:rPr>
        <w:t>在回填过程中，一是由于雨水渗透淋溶作用对附近土壤产生有毒有害影响，二是</w:t>
      </w:r>
      <w:r>
        <w:rPr>
          <w:rFonts w:hint="eastAsia"/>
          <w:color w:val="auto"/>
          <w:lang w:eastAsia="zh-CN"/>
        </w:rPr>
        <w:t>灰渣</w:t>
      </w:r>
      <w:r>
        <w:rPr>
          <w:rFonts w:hint="eastAsia"/>
          <w:color w:val="auto"/>
        </w:rPr>
        <w:t>在回填过程产生的扬尘会对附近土壤产生影响。识别结果见下表。</w:t>
      </w:r>
    </w:p>
    <w:p w14:paraId="5630C29E">
      <w:pPr>
        <w:pStyle w:val="76"/>
        <w:rPr>
          <w:color w:val="auto"/>
        </w:rPr>
      </w:pPr>
      <w:r>
        <w:rPr>
          <w:color w:val="auto"/>
        </w:rPr>
        <w:t>表5-2-13建设项目土壤环境影响类型与影响途径表</w:t>
      </w:r>
    </w:p>
    <w:tbl>
      <w:tblPr>
        <w:tblStyle w:val="45"/>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325"/>
        <w:gridCol w:w="1617"/>
        <w:gridCol w:w="1544"/>
        <w:gridCol w:w="2282"/>
        <w:gridCol w:w="1535"/>
      </w:tblGrid>
      <w:tr w14:paraId="51E54E6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8" w:type="pct"/>
            <w:vMerge w:val="restart"/>
            <w:vAlign w:val="center"/>
          </w:tcPr>
          <w:p w14:paraId="7B5B0734">
            <w:pPr>
              <w:pStyle w:val="739"/>
              <w:jc w:val="center"/>
              <w:rPr>
                <w:rFonts w:ascii="Times New Roman" w:cs="Times New Roman"/>
                <w:color w:val="auto"/>
                <w:sz w:val="21"/>
                <w:szCs w:val="21"/>
              </w:rPr>
            </w:pPr>
            <w:r>
              <w:rPr>
                <w:rFonts w:ascii="Times New Roman" w:cs="Times New Roman"/>
                <w:color w:val="auto"/>
                <w:sz w:val="21"/>
                <w:szCs w:val="21"/>
              </w:rPr>
              <w:t>不同时期</w:t>
            </w:r>
          </w:p>
        </w:tc>
        <w:tc>
          <w:tcPr>
            <w:tcW w:w="4201" w:type="pct"/>
            <w:gridSpan w:val="4"/>
            <w:vAlign w:val="center"/>
          </w:tcPr>
          <w:p w14:paraId="76A4452B">
            <w:pPr>
              <w:pStyle w:val="739"/>
              <w:jc w:val="center"/>
              <w:rPr>
                <w:rFonts w:ascii="Times New Roman" w:cs="Times New Roman"/>
                <w:color w:val="auto"/>
                <w:sz w:val="21"/>
                <w:szCs w:val="21"/>
              </w:rPr>
            </w:pPr>
            <w:r>
              <w:rPr>
                <w:rFonts w:ascii="Times New Roman" w:cs="Times New Roman"/>
                <w:color w:val="auto"/>
                <w:sz w:val="21"/>
                <w:szCs w:val="21"/>
              </w:rPr>
              <w:t>污染影响型</w:t>
            </w:r>
          </w:p>
        </w:tc>
      </w:tr>
      <w:tr w14:paraId="1D445E2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8" w:type="pct"/>
            <w:vMerge w:val="continue"/>
            <w:vAlign w:val="center"/>
          </w:tcPr>
          <w:p w14:paraId="7F2508D4">
            <w:pPr>
              <w:pStyle w:val="739"/>
              <w:jc w:val="center"/>
              <w:rPr>
                <w:rFonts w:ascii="Times New Roman" w:cs="Times New Roman"/>
                <w:color w:val="auto"/>
                <w:sz w:val="21"/>
                <w:szCs w:val="21"/>
              </w:rPr>
            </w:pPr>
          </w:p>
        </w:tc>
        <w:tc>
          <w:tcPr>
            <w:tcW w:w="974" w:type="pct"/>
            <w:vAlign w:val="center"/>
          </w:tcPr>
          <w:p w14:paraId="606AA634">
            <w:pPr>
              <w:pStyle w:val="739"/>
              <w:jc w:val="center"/>
              <w:rPr>
                <w:rFonts w:ascii="Times New Roman" w:cs="Times New Roman"/>
                <w:color w:val="auto"/>
                <w:sz w:val="21"/>
                <w:szCs w:val="21"/>
              </w:rPr>
            </w:pPr>
            <w:r>
              <w:rPr>
                <w:rFonts w:ascii="Times New Roman" w:cs="Times New Roman"/>
                <w:color w:val="auto"/>
                <w:sz w:val="21"/>
                <w:szCs w:val="21"/>
              </w:rPr>
              <w:t>大气沉降</w:t>
            </w:r>
          </w:p>
        </w:tc>
        <w:tc>
          <w:tcPr>
            <w:tcW w:w="930" w:type="pct"/>
            <w:vAlign w:val="center"/>
          </w:tcPr>
          <w:p w14:paraId="0C9021F4">
            <w:pPr>
              <w:pStyle w:val="739"/>
              <w:jc w:val="center"/>
              <w:rPr>
                <w:rFonts w:ascii="Times New Roman" w:cs="Times New Roman"/>
                <w:color w:val="auto"/>
                <w:sz w:val="21"/>
                <w:szCs w:val="21"/>
              </w:rPr>
            </w:pPr>
            <w:r>
              <w:rPr>
                <w:rFonts w:ascii="Times New Roman" w:cs="Times New Roman"/>
                <w:color w:val="auto"/>
                <w:sz w:val="21"/>
                <w:szCs w:val="21"/>
              </w:rPr>
              <w:t>地面漫流</w:t>
            </w:r>
          </w:p>
        </w:tc>
        <w:tc>
          <w:tcPr>
            <w:tcW w:w="1374" w:type="pct"/>
            <w:vAlign w:val="center"/>
          </w:tcPr>
          <w:p w14:paraId="201B70AF">
            <w:pPr>
              <w:pStyle w:val="739"/>
              <w:jc w:val="center"/>
              <w:rPr>
                <w:rFonts w:ascii="Times New Roman" w:cs="Times New Roman"/>
                <w:color w:val="auto"/>
                <w:sz w:val="21"/>
                <w:szCs w:val="21"/>
              </w:rPr>
            </w:pPr>
            <w:r>
              <w:rPr>
                <w:rFonts w:ascii="Times New Roman" w:cs="Times New Roman"/>
                <w:color w:val="auto"/>
                <w:sz w:val="21"/>
                <w:szCs w:val="21"/>
              </w:rPr>
              <w:t>垂直渗入</w:t>
            </w:r>
          </w:p>
        </w:tc>
        <w:tc>
          <w:tcPr>
            <w:tcW w:w="921" w:type="pct"/>
            <w:vAlign w:val="center"/>
          </w:tcPr>
          <w:p w14:paraId="11B8C61E">
            <w:pPr>
              <w:pStyle w:val="739"/>
              <w:jc w:val="center"/>
              <w:rPr>
                <w:rFonts w:ascii="Times New Roman" w:cs="Times New Roman"/>
                <w:color w:val="auto"/>
                <w:sz w:val="21"/>
                <w:szCs w:val="21"/>
              </w:rPr>
            </w:pPr>
            <w:r>
              <w:rPr>
                <w:rFonts w:ascii="Times New Roman" w:cs="Times New Roman"/>
                <w:color w:val="auto"/>
                <w:sz w:val="21"/>
                <w:szCs w:val="21"/>
              </w:rPr>
              <w:t>其它</w:t>
            </w:r>
          </w:p>
        </w:tc>
      </w:tr>
      <w:tr w14:paraId="508FA1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8" w:type="pct"/>
            <w:vAlign w:val="center"/>
          </w:tcPr>
          <w:p w14:paraId="2B827152">
            <w:pPr>
              <w:pStyle w:val="739"/>
              <w:jc w:val="center"/>
              <w:rPr>
                <w:rFonts w:ascii="Times New Roman" w:cs="Times New Roman"/>
                <w:color w:val="auto"/>
                <w:sz w:val="21"/>
                <w:szCs w:val="21"/>
              </w:rPr>
            </w:pPr>
            <w:r>
              <w:rPr>
                <w:rFonts w:hint="eastAsia" w:ascii="Times New Roman" w:cs="Times New Roman"/>
                <w:color w:val="auto"/>
                <w:sz w:val="21"/>
                <w:szCs w:val="21"/>
              </w:rPr>
              <w:t>回填复垦期</w:t>
            </w:r>
          </w:p>
        </w:tc>
        <w:tc>
          <w:tcPr>
            <w:tcW w:w="974" w:type="pct"/>
            <w:vAlign w:val="center"/>
          </w:tcPr>
          <w:p w14:paraId="3ADD2103">
            <w:pPr>
              <w:pStyle w:val="739"/>
              <w:jc w:val="center"/>
              <w:rPr>
                <w:rFonts w:ascii="Times New Roman" w:cs="Times New Roman"/>
                <w:color w:val="auto"/>
                <w:sz w:val="21"/>
                <w:szCs w:val="21"/>
              </w:rPr>
            </w:pPr>
            <w:r>
              <w:rPr>
                <w:rFonts w:ascii="Times New Roman" w:cs="Times New Roman"/>
                <w:color w:val="auto"/>
                <w:sz w:val="21"/>
                <w:szCs w:val="21"/>
              </w:rPr>
              <w:t>√</w:t>
            </w:r>
          </w:p>
        </w:tc>
        <w:tc>
          <w:tcPr>
            <w:tcW w:w="930" w:type="pct"/>
            <w:vAlign w:val="center"/>
          </w:tcPr>
          <w:p w14:paraId="56C6A19E">
            <w:pPr>
              <w:pStyle w:val="739"/>
              <w:jc w:val="center"/>
              <w:rPr>
                <w:rFonts w:ascii="Times New Roman" w:cs="Times New Roman"/>
                <w:color w:val="auto"/>
                <w:sz w:val="21"/>
                <w:szCs w:val="21"/>
              </w:rPr>
            </w:pPr>
            <w:r>
              <w:rPr>
                <w:rFonts w:ascii="Times New Roman" w:cs="Times New Roman"/>
                <w:color w:val="auto"/>
                <w:sz w:val="21"/>
                <w:szCs w:val="21"/>
              </w:rPr>
              <w:t>/</w:t>
            </w:r>
          </w:p>
        </w:tc>
        <w:tc>
          <w:tcPr>
            <w:tcW w:w="1374" w:type="pct"/>
            <w:vAlign w:val="center"/>
          </w:tcPr>
          <w:p w14:paraId="2881D705">
            <w:pPr>
              <w:pStyle w:val="739"/>
              <w:jc w:val="center"/>
              <w:rPr>
                <w:rFonts w:ascii="Times New Roman" w:cs="Times New Roman"/>
                <w:color w:val="auto"/>
                <w:sz w:val="21"/>
                <w:szCs w:val="21"/>
              </w:rPr>
            </w:pPr>
            <w:r>
              <w:rPr>
                <w:rFonts w:ascii="Times New Roman" w:cs="Times New Roman"/>
                <w:color w:val="auto"/>
                <w:sz w:val="21"/>
                <w:szCs w:val="21"/>
              </w:rPr>
              <w:t>√</w:t>
            </w:r>
          </w:p>
        </w:tc>
        <w:tc>
          <w:tcPr>
            <w:tcW w:w="921" w:type="pct"/>
            <w:vAlign w:val="center"/>
          </w:tcPr>
          <w:p w14:paraId="4BBCE21A">
            <w:pPr>
              <w:pStyle w:val="739"/>
              <w:jc w:val="center"/>
              <w:rPr>
                <w:rFonts w:ascii="Times New Roman" w:cs="Times New Roman"/>
                <w:color w:val="auto"/>
                <w:sz w:val="21"/>
                <w:szCs w:val="21"/>
              </w:rPr>
            </w:pPr>
            <w:r>
              <w:rPr>
                <w:rFonts w:ascii="Times New Roman" w:cs="Times New Roman"/>
                <w:color w:val="auto"/>
                <w:sz w:val="21"/>
                <w:szCs w:val="21"/>
              </w:rPr>
              <w:t>/</w:t>
            </w:r>
          </w:p>
        </w:tc>
      </w:tr>
      <w:tr w14:paraId="1F28DF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98" w:type="pct"/>
            <w:vAlign w:val="center"/>
          </w:tcPr>
          <w:p w14:paraId="3BCF3667">
            <w:pPr>
              <w:pStyle w:val="739"/>
              <w:jc w:val="center"/>
              <w:rPr>
                <w:rFonts w:ascii="Times New Roman" w:cs="Times New Roman"/>
                <w:color w:val="auto"/>
                <w:sz w:val="21"/>
                <w:szCs w:val="21"/>
              </w:rPr>
            </w:pPr>
            <w:r>
              <w:rPr>
                <w:rFonts w:hint="eastAsia" w:ascii="Times New Roman" w:cs="Times New Roman"/>
                <w:color w:val="auto"/>
                <w:sz w:val="21"/>
                <w:szCs w:val="21"/>
              </w:rPr>
              <w:t>生态恢复</w:t>
            </w:r>
            <w:r>
              <w:rPr>
                <w:rFonts w:ascii="Times New Roman" w:cs="Times New Roman"/>
                <w:color w:val="auto"/>
                <w:sz w:val="21"/>
                <w:szCs w:val="21"/>
              </w:rPr>
              <w:t>期</w:t>
            </w:r>
          </w:p>
        </w:tc>
        <w:tc>
          <w:tcPr>
            <w:tcW w:w="974" w:type="pct"/>
            <w:vAlign w:val="center"/>
          </w:tcPr>
          <w:p w14:paraId="6F417878">
            <w:pPr>
              <w:pStyle w:val="739"/>
              <w:jc w:val="center"/>
              <w:rPr>
                <w:rFonts w:ascii="Times New Roman" w:cs="Times New Roman"/>
                <w:color w:val="auto"/>
                <w:sz w:val="21"/>
                <w:szCs w:val="21"/>
              </w:rPr>
            </w:pPr>
            <w:r>
              <w:rPr>
                <w:rFonts w:ascii="Times New Roman" w:cs="Times New Roman"/>
                <w:color w:val="auto"/>
                <w:sz w:val="21"/>
                <w:szCs w:val="21"/>
              </w:rPr>
              <w:t>/</w:t>
            </w:r>
          </w:p>
        </w:tc>
        <w:tc>
          <w:tcPr>
            <w:tcW w:w="930" w:type="pct"/>
            <w:vAlign w:val="center"/>
          </w:tcPr>
          <w:p w14:paraId="557BA7C1">
            <w:pPr>
              <w:pStyle w:val="739"/>
              <w:jc w:val="center"/>
              <w:rPr>
                <w:rFonts w:ascii="Times New Roman" w:cs="Times New Roman"/>
                <w:color w:val="auto"/>
                <w:sz w:val="21"/>
                <w:szCs w:val="21"/>
              </w:rPr>
            </w:pPr>
            <w:r>
              <w:rPr>
                <w:rFonts w:ascii="Times New Roman" w:cs="Times New Roman"/>
                <w:color w:val="auto"/>
                <w:sz w:val="21"/>
                <w:szCs w:val="21"/>
              </w:rPr>
              <w:t>/</w:t>
            </w:r>
          </w:p>
        </w:tc>
        <w:tc>
          <w:tcPr>
            <w:tcW w:w="1374" w:type="pct"/>
            <w:vAlign w:val="center"/>
          </w:tcPr>
          <w:p w14:paraId="0C802AC9">
            <w:pPr>
              <w:pStyle w:val="739"/>
              <w:jc w:val="center"/>
              <w:rPr>
                <w:rFonts w:ascii="Times New Roman" w:cs="Times New Roman"/>
                <w:color w:val="auto"/>
                <w:sz w:val="21"/>
                <w:szCs w:val="21"/>
              </w:rPr>
            </w:pPr>
            <w:r>
              <w:rPr>
                <w:rFonts w:ascii="Times New Roman" w:cs="Times New Roman"/>
                <w:color w:val="auto"/>
                <w:sz w:val="21"/>
                <w:szCs w:val="21"/>
              </w:rPr>
              <w:t>√</w:t>
            </w:r>
          </w:p>
        </w:tc>
        <w:tc>
          <w:tcPr>
            <w:tcW w:w="921" w:type="pct"/>
            <w:vAlign w:val="center"/>
          </w:tcPr>
          <w:p w14:paraId="4DE56C76">
            <w:pPr>
              <w:pStyle w:val="739"/>
              <w:jc w:val="center"/>
              <w:rPr>
                <w:rFonts w:ascii="Times New Roman" w:cs="Times New Roman"/>
                <w:color w:val="auto"/>
                <w:sz w:val="21"/>
                <w:szCs w:val="21"/>
              </w:rPr>
            </w:pPr>
            <w:r>
              <w:rPr>
                <w:rFonts w:ascii="Times New Roman" w:cs="Times New Roman"/>
                <w:color w:val="auto"/>
                <w:sz w:val="21"/>
                <w:szCs w:val="21"/>
              </w:rPr>
              <w:t>/</w:t>
            </w:r>
          </w:p>
        </w:tc>
      </w:tr>
      <w:tr w14:paraId="1121C80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5"/>
            <w:vAlign w:val="center"/>
          </w:tcPr>
          <w:p w14:paraId="7A6963F3">
            <w:pPr>
              <w:pStyle w:val="739"/>
              <w:jc w:val="both"/>
              <w:rPr>
                <w:rFonts w:ascii="Times New Roman" w:cs="Times New Roman"/>
                <w:color w:val="auto"/>
                <w:sz w:val="21"/>
                <w:szCs w:val="21"/>
              </w:rPr>
            </w:pPr>
            <w:r>
              <w:rPr>
                <w:rFonts w:ascii="Times New Roman" w:cs="Times New Roman"/>
                <w:color w:val="auto"/>
                <w:sz w:val="21"/>
                <w:szCs w:val="21"/>
              </w:rPr>
              <w:t>注：在可能产生的土壤环境影响类型处打“√”，列表未涵盖的可自行设计</w:t>
            </w:r>
          </w:p>
        </w:tc>
      </w:tr>
    </w:tbl>
    <w:p w14:paraId="724F14A7">
      <w:pPr>
        <w:pStyle w:val="76"/>
        <w:rPr>
          <w:bCs/>
          <w:color w:val="auto"/>
        </w:rPr>
      </w:pPr>
      <w:r>
        <w:rPr>
          <w:rFonts w:hint="eastAsia"/>
          <w:color w:val="auto"/>
        </w:rPr>
        <w:t>表</w:t>
      </w:r>
      <w:r>
        <w:rPr>
          <w:color w:val="auto"/>
        </w:rPr>
        <w:t>5</w:t>
      </w:r>
      <w:r>
        <w:rPr>
          <w:rFonts w:hint="eastAsia"/>
          <w:color w:val="auto"/>
        </w:rPr>
        <w:t>-</w:t>
      </w:r>
      <w:r>
        <w:rPr>
          <w:color w:val="auto"/>
        </w:rPr>
        <w:t>2</w:t>
      </w:r>
      <w:r>
        <w:rPr>
          <w:rFonts w:hint="eastAsia"/>
          <w:color w:val="auto"/>
        </w:rPr>
        <w:t>-</w:t>
      </w:r>
      <w:r>
        <w:rPr>
          <w:color w:val="auto"/>
        </w:rPr>
        <w:t>14</w:t>
      </w:r>
      <w:r>
        <w:rPr>
          <w:rFonts w:hint="eastAsia"/>
          <w:color w:val="auto"/>
        </w:rPr>
        <w:t>土壤环境影响源及影响因子识别表</w:t>
      </w:r>
    </w:p>
    <w:tbl>
      <w:tblPr>
        <w:tblStyle w:val="76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17"/>
        <w:gridCol w:w="1140"/>
        <w:gridCol w:w="724"/>
        <w:gridCol w:w="2022"/>
        <w:gridCol w:w="1264"/>
        <w:gridCol w:w="1939"/>
      </w:tblGrid>
      <w:tr w14:paraId="696C1A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75E10EBC">
            <w:pPr>
              <w:pStyle w:val="84"/>
              <w:rPr>
                <w:color w:val="auto"/>
              </w:rPr>
            </w:pPr>
            <w:r>
              <w:rPr>
                <w:color w:val="auto"/>
              </w:rPr>
              <w:t>污染源</w:t>
            </w:r>
          </w:p>
        </w:tc>
        <w:tc>
          <w:tcPr>
            <w:tcW w:w="686" w:type="pct"/>
            <w:vAlign w:val="center"/>
          </w:tcPr>
          <w:p w14:paraId="1426CA7B">
            <w:pPr>
              <w:pStyle w:val="84"/>
              <w:rPr>
                <w:color w:val="auto"/>
              </w:rPr>
            </w:pPr>
            <w:r>
              <w:rPr>
                <w:color w:val="auto"/>
              </w:rPr>
              <w:t>工艺流程/节点</w:t>
            </w:r>
          </w:p>
        </w:tc>
        <w:tc>
          <w:tcPr>
            <w:tcW w:w="436" w:type="pct"/>
            <w:vAlign w:val="center"/>
          </w:tcPr>
          <w:p w14:paraId="33E3FBB4">
            <w:pPr>
              <w:pStyle w:val="84"/>
              <w:rPr>
                <w:color w:val="auto"/>
              </w:rPr>
            </w:pPr>
            <w:r>
              <w:rPr>
                <w:color w:val="auto"/>
              </w:rPr>
              <w:t>污染途径</w:t>
            </w:r>
          </w:p>
        </w:tc>
        <w:tc>
          <w:tcPr>
            <w:tcW w:w="1217" w:type="pct"/>
            <w:vAlign w:val="center"/>
          </w:tcPr>
          <w:p w14:paraId="31B1F390">
            <w:pPr>
              <w:pStyle w:val="84"/>
              <w:rPr>
                <w:color w:val="auto"/>
                <w:vertAlign w:val="superscript"/>
              </w:rPr>
            </w:pPr>
            <w:r>
              <w:rPr>
                <w:color w:val="auto"/>
              </w:rPr>
              <w:t>污染因子</w:t>
            </w:r>
          </w:p>
        </w:tc>
        <w:tc>
          <w:tcPr>
            <w:tcW w:w="761" w:type="pct"/>
            <w:vAlign w:val="center"/>
          </w:tcPr>
          <w:p w14:paraId="7EF3887A">
            <w:pPr>
              <w:pStyle w:val="84"/>
              <w:rPr>
                <w:color w:val="auto"/>
              </w:rPr>
            </w:pPr>
            <w:r>
              <w:rPr>
                <w:rFonts w:hint="eastAsia"/>
                <w:color w:val="auto"/>
              </w:rPr>
              <w:t>特征因子</w:t>
            </w:r>
          </w:p>
        </w:tc>
        <w:tc>
          <w:tcPr>
            <w:tcW w:w="1167" w:type="pct"/>
            <w:vAlign w:val="center"/>
          </w:tcPr>
          <w:p w14:paraId="4AF69658">
            <w:pPr>
              <w:pStyle w:val="84"/>
              <w:rPr>
                <w:color w:val="auto"/>
                <w:vertAlign w:val="superscript"/>
              </w:rPr>
            </w:pPr>
            <w:r>
              <w:rPr>
                <w:color w:val="auto"/>
              </w:rPr>
              <w:t>备注</w:t>
            </w:r>
          </w:p>
        </w:tc>
      </w:tr>
      <w:tr w14:paraId="7B6FB4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733" w:type="pct"/>
            <w:vAlign w:val="center"/>
          </w:tcPr>
          <w:p w14:paraId="35040BBF">
            <w:pPr>
              <w:pStyle w:val="84"/>
              <w:rPr>
                <w:color w:val="auto"/>
              </w:rPr>
            </w:pPr>
            <w:r>
              <w:rPr>
                <w:rFonts w:hint="eastAsia"/>
                <w:color w:val="auto"/>
              </w:rPr>
              <w:t>回填区</w:t>
            </w:r>
          </w:p>
        </w:tc>
        <w:tc>
          <w:tcPr>
            <w:tcW w:w="686" w:type="pct"/>
            <w:vAlign w:val="center"/>
          </w:tcPr>
          <w:p w14:paraId="0F6919AA">
            <w:pPr>
              <w:pStyle w:val="84"/>
              <w:rPr>
                <w:color w:val="auto"/>
              </w:rPr>
            </w:pPr>
            <w:r>
              <w:rPr>
                <w:rFonts w:hint="eastAsia"/>
                <w:color w:val="auto"/>
              </w:rPr>
              <w:t>无组织废气</w:t>
            </w:r>
          </w:p>
        </w:tc>
        <w:tc>
          <w:tcPr>
            <w:tcW w:w="436" w:type="pct"/>
            <w:vAlign w:val="center"/>
          </w:tcPr>
          <w:p w14:paraId="4E99CD70">
            <w:pPr>
              <w:pStyle w:val="84"/>
              <w:rPr>
                <w:color w:val="auto"/>
              </w:rPr>
            </w:pPr>
            <w:r>
              <w:rPr>
                <w:color w:val="auto"/>
              </w:rPr>
              <w:t>大气沉降</w:t>
            </w:r>
          </w:p>
        </w:tc>
        <w:tc>
          <w:tcPr>
            <w:tcW w:w="1217" w:type="pct"/>
            <w:vAlign w:val="center"/>
          </w:tcPr>
          <w:p w14:paraId="794A2F6A">
            <w:pPr>
              <w:pStyle w:val="84"/>
              <w:rPr>
                <w:color w:val="auto"/>
                <w:highlight w:val="yellow"/>
              </w:rPr>
            </w:pPr>
            <w:r>
              <w:rPr>
                <w:color w:val="auto"/>
              </w:rPr>
              <w:t>TSP</w:t>
            </w:r>
          </w:p>
        </w:tc>
        <w:tc>
          <w:tcPr>
            <w:tcW w:w="761" w:type="pct"/>
            <w:vAlign w:val="center"/>
          </w:tcPr>
          <w:p w14:paraId="3AABA9C2">
            <w:pPr>
              <w:pStyle w:val="84"/>
              <w:rPr>
                <w:color w:val="auto"/>
              </w:rPr>
            </w:pPr>
            <w:r>
              <w:rPr>
                <w:rFonts w:hint="eastAsia"/>
                <w:color w:val="auto"/>
              </w:rPr>
              <w:t>/</w:t>
            </w:r>
          </w:p>
        </w:tc>
        <w:tc>
          <w:tcPr>
            <w:tcW w:w="1167" w:type="pct"/>
            <w:vAlign w:val="center"/>
          </w:tcPr>
          <w:p w14:paraId="76BE3C95">
            <w:pPr>
              <w:pStyle w:val="84"/>
              <w:rPr>
                <w:color w:val="auto"/>
              </w:rPr>
            </w:pPr>
            <w:r>
              <w:rPr>
                <w:color w:val="auto"/>
              </w:rPr>
              <w:t>间歇排放</w:t>
            </w:r>
            <w:r>
              <w:rPr>
                <w:rFonts w:hint="eastAsia"/>
                <w:color w:val="auto"/>
              </w:rPr>
              <w:t>；</w:t>
            </w:r>
          </w:p>
          <w:p w14:paraId="65D19B61">
            <w:pPr>
              <w:pStyle w:val="84"/>
              <w:jc w:val="both"/>
              <w:rPr>
                <w:color w:val="auto"/>
              </w:rPr>
            </w:pPr>
            <w:r>
              <w:rPr>
                <w:color w:val="auto"/>
              </w:rPr>
              <w:t>废气主要成分为TSP，无重金属等有毒有害物质，对表层土壤污染很小。</w:t>
            </w:r>
          </w:p>
        </w:tc>
      </w:tr>
      <w:tr w14:paraId="089E360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733" w:type="pct"/>
            <w:vAlign w:val="center"/>
          </w:tcPr>
          <w:p w14:paraId="013F8547">
            <w:pPr>
              <w:pStyle w:val="84"/>
              <w:rPr>
                <w:color w:val="auto"/>
              </w:rPr>
            </w:pPr>
            <w:r>
              <w:rPr>
                <w:rFonts w:hint="eastAsia"/>
                <w:color w:val="auto"/>
              </w:rPr>
              <w:t>淋溶水</w:t>
            </w:r>
          </w:p>
        </w:tc>
        <w:tc>
          <w:tcPr>
            <w:tcW w:w="686" w:type="pct"/>
            <w:vAlign w:val="center"/>
          </w:tcPr>
          <w:p w14:paraId="15CF9AAD">
            <w:pPr>
              <w:pStyle w:val="84"/>
              <w:rPr>
                <w:color w:val="auto"/>
              </w:rPr>
            </w:pPr>
            <w:r>
              <w:rPr>
                <w:rFonts w:hint="eastAsia"/>
                <w:color w:val="auto"/>
              </w:rPr>
              <w:t>垂直渗入</w:t>
            </w:r>
          </w:p>
        </w:tc>
        <w:tc>
          <w:tcPr>
            <w:tcW w:w="436" w:type="pct"/>
            <w:vAlign w:val="center"/>
          </w:tcPr>
          <w:p w14:paraId="211CB9B8">
            <w:pPr>
              <w:pStyle w:val="84"/>
              <w:rPr>
                <w:color w:val="auto"/>
              </w:rPr>
            </w:pPr>
            <w:r>
              <w:rPr>
                <w:color w:val="auto"/>
              </w:rPr>
              <w:t>垂直入渗</w:t>
            </w:r>
          </w:p>
        </w:tc>
        <w:tc>
          <w:tcPr>
            <w:tcW w:w="1217" w:type="pct"/>
            <w:vAlign w:val="center"/>
          </w:tcPr>
          <w:p w14:paraId="299A2E7A">
            <w:pPr>
              <w:pStyle w:val="84"/>
              <w:rPr>
                <w:rFonts w:hint="default" w:eastAsia="宋体"/>
                <w:color w:val="auto"/>
                <w:lang w:val="en-US" w:eastAsia="zh-CN"/>
              </w:rPr>
            </w:pPr>
            <w:r>
              <w:rPr>
                <w:rFonts w:hint="eastAsia"/>
                <w:color w:val="auto"/>
                <w:lang w:val="en-US" w:eastAsia="zh-CN"/>
              </w:rPr>
              <w:t>铅、氟化物</w:t>
            </w:r>
          </w:p>
        </w:tc>
        <w:tc>
          <w:tcPr>
            <w:tcW w:w="761" w:type="pct"/>
            <w:vAlign w:val="center"/>
          </w:tcPr>
          <w:p w14:paraId="740D5B8A">
            <w:pPr>
              <w:pStyle w:val="84"/>
              <w:rPr>
                <w:color w:val="auto"/>
                <w:highlight w:val="yellow"/>
              </w:rPr>
            </w:pPr>
            <w:r>
              <w:rPr>
                <w:rFonts w:hint="eastAsia"/>
                <w:color w:val="auto"/>
                <w:lang w:val="en-US" w:eastAsia="zh-CN"/>
              </w:rPr>
              <w:t>铅</w:t>
            </w:r>
          </w:p>
        </w:tc>
        <w:tc>
          <w:tcPr>
            <w:tcW w:w="1167" w:type="pct"/>
            <w:vAlign w:val="center"/>
          </w:tcPr>
          <w:p w14:paraId="17691F33">
            <w:pPr>
              <w:pStyle w:val="84"/>
              <w:rPr>
                <w:color w:val="auto"/>
              </w:rPr>
            </w:pPr>
            <w:r>
              <w:rPr>
                <w:rFonts w:hint="eastAsia"/>
                <w:color w:val="auto"/>
              </w:rPr>
              <w:t>垂直下渗</w:t>
            </w:r>
            <w:r>
              <w:rPr>
                <w:color w:val="auto"/>
              </w:rPr>
              <w:t>污染土壤</w:t>
            </w:r>
          </w:p>
        </w:tc>
      </w:tr>
    </w:tbl>
    <w:p w14:paraId="15662479">
      <w:pPr>
        <w:pStyle w:val="59"/>
        <w:ind w:firstLine="480"/>
        <w:rPr>
          <w:color w:val="auto"/>
        </w:rPr>
      </w:pPr>
      <w:r>
        <w:rPr>
          <w:rFonts w:hint="eastAsia"/>
          <w:color w:val="auto"/>
        </w:rPr>
        <w:t>由土壤污染风险识别结果可知：本项目主要通过大气沉降和垂直下渗两个方面对土壤造成污染。本次从这两个方面出发进行预测分析。</w:t>
      </w:r>
    </w:p>
    <w:p w14:paraId="1F29A29A">
      <w:pPr>
        <w:pStyle w:val="135"/>
        <w:rPr>
          <w:color w:val="auto"/>
        </w:rPr>
      </w:pPr>
      <w:r>
        <w:rPr>
          <w:color w:val="auto"/>
        </w:rPr>
        <w:t>5.2.6.2</w:t>
      </w:r>
      <w:r>
        <w:rPr>
          <w:rFonts w:hint="eastAsia"/>
          <w:color w:val="auto"/>
        </w:rPr>
        <w:t>评价范围</w:t>
      </w:r>
    </w:p>
    <w:p w14:paraId="5C9EDA86">
      <w:pPr>
        <w:pStyle w:val="59"/>
        <w:ind w:firstLine="480"/>
        <w:rPr>
          <w:color w:val="auto"/>
        </w:rPr>
      </w:pPr>
      <w:r>
        <w:rPr>
          <w:color w:val="auto"/>
        </w:rPr>
        <w:t>根据《环境影响评价技术导则 土壤环境》（HJ 964－2018）“表5现状调查范围”，评价工作等级为二级的污染影响型项目调查范围应为占地范围边界外扩0.2km范围内。</w:t>
      </w:r>
    </w:p>
    <w:p w14:paraId="1CAFCE6E">
      <w:pPr>
        <w:pStyle w:val="135"/>
        <w:rPr>
          <w:color w:val="auto"/>
        </w:rPr>
      </w:pPr>
      <w:r>
        <w:rPr>
          <w:rFonts w:hint="eastAsia"/>
          <w:color w:val="auto"/>
        </w:rPr>
        <w:t>5.2.</w:t>
      </w:r>
      <w:r>
        <w:rPr>
          <w:color w:val="auto"/>
        </w:rPr>
        <w:t>6</w:t>
      </w:r>
      <w:r>
        <w:rPr>
          <w:rFonts w:hint="eastAsia"/>
          <w:color w:val="auto"/>
        </w:rPr>
        <w:t>.3大气沉降土壤影响分析</w:t>
      </w:r>
    </w:p>
    <w:p w14:paraId="057C6BC8">
      <w:pPr>
        <w:pStyle w:val="59"/>
        <w:ind w:firstLine="480"/>
        <w:rPr>
          <w:color w:val="auto"/>
        </w:rPr>
      </w:pPr>
      <w:r>
        <w:rPr>
          <w:rFonts w:hint="eastAsia"/>
          <w:color w:val="auto"/>
        </w:rPr>
        <w:t>由上述污染风险识别结果可知，发生大气沉降的区域主要为作业区的无组织废气。项目大气污染为运输及贮存时产生的少量扬尘；由于工程对粉尘排放都采取严格的防治措施，实际增加的污染物排放量很小，且根据项目的回填材料成分可知，回填</w:t>
      </w:r>
      <w:r>
        <w:rPr>
          <w:color w:val="auto"/>
        </w:rPr>
        <w:t>材料</w:t>
      </w:r>
      <w:r>
        <w:rPr>
          <w:rFonts w:hint="eastAsia"/>
          <w:color w:val="auto"/>
        </w:rPr>
        <w:t>主要成为SiO</w:t>
      </w:r>
      <w:r>
        <w:rPr>
          <w:rFonts w:hint="eastAsia"/>
          <w:color w:val="auto"/>
          <w:vertAlign w:val="subscript"/>
        </w:rPr>
        <w:t>2</w:t>
      </w:r>
      <w:r>
        <w:rPr>
          <w:rFonts w:hint="eastAsia"/>
          <w:color w:val="auto"/>
        </w:rPr>
        <w:t>、Al</w:t>
      </w:r>
      <w:r>
        <w:rPr>
          <w:rFonts w:hint="eastAsia"/>
          <w:color w:val="auto"/>
          <w:vertAlign w:val="subscript"/>
        </w:rPr>
        <w:t>2</w:t>
      </w:r>
      <w:r>
        <w:rPr>
          <w:rFonts w:hint="eastAsia"/>
          <w:color w:val="auto"/>
        </w:rPr>
        <w:t>O</w:t>
      </w:r>
      <w:r>
        <w:rPr>
          <w:rFonts w:hint="eastAsia"/>
          <w:color w:val="auto"/>
          <w:vertAlign w:val="subscript"/>
        </w:rPr>
        <w:t>3</w:t>
      </w:r>
      <w:r>
        <w:rPr>
          <w:rFonts w:hint="eastAsia"/>
          <w:color w:val="auto"/>
        </w:rPr>
        <w:t>、Fe</w:t>
      </w:r>
      <w:r>
        <w:rPr>
          <w:rFonts w:hint="eastAsia"/>
          <w:color w:val="auto"/>
          <w:vertAlign w:val="subscript"/>
        </w:rPr>
        <w:t>2</w:t>
      </w:r>
      <w:r>
        <w:rPr>
          <w:rFonts w:hint="eastAsia"/>
          <w:color w:val="auto"/>
        </w:rPr>
        <w:t>O</w:t>
      </w:r>
      <w:r>
        <w:rPr>
          <w:rFonts w:hint="eastAsia"/>
          <w:color w:val="auto"/>
          <w:vertAlign w:val="subscript"/>
        </w:rPr>
        <w:t>3</w:t>
      </w:r>
      <w:r>
        <w:rPr>
          <w:rFonts w:hint="eastAsia"/>
          <w:color w:val="auto"/>
        </w:rPr>
        <w:t>、MgO、CaO等，不含有毒有害的重金属，且所有无组织废气降落到地面后不会下渗；因此发生大气沉降时对土壤影响轻微。因此，只要厂区严格落实各项大气污染防治措施，确保达标排放，大气沉降对项目厂区及周边的表层土壤影响甚微，预计对土壤质量的影响仍将维持在现有水平。</w:t>
      </w:r>
    </w:p>
    <w:p w14:paraId="5A7F2AB6">
      <w:pPr>
        <w:pStyle w:val="135"/>
        <w:rPr>
          <w:color w:val="auto"/>
        </w:rPr>
      </w:pPr>
      <w:r>
        <w:rPr>
          <w:rFonts w:hint="eastAsia"/>
          <w:color w:val="auto"/>
        </w:rPr>
        <w:t>5.2.6.4</w:t>
      </w:r>
      <w:r>
        <w:rPr>
          <w:color w:val="auto"/>
        </w:rPr>
        <w:t>垂直入渗土壤预测与评价</w:t>
      </w:r>
    </w:p>
    <w:p w14:paraId="37DF8042">
      <w:pPr>
        <w:pStyle w:val="59"/>
        <w:ind w:firstLine="480"/>
        <w:rPr>
          <w:color w:val="auto"/>
        </w:rPr>
      </w:pPr>
      <w:r>
        <w:rPr>
          <w:color w:val="auto"/>
        </w:rPr>
        <w:t>1、预测情景设定</w:t>
      </w:r>
    </w:p>
    <w:p w14:paraId="35501408">
      <w:pPr>
        <w:pStyle w:val="59"/>
        <w:ind w:firstLine="480"/>
        <w:rPr>
          <w:color w:val="auto"/>
        </w:rPr>
      </w:pPr>
      <w:r>
        <w:rPr>
          <w:color w:val="auto"/>
        </w:rPr>
        <w:t>本项目对土壤环境产生影响为</w:t>
      </w:r>
      <w:r>
        <w:rPr>
          <w:rFonts w:hint="eastAsia"/>
          <w:color w:val="auto"/>
        </w:rPr>
        <w:t>淋溶水暂存</w:t>
      </w:r>
      <w:r>
        <w:rPr>
          <w:color w:val="auto"/>
        </w:rPr>
        <w:t>池的</w:t>
      </w:r>
      <w:r>
        <w:rPr>
          <w:rFonts w:hint="eastAsia"/>
          <w:color w:val="auto"/>
        </w:rPr>
        <w:t>淋溶水</w:t>
      </w:r>
      <w:r>
        <w:rPr>
          <w:color w:val="auto"/>
        </w:rPr>
        <w:t>，</w:t>
      </w:r>
      <w:r>
        <w:rPr>
          <w:rFonts w:hint="eastAsia"/>
          <w:color w:val="auto"/>
        </w:rPr>
        <w:t>淋溶水</w:t>
      </w:r>
      <w:r>
        <w:rPr>
          <w:color w:val="auto"/>
        </w:rPr>
        <w:t>池采取有效的防渗措施，正常状况下不会通过漫流和入渗途径对土壤环境造成影响，但是若</w:t>
      </w:r>
      <w:r>
        <w:rPr>
          <w:rFonts w:hint="eastAsia"/>
          <w:color w:val="auto"/>
        </w:rPr>
        <w:t>淋溶水暂存</w:t>
      </w:r>
      <w:r>
        <w:rPr>
          <w:color w:val="auto"/>
        </w:rPr>
        <w:t>池底部的防渗层老化破损，防渗性能降低，发生渗漏，很难被发现，导致污染物入渗进入土壤，对土壤环境造成影响。因此，项目对土壤环境的影响途径主要为</w:t>
      </w:r>
      <w:r>
        <w:rPr>
          <w:rFonts w:hint="eastAsia"/>
          <w:color w:val="auto"/>
        </w:rPr>
        <w:t>淋溶水暂存</w:t>
      </w:r>
      <w:r>
        <w:rPr>
          <w:color w:val="auto"/>
        </w:rPr>
        <w:t>池非正常状况下的垂直入渗。</w:t>
      </w:r>
      <w:r>
        <w:rPr>
          <w:rFonts w:hint="eastAsia"/>
          <w:color w:val="auto"/>
        </w:rPr>
        <w:t>预测时段设定为发生淋溶水泄漏后的100天、1000天、服务期满（</w:t>
      </w:r>
      <w:r>
        <w:rPr>
          <w:rFonts w:hint="eastAsia"/>
          <w:color w:val="auto"/>
          <w:lang w:val="en-US" w:eastAsia="zh-CN"/>
        </w:rPr>
        <w:t>1095</w:t>
      </w:r>
      <w:r>
        <w:rPr>
          <w:rFonts w:hint="eastAsia"/>
          <w:color w:val="auto"/>
        </w:rPr>
        <w:t>天）。</w:t>
      </w:r>
    </w:p>
    <w:p w14:paraId="0161ABB7">
      <w:pPr>
        <w:pStyle w:val="59"/>
        <w:ind w:firstLine="480"/>
        <w:rPr>
          <w:color w:val="auto"/>
        </w:rPr>
      </w:pPr>
      <w:r>
        <w:rPr>
          <w:color w:val="auto"/>
        </w:rPr>
        <w:t>2</w:t>
      </w:r>
      <w:r>
        <w:rPr>
          <w:rFonts w:hint="eastAsia"/>
          <w:color w:val="auto"/>
        </w:rPr>
        <w:t>、预测因子确定</w:t>
      </w:r>
    </w:p>
    <w:p w14:paraId="483E1263">
      <w:pPr>
        <w:pStyle w:val="59"/>
        <w:ind w:firstLine="480"/>
        <w:rPr>
          <w:color w:val="auto"/>
        </w:rPr>
      </w:pPr>
      <w:r>
        <w:rPr>
          <w:rFonts w:hint="eastAsia"/>
          <w:color w:val="auto"/>
          <w:lang w:val="en-US" w:eastAsia="zh-CN"/>
        </w:rPr>
        <w:t xml:space="preserve">根据土壤环境影响识别，本项目回填物中含有砷、铅、汞、镉、六价铬等特 </w:t>
      </w:r>
    </w:p>
    <w:p w14:paraId="1072E9C0">
      <w:pPr>
        <w:pStyle w:val="59"/>
        <w:ind w:left="0" w:leftChars="0" w:firstLine="0" w:firstLineChars="0"/>
        <w:rPr>
          <w:color w:val="auto"/>
        </w:rPr>
      </w:pPr>
      <w:r>
        <w:rPr>
          <w:rFonts w:hint="eastAsia"/>
          <w:color w:val="auto"/>
          <w:lang w:val="en-US" w:eastAsia="zh-CN"/>
        </w:rPr>
        <w:t xml:space="preserve">征因子，按最不利原则，预测浓度参照工程分析回填区渗滤液浓度、渗滤液收集 </w:t>
      </w:r>
    </w:p>
    <w:p w14:paraId="2ABC6223">
      <w:pPr>
        <w:pStyle w:val="59"/>
        <w:ind w:left="0" w:leftChars="0" w:firstLine="0" w:firstLineChars="0"/>
        <w:rPr>
          <w:color w:val="auto"/>
        </w:rPr>
      </w:pPr>
      <w:r>
        <w:rPr>
          <w:rFonts w:hint="eastAsia"/>
          <w:color w:val="auto"/>
          <w:lang w:val="en-US" w:eastAsia="zh-CN"/>
        </w:rPr>
        <w:t xml:space="preserve">池渗滤液浓度中取大值。根据项目性质，评价标准采用《土壤环境质量 农用地 </w:t>
      </w:r>
    </w:p>
    <w:p w14:paraId="794E79A3">
      <w:pPr>
        <w:pStyle w:val="59"/>
        <w:ind w:left="0" w:leftChars="0" w:firstLine="0" w:firstLineChars="0"/>
        <w:rPr>
          <w:color w:val="auto"/>
        </w:rPr>
      </w:pPr>
      <w:r>
        <w:rPr>
          <w:rFonts w:hint="eastAsia"/>
          <w:color w:val="auto"/>
          <w:lang w:val="en-US" w:eastAsia="zh-CN"/>
        </w:rPr>
        <w:t>土壤污染风险管控标准（试行）》（</w:t>
      </w:r>
      <w:r>
        <w:rPr>
          <w:rFonts w:hint="default"/>
          <w:color w:val="auto"/>
          <w:lang w:val="en-US" w:eastAsia="zh-CN"/>
        </w:rPr>
        <w:t>GB15618-2018</w:t>
      </w:r>
      <w:r>
        <w:rPr>
          <w:rFonts w:hint="eastAsia"/>
          <w:color w:val="auto"/>
          <w:lang w:val="en-US" w:eastAsia="zh-CN"/>
        </w:rPr>
        <w:t>）中铅风险筛选值限值要求。</w:t>
      </w:r>
    </w:p>
    <w:p w14:paraId="2373EDAD">
      <w:pPr>
        <w:pStyle w:val="59"/>
        <w:ind w:firstLine="480"/>
        <w:rPr>
          <w:color w:val="auto"/>
          <w:szCs w:val="22"/>
        </w:rPr>
      </w:pPr>
      <w:r>
        <w:rPr>
          <w:color w:val="auto"/>
        </w:rPr>
        <w:t>3</w:t>
      </w:r>
      <w:r>
        <w:rPr>
          <w:rFonts w:hint="eastAsia"/>
          <w:color w:val="auto"/>
        </w:rPr>
        <w:t>、</w:t>
      </w:r>
      <w:r>
        <w:rPr>
          <w:rFonts w:hint="eastAsia"/>
          <w:color w:val="auto"/>
          <w:szCs w:val="22"/>
        </w:rPr>
        <w:t>预测模型选取</w:t>
      </w:r>
    </w:p>
    <w:p w14:paraId="6BCAF52D">
      <w:pPr>
        <w:spacing w:line="500" w:lineRule="exact"/>
        <w:ind w:firstLine="480" w:firstLineChars="200"/>
        <w:rPr>
          <w:color w:val="auto"/>
          <w:sz w:val="24"/>
          <w:szCs w:val="22"/>
        </w:rPr>
      </w:pPr>
      <w:bookmarkStart w:id="157" w:name="_Hlk135397423"/>
      <w:r>
        <w:rPr>
          <w:rFonts w:hint="eastAsia"/>
          <w:color w:val="auto"/>
          <w:sz w:val="24"/>
          <w:szCs w:val="22"/>
        </w:rPr>
        <w:t>（1）模型概化</w:t>
      </w:r>
    </w:p>
    <w:p w14:paraId="1D7AF756">
      <w:pPr>
        <w:spacing w:line="500" w:lineRule="exact"/>
        <w:ind w:firstLine="480" w:firstLineChars="200"/>
        <w:rPr>
          <w:color w:val="auto"/>
          <w:sz w:val="24"/>
          <w:szCs w:val="22"/>
        </w:rPr>
      </w:pPr>
      <w:r>
        <w:rPr>
          <w:rFonts w:hint="eastAsia"/>
          <w:color w:val="auto"/>
          <w:sz w:val="24"/>
          <w:szCs w:val="22"/>
        </w:rPr>
        <w:t>本项目采用</w:t>
      </w:r>
      <w:r>
        <w:rPr>
          <w:color w:val="auto"/>
          <w:sz w:val="24"/>
          <w:szCs w:val="22"/>
        </w:rPr>
        <w:t>HYDRUS-1D</w:t>
      </w:r>
      <w:r>
        <w:rPr>
          <w:rFonts w:hint="eastAsia"/>
          <w:color w:val="auto"/>
          <w:sz w:val="24"/>
          <w:szCs w:val="22"/>
        </w:rPr>
        <w:t>进行计算和模拟。</w:t>
      </w:r>
    </w:p>
    <w:p w14:paraId="369C2893">
      <w:pPr>
        <w:spacing w:line="500" w:lineRule="exact"/>
        <w:ind w:firstLine="480" w:firstLineChars="200"/>
        <w:rPr>
          <w:color w:val="auto"/>
          <w:sz w:val="24"/>
          <w:szCs w:val="22"/>
        </w:rPr>
      </w:pPr>
      <w:r>
        <w:rPr>
          <w:rFonts w:hint="eastAsia"/>
          <w:color w:val="auto"/>
          <w:sz w:val="24"/>
          <w:szCs w:val="22"/>
        </w:rPr>
        <w:t>不考虑土壤中热对流及热扩散，仅考虑土壤垂向一维水分运移及溶质扩散。土壤水分运动方程为：</w:t>
      </w:r>
    </w:p>
    <w:p w14:paraId="6D81332B">
      <w:pPr>
        <w:ind w:firstLine="480" w:firstLineChars="200"/>
        <w:jc w:val="center"/>
        <w:rPr>
          <w:color w:val="auto"/>
          <w:sz w:val="24"/>
          <w:szCs w:val="22"/>
        </w:rPr>
      </w:pPr>
      <w:r>
        <w:rPr>
          <w:color w:val="auto"/>
          <w:sz w:val="24"/>
          <w:szCs w:val="22"/>
        </w:rPr>
        <w:drawing>
          <wp:inline distT="0" distB="0" distL="0" distR="0">
            <wp:extent cx="1333500" cy="571500"/>
            <wp:effectExtent l="0" t="0" r="0" b="0"/>
            <wp:docPr id="2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1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a:xfrm>
                      <a:off x="0" y="0"/>
                      <a:ext cx="1333500" cy="571500"/>
                    </a:xfrm>
                    <a:prstGeom prst="rect">
                      <a:avLst/>
                    </a:prstGeom>
                    <a:noFill/>
                    <a:ln>
                      <a:noFill/>
                    </a:ln>
                  </pic:spPr>
                </pic:pic>
              </a:graphicData>
            </a:graphic>
          </wp:inline>
        </w:drawing>
      </w:r>
    </w:p>
    <w:p w14:paraId="4FC11B64">
      <w:pPr>
        <w:spacing w:line="500" w:lineRule="exact"/>
        <w:ind w:firstLine="480" w:firstLineChars="200"/>
        <w:rPr>
          <w:color w:val="auto"/>
          <w:sz w:val="24"/>
          <w:szCs w:val="22"/>
        </w:rPr>
      </w:pPr>
      <w:r>
        <w:rPr>
          <w:rFonts w:hint="eastAsia"/>
          <w:color w:val="auto"/>
          <w:sz w:val="24"/>
          <w:szCs w:val="22"/>
        </w:rPr>
        <w:t>式中</w:t>
      </w:r>
      <w:r>
        <w:rPr>
          <w:i/>
          <w:iCs/>
          <w:color w:val="auto"/>
          <w:sz w:val="24"/>
          <w:szCs w:val="22"/>
        </w:rPr>
        <w:t>θ</w:t>
      </w:r>
      <w:r>
        <w:rPr>
          <w:rFonts w:hint="eastAsia"/>
          <w:color w:val="auto"/>
          <w:sz w:val="24"/>
          <w:szCs w:val="22"/>
        </w:rPr>
        <w:t>为土壤体积含水量，cm</w:t>
      </w:r>
      <w:r>
        <w:rPr>
          <w:color w:val="auto"/>
          <w:sz w:val="24"/>
          <w:szCs w:val="22"/>
          <w:vertAlign w:val="superscript"/>
        </w:rPr>
        <w:t>3</w:t>
      </w:r>
      <w:r>
        <w:rPr>
          <w:color w:val="auto"/>
          <w:sz w:val="24"/>
          <w:szCs w:val="22"/>
        </w:rPr>
        <w:t>/cm</w:t>
      </w:r>
      <w:r>
        <w:rPr>
          <w:color w:val="auto"/>
          <w:sz w:val="24"/>
          <w:szCs w:val="22"/>
          <w:vertAlign w:val="superscript"/>
        </w:rPr>
        <w:t>3</w:t>
      </w:r>
      <w:r>
        <w:rPr>
          <w:rFonts w:hint="eastAsia"/>
          <w:color w:val="auto"/>
          <w:sz w:val="24"/>
          <w:szCs w:val="22"/>
        </w:rPr>
        <w:t>；</w:t>
      </w:r>
    </w:p>
    <w:p w14:paraId="43078796">
      <w:pPr>
        <w:spacing w:line="500" w:lineRule="exact"/>
        <w:ind w:firstLine="480" w:firstLineChars="200"/>
        <w:rPr>
          <w:color w:val="auto"/>
          <w:sz w:val="24"/>
          <w:szCs w:val="22"/>
        </w:rPr>
      </w:pPr>
      <w:r>
        <w:rPr>
          <w:rFonts w:hint="eastAsia"/>
          <w:i/>
          <w:iCs/>
          <w:color w:val="auto"/>
          <w:sz w:val="24"/>
          <w:szCs w:val="22"/>
        </w:rPr>
        <w:t>t</w:t>
      </w:r>
      <w:r>
        <w:rPr>
          <w:rFonts w:hint="eastAsia"/>
          <w:color w:val="auto"/>
          <w:sz w:val="24"/>
          <w:szCs w:val="22"/>
        </w:rPr>
        <w:t>为时间，</w:t>
      </w:r>
      <w:r>
        <w:rPr>
          <w:i/>
          <w:iCs/>
          <w:color w:val="auto"/>
          <w:sz w:val="24"/>
          <w:szCs w:val="22"/>
        </w:rPr>
        <w:t>d</w:t>
      </w:r>
      <w:r>
        <w:rPr>
          <w:rFonts w:hint="eastAsia"/>
          <w:color w:val="auto"/>
          <w:sz w:val="24"/>
          <w:szCs w:val="22"/>
        </w:rPr>
        <w:t>；</w:t>
      </w:r>
    </w:p>
    <w:p w14:paraId="07A6A8EB">
      <w:pPr>
        <w:spacing w:line="500" w:lineRule="exact"/>
        <w:ind w:firstLine="480" w:firstLineChars="200"/>
        <w:rPr>
          <w:color w:val="auto"/>
          <w:sz w:val="24"/>
          <w:szCs w:val="22"/>
        </w:rPr>
      </w:pPr>
      <w:r>
        <w:rPr>
          <w:rFonts w:hint="eastAsia"/>
          <w:i/>
          <w:iCs/>
          <w:color w:val="auto"/>
          <w:sz w:val="24"/>
          <w:szCs w:val="22"/>
        </w:rPr>
        <w:t>z</w:t>
      </w:r>
      <w:r>
        <w:rPr>
          <w:rFonts w:hint="eastAsia"/>
          <w:color w:val="auto"/>
          <w:sz w:val="24"/>
          <w:szCs w:val="22"/>
        </w:rPr>
        <w:t>为垂向坐标，cm；</w:t>
      </w:r>
    </w:p>
    <w:p w14:paraId="53C2CCCB">
      <w:pPr>
        <w:spacing w:line="500" w:lineRule="exact"/>
        <w:ind w:firstLine="480" w:firstLineChars="200"/>
        <w:rPr>
          <w:color w:val="auto"/>
          <w:sz w:val="24"/>
          <w:szCs w:val="22"/>
        </w:rPr>
      </w:pPr>
      <w:r>
        <w:rPr>
          <w:rFonts w:hint="eastAsia"/>
          <w:i/>
          <w:iCs/>
          <w:color w:val="auto"/>
          <w:sz w:val="24"/>
          <w:szCs w:val="22"/>
        </w:rPr>
        <w:t>h</w:t>
      </w:r>
      <w:r>
        <w:rPr>
          <w:rFonts w:hint="eastAsia"/>
          <w:color w:val="auto"/>
          <w:sz w:val="24"/>
          <w:szCs w:val="22"/>
        </w:rPr>
        <w:t>为压力水头，cm；</w:t>
      </w:r>
    </w:p>
    <w:p w14:paraId="127E8020">
      <w:pPr>
        <w:spacing w:line="500" w:lineRule="exact"/>
        <w:ind w:firstLine="480" w:firstLineChars="200"/>
        <w:rPr>
          <w:color w:val="auto"/>
          <w:sz w:val="24"/>
          <w:szCs w:val="22"/>
        </w:rPr>
      </w:pPr>
      <w:r>
        <w:rPr>
          <w:rFonts w:hint="eastAsia"/>
          <w:i/>
          <w:iCs/>
          <w:color w:val="auto"/>
          <w:sz w:val="24"/>
          <w:szCs w:val="22"/>
        </w:rPr>
        <w:t>K</w:t>
      </w:r>
      <w:r>
        <w:rPr>
          <w:rFonts w:hint="eastAsia"/>
          <w:color w:val="auto"/>
          <w:sz w:val="24"/>
          <w:szCs w:val="22"/>
        </w:rPr>
        <w:t>为土壤非饱和导水系数，cm/s；</w:t>
      </w:r>
    </w:p>
    <w:p w14:paraId="03BC6788">
      <w:pPr>
        <w:spacing w:line="500" w:lineRule="exact"/>
        <w:ind w:firstLine="480" w:firstLineChars="200"/>
        <w:rPr>
          <w:color w:val="auto"/>
          <w:sz w:val="24"/>
          <w:szCs w:val="22"/>
        </w:rPr>
      </w:pPr>
      <w:r>
        <w:rPr>
          <w:rFonts w:hint="eastAsia"/>
          <w:i/>
          <w:iCs/>
          <w:color w:val="auto"/>
          <w:sz w:val="24"/>
          <w:szCs w:val="22"/>
        </w:rPr>
        <w:t>S</w:t>
      </w:r>
      <w:r>
        <w:rPr>
          <w:rFonts w:hint="eastAsia"/>
          <w:color w:val="auto"/>
          <w:sz w:val="24"/>
          <w:szCs w:val="22"/>
        </w:rPr>
        <w:t>为模型的源汇项。</w:t>
      </w:r>
    </w:p>
    <w:p w14:paraId="7E121878">
      <w:pPr>
        <w:spacing w:line="500" w:lineRule="exact"/>
        <w:ind w:firstLine="480" w:firstLineChars="200"/>
        <w:rPr>
          <w:color w:val="auto"/>
          <w:sz w:val="24"/>
          <w:szCs w:val="22"/>
        </w:rPr>
      </w:pPr>
      <w:r>
        <w:rPr>
          <w:rFonts w:hint="eastAsia"/>
          <w:color w:val="auto"/>
          <w:sz w:val="24"/>
          <w:szCs w:val="22"/>
        </w:rPr>
        <w:t>式中</w:t>
      </w:r>
      <w:r>
        <w:rPr>
          <w:rFonts w:hint="eastAsia"/>
          <w:i/>
          <w:iCs/>
          <w:color w:val="auto"/>
          <w:sz w:val="24"/>
          <w:szCs w:val="22"/>
        </w:rPr>
        <w:t>K</w:t>
      </w:r>
      <w:r>
        <w:rPr>
          <w:rFonts w:hint="eastAsia"/>
          <w:color w:val="auto"/>
          <w:sz w:val="24"/>
          <w:szCs w:val="22"/>
        </w:rPr>
        <w:t>与土壤含水率或土壤基质势有关。本项目仅考虑溶质与液态水耦合运移，忽略溶质固相和气相成分，因此土壤非饱和溶质运移方程为：</w:t>
      </w:r>
    </w:p>
    <w:p w14:paraId="35FA00B1">
      <w:pPr>
        <w:ind w:firstLine="480" w:firstLineChars="200"/>
        <w:jc w:val="center"/>
        <w:rPr>
          <w:color w:val="auto"/>
          <w:sz w:val="24"/>
          <w:szCs w:val="22"/>
        </w:rPr>
      </w:pPr>
      <w:r>
        <w:rPr>
          <w:color w:val="auto"/>
          <w:sz w:val="24"/>
          <w:szCs w:val="22"/>
        </w:rPr>
        <w:drawing>
          <wp:inline distT="0" distB="0" distL="0" distR="0">
            <wp:extent cx="2019300" cy="542925"/>
            <wp:effectExtent l="0" t="0" r="0" b="9525"/>
            <wp:docPr id="22"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1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2019300" cy="542925"/>
                    </a:xfrm>
                    <a:prstGeom prst="rect">
                      <a:avLst/>
                    </a:prstGeom>
                    <a:noFill/>
                    <a:ln>
                      <a:noFill/>
                    </a:ln>
                  </pic:spPr>
                </pic:pic>
              </a:graphicData>
            </a:graphic>
          </wp:inline>
        </w:drawing>
      </w:r>
    </w:p>
    <w:p w14:paraId="5B6A4F6A">
      <w:pPr>
        <w:spacing w:line="500" w:lineRule="exact"/>
        <w:ind w:firstLine="480" w:firstLineChars="200"/>
        <w:rPr>
          <w:color w:val="auto"/>
          <w:sz w:val="24"/>
          <w:szCs w:val="22"/>
        </w:rPr>
      </w:pPr>
      <w:r>
        <w:rPr>
          <w:rFonts w:hint="eastAsia"/>
          <w:color w:val="auto"/>
          <w:sz w:val="24"/>
          <w:szCs w:val="22"/>
        </w:rPr>
        <w:t>式中</w:t>
      </w:r>
      <w:r>
        <w:rPr>
          <w:i/>
          <w:iCs/>
          <w:color w:val="auto"/>
          <w:sz w:val="24"/>
          <w:szCs w:val="22"/>
        </w:rPr>
        <w:t>θ</w:t>
      </w:r>
      <w:r>
        <w:rPr>
          <w:rFonts w:hint="eastAsia"/>
          <w:color w:val="auto"/>
          <w:sz w:val="24"/>
          <w:szCs w:val="22"/>
        </w:rPr>
        <w:t>为土壤体积含水量，cm</w:t>
      </w:r>
      <w:r>
        <w:rPr>
          <w:color w:val="auto"/>
          <w:sz w:val="24"/>
          <w:szCs w:val="22"/>
          <w:vertAlign w:val="superscript"/>
        </w:rPr>
        <w:t>3</w:t>
      </w:r>
      <w:r>
        <w:rPr>
          <w:color w:val="auto"/>
          <w:sz w:val="24"/>
          <w:szCs w:val="22"/>
        </w:rPr>
        <w:t>/cm</w:t>
      </w:r>
      <w:r>
        <w:rPr>
          <w:color w:val="auto"/>
          <w:sz w:val="24"/>
          <w:szCs w:val="22"/>
          <w:vertAlign w:val="superscript"/>
        </w:rPr>
        <w:t>3</w:t>
      </w:r>
      <w:r>
        <w:rPr>
          <w:rFonts w:hint="eastAsia"/>
          <w:color w:val="auto"/>
          <w:sz w:val="24"/>
          <w:szCs w:val="22"/>
        </w:rPr>
        <w:t>；</w:t>
      </w:r>
    </w:p>
    <w:p w14:paraId="741C5484">
      <w:pPr>
        <w:spacing w:line="500" w:lineRule="exact"/>
        <w:ind w:firstLine="480" w:firstLineChars="200"/>
        <w:rPr>
          <w:color w:val="auto"/>
          <w:sz w:val="24"/>
          <w:szCs w:val="22"/>
        </w:rPr>
      </w:pPr>
      <w:r>
        <w:rPr>
          <w:rFonts w:hint="eastAsia"/>
          <w:i/>
          <w:iCs/>
          <w:color w:val="auto"/>
          <w:sz w:val="24"/>
          <w:szCs w:val="22"/>
        </w:rPr>
        <w:t>c</w:t>
      </w:r>
      <w:r>
        <w:rPr>
          <w:rFonts w:hint="eastAsia"/>
          <w:color w:val="auto"/>
          <w:sz w:val="24"/>
          <w:szCs w:val="22"/>
        </w:rPr>
        <w:t>为污染物介质中的浓度，mg/L；</w:t>
      </w:r>
    </w:p>
    <w:p w14:paraId="5BD05913">
      <w:pPr>
        <w:spacing w:line="500" w:lineRule="exact"/>
        <w:ind w:firstLine="480" w:firstLineChars="200"/>
        <w:rPr>
          <w:color w:val="auto"/>
          <w:sz w:val="24"/>
          <w:szCs w:val="22"/>
        </w:rPr>
      </w:pPr>
      <w:r>
        <w:rPr>
          <w:i/>
          <w:iCs/>
          <w:color w:val="auto"/>
          <w:sz w:val="24"/>
          <w:szCs w:val="22"/>
        </w:rPr>
        <w:t>D</w:t>
      </w:r>
      <w:r>
        <w:rPr>
          <w:rFonts w:hint="eastAsia"/>
          <w:color w:val="auto"/>
          <w:sz w:val="24"/>
          <w:szCs w:val="22"/>
        </w:rPr>
        <w:t>为弥散系数，cm</w:t>
      </w:r>
      <w:r>
        <w:rPr>
          <w:color w:val="auto"/>
          <w:sz w:val="24"/>
          <w:szCs w:val="22"/>
          <w:vertAlign w:val="superscript"/>
        </w:rPr>
        <w:t>2</w:t>
      </w:r>
      <w:r>
        <w:rPr>
          <w:color w:val="auto"/>
          <w:sz w:val="24"/>
          <w:szCs w:val="22"/>
        </w:rPr>
        <w:t>/d</w:t>
      </w:r>
      <w:r>
        <w:rPr>
          <w:rFonts w:hint="eastAsia"/>
          <w:color w:val="auto"/>
          <w:sz w:val="24"/>
          <w:szCs w:val="22"/>
        </w:rPr>
        <w:t>；</w:t>
      </w:r>
    </w:p>
    <w:p w14:paraId="72171667">
      <w:pPr>
        <w:spacing w:line="500" w:lineRule="exact"/>
        <w:ind w:firstLine="480" w:firstLineChars="200"/>
        <w:rPr>
          <w:color w:val="auto"/>
          <w:sz w:val="24"/>
          <w:szCs w:val="22"/>
        </w:rPr>
      </w:pPr>
      <w:r>
        <w:rPr>
          <w:i/>
          <w:iCs/>
          <w:color w:val="auto"/>
          <w:sz w:val="24"/>
          <w:szCs w:val="22"/>
        </w:rPr>
        <w:t>g</w:t>
      </w:r>
      <w:r>
        <w:rPr>
          <w:rFonts w:hint="eastAsia"/>
          <w:color w:val="auto"/>
          <w:sz w:val="24"/>
          <w:szCs w:val="22"/>
        </w:rPr>
        <w:t>为渗流速率，m/d；</w:t>
      </w:r>
    </w:p>
    <w:p w14:paraId="0A45E329">
      <w:pPr>
        <w:spacing w:line="500" w:lineRule="exact"/>
        <w:ind w:firstLine="480" w:firstLineChars="200"/>
        <w:rPr>
          <w:color w:val="auto"/>
          <w:sz w:val="24"/>
          <w:szCs w:val="22"/>
        </w:rPr>
      </w:pPr>
      <w:r>
        <w:rPr>
          <w:rFonts w:hint="eastAsia"/>
          <w:i/>
          <w:iCs/>
          <w:color w:val="auto"/>
          <w:sz w:val="24"/>
          <w:szCs w:val="22"/>
        </w:rPr>
        <w:t>t</w:t>
      </w:r>
      <w:r>
        <w:rPr>
          <w:rFonts w:hint="eastAsia"/>
          <w:color w:val="auto"/>
          <w:sz w:val="24"/>
          <w:szCs w:val="22"/>
        </w:rPr>
        <w:t>为时间变量，d。</w:t>
      </w:r>
    </w:p>
    <w:p w14:paraId="10159B76">
      <w:pPr>
        <w:spacing w:line="500" w:lineRule="exact"/>
        <w:ind w:firstLine="480" w:firstLineChars="200"/>
        <w:rPr>
          <w:color w:val="auto"/>
          <w:sz w:val="24"/>
          <w:szCs w:val="22"/>
        </w:rPr>
      </w:pPr>
      <w:r>
        <w:rPr>
          <w:rFonts w:hint="eastAsia"/>
          <w:color w:val="auto"/>
          <w:sz w:val="24"/>
          <w:szCs w:val="22"/>
        </w:rPr>
        <w:t>实验室测量的土壤水分一般是土壤质量或者体积含水量，利用土壤水分特征曲线可将其与土壤基质势关联。此处采用转换函数法利用经验参数，基于vanGenuchten-Mualem模型描述土壤含水量与基质吸力、土壤饱和度与导水率的关系为：</w:t>
      </w:r>
    </w:p>
    <w:p w14:paraId="514B3C7C">
      <w:pPr>
        <w:ind w:firstLine="480" w:firstLineChars="200"/>
        <w:jc w:val="center"/>
        <w:rPr>
          <w:color w:val="auto"/>
          <w:sz w:val="24"/>
          <w:szCs w:val="22"/>
        </w:rPr>
      </w:pPr>
      <w:r>
        <w:rPr>
          <w:color w:val="auto"/>
          <w:sz w:val="24"/>
          <w:szCs w:val="22"/>
        </w:rPr>
        <w:drawing>
          <wp:inline distT="0" distB="0" distL="0" distR="0">
            <wp:extent cx="2505075" cy="1276350"/>
            <wp:effectExtent l="0" t="0" r="9525" b="0"/>
            <wp:docPr id="24"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505075" cy="1276350"/>
                    </a:xfrm>
                    <a:prstGeom prst="rect">
                      <a:avLst/>
                    </a:prstGeom>
                    <a:noFill/>
                    <a:ln>
                      <a:noFill/>
                    </a:ln>
                  </pic:spPr>
                </pic:pic>
              </a:graphicData>
            </a:graphic>
          </wp:inline>
        </w:drawing>
      </w:r>
    </w:p>
    <w:p w14:paraId="7B7A5ADE">
      <w:pPr>
        <w:spacing w:line="500" w:lineRule="exact"/>
        <w:ind w:firstLine="480" w:firstLineChars="200"/>
        <w:rPr>
          <w:color w:val="auto"/>
          <w:sz w:val="24"/>
          <w:szCs w:val="22"/>
        </w:rPr>
      </w:pPr>
      <w:r>
        <w:rPr>
          <w:rFonts w:hint="eastAsia"/>
          <w:color w:val="auto"/>
          <w:sz w:val="24"/>
          <w:szCs w:val="22"/>
        </w:rPr>
        <w:t>式中</w:t>
      </w:r>
      <w:r>
        <w:rPr>
          <w:i/>
          <w:iCs/>
          <w:color w:val="auto"/>
          <w:sz w:val="24"/>
          <w:szCs w:val="22"/>
        </w:rPr>
        <w:t>θ（h）</w:t>
      </w:r>
      <w:r>
        <w:rPr>
          <w:rFonts w:hint="eastAsia"/>
          <w:color w:val="auto"/>
          <w:sz w:val="24"/>
          <w:szCs w:val="22"/>
        </w:rPr>
        <w:t>为</w:t>
      </w:r>
      <w:bookmarkStart w:id="158" w:name="OLE_LINK2"/>
      <w:r>
        <w:rPr>
          <w:rFonts w:hint="eastAsia"/>
          <w:color w:val="auto"/>
          <w:sz w:val="24"/>
          <w:szCs w:val="22"/>
        </w:rPr>
        <w:t>土壤体积含水量</w:t>
      </w:r>
      <w:bookmarkEnd w:id="158"/>
      <w:r>
        <w:rPr>
          <w:rFonts w:hint="eastAsia"/>
          <w:color w:val="auto"/>
          <w:sz w:val="24"/>
          <w:szCs w:val="22"/>
        </w:rPr>
        <w:t>，cm</w:t>
      </w:r>
      <w:r>
        <w:rPr>
          <w:color w:val="auto"/>
          <w:sz w:val="24"/>
          <w:szCs w:val="22"/>
          <w:vertAlign w:val="superscript"/>
        </w:rPr>
        <w:t>3</w:t>
      </w:r>
      <w:r>
        <w:rPr>
          <w:color w:val="auto"/>
          <w:sz w:val="24"/>
          <w:szCs w:val="22"/>
        </w:rPr>
        <w:t>/cm</w:t>
      </w:r>
      <w:r>
        <w:rPr>
          <w:color w:val="auto"/>
          <w:sz w:val="24"/>
          <w:szCs w:val="22"/>
          <w:vertAlign w:val="superscript"/>
        </w:rPr>
        <w:t>3</w:t>
      </w:r>
      <w:r>
        <w:rPr>
          <w:rFonts w:hint="eastAsia"/>
          <w:color w:val="auto"/>
          <w:sz w:val="24"/>
          <w:szCs w:val="22"/>
        </w:rPr>
        <w:t>；</w:t>
      </w:r>
    </w:p>
    <w:p w14:paraId="767911F1">
      <w:pPr>
        <w:spacing w:line="500" w:lineRule="exact"/>
        <w:ind w:firstLine="480" w:firstLineChars="200"/>
        <w:rPr>
          <w:color w:val="auto"/>
          <w:sz w:val="24"/>
          <w:szCs w:val="22"/>
        </w:rPr>
      </w:pPr>
      <w:r>
        <w:rPr>
          <w:i/>
          <w:iCs/>
          <w:color w:val="auto"/>
          <w:sz w:val="24"/>
          <w:szCs w:val="22"/>
        </w:rPr>
        <w:t>θ</w:t>
      </w:r>
      <w:r>
        <w:rPr>
          <w:rFonts w:hint="eastAsia"/>
          <w:i/>
          <w:iCs/>
          <w:color w:val="auto"/>
          <w:sz w:val="24"/>
          <w:szCs w:val="22"/>
          <w:vertAlign w:val="subscript"/>
        </w:rPr>
        <w:t>s</w:t>
      </w:r>
      <w:r>
        <w:rPr>
          <w:rFonts w:hint="eastAsia"/>
          <w:color w:val="auto"/>
          <w:sz w:val="24"/>
          <w:szCs w:val="22"/>
        </w:rPr>
        <w:t>、</w:t>
      </w:r>
      <w:r>
        <w:rPr>
          <w:i/>
          <w:iCs/>
          <w:color w:val="auto"/>
          <w:sz w:val="24"/>
          <w:szCs w:val="22"/>
        </w:rPr>
        <w:t>θ</w:t>
      </w:r>
      <w:r>
        <w:rPr>
          <w:rFonts w:hint="eastAsia"/>
          <w:i/>
          <w:iCs/>
          <w:color w:val="auto"/>
          <w:sz w:val="24"/>
          <w:szCs w:val="22"/>
          <w:vertAlign w:val="subscript"/>
        </w:rPr>
        <w:t>r</w:t>
      </w:r>
      <w:r>
        <w:rPr>
          <w:rFonts w:hint="eastAsia"/>
          <w:color w:val="auto"/>
          <w:sz w:val="24"/>
          <w:szCs w:val="22"/>
        </w:rPr>
        <w:t>、</w:t>
      </w:r>
      <w:r>
        <w:rPr>
          <w:color w:val="auto"/>
          <w:sz w:val="24"/>
          <w:szCs w:val="22"/>
        </w:rPr>
        <w:t>α</w:t>
      </w:r>
      <w:r>
        <w:rPr>
          <w:rFonts w:hint="eastAsia"/>
          <w:color w:val="auto"/>
          <w:sz w:val="24"/>
          <w:szCs w:val="22"/>
        </w:rPr>
        <w:t>、</w:t>
      </w:r>
      <w:r>
        <w:rPr>
          <w:i/>
          <w:iCs/>
          <w:color w:val="auto"/>
          <w:sz w:val="24"/>
          <w:szCs w:val="22"/>
        </w:rPr>
        <w:t>n</w:t>
      </w:r>
      <w:r>
        <w:rPr>
          <w:rFonts w:hint="eastAsia"/>
          <w:color w:val="auto"/>
          <w:sz w:val="24"/>
          <w:szCs w:val="22"/>
        </w:rPr>
        <w:t>为模型的四个重要参数，</w:t>
      </w:r>
      <w:r>
        <w:rPr>
          <w:i/>
          <w:iCs/>
          <w:color w:val="auto"/>
          <w:sz w:val="24"/>
          <w:szCs w:val="22"/>
        </w:rPr>
        <w:t>θ</w:t>
      </w:r>
      <w:r>
        <w:rPr>
          <w:rFonts w:hint="eastAsia"/>
          <w:i/>
          <w:iCs/>
          <w:color w:val="auto"/>
          <w:sz w:val="24"/>
          <w:szCs w:val="22"/>
          <w:vertAlign w:val="subscript"/>
        </w:rPr>
        <w:t>s</w:t>
      </w:r>
      <w:r>
        <w:rPr>
          <w:rFonts w:hint="eastAsia"/>
          <w:color w:val="auto"/>
          <w:sz w:val="24"/>
          <w:szCs w:val="22"/>
        </w:rPr>
        <w:t>、</w:t>
      </w:r>
      <w:r>
        <w:rPr>
          <w:i/>
          <w:iCs/>
          <w:color w:val="auto"/>
          <w:sz w:val="24"/>
          <w:szCs w:val="22"/>
        </w:rPr>
        <w:t>θ</w:t>
      </w:r>
      <w:r>
        <w:rPr>
          <w:rFonts w:hint="eastAsia"/>
          <w:i/>
          <w:iCs/>
          <w:color w:val="auto"/>
          <w:sz w:val="24"/>
          <w:szCs w:val="22"/>
          <w:vertAlign w:val="subscript"/>
        </w:rPr>
        <w:t>r</w:t>
      </w:r>
      <w:r>
        <w:rPr>
          <w:rFonts w:hint="eastAsia"/>
          <w:color w:val="auto"/>
          <w:sz w:val="24"/>
          <w:szCs w:val="22"/>
        </w:rPr>
        <w:t>是土壤的饱和含水量与残留含水量，</w:t>
      </w:r>
      <w:r>
        <w:rPr>
          <w:color w:val="auto"/>
          <w:sz w:val="24"/>
          <w:szCs w:val="22"/>
        </w:rPr>
        <w:t>α</w:t>
      </w:r>
      <w:r>
        <w:rPr>
          <w:rFonts w:hint="eastAsia"/>
          <w:color w:val="auto"/>
          <w:sz w:val="24"/>
          <w:szCs w:val="22"/>
        </w:rPr>
        <w:t>、</w:t>
      </w:r>
      <w:r>
        <w:rPr>
          <w:i/>
          <w:iCs/>
          <w:color w:val="auto"/>
          <w:sz w:val="24"/>
          <w:szCs w:val="22"/>
        </w:rPr>
        <w:t>n</w:t>
      </w:r>
      <w:r>
        <w:rPr>
          <w:rFonts w:hint="eastAsia"/>
          <w:i/>
          <w:iCs/>
          <w:color w:val="auto"/>
          <w:sz w:val="24"/>
          <w:szCs w:val="22"/>
        </w:rPr>
        <w:t>、m</w:t>
      </w:r>
      <w:r>
        <w:rPr>
          <w:rFonts w:hint="eastAsia"/>
          <w:color w:val="auto"/>
          <w:sz w:val="24"/>
          <w:szCs w:val="22"/>
        </w:rPr>
        <w:t>为经验参数，其中m</w:t>
      </w:r>
      <w:r>
        <w:rPr>
          <w:color w:val="auto"/>
          <w:sz w:val="24"/>
          <w:szCs w:val="22"/>
        </w:rPr>
        <w:t>=1-1/n(n</w:t>
      </w:r>
      <w:r>
        <w:rPr>
          <w:rFonts w:hint="eastAsia"/>
          <w:color w:val="auto"/>
          <w:sz w:val="24"/>
          <w:szCs w:val="22"/>
        </w:rPr>
        <w:t>＞1)。</w:t>
      </w:r>
    </w:p>
    <w:p w14:paraId="5DAA91AA">
      <w:pPr>
        <w:spacing w:line="500" w:lineRule="exact"/>
        <w:ind w:firstLine="480" w:firstLineChars="200"/>
        <w:rPr>
          <w:color w:val="auto"/>
          <w:sz w:val="24"/>
          <w:szCs w:val="22"/>
        </w:rPr>
      </w:pPr>
      <w:r>
        <w:rPr>
          <w:rFonts w:hint="eastAsia"/>
          <w:i/>
          <w:iCs/>
          <w:color w:val="auto"/>
          <w:sz w:val="24"/>
          <w:szCs w:val="22"/>
        </w:rPr>
        <w:t>K（h）</w:t>
      </w:r>
      <w:r>
        <w:rPr>
          <w:rFonts w:hint="eastAsia"/>
          <w:color w:val="auto"/>
          <w:sz w:val="24"/>
          <w:szCs w:val="22"/>
        </w:rPr>
        <w:t>为土壤的非饱和导水率，</w:t>
      </w:r>
      <w:r>
        <w:rPr>
          <w:i/>
          <w:iCs/>
          <w:color w:val="auto"/>
          <w:sz w:val="24"/>
          <w:szCs w:val="22"/>
        </w:rPr>
        <w:t>K</w:t>
      </w:r>
      <w:r>
        <w:rPr>
          <w:rFonts w:hint="eastAsia"/>
          <w:i/>
          <w:iCs/>
          <w:color w:val="auto"/>
          <w:sz w:val="24"/>
          <w:szCs w:val="22"/>
        </w:rPr>
        <w:t>s</w:t>
      </w:r>
      <w:r>
        <w:rPr>
          <w:rFonts w:hint="eastAsia"/>
          <w:color w:val="auto"/>
          <w:sz w:val="24"/>
          <w:szCs w:val="22"/>
        </w:rPr>
        <w:t>为土壤的饱和导水率，m/s；</w:t>
      </w:r>
    </w:p>
    <w:p w14:paraId="12F7AD34">
      <w:pPr>
        <w:spacing w:line="500" w:lineRule="exact"/>
        <w:ind w:firstLine="480" w:firstLineChars="200"/>
        <w:rPr>
          <w:color w:val="auto"/>
          <w:sz w:val="24"/>
          <w:szCs w:val="22"/>
        </w:rPr>
      </w:pPr>
      <w:r>
        <w:rPr>
          <w:rFonts w:hint="eastAsia"/>
          <w:i/>
          <w:iCs/>
          <w:color w:val="auto"/>
          <w:sz w:val="24"/>
          <w:szCs w:val="22"/>
        </w:rPr>
        <w:t>S</w:t>
      </w:r>
      <w:r>
        <w:rPr>
          <w:rFonts w:hint="eastAsia"/>
          <w:i/>
          <w:iCs/>
          <w:color w:val="auto"/>
          <w:sz w:val="24"/>
          <w:szCs w:val="22"/>
          <w:vertAlign w:val="subscript"/>
        </w:rPr>
        <w:t>e</w:t>
      </w:r>
      <w:r>
        <w:rPr>
          <w:rFonts w:hint="eastAsia"/>
          <w:i/>
          <w:iCs/>
          <w:color w:val="auto"/>
          <w:sz w:val="24"/>
          <w:szCs w:val="22"/>
          <w:vertAlign w:val="superscript"/>
        </w:rPr>
        <w:t>l</w:t>
      </w:r>
      <w:r>
        <w:rPr>
          <w:rFonts w:hint="eastAsia"/>
          <w:color w:val="auto"/>
          <w:sz w:val="24"/>
          <w:szCs w:val="22"/>
        </w:rPr>
        <w:t>为土壤水有效饱和度，</w:t>
      </w:r>
      <w:r>
        <w:rPr>
          <w:rFonts w:hint="eastAsia"/>
          <w:i/>
          <w:iCs/>
          <w:color w:val="auto"/>
          <w:sz w:val="24"/>
          <w:szCs w:val="22"/>
        </w:rPr>
        <w:t>S</w:t>
      </w:r>
      <w:r>
        <w:rPr>
          <w:rFonts w:hint="eastAsia"/>
          <w:i/>
          <w:iCs/>
          <w:color w:val="auto"/>
          <w:sz w:val="24"/>
          <w:szCs w:val="22"/>
          <w:vertAlign w:val="subscript"/>
        </w:rPr>
        <w:t>e</w:t>
      </w:r>
      <w:r>
        <w:rPr>
          <w:color w:val="auto"/>
          <w:sz w:val="24"/>
          <w:szCs w:val="22"/>
        </w:rPr>
        <w:t>=</w:t>
      </w:r>
      <w:r>
        <w:rPr>
          <w:rFonts w:hint="eastAsia"/>
          <w:color w:val="auto"/>
          <w:sz w:val="24"/>
          <w:szCs w:val="22"/>
        </w:rPr>
        <w:t>（</w:t>
      </w:r>
      <w:r>
        <w:rPr>
          <w:i/>
          <w:iCs/>
          <w:color w:val="auto"/>
          <w:sz w:val="24"/>
          <w:szCs w:val="22"/>
        </w:rPr>
        <w:t>θ-θ</w:t>
      </w:r>
      <w:r>
        <w:rPr>
          <w:rFonts w:hint="eastAsia"/>
          <w:i/>
          <w:iCs/>
          <w:color w:val="auto"/>
          <w:sz w:val="24"/>
          <w:szCs w:val="22"/>
          <w:vertAlign w:val="subscript"/>
        </w:rPr>
        <w:t>r</w:t>
      </w:r>
      <w:r>
        <w:rPr>
          <w:rFonts w:hint="eastAsia"/>
          <w:color w:val="auto"/>
          <w:sz w:val="24"/>
          <w:szCs w:val="22"/>
        </w:rPr>
        <w:t>）/（</w:t>
      </w:r>
      <w:r>
        <w:rPr>
          <w:i/>
          <w:iCs/>
          <w:color w:val="auto"/>
          <w:sz w:val="24"/>
          <w:szCs w:val="22"/>
        </w:rPr>
        <w:t>θ</w:t>
      </w:r>
      <w:r>
        <w:rPr>
          <w:rFonts w:hint="eastAsia"/>
          <w:i/>
          <w:iCs/>
          <w:color w:val="auto"/>
          <w:sz w:val="24"/>
          <w:szCs w:val="22"/>
          <w:vertAlign w:val="subscript"/>
        </w:rPr>
        <w:t>s</w:t>
      </w:r>
      <w:r>
        <w:rPr>
          <w:i/>
          <w:iCs/>
          <w:color w:val="auto"/>
          <w:sz w:val="24"/>
          <w:szCs w:val="22"/>
        </w:rPr>
        <w:t>-θ</w:t>
      </w:r>
      <w:r>
        <w:rPr>
          <w:rFonts w:hint="eastAsia"/>
          <w:i/>
          <w:iCs/>
          <w:color w:val="auto"/>
          <w:sz w:val="24"/>
          <w:szCs w:val="22"/>
          <w:vertAlign w:val="subscript"/>
        </w:rPr>
        <w:t>r</w:t>
      </w:r>
      <w:r>
        <w:rPr>
          <w:rFonts w:hint="eastAsia"/>
          <w:color w:val="auto"/>
          <w:sz w:val="24"/>
          <w:szCs w:val="22"/>
        </w:rPr>
        <w:t>），上标</w:t>
      </w:r>
      <w:r>
        <w:rPr>
          <w:i/>
          <w:iCs/>
          <w:color w:val="auto"/>
          <w:sz w:val="24"/>
          <w:szCs w:val="22"/>
        </w:rPr>
        <w:t>l</w:t>
      </w:r>
      <w:r>
        <w:rPr>
          <w:rFonts w:hint="eastAsia"/>
          <w:color w:val="auto"/>
          <w:sz w:val="24"/>
          <w:szCs w:val="22"/>
        </w:rPr>
        <w:t>为孔隙联通参数。</w:t>
      </w:r>
    </w:p>
    <w:p w14:paraId="1F29D59D">
      <w:pPr>
        <w:spacing w:line="500" w:lineRule="exact"/>
        <w:ind w:firstLine="480" w:firstLineChars="200"/>
        <w:rPr>
          <w:color w:val="auto"/>
          <w:sz w:val="24"/>
          <w:szCs w:val="22"/>
        </w:rPr>
      </w:pPr>
      <w:r>
        <w:rPr>
          <w:rFonts w:hint="eastAsia"/>
          <w:color w:val="auto"/>
          <w:sz w:val="24"/>
          <w:szCs w:val="22"/>
        </w:rPr>
        <w:t>（2）边界条件</w:t>
      </w:r>
    </w:p>
    <w:p w14:paraId="03BE9969">
      <w:pPr>
        <w:spacing w:line="500" w:lineRule="exact"/>
        <w:ind w:firstLine="480" w:firstLineChars="200"/>
        <w:rPr>
          <w:color w:val="auto"/>
          <w:sz w:val="24"/>
          <w:szCs w:val="22"/>
        </w:rPr>
      </w:pPr>
      <w:r>
        <w:rPr>
          <w:rFonts w:hint="eastAsia"/>
          <w:color w:val="auto"/>
          <w:sz w:val="24"/>
          <w:szCs w:val="22"/>
        </w:rPr>
        <w:t>①水流运动模型边界条件假设淋溶水在同一个点持续渗漏，上边界定为定通量边界；下边界为自由排泄边界。</w:t>
      </w:r>
    </w:p>
    <w:p w14:paraId="1511D3EF">
      <w:pPr>
        <w:spacing w:line="500" w:lineRule="exact"/>
        <w:ind w:firstLine="480" w:firstLineChars="200"/>
        <w:rPr>
          <w:color w:val="auto"/>
          <w:sz w:val="24"/>
          <w:szCs w:val="22"/>
        </w:rPr>
      </w:pPr>
      <w:r>
        <w:rPr>
          <w:rFonts w:hint="eastAsia"/>
          <w:color w:val="auto"/>
          <w:sz w:val="24"/>
          <w:szCs w:val="22"/>
        </w:rPr>
        <w:t>②溶质运移模型边界条件初始条件：</w:t>
      </w:r>
    </w:p>
    <w:p w14:paraId="457F5018">
      <w:pPr>
        <w:ind w:firstLine="480" w:firstLineChars="200"/>
        <w:jc w:val="center"/>
        <w:rPr>
          <w:color w:val="auto"/>
          <w:sz w:val="24"/>
          <w:szCs w:val="22"/>
        </w:rPr>
      </w:pPr>
      <w:r>
        <w:rPr>
          <w:color w:val="auto"/>
          <w:sz w:val="24"/>
          <w:szCs w:val="22"/>
        </w:rPr>
        <w:drawing>
          <wp:inline distT="0" distB="0" distL="0" distR="0">
            <wp:extent cx="2476500" cy="238125"/>
            <wp:effectExtent l="0" t="0" r="0" b="9525"/>
            <wp:docPr id="3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9"/>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a:xfrm>
                      <a:off x="0" y="0"/>
                      <a:ext cx="2476500" cy="238125"/>
                    </a:xfrm>
                    <a:prstGeom prst="rect">
                      <a:avLst/>
                    </a:prstGeom>
                    <a:noFill/>
                    <a:ln>
                      <a:noFill/>
                    </a:ln>
                  </pic:spPr>
                </pic:pic>
              </a:graphicData>
            </a:graphic>
          </wp:inline>
        </w:drawing>
      </w:r>
    </w:p>
    <w:p w14:paraId="337CFF36">
      <w:pPr>
        <w:spacing w:line="500" w:lineRule="exact"/>
        <w:ind w:firstLine="480" w:firstLineChars="200"/>
        <w:rPr>
          <w:color w:val="auto"/>
          <w:sz w:val="24"/>
          <w:szCs w:val="22"/>
        </w:rPr>
      </w:pPr>
      <w:r>
        <w:rPr>
          <w:rFonts w:hint="eastAsia"/>
          <w:color w:val="auto"/>
          <w:sz w:val="24"/>
          <w:szCs w:val="22"/>
        </w:rPr>
        <w:t>上边界条件：设定连续点源污染（污染物以定浓度c0连续注入）的情境下，地表为给定浓度的第一类Dirichlet边界条件。</w:t>
      </w:r>
    </w:p>
    <w:p w14:paraId="73D9E124">
      <w:pPr>
        <w:spacing w:line="500" w:lineRule="exact"/>
        <w:ind w:firstLine="480" w:firstLineChars="200"/>
        <w:jc w:val="center"/>
        <w:rPr>
          <w:color w:val="auto"/>
          <w:sz w:val="24"/>
          <w:szCs w:val="22"/>
        </w:rPr>
      </w:pPr>
      <w:r>
        <w:rPr>
          <w:color w:val="auto"/>
          <w:sz w:val="24"/>
          <w:szCs w:val="22"/>
        </w:rPr>
        <w:drawing>
          <wp:inline distT="0" distB="0" distL="0" distR="0">
            <wp:extent cx="2324100" cy="228600"/>
            <wp:effectExtent l="0" t="0" r="0" b="0"/>
            <wp:docPr id="17590790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79075" name="图片 8"/>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a:xfrm>
                      <a:off x="0" y="0"/>
                      <a:ext cx="2324100" cy="228600"/>
                    </a:xfrm>
                    <a:prstGeom prst="rect">
                      <a:avLst/>
                    </a:prstGeom>
                    <a:noFill/>
                    <a:ln>
                      <a:noFill/>
                    </a:ln>
                  </pic:spPr>
                </pic:pic>
              </a:graphicData>
            </a:graphic>
          </wp:inline>
        </w:drawing>
      </w:r>
    </w:p>
    <w:p w14:paraId="7F201E81">
      <w:pPr>
        <w:spacing w:line="500" w:lineRule="exact"/>
        <w:ind w:firstLine="480" w:firstLineChars="200"/>
        <w:rPr>
          <w:color w:val="auto"/>
          <w:sz w:val="24"/>
          <w:szCs w:val="22"/>
        </w:rPr>
      </w:pPr>
      <w:r>
        <w:rPr>
          <w:rFonts w:hint="eastAsia"/>
          <w:color w:val="auto"/>
          <w:sz w:val="24"/>
          <w:szCs w:val="22"/>
        </w:rPr>
        <w:t>下边界条件：由于模拟选择的下边界为潜水面，污染物质呈自由渗漏状态，边界内外的浓度相等，故而将其认为是不存在弥散通量的第二类Neumann零梯度边界。</w:t>
      </w:r>
    </w:p>
    <w:p w14:paraId="115467C5">
      <w:pPr>
        <w:ind w:firstLine="480" w:firstLineChars="200"/>
        <w:jc w:val="center"/>
        <w:rPr>
          <w:color w:val="auto"/>
          <w:sz w:val="24"/>
          <w:szCs w:val="22"/>
        </w:rPr>
      </w:pPr>
      <w:r>
        <w:rPr>
          <w:color w:val="auto"/>
          <w:sz w:val="24"/>
          <w:szCs w:val="22"/>
        </w:rPr>
        <w:drawing>
          <wp:inline distT="0" distB="0" distL="0" distR="0">
            <wp:extent cx="2190750" cy="438150"/>
            <wp:effectExtent l="0" t="0" r="0" b="0"/>
            <wp:docPr id="175907907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079076" name="图片 7"/>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a:xfrm>
                      <a:off x="0" y="0"/>
                      <a:ext cx="2190750" cy="438150"/>
                    </a:xfrm>
                    <a:prstGeom prst="rect">
                      <a:avLst/>
                    </a:prstGeom>
                    <a:noFill/>
                    <a:ln>
                      <a:noFill/>
                    </a:ln>
                  </pic:spPr>
                </pic:pic>
              </a:graphicData>
            </a:graphic>
          </wp:inline>
        </w:drawing>
      </w:r>
    </w:p>
    <w:bookmarkEnd w:id="157"/>
    <w:p w14:paraId="61D09285">
      <w:pPr>
        <w:spacing w:line="500" w:lineRule="exact"/>
        <w:ind w:firstLine="480" w:firstLineChars="200"/>
        <w:rPr>
          <w:color w:val="auto"/>
          <w:sz w:val="24"/>
          <w:szCs w:val="22"/>
        </w:rPr>
      </w:pPr>
      <w:r>
        <w:rPr>
          <w:rFonts w:hint="eastAsia"/>
          <w:color w:val="auto"/>
          <w:sz w:val="24"/>
          <w:szCs w:val="22"/>
        </w:rPr>
        <w:t>（3）模拟软件选取</w:t>
      </w:r>
    </w:p>
    <w:p w14:paraId="016EEB02">
      <w:pPr>
        <w:spacing w:line="500" w:lineRule="exact"/>
        <w:ind w:firstLine="480" w:firstLineChars="200"/>
        <w:rPr>
          <w:color w:val="auto"/>
          <w:sz w:val="24"/>
          <w:szCs w:val="22"/>
        </w:rPr>
      </w:pPr>
      <w:r>
        <w:rPr>
          <w:rFonts w:hint="eastAsia"/>
          <w:color w:val="auto"/>
          <w:sz w:val="24"/>
          <w:szCs w:val="22"/>
        </w:rPr>
        <w:t>在本次预测与评价中应用HYDRUS软件求解包气带中的水分与溶质迁移方程。HYDRUS是由美国国家盐改中心（US Salinity laboratory）于1991成功开发的一套用于模拟变饱和多孔介质中水分、能量、溶质运移的数值模型。经改进与完善，得到了广泛的认可与应用。能够较好地模拟水分、溶质与能量在土壤中的分布，时空变化，运移规律，分析人们普遍关注的农田灌溉、田间施肥、环境污染等实际问题。它也可以与其它地下水、地表水模型相结合，从宏观上分析水资源的转化规律。后经过众多学者的开发研究，HYDRUS的功能更加完善，已经非常成功的应用于世界各地地下饱和、非饱和带污染物运移研究。</w:t>
      </w:r>
    </w:p>
    <w:p w14:paraId="56E27BE3">
      <w:pPr>
        <w:pStyle w:val="59"/>
        <w:ind w:firstLine="480"/>
        <w:rPr>
          <w:color w:val="auto"/>
        </w:rPr>
      </w:pPr>
      <w:r>
        <w:rPr>
          <w:rFonts w:hint="eastAsia"/>
          <w:color w:val="auto"/>
        </w:rPr>
        <w:t>（4）参数选取</w:t>
      </w:r>
    </w:p>
    <w:p w14:paraId="77F31B17">
      <w:pPr>
        <w:pStyle w:val="59"/>
        <w:ind w:firstLine="480"/>
        <w:rPr>
          <w:color w:val="auto"/>
        </w:rPr>
      </w:pPr>
      <w:r>
        <w:rPr>
          <w:rFonts w:hint="eastAsia"/>
          <w:color w:val="auto"/>
        </w:rPr>
        <w:t>水力参数见下表。</w:t>
      </w:r>
    </w:p>
    <w:p w14:paraId="4B5F3C5C">
      <w:pPr>
        <w:pStyle w:val="76"/>
        <w:rPr>
          <w:color w:val="auto"/>
        </w:rPr>
      </w:pPr>
      <w:r>
        <w:rPr>
          <w:rFonts w:hint="eastAsia"/>
          <w:color w:val="auto"/>
        </w:rPr>
        <w:t>表5-2-1</w:t>
      </w:r>
      <w:r>
        <w:rPr>
          <w:color w:val="auto"/>
        </w:rPr>
        <w:t>5</w:t>
      </w:r>
      <w:r>
        <w:rPr>
          <w:rFonts w:hint="eastAsia"/>
          <w:color w:val="auto"/>
        </w:rPr>
        <w:t>水力参数一览表</w:t>
      </w:r>
    </w:p>
    <w:tbl>
      <w:tblPr>
        <w:tblStyle w:val="46"/>
        <w:tblW w:w="0" w:type="auto"/>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1111"/>
        <w:gridCol w:w="902"/>
        <w:gridCol w:w="1266"/>
        <w:gridCol w:w="1266"/>
        <w:gridCol w:w="1100"/>
        <w:gridCol w:w="1266"/>
        <w:gridCol w:w="1395"/>
      </w:tblGrid>
      <w:tr w14:paraId="29E1E484">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1197" w:hRule="atLeast"/>
          <w:jc w:val="center"/>
        </w:trPr>
        <w:tc>
          <w:tcPr>
            <w:tcW w:w="1123" w:type="dxa"/>
            <w:vAlign w:val="center"/>
          </w:tcPr>
          <w:p w14:paraId="57056E19">
            <w:pPr>
              <w:jc w:val="center"/>
              <w:rPr>
                <w:color w:val="auto"/>
                <w:kern w:val="0"/>
                <w:szCs w:val="21"/>
              </w:rPr>
            </w:pPr>
            <w:r>
              <w:rPr>
                <w:rFonts w:hint="eastAsia"/>
                <w:color w:val="auto"/>
                <w:kern w:val="0"/>
                <w:szCs w:val="21"/>
              </w:rPr>
              <w:t>土壤层次（cm）</w:t>
            </w:r>
          </w:p>
        </w:tc>
        <w:tc>
          <w:tcPr>
            <w:tcW w:w="929" w:type="dxa"/>
            <w:vAlign w:val="center"/>
          </w:tcPr>
          <w:p w14:paraId="28CD5927">
            <w:pPr>
              <w:jc w:val="center"/>
              <w:rPr>
                <w:color w:val="auto"/>
                <w:kern w:val="0"/>
                <w:szCs w:val="21"/>
              </w:rPr>
            </w:pPr>
            <w:r>
              <w:rPr>
                <w:rFonts w:hint="eastAsia"/>
                <w:color w:val="auto"/>
                <w:kern w:val="0"/>
                <w:szCs w:val="21"/>
              </w:rPr>
              <w:t>土壤类型</w:t>
            </w:r>
          </w:p>
        </w:tc>
        <w:tc>
          <w:tcPr>
            <w:tcW w:w="1285" w:type="dxa"/>
            <w:vAlign w:val="center"/>
          </w:tcPr>
          <w:p w14:paraId="5A9ABE44">
            <w:pPr>
              <w:jc w:val="center"/>
              <w:rPr>
                <w:color w:val="auto"/>
                <w:kern w:val="0"/>
                <w:szCs w:val="21"/>
              </w:rPr>
            </w:pPr>
            <w:r>
              <w:rPr>
                <w:rFonts w:hint="eastAsia"/>
                <w:color w:val="auto"/>
                <w:kern w:val="0"/>
                <w:szCs w:val="21"/>
              </w:rPr>
              <w:t>土壤残余含水率cm</w:t>
            </w:r>
            <w:r>
              <w:rPr>
                <w:rFonts w:hint="eastAsia"/>
                <w:color w:val="auto"/>
                <w:kern w:val="0"/>
                <w:szCs w:val="21"/>
                <w:vertAlign w:val="superscript"/>
              </w:rPr>
              <w:t>3</w:t>
            </w:r>
            <w:r>
              <w:rPr>
                <w:rFonts w:hint="eastAsia"/>
                <w:color w:val="auto"/>
                <w:kern w:val="0"/>
                <w:szCs w:val="21"/>
              </w:rPr>
              <w:t>/cm</w:t>
            </w:r>
            <w:r>
              <w:rPr>
                <w:rFonts w:hint="eastAsia"/>
                <w:color w:val="auto"/>
                <w:kern w:val="0"/>
                <w:szCs w:val="21"/>
                <w:vertAlign w:val="superscript"/>
              </w:rPr>
              <w:t>3</w:t>
            </w:r>
          </w:p>
        </w:tc>
        <w:tc>
          <w:tcPr>
            <w:tcW w:w="1285" w:type="dxa"/>
            <w:vAlign w:val="center"/>
          </w:tcPr>
          <w:p w14:paraId="550EF9C1">
            <w:pPr>
              <w:jc w:val="center"/>
              <w:rPr>
                <w:color w:val="auto"/>
                <w:kern w:val="0"/>
                <w:szCs w:val="21"/>
              </w:rPr>
            </w:pPr>
            <w:r>
              <w:rPr>
                <w:rFonts w:hint="eastAsia"/>
                <w:color w:val="auto"/>
                <w:kern w:val="0"/>
                <w:szCs w:val="21"/>
              </w:rPr>
              <w:t>饱和土壤含水率cm</w:t>
            </w:r>
            <w:r>
              <w:rPr>
                <w:rFonts w:hint="eastAsia"/>
                <w:color w:val="auto"/>
                <w:kern w:val="0"/>
                <w:szCs w:val="21"/>
                <w:vertAlign w:val="superscript"/>
              </w:rPr>
              <w:t>3</w:t>
            </w:r>
            <w:r>
              <w:rPr>
                <w:rFonts w:hint="eastAsia"/>
                <w:color w:val="auto"/>
                <w:kern w:val="0"/>
                <w:szCs w:val="21"/>
              </w:rPr>
              <w:t>/cm</w:t>
            </w:r>
            <w:r>
              <w:rPr>
                <w:rFonts w:hint="eastAsia"/>
                <w:color w:val="auto"/>
                <w:kern w:val="0"/>
                <w:szCs w:val="21"/>
                <w:vertAlign w:val="superscript"/>
              </w:rPr>
              <w:t>3</w:t>
            </w:r>
          </w:p>
        </w:tc>
        <w:tc>
          <w:tcPr>
            <w:tcW w:w="1126" w:type="dxa"/>
            <w:vAlign w:val="center"/>
          </w:tcPr>
          <w:p w14:paraId="5F8ABE9B">
            <w:pPr>
              <w:jc w:val="center"/>
              <w:rPr>
                <w:color w:val="auto"/>
                <w:kern w:val="0"/>
                <w:szCs w:val="21"/>
              </w:rPr>
            </w:pPr>
            <w:r>
              <w:rPr>
                <w:rFonts w:hint="eastAsia"/>
                <w:color w:val="auto"/>
                <w:kern w:val="0"/>
                <w:szCs w:val="21"/>
              </w:rPr>
              <w:t>土壤水分保持参数1/cm</w:t>
            </w:r>
          </w:p>
        </w:tc>
        <w:tc>
          <w:tcPr>
            <w:tcW w:w="1285" w:type="dxa"/>
            <w:vAlign w:val="center"/>
          </w:tcPr>
          <w:p w14:paraId="5291C17C">
            <w:pPr>
              <w:jc w:val="center"/>
              <w:rPr>
                <w:color w:val="auto"/>
                <w:kern w:val="0"/>
                <w:szCs w:val="21"/>
              </w:rPr>
            </w:pPr>
            <w:r>
              <w:rPr>
                <w:rFonts w:hint="eastAsia"/>
                <w:color w:val="auto"/>
                <w:kern w:val="0"/>
                <w:szCs w:val="21"/>
              </w:rPr>
              <w:t>饱和导水率cm/days</w:t>
            </w:r>
          </w:p>
        </w:tc>
        <w:tc>
          <w:tcPr>
            <w:tcW w:w="1446" w:type="dxa"/>
            <w:vAlign w:val="center"/>
          </w:tcPr>
          <w:p w14:paraId="279A61FA">
            <w:pPr>
              <w:jc w:val="center"/>
              <w:rPr>
                <w:color w:val="auto"/>
                <w:kern w:val="0"/>
                <w:szCs w:val="21"/>
              </w:rPr>
            </w:pPr>
            <w:r>
              <w:rPr>
                <w:rFonts w:hint="eastAsia"/>
                <w:bCs/>
                <w:color w:val="auto"/>
                <w:kern w:val="0"/>
                <w:szCs w:val="21"/>
              </w:rPr>
              <w:t>电导率函数中的弯曲参数</w:t>
            </w:r>
          </w:p>
        </w:tc>
      </w:tr>
      <w:tr w14:paraId="0C2DA04A">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299" w:hRule="atLeast"/>
          <w:jc w:val="center"/>
        </w:trPr>
        <w:tc>
          <w:tcPr>
            <w:tcW w:w="1123" w:type="dxa"/>
            <w:vAlign w:val="center"/>
          </w:tcPr>
          <w:p w14:paraId="5C31507F">
            <w:pPr>
              <w:jc w:val="center"/>
              <w:rPr>
                <w:color w:val="auto"/>
                <w:kern w:val="0"/>
                <w:szCs w:val="21"/>
              </w:rPr>
            </w:pPr>
            <w:r>
              <w:rPr>
                <w:rFonts w:hint="eastAsia"/>
                <w:color w:val="auto"/>
                <w:kern w:val="0"/>
                <w:szCs w:val="21"/>
              </w:rPr>
              <w:t>0-100</w:t>
            </w:r>
          </w:p>
        </w:tc>
        <w:tc>
          <w:tcPr>
            <w:tcW w:w="929" w:type="dxa"/>
            <w:vAlign w:val="center"/>
          </w:tcPr>
          <w:p w14:paraId="21B17C41">
            <w:pPr>
              <w:jc w:val="center"/>
              <w:rPr>
                <w:color w:val="auto"/>
                <w:kern w:val="0"/>
                <w:szCs w:val="21"/>
              </w:rPr>
            </w:pPr>
            <w:r>
              <w:rPr>
                <w:rFonts w:hint="eastAsia"/>
                <w:color w:val="auto"/>
                <w:kern w:val="0"/>
                <w:szCs w:val="21"/>
              </w:rPr>
              <w:t>壤土</w:t>
            </w:r>
          </w:p>
        </w:tc>
        <w:tc>
          <w:tcPr>
            <w:tcW w:w="1285" w:type="dxa"/>
            <w:vAlign w:val="center"/>
          </w:tcPr>
          <w:p w14:paraId="0148BADB">
            <w:pPr>
              <w:jc w:val="center"/>
              <w:rPr>
                <w:color w:val="auto"/>
                <w:kern w:val="0"/>
                <w:szCs w:val="21"/>
              </w:rPr>
            </w:pPr>
            <w:r>
              <w:rPr>
                <w:rFonts w:hint="eastAsia"/>
                <w:color w:val="auto"/>
                <w:kern w:val="0"/>
                <w:szCs w:val="21"/>
              </w:rPr>
              <w:t>0.078</w:t>
            </w:r>
          </w:p>
        </w:tc>
        <w:tc>
          <w:tcPr>
            <w:tcW w:w="1285" w:type="dxa"/>
            <w:vAlign w:val="center"/>
          </w:tcPr>
          <w:p w14:paraId="279D8703">
            <w:pPr>
              <w:jc w:val="center"/>
              <w:rPr>
                <w:color w:val="auto"/>
                <w:kern w:val="0"/>
                <w:szCs w:val="21"/>
              </w:rPr>
            </w:pPr>
            <w:r>
              <w:rPr>
                <w:rFonts w:hint="eastAsia"/>
                <w:color w:val="auto"/>
                <w:kern w:val="0"/>
                <w:szCs w:val="21"/>
              </w:rPr>
              <w:t>0.43</w:t>
            </w:r>
          </w:p>
        </w:tc>
        <w:tc>
          <w:tcPr>
            <w:tcW w:w="1126" w:type="dxa"/>
            <w:vAlign w:val="center"/>
          </w:tcPr>
          <w:p w14:paraId="6B737594">
            <w:pPr>
              <w:jc w:val="center"/>
              <w:rPr>
                <w:color w:val="auto"/>
                <w:kern w:val="0"/>
                <w:szCs w:val="21"/>
              </w:rPr>
            </w:pPr>
            <w:r>
              <w:rPr>
                <w:rFonts w:hint="eastAsia"/>
                <w:color w:val="auto"/>
                <w:kern w:val="0"/>
                <w:szCs w:val="21"/>
              </w:rPr>
              <w:t>1.56</w:t>
            </w:r>
          </w:p>
        </w:tc>
        <w:tc>
          <w:tcPr>
            <w:tcW w:w="1285" w:type="dxa"/>
            <w:vAlign w:val="center"/>
          </w:tcPr>
          <w:p w14:paraId="39261B70">
            <w:pPr>
              <w:jc w:val="center"/>
              <w:rPr>
                <w:color w:val="auto"/>
                <w:kern w:val="0"/>
                <w:szCs w:val="21"/>
              </w:rPr>
            </w:pPr>
            <w:r>
              <w:rPr>
                <w:rFonts w:hint="eastAsia"/>
                <w:color w:val="auto"/>
                <w:kern w:val="0"/>
                <w:szCs w:val="21"/>
              </w:rPr>
              <w:t>24.96</w:t>
            </w:r>
          </w:p>
        </w:tc>
        <w:tc>
          <w:tcPr>
            <w:tcW w:w="1446" w:type="dxa"/>
            <w:vAlign w:val="center"/>
          </w:tcPr>
          <w:p w14:paraId="18126904">
            <w:pPr>
              <w:jc w:val="center"/>
              <w:rPr>
                <w:color w:val="auto"/>
                <w:kern w:val="0"/>
                <w:szCs w:val="21"/>
              </w:rPr>
            </w:pPr>
            <w:r>
              <w:rPr>
                <w:rFonts w:hint="eastAsia"/>
                <w:color w:val="auto"/>
                <w:kern w:val="0"/>
                <w:szCs w:val="21"/>
              </w:rPr>
              <w:t>0.5</w:t>
            </w:r>
          </w:p>
        </w:tc>
      </w:tr>
    </w:tbl>
    <w:p w14:paraId="616C2D5A">
      <w:pPr>
        <w:pStyle w:val="59"/>
        <w:ind w:firstLine="480"/>
        <w:rPr>
          <w:color w:val="auto"/>
        </w:rPr>
      </w:pPr>
      <w:r>
        <w:rPr>
          <w:rFonts w:hint="eastAsia"/>
          <w:color w:val="auto"/>
        </w:rPr>
        <w:t>溶质运移参数见下表。</w:t>
      </w:r>
    </w:p>
    <w:p w14:paraId="6A48123F">
      <w:pPr>
        <w:pStyle w:val="76"/>
        <w:rPr>
          <w:color w:val="auto"/>
        </w:rPr>
      </w:pPr>
      <w:r>
        <w:rPr>
          <w:rFonts w:hint="eastAsia"/>
          <w:color w:val="auto"/>
        </w:rPr>
        <w:t>表5-2-1</w:t>
      </w:r>
      <w:r>
        <w:rPr>
          <w:color w:val="auto"/>
        </w:rPr>
        <w:t>6</w:t>
      </w:r>
      <w:r>
        <w:rPr>
          <w:rFonts w:hint="eastAsia"/>
          <w:color w:val="auto"/>
        </w:rPr>
        <w:t>溶质运移相关一览表</w:t>
      </w:r>
    </w:p>
    <w:tbl>
      <w:tblPr>
        <w:tblStyle w:val="46"/>
        <w:tblW w:w="8463" w:type="dxa"/>
        <w:jc w:val="center"/>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Layout w:type="autofit"/>
        <w:tblCellMar>
          <w:top w:w="0" w:type="dxa"/>
          <w:left w:w="108" w:type="dxa"/>
          <w:bottom w:w="0" w:type="dxa"/>
          <w:right w:w="108" w:type="dxa"/>
        </w:tblCellMar>
      </w:tblPr>
      <w:tblGrid>
        <w:gridCol w:w="991"/>
        <w:gridCol w:w="722"/>
        <w:gridCol w:w="813"/>
        <w:gridCol w:w="900"/>
        <w:gridCol w:w="764"/>
        <w:gridCol w:w="795"/>
        <w:gridCol w:w="966"/>
        <w:gridCol w:w="1256"/>
        <w:gridCol w:w="1256"/>
      </w:tblGrid>
      <w:tr w14:paraId="00239BF6">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898" w:hRule="atLeast"/>
          <w:jc w:val="center"/>
        </w:trPr>
        <w:tc>
          <w:tcPr>
            <w:tcW w:w="991" w:type="dxa"/>
            <w:vAlign w:val="center"/>
          </w:tcPr>
          <w:p w14:paraId="7E80F42F">
            <w:pPr>
              <w:jc w:val="center"/>
              <w:rPr>
                <w:color w:val="auto"/>
                <w:kern w:val="0"/>
                <w:szCs w:val="21"/>
              </w:rPr>
            </w:pPr>
            <w:r>
              <w:rPr>
                <w:rFonts w:hint="eastAsia"/>
                <w:color w:val="auto"/>
                <w:kern w:val="0"/>
                <w:szCs w:val="21"/>
              </w:rPr>
              <w:t>土壤层次（cm）</w:t>
            </w:r>
          </w:p>
        </w:tc>
        <w:tc>
          <w:tcPr>
            <w:tcW w:w="722" w:type="dxa"/>
            <w:vAlign w:val="center"/>
          </w:tcPr>
          <w:p w14:paraId="0798A638">
            <w:pPr>
              <w:jc w:val="center"/>
              <w:rPr>
                <w:color w:val="auto"/>
                <w:kern w:val="0"/>
                <w:szCs w:val="21"/>
              </w:rPr>
            </w:pPr>
            <w:r>
              <w:rPr>
                <w:rFonts w:hint="eastAsia"/>
                <w:color w:val="auto"/>
                <w:kern w:val="0"/>
                <w:szCs w:val="21"/>
              </w:rPr>
              <w:t>土壤类型</w:t>
            </w:r>
          </w:p>
        </w:tc>
        <w:tc>
          <w:tcPr>
            <w:tcW w:w="813" w:type="dxa"/>
            <w:vAlign w:val="center"/>
          </w:tcPr>
          <w:p w14:paraId="0091B687">
            <w:pPr>
              <w:jc w:val="center"/>
              <w:rPr>
                <w:color w:val="auto"/>
                <w:kern w:val="0"/>
                <w:szCs w:val="21"/>
              </w:rPr>
            </w:pPr>
            <w:r>
              <w:rPr>
                <w:rFonts w:hint="eastAsia"/>
                <w:color w:val="auto"/>
                <w:kern w:val="0"/>
                <w:szCs w:val="21"/>
              </w:rPr>
              <w:t>污染物浓度mg/L</w:t>
            </w:r>
          </w:p>
        </w:tc>
        <w:tc>
          <w:tcPr>
            <w:tcW w:w="900" w:type="dxa"/>
            <w:vAlign w:val="center"/>
          </w:tcPr>
          <w:p w14:paraId="3F18AFE6">
            <w:pPr>
              <w:jc w:val="center"/>
              <w:rPr>
                <w:color w:val="auto"/>
                <w:kern w:val="0"/>
                <w:szCs w:val="21"/>
              </w:rPr>
            </w:pPr>
            <w:r>
              <w:rPr>
                <w:rFonts w:hint="eastAsia"/>
                <w:color w:val="auto"/>
                <w:kern w:val="0"/>
                <w:szCs w:val="21"/>
              </w:rPr>
              <w:t>土壤密度g/cm</w:t>
            </w:r>
            <w:r>
              <w:rPr>
                <w:rFonts w:hint="eastAsia"/>
                <w:color w:val="auto"/>
                <w:kern w:val="0"/>
                <w:szCs w:val="21"/>
                <w:vertAlign w:val="superscript"/>
              </w:rPr>
              <w:t>3</w:t>
            </w:r>
          </w:p>
        </w:tc>
        <w:tc>
          <w:tcPr>
            <w:tcW w:w="764" w:type="dxa"/>
            <w:vAlign w:val="center"/>
          </w:tcPr>
          <w:p w14:paraId="3B7E9BE9">
            <w:pPr>
              <w:jc w:val="center"/>
              <w:rPr>
                <w:color w:val="auto"/>
                <w:kern w:val="0"/>
                <w:szCs w:val="21"/>
              </w:rPr>
            </w:pPr>
            <w:r>
              <w:rPr>
                <w:rFonts w:hint="eastAsia"/>
                <w:color w:val="auto"/>
                <w:kern w:val="0"/>
                <w:szCs w:val="21"/>
              </w:rPr>
              <w:t>纵向弥散系数cm</w:t>
            </w:r>
          </w:p>
        </w:tc>
        <w:tc>
          <w:tcPr>
            <w:tcW w:w="795" w:type="dxa"/>
            <w:vAlign w:val="center"/>
          </w:tcPr>
          <w:p w14:paraId="76C21117">
            <w:pPr>
              <w:jc w:val="center"/>
              <w:rPr>
                <w:color w:val="auto"/>
                <w:kern w:val="0"/>
                <w:szCs w:val="21"/>
              </w:rPr>
            </w:pPr>
            <w:r>
              <w:rPr>
                <w:rFonts w:hint="eastAsia"/>
                <w:color w:val="auto"/>
                <w:kern w:val="0"/>
                <w:szCs w:val="21"/>
              </w:rPr>
              <w:t>扩散系数cm</w:t>
            </w:r>
            <w:r>
              <w:rPr>
                <w:rFonts w:hint="eastAsia"/>
                <w:color w:val="auto"/>
                <w:kern w:val="0"/>
                <w:szCs w:val="21"/>
                <w:vertAlign w:val="superscript"/>
              </w:rPr>
              <w:t>2</w:t>
            </w:r>
            <w:r>
              <w:rPr>
                <w:rFonts w:hint="eastAsia"/>
                <w:color w:val="auto"/>
                <w:kern w:val="0"/>
                <w:szCs w:val="21"/>
              </w:rPr>
              <w:t>/d</w:t>
            </w:r>
          </w:p>
        </w:tc>
        <w:tc>
          <w:tcPr>
            <w:tcW w:w="966" w:type="dxa"/>
            <w:vAlign w:val="center"/>
          </w:tcPr>
          <w:p w14:paraId="24205B20">
            <w:pPr>
              <w:jc w:val="center"/>
              <w:rPr>
                <w:color w:val="auto"/>
                <w:kern w:val="0"/>
                <w:szCs w:val="21"/>
              </w:rPr>
            </w:pPr>
            <w:r>
              <w:rPr>
                <w:rFonts w:hint="eastAsia"/>
                <w:color w:val="auto"/>
                <w:kern w:val="0"/>
                <w:szCs w:val="21"/>
              </w:rPr>
              <w:t>Kd</w:t>
            </w:r>
          </w:p>
          <w:p w14:paraId="099225C8">
            <w:pPr>
              <w:jc w:val="center"/>
              <w:rPr>
                <w:color w:val="auto"/>
                <w:kern w:val="0"/>
                <w:szCs w:val="21"/>
              </w:rPr>
            </w:pPr>
            <w:r>
              <w:rPr>
                <w:rFonts w:hint="eastAsia"/>
                <w:color w:val="auto"/>
                <w:kern w:val="0"/>
                <w:szCs w:val="21"/>
              </w:rPr>
              <w:t>m</w:t>
            </w:r>
            <w:r>
              <w:rPr>
                <w:rFonts w:hint="eastAsia"/>
                <w:color w:val="auto"/>
                <w:kern w:val="0"/>
                <w:szCs w:val="21"/>
                <w:vertAlign w:val="superscript"/>
              </w:rPr>
              <w:t>3</w:t>
            </w:r>
            <w:r>
              <w:rPr>
                <w:rFonts w:hint="eastAsia"/>
                <w:color w:val="auto"/>
                <w:kern w:val="0"/>
                <w:szCs w:val="21"/>
              </w:rPr>
              <w:t>/g</w:t>
            </w:r>
          </w:p>
        </w:tc>
        <w:tc>
          <w:tcPr>
            <w:tcW w:w="1256" w:type="dxa"/>
            <w:vAlign w:val="center"/>
          </w:tcPr>
          <w:p w14:paraId="39BFB6F0">
            <w:pPr>
              <w:jc w:val="center"/>
              <w:rPr>
                <w:color w:val="auto"/>
                <w:kern w:val="0"/>
                <w:szCs w:val="21"/>
              </w:rPr>
            </w:pPr>
            <w:r>
              <w:rPr>
                <w:rFonts w:hint="eastAsia"/>
                <w:color w:val="auto"/>
                <w:kern w:val="0"/>
                <w:szCs w:val="21"/>
              </w:rPr>
              <w:t>在空气中的扩散系数(cm</w:t>
            </w:r>
            <w:r>
              <w:rPr>
                <w:rFonts w:hint="eastAsia"/>
                <w:color w:val="auto"/>
                <w:kern w:val="0"/>
                <w:szCs w:val="21"/>
                <w:vertAlign w:val="superscript"/>
              </w:rPr>
              <w:t>2</w:t>
            </w:r>
            <w:r>
              <w:rPr>
                <w:rFonts w:hint="eastAsia"/>
                <w:color w:val="auto"/>
                <w:kern w:val="0"/>
                <w:szCs w:val="21"/>
              </w:rPr>
              <w:t>/days)</w:t>
            </w:r>
          </w:p>
        </w:tc>
        <w:tc>
          <w:tcPr>
            <w:tcW w:w="1256" w:type="dxa"/>
            <w:vAlign w:val="center"/>
          </w:tcPr>
          <w:p w14:paraId="53C5C90F">
            <w:pPr>
              <w:jc w:val="center"/>
              <w:rPr>
                <w:color w:val="auto"/>
                <w:kern w:val="0"/>
                <w:szCs w:val="21"/>
              </w:rPr>
            </w:pPr>
            <w:r>
              <w:rPr>
                <w:rFonts w:hint="eastAsia"/>
                <w:color w:val="auto"/>
                <w:kern w:val="0"/>
                <w:szCs w:val="21"/>
              </w:rPr>
              <w:t>在水中的扩散系数(cm</w:t>
            </w:r>
            <w:r>
              <w:rPr>
                <w:rFonts w:hint="eastAsia"/>
                <w:color w:val="auto"/>
                <w:kern w:val="0"/>
                <w:szCs w:val="21"/>
                <w:vertAlign w:val="superscript"/>
              </w:rPr>
              <w:t>2</w:t>
            </w:r>
            <w:r>
              <w:rPr>
                <w:rFonts w:hint="eastAsia"/>
                <w:color w:val="auto"/>
                <w:kern w:val="0"/>
                <w:szCs w:val="21"/>
              </w:rPr>
              <w:t>/days)</w:t>
            </w:r>
          </w:p>
        </w:tc>
      </w:tr>
      <w:tr w14:paraId="22F8B00E">
        <w:tblPrEx>
          <w:tblBorders>
            <w:top w:val="single" w:color="auto" w:sz="12" w:space="0"/>
            <w:left w:val="none" w:color="auto" w:sz="0" w:space="0"/>
            <w:bottom w:val="single" w:color="auto" w:sz="12" w:space="0"/>
            <w:right w:val="none" w:color="auto" w:sz="0" w:space="0"/>
            <w:insideH w:val="single" w:color="auto" w:sz="2" w:space="0"/>
            <w:insideV w:val="single" w:color="auto" w:sz="2" w:space="0"/>
          </w:tblBorders>
          <w:tblCellMar>
            <w:top w:w="0" w:type="dxa"/>
            <w:left w:w="108" w:type="dxa"/>
            <w:bottom w:w="0" w:type="dxa"/>
            <w:right w:w="108" w:type="dxa"/>
          </w:tblCellMar>
        </w:tblPrEx>
        <w:trPr>
          <w:trHeight w:val="631" w:hRule="atLeast"/>
          <w:jc w:val="center"/>
        </w:trPr>
        <w:tc>
          <w:tcPr>
            <w:tcW w:w="991" w:type="dxa"/>
            <w:vAlign w:val="center"/>
          </w:tcPr>
          <w:p w14:paraId="5A4A1468">
            <w:pPr>
              <w:jc w:val="center"/>
              <w:rPr>
                <w:color w:val="auto"/>
                <w:kern w:val="0"/>
                <w:szCs w:val="21"/>
              </w:rPr>
            </w:pPr>
            <w:r>
              <w:rPr>
                <w:rFonts w:hint="eastAsia"/>
                <w:color w:val="auto"/>
                <w:kern w:val="0"/>
                <w:szCs w:val="21"/>
              </w:rPr>
              <w:t>0-100</w:t>
            </w:r>
          </w:p>
        </w:tc>
        <w:tc>
          <w:tcPr>
            <w:tcW w:w="722" w:type="dxa"/>
            <w:vAlign w:val="center"/>
          </w:tcPr>
          <w:p w14:paraId="77186EF9">
            <w:pPr>
              <w:jc w:val="center"/>
              <w:rPr>
                <w:color w:val="auto"/>
                <w:kern w:val="0"/>
                <w:szCs w:val="21"/>
              </w:rPr>
            </w:pPr>
            <w:r>
              <w:rPr>
                <w:rFonts w:hint="eastAsia"/>
                <w:color w:val="auto"/>
                <w:kern w:val="0"/>
                <w:szCs w:val="21"/>
              </w:rPr>
              <w:t>壤土</w:t>
            </w:r>
          </w:p>
        </w:tc>
        <w:tc>
          <w:tcPr>
            <w:tcW w:w="813" w:type="dxa"/>
            <w:vAlign w:val="center"/>
          </w:tcPr>
          <w:p w14:paraId="222A531C">
            <w:pPr>
              <w:jc w:val="center"/>
              <w:rPr>
                <w:rFonts w:hint="eastAsia" w:eastAsia="宋体"/>
                <w:color w:val="auto"/>
                <w:kern w:val="0"/>
                <w:szCs w:val="21"/>
                <w:lang w:eastAsia="zh-CN"/>
              </w:rPr>
            </w:pPr>
            <w:r>
              <w:rPr>
                <w:rFonts w:hint="eastAsia"/>
                <w:color w:val="auto"/>
                <w:kern w:val="0"/>
                <w:szCs w:val="21"/>
              </w:rPr>
              <w:t>0.</w:t>
            </w:r>
            <w:r>
              <w:rPr>
                <w:rFonts w:hint="eastAsia"/>
                <w:color w:val="auto"/>
                <w:kern w:val="0"/>
                <w:szCs w:val="21"/>
                <w:lang w:val="en-US" w:eastAsia="zh-CN"/>
              </w:rPr>
              <w:t>2</w:t>
            </w:r>
          </w:p>
        </w:tc>
        <w:tc>
          <w:tcPr>
            <w:tcW w:w="900" w:type="dxa"/>
            <w:vAlign w:val="center"/>
          </w:tcPr>
          <w:p w14:paraId="0CECC307">
            <w:pPr>
              <w:jc w:val="center"/>
              <w:rPr>
                <w:color w:val="auto"/>
                <w:kern w:val="0"/>
                <w:szCs w:val="21"/>
              </w:rPr>
            </w:pPr>
            <w:r>
              <w:rPr>
                <w:color w:val="auto"/>
                <w:kern w:val="0"/>
                <w:szCs w:val="21"/>
              </w:rPr>
              <w:t>1.3</w:t>
            </w:r>
          </w:p>
        </w:tc>
        <w:tc>
          <w:tcPr>
            <w:tcW w:w="764" w:type="dxa"/>
            <w:vAlign w:val="center"/>
          </w:tcPr>
          <w:p w14:paraId="685FE268">
            <w:pPr>
              <w:jc w:val="center"/>
              <w:rPr>
                <w:color w:val="auto"/>
                <w:kern w:val="0"/>
                <w:szCs w:val="21"/>
              </w:rPr>
            </w:pPr>
            <w:r>
              <w:rPr>
                <w:rFonts w:hint="eastAsia"/>
                <w:color w:val="auto"/>
                <w:kern w:val="0"/>
                <w:szCs w:val="21"/>
              </w:rPr>
              <w:t>10</w:t>
            </w:r>
          </w:p>
        </w:tc>
        <w:tc>
          <w:tcPr>
            <w:tcW w:w="795" w:type="dxa"/>
            <w:vAlign w:val="center"/>
          </w:tcPr>
          <w:p w14:paraId="1EC6339F">
            <w:pPr>
              <w:jc w:val="center"/>
              <w:rPr>
                <w:color w:val="auto"/>
                <w:kern w:val="0"/>
                <w:szCs w:val="21"/>
              </w:rPr>
            </w:pPr>
            <w:r>
              <w:rPr>
                <w:rFonts w:hint="eastAsia"/>
                <w:color w:val="auto"/>
                <w:kern w:val="0"/>
                <w:szCs w:val="21"/>
              </w:rPr>
              <w:t>11.52</w:t>
            </w:r>
          </w:p>
        </w:tc>
        <w:tc>
          <w:tcPr>
            <w:tcW w:w="966" w:type="dxa"/>
            <w:vAlign w:val="center"/>
          </w:tcPr>
          <w:p w14:paraId="2EB767CB">
            <w:pPr>
              <w:jc w:val="center"/>
              <w:rPr>
                <w:color w:val="auto"/>
                <w:kern w:val="0"/>
                <w:szCs w:val="21"/>
              </w:rPr>
            </w:pPr>
            <w:r>
              <w:rPr>
                <w:rFonts w:hint="eastAsia"/>
                <w:color w:val="auto"/>
                <w:kern w:val="0"/>
                <w:szCs w:val="21"/>
              </w:rPr>
              <w:t>0</w:t>
            </w:r>
          </w:p>
        </w:tc>
        <w:tc>
          <w:tcPr>
            <w:tcW w:w="1256" w:type="dxa"/>
            <w:vAlign w:val="center"/>
          </w:tcPr>
          <w:p w14:paraId="2F07526E">
            <w:pPr>
              <w:jc w:val="center"/>
              <w:rPr>
                <w:color w:val="auto"/>
                <w:kern w:val="0"/>
                <w:szCs w:val="21"/>
              </w:rPr>
            </w:pPr>
            <w:r>
              <w:rPr>
                <w:rFonts w:hint="eastAsia"/>
                <w:color w:val="auto"/>
                <w:kern w:val="0"/>
                <w:szCs w:val="21"/>
              </w:rPr>
              <w:t>0</w:t>
            </w:r>
          </w:p>
        </w:tc>
        <w:tc>
          <w:tcPr>
            <w:tcW w:w="1256" w:type="dxa"/>
            <w:vAlign w:val="center"/>
          </w:tcPr>
          <w:p w14:paraId="3B5672E5">
            <w:pPr>
              <w:jc w:val="center"/>
              <w:rPr>
                <w:color w:val="auto"/>
                <w:kern w:val="0"/>
                <w:szCs w:val="21"/>
              </w:rPr>
            </w:pPr>
            <w:r>
              <w:rPr>
                <w:rFonts w:hint="eastAsia"/>
                <w:color w:val="auto"/>
                <w:kern w:val="0"/>
                <w:szCs w:val="21"/>
              </w:rPr>
              <w:t>0</w:t>
            </w:r>
          </w:p>
        </w:tc>
      </w:tr>
    </w:tbl>
    <w:p w14:paraId="6F0B1B4A">
      <w:pPr>
        <w:spacing w:line="360" w:lineRule="auto"/>
        <w:ind w:firstLine="480" w:firstLineChars="200"/>
        <w:rPr>
          <w:color w:val="auto"/>
          <w:sz w:val="24"/>
        </w:rPr>
      </w:pPr>
      <w:r>
        <w:rPr>
          <w:color w:val="auto"/>
          <w:sz w:val="24"/>
        </w:rPr>
        <w:t>4</w:t>
      </w:r>
      <w:r>
        <w:rPr>
          <w:rFonts w:hint="eastAsia"/>
          <w:color w:val="auto"/>
          <w:sz w:val="24"/>
        </w:rPr>
        <w:t>、渗漏情景预测结果</w:t>
      </w:r>
    </w:p>
    <w:p w14:paraId="5E3760D6">
      <w:pPr>
        <w:spacing w:line="360" w:lineRule="auto"/>
        <w:ind w:firstLine="480" w:firstLineChars="200"/>
        <w:rPr>
          <w:color w:val="auto"/>
          <w:sz w:val="24"/>
        </w:rPr>
      </w:pPr>
      <w:r>
        <w:rPr>
          <w:rFonts w:hint="eastAsia"/>
          <w:color w:val="auto"/>
          <w:sz w:val="24"/>
        </w:rPr>
        <w:t>模拟结果见下图。</w:t>
      </w:r>
    </w:p>
    <w:p w14:paraId="1CA660BE">
      <w:pPr>
        <w:spacing w:line="360" w:lineRule="auto"/>
        <w:jc w:val="center"/>
        <w:rPr>
          <w:color w:val="auto"/>
          <w:sz w:val="24"/>
        </w:rPr>
      </w:pPr>
      <w:r>
        <w:rPr>
          <w:color w:val="auto"/>
        </w:rPr>
        <w:drawing>
          <wp:inline distT="0" distB="0" distL="114300" distR="114300">
            <wp:extent cx="5269865" cy="2085975"/>
            <wp:effectExtent l="0" t="0" r="6985" b="9525"/>
            <wp:docPr id="5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
                    <pic:cNvPicPr>
                      <a:picLocks noChangeAspect="1"/>
                    </pic:cNvPicPr>
                  </pic:nvPicPr>
                  <pic:blipFill>
                    <a:blip r:embed="rId65"/>
                    <a:stretch>
                      <a:fillRect/>
                    </a:stretch>
                  </pic:blipFill>
                  <pic:spPr>
                    <a:xfrm>
                      <a:off x="0" y="0"/>
                      <a:ext cx="5269865" cy="2085975"/>
                    </a:xfrm>
                    <a:prstGeom prst="rect">
                      <a:avLst/>
                    </a:prstGeom>
                    <a:noFill/>
                    <a:ln>
                      <a:noFill/>
                    </a:ln>
                  </pic:spPr>
                </pic:pic>
              </a:graphicData>
            </a:graphic>
          </wp:inline>
        </w:drawing>
      </w:r>
    </w:p>
    <w:p w14:paraId="797D38C7">
      <w:pPr>
        <w:pStyle w:val="76"/>
        <w:rPr>
          <w:color w:val="auto"/>
        </w:rPr>
      </w:pPr>
      <w:r>
        <w:rPr>
          <w:rFonts w:hint="eastAsia"/>
          <w:color w:val="auto"/>
        </w:rPr>
        <w:t>图5-2-7连续渗漏100d、1000d、</w:t>
      </w:r>
      <w:r>
        <w:rPr>
          <w:rFonts w:hint="eastAsia"/>
          <w:color w:val="auto"/>
          <w:lang w:val="en-US" w:eastAsia="zh-CN"/>
        </w:rPr>
        <w:t>1095</w:t>
      </w:r>
      <w:r>
        <w:rPr>
          <w:rFonts w:hint="eastAsia"/>
          <w:color w:val="auto"/>
        </w:rPr>
        <w:t>d垂向运移变化曲线图</w:t>
      </w:r>
    </w:p>
    <w:p w14:paraId="691D6926">
      <w:pPr>
        <w:pStyle w:val="59"/>
        <w:ind w:firstLine="480"/>
        <w:rPr>
          <w:color w:val="auto"/>
        </w:rPr>
      </w:pPr>
      <w:r>
        <w:rPr>
          <w:color w:val="auto"/>
        </w:rPr>
        <w:t>5、渗漏情景预测结果分析</w:t>
      </w:r>
    </w:p>
    <w:p w14:paraId="2B56EE66">
      <w:pPr>
        <w:pStyle w:val="59"/>
        <w:ind w:firstLine="480"/>
        <w:rPr>
          <w:color w:val="auto"/>
        </w:rPr>
      </w:pPr>
      <w:r>
        <w:rPr>
          <w:rFonts w:hint="eastAsia"/>
          <w:color w:val="auto"/>
        </w:rPr>
        <w:t>在预测非正常工况下，渗漏发生100天后，土壤中</w:t>
      </w:r>
      <w:r>
        <w:rPr>
          <w:rFonts w:hint="eastAsia"/>
          <w:color w:val="auto"/>
          <w:lang w:eastAsia="zh-CN"/>
        </w:rPr>
        <w:t>铅</w:t>
      </w:r>
      <w:r>
        <w:rPr>
          <w:rFonts w:hint="eastAsia"/>
          <w:color w:val="auto"/>
        </w:rPr>
        <w:t>最大值为</w:t>
      </w:r>
      <w:r>
        <w:rPr>
          <w:rFonts w:hint="eastAsia"/>
          <w:color w:val="auto"/>
          <w:lang w:val="en-US" w:eastAsia="zh-CN"/>
        </w:rPr>
        <w:t>0.06</w:t>
      </w:r>
      <w:r>
        <w:rPr>
          <w:rFonts w:hint="eastAsia"/>
          <w:color w:val="auto"/>
        </w:rPr>
        <w:t>mg</w:t>
      </w:r>
      <w:r>
        <w:rPr>
          <w:color w:val="auto"/>
        </w:rPr>
        <w:t>/</w:t>
      </w:r>
      <w:r>
        <w:rPr>
          <w:rFonts w:hint="eastAsia"/>
          <w:color w:val="auto"/>
        </w:rPr>
        <w:t>kg，渗漏发生100</w:t>
      </w:r>
      <w:r>
        <w:rPr>
          <w:color w:val="auto"/>
        </w:rPr>
        <w:t>0</w:t>
      </w:r>
      <w:r>
        <w:rPr>
          <w:rFonts w:hint="eastAsia"/>
          <w:color w:val="auto"/>
        </w:rPr>
        <w:t>天后，土壤中</w:t>
      </w:r>
      <w:r>
        <w:rPr>
          <w:rFonts w:hint="eastAsia"/>
          <w:color w:val="auto"/>
          <w:lang w:eastAsia="zh-CN"/>
        </w:rPr>
        <w:t>铅</w:t>
      </w:r>
      <w:r>
        <w:rPr>
          <w:rFonts w:hint="eastAsia"/>
          <w:color w:val="auto"/>
        </w:rPr>
        <w:t>最大值为</w:t>
      </w:r>
      <w:r>
        <w:rPr>
          <w:rFonts w:hint="eastAsia"/>
          <w:color w:val="auto"/>
          <w:lang w:val="en-US" w:eastAsia="zh-CN"/>
        </w:rPr>
        <w:t>0.027</w:t>
      </w:r>
      <w:r>
        <w:rPr>
          <w:rFonts w:hint="eastAsia"/>
          <w:color w:val="auto"/>
        </w:rPr>
        <w:t>mg</w:t>
      </w:r>
      <w:r>
        <w:rPr>
          <w:color w:val="auto"/>
        </w:rPr>
        <w:t>/</w:t>
      </w:r>
      <w:r>
        <w:rPr>
          <w:rFonts w:hint="eastAsia"/>
          <w:color w:val="auto"/>
        </w:rPr>
        <w:t>kg，渗漏发生</w:t>
      </w:r>
      <w:r>
        <w:rPr>
          <w:rFonts w:hint="eastAsia"/>
          <w:color w:val="auto"/>
          <w:lang w:val="en-US" w:eastAsia="zh-CN"/>
        </w:rPr>
        <w:t>1095</w:t>
      </w:r>
      <w:r>
        <w:rPr>
          <w:rFonts w:hint="eastAsia"/>
          <w:color w:val="auto"/>
        </w:rPr>
        <w:t>天后，土壤中</w:t>
      </w:r>
      <w:r>
        <w:rPr>
          <w:rFonts w:hint="eastAsia"/>
          <w:color w:val="auto"/>
          <w:lang w:eastAsia="zh-CN"/>
        </w:rPr>
        <w:t>铅</w:t>
      </w:r>
      <w:r>
        <w:rPr>
          <w:rFonts w:hint="eastAsia"/>
          <w:color w:val="auto"/>
        </w:rPr>
        <w:t>最大值为</w:t>
      </w:r>
      <w:r>
        <w:rPr>
          <w:rFonts w:hint="eastAsia"/>
          <w:color w:val="auto"/>
          <w:lang w:val="en-US" w:eastAsia="zh-CN"/>
        </w:rPr>
        <w:t>0.011</w:t>
      </w:r>
      <w:r>
        <w:rPr>
          <w:rFonts w:hint="eastAsia"/>
          <w:color w:val="auto"/>
        </w:rPr>
        <w:t>mg</w:t>
      </w:r>
      <w:r>
        <w:rPr>
          <w:color w:val="auto"/>
        </w:rPr>
        <w:t>/</w:t>
      </w:r>
      <w:r>
        <w:rPr>
          <w:rFonts w:hint="eastAsia"/>
          <w:color w:val="auto"/>
        </w:rPr>
        <w:t>kg，均未超过</w:t>
      </w:r>
      <w:r>
        <w:rPr>
          <w:color w:val="auto"/>
        </w:rPr>
        <w:t>《土壤环境质量</w:t>
      </w:r>
      <w:r>
        <w:rPr>
          <w:rFonts w:hint="eastAsia"/>
          <w:color w:val="auto"/>
        </w:rPr>
        <w:t xml:space="preserve"> </w:t>
      </w:r>
      <w:r>
        <w:rPr>
          <w:color w:val="auto"/>
        </w:rPr>
        <w:t>农用地土壤污染风险管控标准》（GB15618-2018）中表</w:t>
      </w:r>
      <w:r>
        <w:rPr>
          <w:rFonts w:hint="eastAsia"/>
          <w:color w:val="auto"/>
        </w:rPr>
        <w:t>1其他农用地</w:t>
      </w:r>
      <w:r>
        <w:rPr>
          <w:color w:val="auto"/>
        </w:rPr>
        <w:t>筛选值</w:t>
      </w:r>
      <w:r>
        <w:rPr>
          <w:rFonts w:hint="eastAsia"/>
          <w:color w:val="auto"/>
        </w:rPr>
        <w:t>（</w:t>
      </w:r>
      <w:r>
        <w:rPr>
          <w:rFonts w:hint="eastAsia"/>
          <w:color w:val="auto"/>
          <w:lang w:eastAsia="zh-CN"/>
        </w:rPr>
        <w:t>铅</w:t>
      </w:r>
      <w:r>
        <w:rPr>
          <w:rFonts w:hint="eastAsia"/>
          <w:color w:val="auto"/>
        </w:rPr>
        <w:t>≤</w:t>
      </w:r>
      <w:r>
        <w:rPr>
          <w:rFonts w:hint="eastAsia"/>
          <w:color w:val="auto"/>
          <w:lang w:val="en-US" w:eastAsia="zh-CN"/>
        </w:rPr>
        <w:t>70</w:t>
      </w:r>
      <w:r>
        <w:rPr>
          <w:rFonts w:hint="eastAsia"/>
          <w:color w:val="auto"/>
        </w:rPr>
        <w:t>mg/kg），不会对土壤环境造成污染</w:t>
      </w:r>
      <w:r>
        <w:rPr>
          <w:color w:val="auto"/>
        </w:rPr>
        <w:t>。</w:t>
      </w:r>
    </w:p>
    <w:p w14:paraId="54D8551F">
      <w:pPr>
        <w:pStyle w:val="59"/>
        <w:ind w:firstLine="480"/>
        <w:rPr>
          <w:color w:val="auto"/>
        </w:rPr>
      </w:pPr>
      <w:r>
        <w:rPr>
          <w:rFonts w:hint="eastAsia"/>
          <w:color w:val="auto"/>
        </w:rPr>
        <w:t>企业应根据本环评及相关法律法规要求实施土壤环境监测，记录监测数据，建立档案，并定期向建设单位安全环保部门汇报，对于常规监测数据应该进行公开，特别是对项目所在区域的公众进行公开，满足法律中关于知情权的要求。如发现异常或发生事故，加密监测频次，并分析污染原因，确定泄漏污染源，确定是否对土壤、地下水有影响，及时采取对应应急措施。</w:t>
      </w:r>
    </w:p>
    <w:p w14:paraId="17D2DAC0">
      <w:pPr>
        <w:pStyle w:val="59"/>
        <w:ind w:firstLine="480"/>
        <w:rPr>
          <w:color w:val="auto"/>
        </w:rPr>
      </w:pPr>
      <w:r>
        <w:rPr>
          <w:rFonts w:hint="eastAsia"/>
          <w:color w:val="auto"/>
        </w:rPr>
        <w:t>综上所述，本项目在认真落实上述提出的各项土壤及地下水污染防治措施的基础上，项目建设不会对当地土壤环境产生明显不利影响，结合环境</w:t>
      </w:r>
      <w:r>
        <w:rPr>
          <w:color w:val="auto"/>
        </w:rPr>
        <w:t>风险评估报告，</w:t>
      </w:r>
      <w:r>
        <w:rPr>
          <w:rFonts w:hint="eastAsia"/>
          <w:color w:val="auto"/>
        </w:rPr>
        <w:t>项目</w:t>
      </w:r>
      <w:r>
        <w:rPr>
          <w:rFonts w:hint="eastAsia"/>
          <w:color w:val="auto"/>
          <w:lang w:eastAsia="zh-CN"/>
        </w:rPr>
        <w:t>灰渣</w:t>
      </w:r>
      <w:r>
        <w:rPr>
          <w:rFonts w:hint="eastAsia"/>
          <w:color w:val="auto"/>
        </w:rPr>
        <w:t>中可溶性重金属含量较低，对土壤和地下水水质的影响轻微，淋溶水不会对地下水和周边土壤环境造成明显影响，对周边环境风险可接受，从土壤环境保护角度而言，项目建设可行。</w:t>
      </w:r>
    </w:p>
    <w:p w14:paraId="6D37F9A1">
      <w:pPr>
        <w:pStyle w:val="137"/>
        <w:rPr>
          <w:color w:val="auto"/>
        </w:rPr>
      </w:pPr>
      <w:r>
        <w:rPr>
          <w:color w:val="auto"/>
        </w:rPr>
        <w:t>5.2.7生态影响评价</w:t>
      </w:r>
    </w:p>
    <w:p w14:paraId="5F884EDC">
      <w:pPr>
        <w:pStyle w:val="59"/>
        <w:ind w:firstLine="480"/>
        <w:rPr>
          <w:color w:val="auto"/>
        </w:rPr>
      </w:pPr>
      <w:r>
        <w:rPr>
          <w:color w:val="auto"/>
        </w:rPr>
        <w:t>本工程在</w:t>
      </w:r>
      <w:r>
        <w:rPr>
          <w:rFonts w:hint="eastAsia"/>
          <w:color w:val="auto"/>
        </w:rPr>
        <w:t>回填复垦期</w:t>
      </w:r>
      <w:r>
        <w:rPr>
          <w:color w:val="auto"/>
        </w:rPr>
        <w:t>会对自然景观、地表植被、野生动物、生物多样性、土地利用功能、</w:t>
      </w:r>
      <w:r>
        <w:rPr>
          <w:rFonts w:cs="Times New Roman"/>
          <w:color w:val="auto"/>
          <w:lang w:bidi="en-US"/>
        </w:rPr>
        <w:t>生态系统、水土流失</w:t>
      </w:r>
      <w:r>
        <w:rPr>
          <w:color w:val="auto"/>
        </w:rPr>
        <w:t>等产生影响。</w:t>
      </w:r>
    </w:p>
    <w:p w14:paraId="7080A932">
      <w:pPr>
        <w:pStyle w:val="59"/>
        <w:ind w:firstLine="480"/>
        <w:rPr>
          <w:color w:val="auto"/>
        </w:rPr>
      </w:pPr>
      <w:r>
        <w:rPr>
          <w:rFonts w:hint="eastAsia"/>
          <w:color w:val="auto"/>
        </w:rPr>
        <w:t>（1）</w:t>
      </w:r>
      <w:r>
        <w:rPr>
          <w:color w:val="auto"/>
        </w:rPr>
        <w:t>对地表植被的影响分析</w:t>
      </w:r>
    </w:p>
    <w:p w14:paraId="46B9F363">
      <w:pPr>
        <w:pStyle w:val="59"/>
        <w:ind w:firstLine="480"/>
        <w:rPr>
          <w:rFonts w:hAnsi="宋体"/>
          <w:color w:val="auto"/>
        </w:rPr>
      </w:pPr>
      <w:r>
        <w:rPr>
          <w:color w:val="auto"/>
        </w:rPr>
        <w:t>本项目区域内</w:t>
      </w:r>
      <w:r>
        <w:rPr>
          <w:rFonts w:hAnsi="宋体"/>
          <w:color w:val="auto"/>
        </w:rPr>
        <w:t>树种为常见种类，以</w:t>
      </w:r>
      <w:r>
        <w:rPr>
          <w:rFonts w:hint="eastAsia" w:hAnsi="宋体"/>
          <w:color w:val="auto"/>
        </w:rPr>
        <w:t>松</w:t>
      </w:r>
      <w:r>
        <w:rPr>
          <w:rFonts w:hAnsi="宋体"/>
          <w:color w:val="auto"/>
        </w:rPr>
        <w:t>树为主；草本植被也为该区域地带性植被，项目区</w:t>
      </w:r>
      <w:r>
        <w:rPr>
          <w:rFonts w:hint="eastAsia" w:hAnsi="宋体"/>
          <w:color w:val="auto"/>
        </w:rPr>
        <w:t>无</w:t>
      </w:r>
      <w:r>
        <w:rPr>
          <w:rFonts w:hAnsi="宋体"/>
          <w:color w:val="auto"/>
        </w:rPr>
        <w:t>国家重点保护野生植物。</w:t>
      </w:r>
    </w:p>
    <w:p w14:paraId="1985E9C8">
      <w:pPr>
        <w:pStyle w:val="59"/>
        <w:ind w:firstLine="480"/>
        <w:rPr>
          <w:color w:val="auto"/>
        </w:rPr>
      </w:pPr>
      <w:r>
        <w:rPr>
          <w:rFonts w:hint="eastAsia"/>
          <w:color w:val="auto"/>
        </w:rPr>
        <w:t>淋溶水</w:t>
      </w:r>
      <w:r>
        <w:rPr>
          <w:color w:val="auto"/>
        </w:rPr>
        <w:t>对植物的影响表现在两个方面，一方面是有害物质直接被植物（作物）根系吸收而影响作物的生长、产量和品质，另一方面会引起土壤物理、化学和物理化学性状发生一系列的变化，并且在水的下渗过程中，有害物质从表土到心土到底土甚至在往下至地下水。根据调查，项目周围以农田和林地为主。本项目</w:t>
      </w:r>
      <w:r>
        <w:rPr>
          <w:rFonts w:hint="eastAsia"/>
          <w:color w:val="auto"/>
          <w:lang w:eastAsia="zh-CN"/>
        </w:rPr>
        <w:t>灰渣</w:t>
      </w:r>
      <w:r>
        <w:rPr>
          <w:color w:val="auto"/>
        </w:rPr>
        <w:t>密闭运输，场地采取了有效的防渗措施和雨污分流措施；</w:t>
      </w:r>
      <w:r>
        <w:rPr>
          <w:rFonts w:hint="eastAsia"/>
          <w:color w:val="auto"/>
        </w:rPr>
        <w:t>淋溶水</w:t>
      </w:r>
      <w:r>
        <w:rPr>
          <w:color w:val="auto"/>
        </w:rPr>
        <w:t>经导排系统输送至</w:t>
      </w:r>
      <w:r>
        <w:rPr>
          <w:rFonts w:hint="eastAsia"/>
          <w:color w:val="auto"/>
        </w:rPr>
        <w:t>淋溶水</w:t>
      </w:r>
      <w:r>
        <w:rPr>
          <w:color w:val="auto"/>
        </w:rPr>
        <w:t>暂存池，</w:t>
      </w:r>
      <w:r>
        <w:rPr>
          <w:rFonts w:hint="eastAsia"/>
          <w:color w:val="auto"/>
        </w:rPr>
        <w:t>沉淀后回用于项目区洒水抑尘使用，不外排</w:t>
      </w:r>
      <w:r>
        <w:rPr>
          <w:color w:val="auto"/>
        </w:rPr>
        <w:t>。本项目对厂区周围植被影响不大。</w:t>
      </w:r>
    </w:p>
    <w:p w14:paraId="751D2499">
      <w:pPr>
        <w:pStyle w:val="59"/>
        <w:ind w:firstLine="480"/>
        <w:rPr>
          <w:color w:val="auto"/>
        </w:rPr>
      </w:pPr>
      <w:r>
        <w:rPr>
          <w:rFonts w:hint="eastAsia"/>
          <w:color w:val="auto"/>
        </w:rPr>
        <w:t>作业扬尘对于场地周边植被的影响主要来自粉尘长期累积于植被叶面会影响植物的光合作用和呼吸作用。由于作业中采取了有效的降尘措施，使得扬尘的影响范围较小；同时当地植被对扬尘具有较强的耐受性，因此，项目对评价范围内的少量植被的污染影响很小。</w:t>
      </w:r>
    </w:p>
    <w:p w14:paraId="334421B2">
      <w:pPr>
        <w:pStyle w:val="59"/>
        <w:ind w:firstLine="480"/>
        <w:rPr>
          <w:color w:val="auto"/>
        </w:rPr>
      </w:pPr>
      <w:r>
        <w:rPr>
          <w:color w:val="auto"/>
        </w:rPr>
        <w:t>此外，本工程分区</w:t>
      </w:r>
      <w:r>
        <w:rPr>
          <w:rFonts w:hint="eastAsia"/>
          <w:color w:val="auto"/>
        </w:rPr>
        <w:t>回填</w:t>
      </w:r>
      <w:r>
        <w:rPr>
          <w:color w:val="auto"/>
        </w:rPr>
        <w:t>，分区覆盖，采取阶段性</w:t>
      </w:r>
      <w:r>
        <w:rPr>
          <w:rFonts w:hint="eastAsia"/>
          <w:color w:val="auto"/>
        </w:rPr>
        <w:t>复垦</w:t>
      </w:r>
      <w:r>
        <w:rPr>
          <w:color w:val="auto"/>
        </w:rPr>
        <w:t>的生态恢复措施，分区</w:t>
      </w:r>
      <w:r>
        <w:rPr>
          <w:rFonts w:hint="eastAsia"/>
          <w:color w:val="auto"/>
        </w:rPr>
        <w:t>回填</w:t>
      </w:r>
      <w:r>
        <w:rPr>
          <w:color w:val="auto"/>
        </w:rPr>
        <w:t>完成，达到设计标高后进行阶段性</w:t>
      </w:r>
      <w:r>
        <w:rPr>
          <w:rFonts w:hint="eastAsia"/>
          <w:color w:val="auto"/>
        </w:rPr>
        <w:t>复垦</w:t>
      </w:r>
      <w:r>
        <w:rPr>
          <w:color w:val="auto"/>
        </w:rPr>
        <w:t>，</w:t>
      </w:r>
      <w:r>
        <w:rPr>
          <w:rFonts w:hint="eastAsia"/>
          <w:color w:val="auto"/>
        </w:rPr>
        <w:t>复垦目标为</w:t>
      </w:r>
      <w:r>
        <w:rPr>
          <w:color w:val="auto"/>
        </w:rPr>
        <w:t>耕地，不但能改善场地环境、恢复土地利用价值、创造新的生态景观，而且对</w:t>
      </w:r>
      <w:r>
        <w:rPr>
          <w:rFonts w:hint="eastAsia"/>
          <w:color w:val="auto"/>
        </w:rPr>
        <w:t>回填区</w:t>
      </w:r>
      <w:r>
        <w:rPr>
          <w:color w:val="auto"/>
        </w:rPr>
        <w:t>本身的安全和稳定性也具有重要意义</w:t>
      </w:r>
      <w:r>
        <w:rPr>
          <w:rFonts w:hint="eastAsia"/>
          <w:color w:val="auto"/>
        </w:rPr>
        <w:t>，可起到水土保持、防风固沙的效果，会增加占地内的植被覆盖率和生物产量</w:t>
      </w:r>
      <w:r>
        <w:rPr>
          <w:color w:val="auto"/>
        </w:rPr>
        <w:t>。</w:t>
      </w:r>
    </w:p>
    <w:p w14:paraId="7EE36598">
      <w:pPr>
        <w:pStyle w:val="59"/>
        <w:ind w:firstLine="480"/>
        <w:rPr>
          <w:b/>
          <w:color w:val="auto"/>
        </w:rPr>
      </w:pPr>
      <w:r>
        <w:rPr>
          <w:rFonts w:hint="eastAsia"/>
          <w:color w:val="auto"/>
        </w:rPr>
        <w:t>（2）</w:t>
      </w:r>
      <w:r>
        <w:rPr>
          <w:color w:val="auto"/>
        </w:rPr>
        <w:t>对野生动物的影响分析</w:t>
      </w:r>
    </w:p>
    <w:p w14:paraId="331661F0">
      <w:pPr>
        <w:pStyle w:val="59"/>
        <w:ind w:firstLine="480"/>
        <w:rPr>
          <w:rFonts w:hAnsi="宋体"/>
          <w:color w:val="auto"/>
        </w:rPr>
      </w:pPr>
      <w:r>
        <w:rPr>
          <w:rFonts w:hAnsi="宋体"/>
          <w:color w:val="auto"/>
        </w:rPr>
        <w:t>项目区域内没有国家级重点保护野生动物，也没有发现国家和省级重点保护两栖、爬行类动物、鸟类等。项目施工使部分小动物栖息地受到破坏，减少了其生存空间，致使野生动物被迫迁移、回避。因而可能使项目区域内野生动物的数量减少，但野生动物将前往附近同类环境，动物迁徙能力强，且同类生境易于在附近寻找，物种种群与数量不会受到明显影响。</w:t>
      </w:r>
    </w:p>
    <w:p w14:paraId="72EC6A6A">
      <w:pPr>
        <w:pStyle w:val="59"/>
        <w:ind w:firstLine="480"/>
        <w:rPr>
          <w:color w:val="auto"/>
        </w:rPr>
      </w:pPr>
      <w:r>
        <w:rPr>
          <w:rFonts w:hAnsi="宋体"/>
          <w:color w:val="auto"/>
        </w:rPr>
        <w:t>综上所述，本项目对占地范围内野生动物影响较小。</w:t>
      </w:r>
    </w:p>
    <w:p w14:paraId="2B3C1FE7">
      <w:pPr>
        <w:pStyle w:val="59"/>
        <w:ind w:firstLine="480"/>
        <w:rPr>
          <w:color w:val="auto"/>
        </w:rPr>
      </w:pPr>
      <w:r>
        <w:rPr>
          <w:color w:val="auto"/>
        </w:rPr>
        <w:t>（</w:t>
      </w:r>
      <w:r>
        <w:rPr>
          <w:rFonts w:hint="eastAsia"/>
          <w:color w:val="auto"/>
        </w:rPr>
        <w:t>3</w:t>
      </w:r>
      <w:r>
        <w:rPr>
          <w:color w:val="auto"/>
        </w:rPr>
        <w:t>）对生物多样性的影响</w:t>
      </w:r>
    </w:p>
    <w:p w14:paraId="6E424504">
      <w:pPr>
        <w:pStyle w:val="59"/>
        <w:ind w:firstLine="480"/>
        <w:rPr>
          <w:rFonts w:hAnsi="宋体"/>
          <w:color w:val="auto"/>
        </w:rPr>
      </w:pPr>
      <w:r>
        <w:rPr>
          <w:rFonts w:hAnsi="宋体"/>
          <w:color w:val="auto"/>
        </w:rPr>
        <w:t>项目区内</w:t>
      </w:r>
      <w:r>
        <w:rPr>
          <w:rFonts w:hint="eastAsia" w:hAnsi="宋体"/>
          <w:color w:val="auto"/>
        </w:rPr>
        <w:t>没</w:t>
      </w:r>
      <w:r>
        <w:rPr>
          <w:rFonts w:hAnsi="宋体"/>
          <w:color w:val="auto"/>
        </w:rPr>
        <w:t>有国家重点保护野生植物</w:t>
      </w:r>
      <w:r>
        <w:rPr>
          <w:rFonts w:hint="eastAsia" w:hAnsi="宋体"/>
          <w:color w:val="auto"/>
        </w:rPr>
        <w:t>，乔木</w:t>
      </w:r>
      <w:r>
        <w:rPr>
          <w:rFonts w:hAnsi="宋体"/>
          <w:color w:val="auto"/>
        </w:rPr>
        <w:t>及草本植被也为该区域地带性植被。因此，项目的建设对植被、生物多样性的影响很小。</w:t>
      </w:r>
    </w:p>
    <w:p w14:paraId="3DB20DE9">
      <w:pPr>
        <w:pStyle w:val="59"/>
        <w:ind w:firstLine="480"/>
        <w:rPr>
          <w:rFonts w:hAnsi="宋体"/>
          <w:color w:val="auto"/>
        </w:rPr>
      </w:pPr>
      <w:r>
        <w:rPr>
          <w:rFonts w:hAnsi="宋体"/>
          <w:color w:val="auto"/>
        </w:rPr>
        <w:t>项目区域内没有国家级重点保护野生动物和鸟类</w:t>
      </w:r>
      <w:r>
        <w:rPr>
          <w:rFonts w:hint="eastAsia" w:hAnsi="宋体"/>
          <w:color w:val="auto"/>
        </w:rPr>
        <w:t>，</w:t>
      </w:r>
      <w:r>
        <w:rPr>
          <w:rFonts w:hAnsi="宋体"/>
          <w:color w:val="auto"/>
        </w:rPr>
        <w:t>没有发现国家和省级重点保护两栖、爬行类动物活体。项目使部分小动物栖息地受到破坏减少了其生存空间，致使野生动物被迫迁移、回避。因而可能使项目区域内野生动物的数量减少，但野生动物将前往附近同类环境，动物迁徙能力强，且同类生境易于在附近寻找，物种种群与数量不会受到明显影响。</w:t>
      </w:r>
    </w:p>
    <w:p w14:paraId="214684C8">
      <w:pPr>
        <w:pStyle w:val="59"/>
        <w:ind w:firstLine="480"/>
        <w:rPr>
          <w:color w:val="auto"/>
        </w:rPr>
      </w:pPr>
      <w:r>
        <w:rPr>
          <w:rFonts w:hAnsi="宋体"/>
          <w:color w:val="auto"/>
        </w:rPr>
        <w:t>本工程复垦后</w:t>
      </w:r>
      <w:r>
        <w:rPr>
          <w:color w:val="auto"/>
        </w:rPr>
        <w:t>改善场地环境、恢复土地利用价值、创造新的生态景观，可使区域内</w:t>
      </w:r>
      <w:r>
        <w:rPr>
          <w:rFonts w:hAnsi="宋体"/>
          <w:color w:val="auto"/>
        </w:rPr>
        <w:t>野生动植物的数量增加，生物量增加，提高区域内物种丰富度、优势度。因此，项目建设对生物多样性产生较</w:t>
      </w:r>
      <w:r>
        <w:rPr>
          <w:rFonts w:hint="eastAsia" w:hAnsi="宋体"/>
          <w:color w:val="auto"/>
        </w:rPr>
        <w:t>好</w:t>
      </w:r>
      <w:r>
        <w:rPr>
          <w:rFonts w:hAnsi="宋体"/>
          <w:color w:val="auto"/>
        </w:rPr>
        <w:t>影响。</w:t>
      </w:r>
    </w:p>
    <w:p w14:paraId="58942A4E">
      <w:pPr>
        <w:pStyle w:val="59"/>
        <w:ind w:firstLine="480"/>
        <w:rPr>
          <w:color w:val="auto"/>
          <w:kern w:val="24"/>
        </w:rPr>
      </w:pPr>
      <w:r>
        <w:rPr>
          <w:rFonts w:cs="Times New Roman"/>
          <w:color w:val="auto"/>
        </w:rPr>
        <w:t>（</w:t>
      </w:r>
      <w:r>
        <w:rPr>
          <w:rFonts w:hint="eastAsia" w:cs="Times New Roman"/>
          <w:color w:val="auto"/>
        </w:rPr>
        <w:t>4</w:t>
      </w:r>
      <w:r>
        <w:rPr>
          <w:rFonts w:cs="Times New Roman"/>
          <w:color w:val="auto"/>
        </w:rPr>
        <w:t>）自然景观</w:t>
      </w:r>
      <w:r>
        <w:rPr>
          <w:color w:val="auto"/>
          <w:kern w:val="24"/>
        </w:rPr>
        <w:t>的影响</w:t>
      </w:r>
    </w:p>
    <w:p w14:paraId="607225DE">
      <w:pPr>
        <w:pStyle w:val="59"/>
        <w:ind w:firstLine="480"/>
        <w:rPr>
          <w:rFonts w:cs="Times New Roman"/>
          <w:color w:val="auto"/>
        </w:rPr>
      </w:pPr>
      <w:r>
        <w:rPr>
          <w:rFonts w:cs="Times New Roman"/>
          <w:color w:val="auto"/>
        </w:rPr>
        <w:t>项目</w:t>
      </w:r>
      <w:r>
        <w:rPr>
          <w:rFonts w:hint="eastAsia" w:cs="Times New Roman"/>
          <w:color w:val="auto"/>
        </w:rPr>
        <w:t>回填复垦</w:t>
      </w:r>
      <w:r>
        <w:rPr>
          <w:rFonts w:cs="Times New Roman"/>
          <w:color w:val="auto"/>
        </w:rPr>
        <w:t>后变为耕地，代替了原有</w:t>
      </w:r>
      <w:r>
        <w:rPr>
          <w:rFonts w:hint="eastAsia" w:cs="Times New Roman"/>
          <w:color w:val="auto"/>
        </w:rPr>
        <w:t>的采矿用地</w:t>
      </w:r>
      <w:r>
        <w:rPr>
          <w:rFonts w:cs="Times New Roman"/>
          <w:color w:val="auto"/>
        </w:rPr>
        <w:t>，</w:t>
      </w:r>
      <w:r>
        <w:rPr>
          <w:rFonts w:hint="eastAsia" w:cs="Times New Roman"/>
          <w:color w:val="auto"/>
        </w:rPr>
        <w:t>可使场区</w:t>
      </w:r>
      <w:r>
        <w:rPr>
          <w:rFonts w:cs="Times New Roman"/>
          <w:color w:val="auto"/>
        </w:rPr>
        <w:t>与周围自然景观协调。随着工程各项保护措施的落实到位，周边的生态系统将会得到逐步改善。</w:t>
      </w:r>
    </w:p>
    <w:p w14:paraId="3F42BE60">
      <w:pPr>
        <w:pStyle w:val="59"/>
        <w:ind w:firstLine="480"/>
        <w:rPr>
          <w:rFonts w:cs="Times New Roman"/>
          <w:color w:val="auto"/>
        </w:rPr>
      </w:pPr>
      <w:r>
        <w:rPr>
          <w:rFonts w:hint="eastAsia" w:cs="Times New Roman"/>
          <w:color w:val="auto"/>
        </w:rPr>
        <w:t>（5）</w:t>
      </w:r>
      <w:r>
        <w:rPr>
          <w:rFonts w:cs="Times New Roman"/>
          <w:color w:val="auto"/>
        </w:rPr>
        <w:t>土地利用功能</w:t>
      </w:r>
      <w:r>
        <w:rPr>
          <w:rFonts w:hint="eastAsia" w:cs="Times New Roman"/>
          <w:color w:val="auto"/>
        </w:rPr>
        <w:t>影响分析</w:t>
      </w:r>
    </w:p>
    <w:p w14:paraId="0F3FB5CD">
      <w:pPr>
        <w:pStyle w:val="59"/>
        <w:ind w:firstLine="480"/>
        <w:rPr>
          <w:color w:val="auto"/>
        </w:rPr>
      </w:pPr>
      <w:r>
        <w:rPr>
          <w:rFonts w:hint="eastAsia"/>
          <w:color w:val="auto"/>
        </w:rPr>
        <w:t>回填</w:t>
      </w:r>
      <w:r>
        <w:rPr>
          <w:color w:val="auto"/>
        </w:rPr>
        <w:t>结束后，根据《一般工业固体废物贮存和填埋污染控制标准》（GB 18599-2020）</w:t>
      </w:r>
      <w:r>
        <w:rPr>
          <w:rFonts w:hint="eastAsia"/>
          <w:color w:val="auto"/>
        </w:rPr>
        <w:t>及《土地复垦质量控制标准》（</w:t>
      </w:r>
      <w:r>
        <w:rPr>
          <w:color w:val="auto"/>
        </w:rPr>
        <w:t>TD/T1036-2013）规定的相关土地复垦质量控制要求</w:t>
      </w:r>
      <w:r>
        <w:rPr>
          <w:rFonts w:hint="eastAsia"/>
          <w:color w:val="auto"/>
        </w:rPr>
        <w:t>，</w:t>
      </w:r>
      <w:r>
        <w:rPr>
          <w:color w:val="auto"/>
        </w:rPr>
        <w:t>在回填压实完成的基础上表层覆土，</w:t>
      </w:r>
      <w:r>
        <w:rPr>
          <w:rFonts w:hint="eastAsia"/>
          <w:color w:val="auto"/>
          <w:lang w:val="en-US" w:eastAsia="zh-CN"/>
        </w:rPr>
        <w:t>回填复垦旱地有效土层厚度不低于80cm，回填复垦乔木林地有效土层厚度不低于30cm，</w:t>
      </w:r>
      <w:r>
        <w:rPr>
          <w:rFonts w:hint="eastAsia"/>
          <w:color w:val="auto"/>
        </w:rPr>
        <w:t>，覆土后利用自然降水、机械压实等方法让土壤沉降，使土壤密实度达到</w:t>
      </w:r>
      <w:r>
        <w:rPr>
          <w:color w:val="auto"/>
        </w:rPr>
        <w:t>80%左右</w:t>
      </w:r>
      <w:r>
        <w:rPr>
          <w:rFonts w:hint="eastAsia"/>
          <w:color w:val="auto"/>
        </w:rPr>
        <w:t>，最终恢复成</w:t>
      </w:r>
      <w:r>
        <w:rPr>
          <w:rFonts w:hint="eastAsia"/>
          <w:color w:val="auto"/>
          <w:lang w:val="en-US" w:eastAsia="zh-CN"/>
        </w:rPr>
        <w:t>乔木林地、旱地</w:t>
      </w:r>
      <w:r>
        <w:rPr>
          <w:color w:val="auto"/>
        </w:rPr>
        <w:t>。</w:t>
      </w:r>
      <w:r>
        <w:rPr>
          <w:rFonts w:hint="eastAsia"/>
          <w:color w:val="auto"/>
        </w:rPr>
        <w:t>本项目回填复垦面积约</w:t>
      </w:r>
      <w:r>
        <w:rPr>
          <w:rFonts w:hint="eastAsia"/>
          <w:color w:val="auto"/>
          <w:lang w:eastAsia="zh-CN"/>
        </w:rPr>
        <w:t>78594</w:t>
      </w:r>
      <w:r>
        <w:rPr>
          <w:color w:val="auto"/>
        </w:rPr>
        <w:t>m</w:t>
      </w:r>
      <w:r>
        <w:rPr>
          <w:color w:val="auto"/>
          <w:vertAlign w:val="superscript"/>
        </w:rPr>
        <w:t>2</w:t>
      </w:r>
      <w:r>
        <w:rPr>
          <w:color w:val="auto"/>
        </w:rPr>
        <w:t>，本项目实施对整合土地资源，治理水土流失均有裨益。</w:t>
      </w:r>
    </w:p>
    <w:p w14:paraId="7DA519DF">
      <w:pPr>
        <w:pStyle w:val="59"/>
        <w:ind w:firstLine="480"/>
        <w:rPr>
          <w:color w:val="auto"/>
        </w:rPr>
      </w:pPr>
      <w:r>
        <w:rPr>
          <w:rFonts w:hint="eastAsia"/>
          <w:color w:val="auto"/>
          <w:kern w:val="24"/>
        </w:rPr>
        <w:t>（</w:t>
      </w:r>
      <w:r>
        <w:rPr>
          <w:color w:val="auto"/>
          <w:kern w:val="24"/>
        </w:rPr>
        <w:t>6</w:t>
      </w:r>
      <w:r>
        <w:rPr>
          <w:rFonts w:hint="eastAsia"/>
          <w:color w:val="auto"/>
          <w:kern w:val="24"/>
        </w:rPr>
        <w:t>）水土流失影响分析</w:t>
      </w:r>
    </w:p>
    <w:p w14:paraId="069E2BF0">
      <w:pPr>
        <w:pStyle w:val="59"/>
        <w:ind w:firstLine="480"/>
        <w:rPr>
          <w:color w:val="auto"/>
        </w:rPr>
      </w:pPr>
      <w:r>
        <w:rPr>
          <w:rFonts w:hint="eastAsia"/>
          <w:color w:val="auto"/>
        </w:rPr>
        <w:t>鉴于场址区域运行后表面无植被覆盖，如水土流失防治措施不到位，则易发生土壤侵蚀；因此拟建项目应更注重生态恢复工作，及时对完成作业的单元周边进行复垦，有效降低场址的土壤侵蚀度，减少水土流失。通过项目的建设，达到完善生态保护措施，改善局部生态环境的效果。</w:t>
      </w:r>
    </w:p>
    <w:p w14:paraId="1DA9C610">
      <w:pPr>
        <w:pStyle w:val="548"/>
        <w:rPr>
          <w:color w:val="auto"/>
        </w:rPr>
      </w:pPr>
      <w:bookmarkStart w:id="159" w:name="_Toc149054211"/>
      <w:bookmarkStart w:id="160" w:name="_Toc140149431"/>
      <w:r>
        <w:rPr>
          <w:snapToGrid w:val="0"/>
          <w:color w:val="auto"/>
        </w:rPr>
        <w:t>5.3</w:t>
      </w:r>
      <w:r>
        <w:rPr>
          <w:rFonts w:hint="eastAsia"/>
          <w:snapToGrid w:val="0"/>
          <w:color w:val="auto"/>
        </w:rPr>
        <w:t>生态恢复期影响分析</w:t>
      </w:r>
      <w:bookmarkEnd w:id="159"/>
      <w:bookmarkEnd w:id="160"/>
      <w:r>
        <w:rPr>
          <w:color w:val="auto"/>
        </w:rPr>
        <w:t xml:space="preserve"> </w:t>
      </w:r>
    </w:p>
    <w:p w14:paraId="40989A41">
      <w:pPr>
        <w:pStyle w:val="137"/>
        <w:rPr>
          <w:color w:val="auto"/>
        </w:rPr>
      </w:pPr>
      <w:bookmarkStart w:id="161" w:name="_Hlk149038347"/>
      <w:r>
        <w:rPr>
          <w:color w:val="auto"/>
        </w:rPr>
        <w:t>5.3.1</w:t>
      </w:r>
      <w:r>
        <w:rPr>
          <w:rFonts w:hint="eastAsia"/>
          <w:color w:val="auto"/>
        </w:rPr>
        <w:t>水环境</w:t>
      </w:r>
      <w:r>
        <w:rPr>
          <w:color w:val="auto"/>
        </w:rPr>
        <w:t>影响分析</w:t>
      </w:r>
    </w:p>
    <w:p w14:paraId="11149EBF">
      <w:pPr>
        <w:pStyle w:val="59"/>
        <w:ind w:firstLine="480"/>
        <w:rPr>
          <w:color w:val="auto"/>
        </w:rPr>
      </w:pPr>
      <w:r>
        <w:rPr>
          <w:color w:val="auto"/>
        </w:rPr>
        <w:t>本工程</w:t>
      </w:r>
      <w:r>
        <w:rPr>
          <w:rFonts w:hint="eastAsia"/>
          <w:color w:val="auto"/>
        </w:rPr>
        <w:t>回填结束</w:t>
      </w:r>
      <w:r>
        <w:rPr>
          <w:color w:val="auto"/>
        </w:rPr>
        <w:t>后将进行</w:t>
      </w:r>
      <w:r>
        <w:rPr>
          <w:rFonts w:hint="eastAsia"/>
          <w:color w:val="auto"/>
        </w:rPr>
        <w:t>土地复垦</w:t>
      </w:r>
      <w:r>
        <w:rPr>
          <w:color w:val="auto"/>
        </w:rPr>
        <w:t>，</w:t>
      </w:r>
      <w:r>
        <w:rPr>
          <w:rFonts w:hint="eastAsia"/>
          <w:color w:val="auto"/>
        </w:rPr>
        <w:t>恢复成耕地，可有效</w:t>
      </w:r>
      <w:r>
        <w:rPr>
          <w:color w:val="auto"/>
        </w:rPr>
        <w:t>减少雨水渗入堆体，从而减少</w:t>
      </w:r>
      <w:r>
        <w:rPr>
          <w:rFonts w:hint="eastAsia"/>
          <w:color w:val="auto"/>
        </w:rPr>
        <w:t>淋溶水</w:t>
      </w:r>
      <w:r>
        <w:rPr>
          <w:color w:val="auto"/>
        </w:rPr>
        <w:t>的产生量，</w:t>
      </w:r>
      <w:r>
        <w:rPr>
          <w:rFonts w:hint="eastAsia"/>
          <w:color w:val="auto"/>
        </w:rPr>
        <w:t>但仍有少量淋溶水产生，生态恢复期初期的淋溶水水质与回填复垦期水质相近，但随着时间的增加，水质会慢慢趋于良好，此后在低浓度水平上保持稳定，</w:t>
      </w:r>
      <w:r>
        <w:rPr>
          <w:color w:val="auto"/>
        </w:rPr>
        <w:t>在采取防渗措施后，对地下水的</w:t>
      </w:r>
      <w:r>
        <w:rPr>
          <w:rFonts w:hint="eastAsia"/>
          <w:color w:val="auto"/>
        </w:rPr>
        <w:t>影响</w:t>
      </w:r>
      <w:r>
        <w:rPr>
          <w:color w:val="auto"/>
        </w:rPr>
        <w:t>很小</w:t>
      </w:r>
      <w:r>
        <w:rPr>
          <w:rFonts w:hint="eastAsia"/>
          <w:color w:val="auto"/>
        </w:rPr>
        <w:t>。</w:t>
      </w:r>
      <w:r>
        <w:rPr>
          <w:color w:val="auto"/>
        </w:rPr>
        <w:t>因此</w:t>
      </w:r>
      <w:r>
        <w:rPr>
          <w:rFonts w:hint="eastAsia"/>
          <w:color w:val="auto"/>
        </w:rPr>
        <w:t>，</w:t>
      </w:r>
      <w:r>
        <w:rPr>
          <w:color w:val="auto"/>
        </w:rPr>
        <w:t>在</w:t>
      </w:r>
      <w:r>
        <w:rPr>
          <w:rFonts w:hint="eastAsia"/>
          <w:color w:val="auto"/>
        </w:rPr>
        <w:t>生态恢复期淋溶水收集导排</w:t>
      </w:r>
      <w:r>
        <w:rPr>
          <w:color w:val="auto"/>
        </w:rPr>
        <w:t>处理系统</w:t>
      </w:r>
      <w:r>
        <w:rPr>
          <w:rFonts w:hint="eastAsia"/>
          <w:color w:val="auto"/>
        </w:rPr>
        <w:t>仍</w:t>
      </w:r>
      <w:r>
        <w:rPr>
          <w:color w:val="auto"/>
        </w:rPr>
        <w:t>保持运行</w:t>
      </w:r>
      <w:r>
        <w:rPr>
          <w:rFonts w:hint="eastAsia"/>
          <w:color w:val="auto"/>
        </w:rPr>
        <w:t>，直到不再产生淋溶水为止</w:t>
      </w:r>
      <w:r>
        <w:rPr>
          <w:color w:val="auto"/>
        </w:rPr>
        <w:t>。</w:t>
      </w:r>
    </w:p>
    <w:p w14:paraId="7B6E62F3">
      <w:pPr>
        <w:pStyle w:val="137"/>
        <w:rPr>
          <w:color w:val="auto"/>
        </w:rPr>
      </w:pPr>
      <w:r>
        <w:rPr>
          <w:color w:val="auto"/>
        </w:rPr>
        <w:t>5.3.2</w:t>
      </w:r>
      <w:r>
        <w:rPr>
          <w:rFonts w:hint="eastAsia"/>
          <w:color w:val="auto"/>
        </w:rPr>
        <w:t>大气</w:t>
      </w:r>
      <w:r>
        <w:rPr>
          <w:color w:val="auto"/>
        </w:rPr>
        <w:t>影响分析</w:t>
      </w:r>
    </w:p>
    <w:p w14:paraId="68BCCA85">
      <w:pPr>
        <w:pStyle w:val="59"/>
        <w:ind w:firstLine="480"/>
        <w:rPr>
          <w:color w:val="auto"/>
        </w:rPr>
      </w:pPr>
      <w:r>
        <w:rPr>
          <w:color w:val="auto"/>
        </w:rPr>
        <w:t>本项目</w:t>
      </w:r>
      <w:r>
        <w:rPr>
          <w:rFonts w:hint="eastAsia"/>
          <w:color w:val="auto"/>
        </w:rPr>
        <w:t>生态恢复期</w:t>
      </w:r>
      <w:r>
        <w:rPr>
          <w:color w:val="auto"/>
        </w:rPr>
        <w:t>不会产生废气。</w:t>
      </w:r>
      <w:r>
        <w:rPr>
          <w:rFonts w:hint="eastAsia"/>
          <w:color w:val="auto"/>
        </w:rPr>
        <w:t>回填后可增加植被覆盖率，有效减少扬尘的产生，对大气环境具有改善作用。</w:t>
      </w:r>
    </w:p>
    <w:p w14:paraId="466D495C">
      <w:pPr>
        <w:pStyle w:val="137"/>
        <w:rPr>
          <w:color w:val="auto"/>
        </w:rPr>
      </w:pPr>
      <w:r>
        <w:rPr>
          <w:color w:val="auto"/>
        </w:rPr>
        <w:t>5.3.3声环境影响分析</w:t>
      </w:r>
    </w:p>
    <w:p w14:paraId="47FDA721">
      <w:pPr>
        <w:pStyle w:val="59"/>
        <w:ind w:firstLine="480"/>
        <w:rPr>
          <w:color w:val="auto"/>
        </w:rPr>
      </w:pPr>
      <w:r>
        <w:rPr>
          <w:color w:val="auto"/>
        </w:rPr>
        <w:t>本项目</w:t>
      </w:r>
      <w:r>
        <w:rPr>
          <w:rFonts w:hint="eastAsia"/>
          <w:color w:val="auto"/>
        </w:rPr>
        <w:t>生态恢复期</w:t>
      </w:r>
      <w:r>
        <w:rPr>
          <w:color w:val="auto"/>
        </w:rPr>
        <w:t>主要噪声来源于水泵，其噪声功率声级为</w:t>
      </w:r>
      <w:r>
        <w:rPr>
          <w:rFonts w:hint="eastAsia"/>
          <w:color w:val="auto"/>
        </w:rPr>
        <w:t>75</w:t>
      </w:r>
      <w:r>
        <w:rPr>
          <w:color w:val="auto"/>
        </w:rPr>
        <w:t>~85dB（A），</w:t>
      </w:r>
      <w:r>
        <w:rPr>
          <w:rFonts w:hint="eastAsia"/>
          <w:color w:val="auto"/>
        </w:rPr>
        <w:t>在采取低噪声</w:t>
      </w:r>
      <w:r>
        <w:rPr>
          <w:color w:val="auto"/>
        </w:rPr>
        <w:t>设备</w:t>
      </w:r>
      <w:r>
        <w:rPr>
          <w:rFonts w:hint="eastAsia"/>
          <w:color w:val="auto"/>
        </w:rPr>
        <w:t>，</w:t>
      </w:r>
      <w:r>
        <w:rPr>
          <w:color w:val="auto"/>
        </w:rPr>
        <w:t>加强维修和保养后，</w:t>
      </w:r>
      <w:r>
        <w:rPr>
          <w:bCs/>
          <w:color w:val="auto"/>
        </w:rPr>
        <w:t>厂界</w:t>
      </w:r>
      <w:r>
        <w:rPr>
          <w:rFonts w:hint="eastAsia"/>
          <w:bCs/>
          <w:color w:val="auto"/>
        </w:rPr>
        <w:t>噪声可满足</w:t>
      </w:r>
      <w:r>
        <w:rPr>
          <w:bCs/>
          <w:color w:val="auto"/>
        </w:rPr>
        <w:t>《工业企业厂界环境噪声排放标准》(GB12348-2008)表1中</w:t>
      </w:r>
      <w:r>
        <w:rPr>
          <w:rFonts w:hint="eastAsia"/>
          <w:bCs/>
          <w:color w:val="auto"/>
          <w:lang w:val="en-US" w:eastAsia="zh-CN"/>
        </w:rPr>
        <w:t>2</w:t>
      </w:r>
      <w:r>
        <w:rPr>
          <w:bCs/>
          <w:color w:val="auto"/>
        </w:rPr>
        <w:t>类标准（昼间噪声≤</w:t>
      </w:r>
      <w:r>
        <w:rPr>
          <w:rFonts w:hint="eastAsia"/>
          <w:bCs/>
          <w:color w:val="auto"/>
          <w:lang w:val="en-US" w:eastAsia="zh-CN"/>
        </w:rPr>
        <w:t>60</w:t>
      </w:r>
      <w:r>
        <w:rPr>
          <w:bCs/>
          <w:color w:val="auto"/>
        </w:rPr>
        <w:t>，夜间噪声≤</w:t>
      </w:r>
      <w:r>
        <w:rPr>
          <w:rFonts w:hint="eastAsia"/>
          <w:bCs/>
          <w:color w:val="auto"/>
          <w:lang w:val="en-US" w:eastAsia="zh-CN"/>
        </w:rPr>
        <w:t>50</w:t>
      </w:r>
      <w:r>
        <w:rPr>
          <w:bCs/>
          <w:color w:val="auto"/>
        </w:rPr>
        <w:t>）</w:t>
      </w:r>
      <w:r>
        <w:rPr>
          <w:color w:val="auto"/>
        </w:rPr>
        <w:t>，对周围的环境影响较小。</w:t>
      </w:r>
    </w:p>
    <w:p w14:paraId="6E110378">
      <w:pPr>
        <w:pStyle w:val="137"/>
        <w:rPr>
          <w:color w:val="auto"/>
        </w:rPr>
      </w:pPr>
      <w:r>
        <w:rPr>
          <w:color w:val="auto"/>
        </w:rPr>
        <w:t>5.3.4固体废物影响分析</w:t>
      </w:r>
    </w:p>
    <w:p w14:paraId="645FF05F">
      <w:pPr>
        <w:pStyle w:val="59"/>
        <w:ind w:firstLine="480"/>
        <w:rPr>
          <w:rStyle w:val="136"/>
          <w:color w:val="auto"/>
        </w:rPr>
      </w:pPr>
      <w:r>
        <w:rPr>
          <w:rFonts w:hint="eastAsia"/>
          <w:color w:val="auto"/>
        </w:rPr>
        <w:t>固体废物为淋溶水暂存池产生的少量沉渣，拆除暂存池时统一由市政处理。</w:t>
      </w:r>
      <w:bookmarkEnd w:id="161"/>
      <w:r>
        <w:rPr>
          <w:rStyle w:val="136"/>
          <w:color w:val="auto"/>
        </w:rPr>
        <w:t>5.3.5生态环境影响分析</w:t>
      </w:r>
    </w:p>
    <w:p w14:paraId="5F918076">
      <w:pPr>
        <w:pStyle w:val="59"/>
        <w:ind w:firstLine="480"/>
        <w:rPr>
          <w:rFonts w:cs="Times New Roman"/>
          <w:color w:val="auto"/>
        </w:rPr>
      </w:pPr>
      <w:r>
        <w:rPr>
          <w:rFonts w:hint="eastAsia" w:cs="Times New Roman"/>
          <w:color w:val="auto"/>
        </w:rPr>
        <w:t>项目区现状为废弃采坑，本项目回填完成进行土地复垦为</w:t>
      </w:r>
      <w:r>
        <w:rPr>
          <w:rFonts w:cs="Times New Roman"/>
          <w:color w:val="auto"/>
        </w:rPr>
        <w:t>耕地</w:t>
      </w:r>
      <w:r>
        <w:rPr>
          <w:rFonts w:hint="eastAsia" w:cs="Times New Roman"/>
          <w:color w:val="auto"/>
        </w:rPr>
        <w:t>。受影响的土地将逐渐形成新的利用功能，生物组分斑块的空间分布格局逐渐向有利于景观稳定的方向变化，区域内生态系统稳定性将起到积极作用。</w:t>
      </w:r>
    </w:p>
    <w:p w14:paraId="76B8DA16">
      <w:pPr>
        <w:pStyle w:val="59"/>
        <w:ind w:firstLine="480"/>
        <w:rPr>
          <w:rFonts w:cs="Times New Roman"/>
          <w:color w:val="auto"/>
        </w:rPr>
      </w:pPr>
      <w:r>
        <w:rPr>
          <w:rFonts w:hint="eastAsia" w:cs="Times New Roman"/>
          <w:color w:val="auto"/>
        </w:rPr>
        <w:t>生态恢复期为回填复垦结束后耕地的自然恢复期，此阶段由于农药化肥的使用，在降雨的作用下形成地表径流，易造成农业面源污染。因此，应科学施用农药和化肥，大力推广测土配方施肥，增加有机肥施用量，减少化肥用量，提高肥料利用率。</w:t>
      </w:r>
    </w:p>
    <w:p w14:paraId="7294A4AC">
      <w:pPr>
        <w:pStyle w:val="59"/>
        <w:ind w:firstLine="480"/>
        <w:rPr>
          <w:rFonts w:cs="Times New Roman"/>
          <w:color w:val="auto"/>
        </w:rPr>
      </w:pPr>
      <w:r>
        <w:rPr>
          <w:rFonts w:hint="eastAsia" w:cs="Times New Roman"/>
          <w:color w:val="auto"/>
          <w:lang w:eastAsia="zh-CN"/>
        </w:rPr>
        <w:t>灰渣</w:t>
      </w:r>
      <w:r>
        <w:rPr>
          <w:rFonts w:hint="eastAsia" w:cs="Times New Roman"/>
          <w:color w:val="auto"/>
        </w:rPr>
        <w:t>中含有K、Ca、Mg、P等多种营养元素和微量元素，具有一定的肥用价值，可促进作物的生长，缓解土壤酸化，提高土壤的保水保肥性能。本项目的</w:t>
      </w:r>
      <w:r>
        <w:rPr>
          <w:rFonts w:hint="eastAsia" w:cs="Times New Roman"/>
          <w:color w:val="auto"/>
          <w:lang w:eastAsia="zh-CN"/>
        </w:rPr>
        <w:t>灰渣</w:t>
      </w:r>
      <w:r>
        <w:rPr>
          <w:rFonts w:hint="eastAsia" w:cs="Times New Roman"/>
          <w:color w:val="auto"/>
        </w:rPr>
        <w:t>已进行了浸出试验，浸出液中的重金属含量很低，且灰层已上覆80cm有效土层，因此，</w:t>
      </w:r>
      <w:r>
        <w:rPr>
          <w:rFonts w:hint="eastAsia" w:cs="Times New Roman"/>
          <w:color w:val="auto"/>
          <w:lang w:eastAsia="zh-CN"/>
        </w:rPr>
        <w:t>灰渣</w:t>
      </w:r>
      <w:r>
        <w:rPr>
          <w:rFonts w:hint="eastAsia" w:cs="Times New Roman"/>
          <w:color w:val="auto"/>
        </w:rPr>
        <w:t>中成分能被作物根系吸收的部分有限，对作物的生长影响很小，对人体健康的危害很小。</w:t>
      </w:r>
    </w:p>
    <w:p w14:paraId="3D499639">
      <w:pPr>
        <w:pStyle w:val="548"/>
        <w:rPr>
          <w:color w:val="auto"/>
        </w:rPr>
      </w:pPr>
      <w:bookmarkStart w:id="162" w:name="_Toc149054212"/>
      <w:bookmarkStart w:id="163" w:name="_Toc119316808"/>
      <w:r>
        <w:rPr>
          <w:color w:val="auto"/>
        </w:rPr>
        <w:t>5.4环境风险分析</w:t>
      </w:r>
      <w:bookmarkEnd w:id="162"/>
      <w:bookmarkEnd w:id="163"/>
    </w:p>
    <w:p w14:paraId="3E864FC7">
      <w:pPr>
        <w:pStyle w:val="59"/>
        <w:ind w:firstLine="480"/>
        <w:rPr>
          <w:color w:val="auto"/>
        </w:rPr>
      </w:pPr>
      <w:r>
        <w:rPr>
          <w:rFonts w:hint="eastAsia"/>
          <w:color w:val="auto"/>
        </w:rPr>
        <w:t>根据项目所在地气象资料，由于项目区所在区域降雨较少，区域蒸发量远大于降水量。距项目区地表水体为东侧</w:t>
      </w:r>
      <w:r>
        <w:rPr>
          <w:rFonts w:hint="eastAsia"/>
          <w:color w:val="auto"/>
          <w:lang w:val="en-US" w:eastAsia="zh-CN"/>
        </w:rPr>
        <w:t>4</w:t>
      </w:r>
      <w:r>
        <w:rPr>
          <w:color w:val="auto"/>
        </w:rPr>
        <w:t>km</w:t>
      </w:r>
      <w:r>
        <w:rPr>
          <w:rFonts w:hint="eastAsia"/>
          <w:color w:val="auto"/>
        </w:rPr>
        <w:t>的</w:t>
      </w:r>
      <w:r>
        <w:rPr>
          <w:rFonts w:hint="eastAsia"/>
          <w:color w:val="auto"/>
          <w:lang w:eastAsia="zh-CN"/>
        </w:rPr>
        <w:t>三新沟</w:t>
      </w:r>
      <w:r>
        <w:rPr>
          <w:color w:val="auto"/>
        </w:rPr>
        <w:t>，</w:t>
      </w:r>
      <w:r>
        <w:rPr>
          <w:rFonts w:hint="eastAsia"/>
          <w:color w:val="auto"/>
        </w:rPr>
        <w:t>南</w:t>
      </w:r>
      <w:r>
        <w:rPr>
          <w:color w:val="auto"/>
        </w:rPr>
        <w:t>侧</w:t>
      </w:r>
      <w:r>
        <w:rPr>
          <w:rFonts w:hint="eastAsia"/>
          <w:color w:val="auto"/>
          <w:lang w:val="en-US" w:eastAsia="zh-CN"/>
        </w:rPr>
        <w:t>7</w:t>
      </w:r>
      <w:r>
        <w:rPr>
          <w:color w:val="auto"/>
        </w:rPr>
        <w:t>km</w:t>
      </w:r>
      <w:r>
        <w:rPr>
          <w:rFonts w:hint="eastAsia"/>
          <w:color w:val="auto"/>
        </w:rPr>
        <w:t>的穆棱河</w:t>
      </w:r>
      <w:r>
        <w:rPr>
          <w:color w:val="auto"/>
        </w:rPr>
        <w:t>。由于该区域不属于河流、水</w:t>
      </w:r>
      <w:r>
        <w:rPr>
          <w:rFonts w:hint="eastAsia"/>
          <w:color w:val="auto"/>
        </w:rPr>
        <w:t>库等最高水位线以下的滩地和洪泛区，也不属于泄洪区，因此洪水对回填区影响不大。</w:t>
      </w:r>
    </w:p>
    <w:p w14:paraId="704248E5">
      <w:pPr>
        <w:pStyle w:val="59"/>
        <w:ind w:firstLine="480"/>
        <w:rPr>
          <w:color w:val="auto"/>
        </w:rPr>
      </w:pPr>
      <w:r>
        <w:rPr>
          <w:rFonts w:hint="eastAsia"/>
          <w:color w:val="auto"/>
        </w:rPr>
        <w:t>考虑到近年极端天气较频繁，从环保角度考虑，依照国家相关标准和技术规范进行设计及施工，本工程场区四周建设截水沟，场区外的地表降水由截水沟截流，防止雨水进入场区，淋溶水可沉淀后通过洒水车喷洒回用。并且回填区不在当地泄洪通道上，下游</w:t>
      </w:r>
      <w:r>
        <w:rPr>
          <w:color w:val="auto"/>
        </w:rPr>
        <w:t>500</w:t>
      </w:r>
      <w:r>
        <w:rPr>
          <w:rFonts w:hint="eastAsia"/>
          <w:color w:val="auto"/>
        </w:rPr>
        <w:t>m范围内不存在居民，只要及时疏通截水沟，及时导排厂外雨水，发生此风险的可能性极小。</w:t>
      </w:r>
    </w:p>
    <w:p w14:paraId="2ABB12F3">
      <w:pPr>
        <w:pStyle w:val="59"/>
        <w:ind w:firstLine="480"/>
        <w:rPr>
          <w:color w:val="auto"/>
        </w:rPr>
      </w:pPr>
      <w:r>
        <w:rPr>
          <w:rFonts w:hint="eastAsia"/>
          <w:color w:val="auto"/>
        </w:rPr>
        <w:t>由于选址不当或防渗施工及防渗材料不符合技术要求，出现暂存池防渗层断裂，淋溶水将可能对土壤及地下水造成污染。因输送管道材料质量、所采取的防渗防腐措施或人为破坏等原因，导致管道淋溶水收集管道破裂，致使淋溶水泄漏，可能</w:t>
      </w:r>
      <w:r>
        <w:rPr>
          <w:color w:val="auto"/>
        </w:rPr>
        <w:t>会</w:t>
      </w:r>
      <w:r>
        <w:rPr>
          <w:rFonts w:hint="eastAsia"/>
          <w:color w:val="auto"/>
        </w:rPr>
        <w:t>污染土壤及地下水。本项目对</w:t>
      </w:r>
      <w:r>
        <w:rPr>
          <w:color w:val="auto"/>
        </w:rPr>
        <w:t>淋溶水暂存池采取有效的防渗措施，</w:t>
      </w:r>
      <w:r>
        <w:rPr>
          <w:rFonts w:hint="eastAsia"/>
          <w:color w:val="auto"/>
        </w:rPr>
        <w:t>做好淋溶水导排管道的铺设工作，保证其不堵塞、不破裂，正常运转，发生此风险的可能性极小。</w:t>
      </w:r>
    </w:p>
    <w:p w14:paraId="0BFBB566">
      <w:pPr>
        <w:pStyle w:val="59"/>
        <w:ind w:firstLine="480"/>
        <w:rPr>
          <w:color w:val="auto"/>
        </w:rPr>
      </w:pPr>
      <w:r>
        <w:rPr>
          <w:rFonts w:hint="eastAsia"/>
          <w:color w:val="auto"/>
        </w:rPr>
        <w:t>通过以上叙述，本项目环境风险事故可能会对周边环境产生一定的影响，建设单位应采取有效的事故预防和处理措施，加强事故防范力度和处理能力，将环境风险事故对周围环境的影响降至最低。在建设单位认真落实各项风险管理与防范措施，做好事故风险应急预案的前提下，本项目实施的环境风险可被接受。</w:t>
      </w:r>
    </w:p>
    <w:p w14:paraId="21BC0CEB">
      <w:pPr>
        <w:rPr>
          <w:color w:val="auto"/>
        </w:rPr>
      </w:pPr>
    </w:p>
    <w:p w14:paraId="1331B96A">
      <w:pPr>
        <w:rPr>
          <w:color w:val="auto"/>
        </w:rPr>
      </w:pPr>
    </w:p>
    <w:p w14:paraId="782AAFD9">
      <w:pPr>
        <w:rPr>
          <w:color w:val="auto"/>
          <w:kern w:val="0"/>
          <w:sz w:val="32"/>
          <w:szCs w:val="32"/>
        </w:rPr>
        <w:sectPr>
          <w:footerReference r:id="rId8" w:type="default"/>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bookmarkStart w:id="164" w:name="_Toc477954576"/>
      <w:bookmarkStart w:id="165" w:name="_Toc479252821"/>
    </w:p>
    <w:p w14:paraId="36043D5C">
      <w:pPr>
        <w:pStyle w:val="759"/>
        <w:rPr>
          <w:color w:val="auto"/>
        </w:rPr>
      </w:pPr>
      <w:bookmarkStart w:id="166" w:name="_Toc119316809"/>
      <w:bookmarkStart w:id="167" w:name="_Toc149054213"/>
      <w:r>
        <w:rPr>
          <w:color w:val="auto"/>
        </w:rPr>
        <w:t>6环境保护措施及其可行性论证</w:t>
      </w:r>
      <w:bookmarkEnd w:id="164"/>
      <w:bookmarkEnd w:id="165"/>
      <w:bookmarkEnd w:id="166"/>
      <w:bookmarkEnd w:id="167"/>
    </w:p>
    <w:p w14:paraId="0F0ABBDC">
      <w:pPr>
        <w:pStyle w:val="548"/>
        <w:rPr>
          <w:color w:val="auto"/>
        </w:rPr>
      </w:pPr>
      <w:bookmarkStart w:id="168" w:name="_Toc493664702"/>
      <w:bookmarkStart w:id="169" w:name="_Toc149054214"/>
      <w:bookmarkStart w:id="170" w:name="_Toc494017094"/>
      <w:bookmarkStart w:id="171" w:name="_Toc119316810"/>
      <w:r>
        <w:rPr>
          <w:color w:val="auto"/>
        </w:rPr>
        <w:t>6.1施工期环境保护措施</w:t>
      </w:r>
      <w:bookmarkEnd w:id="168"/>
      <w:bookmarkEnd w:id="169"/>
      <w:bookmarkEnd w:id="170"/>
      <w:bookmarkEnd w:id="171"/>
    </w:p>
    <w:p w14:paraId="653F5BB0">
      <w:pPr>
        <w:pStyle w:val="137"/>
        <w:rPr>
          <w:color w:val="auto"/>
        </w:rPr>
      </w:pPr>
      <w:r>
        <w:rPr>
          <w:color w:val="auto"/>
        </w:rPr>
        <w:t>6.1.1施工期大气环境保护措施</w:t>
      </w:r>
    </w:p>
    <w:p w14:paraId="587F073C">
      <w:pPr>
        <w:pStyle w:val="59"/>
        <w:ind w:firstLine="480"/>
        <w:rPr>
          <w:color w:val="auto"/>
        </w:rPr>
      </w:pPr>
      <w:r>
        <w:rPr>
          <w:rFonts w:hint="eastAsia"/>
          <w:color w:val="auto"/>
        </w:rPr>
        <w:t>为使施工过程中产生的施工废气和施工扬尘对周围大气环境的影响降低到最小程度，采取以下防护措施：</w:t>
      </w:r>
    </w:p>
    <w:p w14:paraId="7AA993DA">
      <w:pPr>
        <w:pStyle w:val="59"/>
        <w:ind w:firstLine="480"/>
        <w:rPr>
          <w:color w:val="auto"/>
        </w:rPr>
      </w:pPr>
      <w:r>
        <w:rPr>
          <w:rFonts w:hint="eastAsia"/>
          <w:color w:val="auto"/>
        </w:rPr>
        <w:t>（</w:t>
      </w:r>
      <w:r>
        <w:rPr>
          <w:color w:val="auto"/>
        </w:rPr>
        <w:t>1）加强对施工车辆的检修和维护，严禁使用超期服役和尾气超标的车辆。</w:t>
      </w:r>
      <w:r>
        <w:rPr>
          <w:rFonts w:hint="eastAsia"/>
          <w:color w:val="auto"/>
        </w:rPr>
        <w:t>对施工期进出施工现场车流量进行合理安排，防止施工现场车流量过大。尽可能使用耗油低，排气小的施工车辆，选用优质燃油，减少机械和车辆有害废气排放；</w:t>
      </w:r>
    </w:p>
    <w:p w14:paraId="3B23E5FB">
      <w:pPr>
        <w:pStyle w:val="59"/>
        <w:ind w:firstLine="480"/>
        <w:rPr>
          <w:color w:val="auto"/>
        </w:rPr>
      </w:pPr>
      <w:r>
        <w:rPr>
          <w:rFonts w:hint="eastAsia"/>
          <w:color w:val="auto"/>
        </w:rPr>
        <w:t>（</w:t>
      </w:r>
      <w:r>
        <w:rPr>
          <w:color w:val="auto"/>
        </w:rPr>
        <w:t>2）施工场地四周设置围栏，当起风时，可使影响距离缩短；</w:t>
      </w:r>
    </w:p>
    <w:p w14:paraId="03767097">
      <w:pPr>
        <w:pStyle w:val="59"/>
        <w:ind w:firstLine="480"/>
        <w:rPr>
          <w:color w:val="auto"/>
        </w:rPr>
      </w:pPr>
      <w:r>
        <w:rPr>
          <w:rFonts w:hint="eastAsia"/>
          <w:color w:val="auto"/>
        </w:rPr>
        <w:t>（</w:t>
      </w:r>
      <w:r>
        <w:rPr>
          <w:color w:val="auto"/>
        </w:rPr>
        <w:t>3）对施工场地内松散、干涸的表土，经常洒水防止扬尘；</w:t>
      </w:r>
    </w:p>
    <w:p w14:paraId="3B4283FA">
      <w:pPr>
        <w:pStyle w:val="59"/>
        <w:ind w:firstLine="480"/>
        <w:rPr>
          <w:color w:val="auto"/>
        </w:rPr>
      </w:pPr>
      <w:r>
        <w:rPr>
          <w:rFonts w:hint="eastAsia"/>
          <w:color w:val="auto"/>
        </w:rPr>
        <w:t>（</w:t>
      </w:r>
      <w:r>
        <w:rPr>
          <w:color w:val="auto"/>
        </w:rPr>
        <w:t>4）加强回填土方堆放的管理，采取土方表面压实、定期喷水、覆盖等</w:t>
      </w:r>
      <w:r>
        <w:rPr>
          <w:rFonts w:hint="eastAsia"/>
          <w:color w:val="auto"/>
        </w:rPr>
        <w:t>措施；</w:t>
      </w:r>
    </w:p>
    <w:p w14:paraId="1FCA3FFA">
      <w:pPr>
        <w:pStyle w:val="59"/>
        <w:ind w:firstLine="480"/>
        <w:rPr>
          <w:color w:val="auto"/>
        </w:rPr>
      </w:pPr>
      <w:r>
        <w:rPr>
          <w:rFonts w:hint="eastAsia"/>
          <w:color w:val="auto"/>
        </w:rPr>
        <w:t>（</w:t>
      </w:r>
      <w:r>
        <w:rPr>
          <w:color w:val="auto"/>
        </w:rPr>
        <w:t>5）施工前对进厂车辆应限制车速，进出道路定时适量洒水，</w:t>
      </w:r>
      <w:r>
        <w:rPr>
          <w:rFonts w:hint="eastAsia"/>
          <w:color w:val="auto"/>
        </w:rPr>
        <w:t>减少行驶产生的扬尘；</w:t>
      </w:r>
    </w:p>
    <w:p w14:paraId="465CE29B">
      <w:pPr>
        <w:pStyle w:val="59"/>
        <w:ind w:firstLine="480"/>
        <w:rPr>
          <w:color w:val="auto"/>
        </w:rPr>
      </w:pPr>
      <w:r>
        <w:rPr>
          <w:rFonts w:hint="eastAsia"/>
          <w:color w:val="auto"/>
        </w:rPr>
        <w:t>（</w:t>
      </w:r>
      <w:r>
        <w:rPr>
          <w:color w:val="auto"/>
        </w:rPr>
        <w:t>6）加强运输管理，如散货车不得超高超载、使用有盖的运输车辆，以免</w:t>
      </w:r>
      <w:r>
        <w:rPr>
          <w:rFonts w:hint="eastAsia"/>
          <w:color w:val="auto"/>
        </w:rPr>
        <w:t>车辆颠簸物料洒出；散装物料在装卸、运输过程中要用隔板阻挡以防止物料</w:t>
      </w:r>
      <w:r>
        <w:rPr>
          <w:rFonts w:hint="eastAsia"/>
          <w:color w:val="auto"/>
          <w:lang w:eastAsia="zh-CN"/>
        </w:rPr>
        <w:t>洒落</w:t>
      </w:r>
      <w:r>
        <w:rPr>
          <w:rFonts w:hint="eastAsia"/>
          <w:color w:val="auto"/>
        </w:rPr>
        <w:t>；堆放物料的露天堆场要遮盖；坚持文明装卸；</w:t>
      </w:r>
    </w:p>
    <w:p w14:paraId="2F7410AB">
      <w:pPr>
        <w:pStyle w:val="59"/>
        <w:ind w:firstLine="480"/>
        <w:rPr>
          <w:color w:val="auto"/>
        </w:rPr>
      </w:pPr>
      <w:r>
        <w:rPr>
          <w:rFonts w:hint="eastAsia"/>
          <w:color w:val="auto"/>
        </w:rPr>
        <w:t>在采取上述措施的前提下，施工废气和施工扬尘对周围环境的影响可降至最低，由于项目施工期较短，对大气环境的影响是有限的。</w:t>
      </w:r>
    </w:p>
    <w:p w14:paraId="19388E9A">
      <w:pPr>
        <w:pStyle w:val="137"/>
        <w:rPr>
          <w:color w:val="auto"/>
        </w:rPr>
      </w:pPr>
      <w:r>
        <w:rPr>
          <w:color w:val="auto"/>
        </w:rPr>
        <w:t>6.1.2施工期水环境保护措施</w:t>
      </w:r>
    </w:p>
    <w:p w14:paraId="2E8F183E">
      <w:pPr>
        <w:pStyle w:val="59"/>
        <w:ind w:firstLine="480"/>
        <w:rPr>
          <w:color w:val="auto"/>
        </w:rPr>
      </w:pPr>
      <w:r>
        <w:rPr>
          <w:color w:val="auto"/>
        </w:rPr>
        <w:t>施工期废水主要为生活污水</w:t>
      </w:r>
      <w:r>
        <w:rPr>
          <w:rFonts w:hint="eastAsia"/>
          <w:color w:val="auto"/>
        </w:rPr>
        <w:t>、</w:t>
      </w:r>
      <w:r>
        <w:rPr>
          <w:color w:val="auto"/>
        </w:rPr>
        <w:t>施工废水。</w:t>
      </w:r>
    </w:p>
    <w:p w14:paraId="5AB90A38">
      <w:pPr>
        <w:pStyle w:val="59"/>
        <w:ind w:firstLine="480"/>
        <w:rPr>
          <w:color w:val="auto"/>
        </w:rPr>
      </w:pPr>
      <w:r>
        <w:rPr>
          <w:rFonts w:hint="eastAsia"/>
          <w:color w:val="auto"/>
        </w:rPr>
        <w:t>1</w:t>
      </w:r>
      <w:r>
        <w:rPr>
          <w:color w:val="auto"/>
        </w:rPr>
        <w:t>、施工人员生活污水主要污染物为pH、氨氮、SS、COD及BOD</w:t>
      </w:r>
      <w:r>
        <w:rPr>
          <w:color w:val="auto"/>
          <w:vertAlign w:val="subscript"/>
        </w:rPr>
        <w:t>5</w:t>
      </w:r>
      <w:r>
        <w:rPr>
          <w:color w:val="auto"/>
        </w:rPr>
        <w:t>，生活污水排入防渗旱厕，定期清掏，外运堆肥，可保证本项目施工期生活污水不外排，对环境影响很小</w:t>
      </w:r>
      <w:r>
        <w:rPr>
          <w:rFonts w:hint="eastAsia"/>
          <w:color w:val="auto"/>
        </w:rPr>
        <w:t>。</w:t>
      </w:r>
    </w:p>
    <w:p w14:paraId="220D91F5">
      <w:pPr>
        <w:pStyle w:val="59"/>
        <w:ind w:firstLine="480"/>
        <w:rPr>
          <w:color w:val="auto"/>
        </w:rPr>
      </w:pPr>
      <w:r>
        <w:rPr>
          <w:rFonts w:hint="eastAsia"/>
          <w:color w:val="auto"/>
        </w:rPr>
        <w:t>2、施工过程中产生的施工废水</w:t>
      </w:r>
      <w:r>
        <w:rPr>
          <w:color w:val="auto"/>
        </w:rPr>
        <w:t>主要污染物为SS</w:t>
      </w:r>
      <w:r>
        <w:rPr>
          <w:rFonts w:hint="eastAsia"/>
          <w:color w:val="auto"/>
        </w:rPr>
        <w:t>，沉淀后用于</w:t>
      </w:r>
      <w:r>
        <w:rPr>
          <w:color w:val="auto"/>
        </w:rPr>
        <w:t>洒水抑尘，不外排。</w:t>
      </w:r>
    </w:p>
    <w:p w14:paraId="4BA379C4">
      <w:pPr>
        <w:pStyle w:val="59"/>
        <w:ind w:firstLine="480"/>
        <w:rPr>
          <w:color w:val="auto"/>
        </w:rPr>
      </w:pPr>
      <w:r>
        <w:rPr>
          <w:color w:val="auto"/>
          <w:kern w:val="0"/>
        </w:rPr>
        <w:t>本项目采取的环保措施可行。</w:t>
      </w:r>
    </w:p>
    <w:p w14:paraId="1E5FCA19">
      <w:pPr>
        <w:pStyle w:val="137"/>
        <w:rPr>
          <w:color w:val="auto"/>
        </w:rPr>
      </w:pPr>
      <w:r>
        <w:rPr>
          <w:color w:val="auto"/>
        </w:rPr>
        <w:t>6.1.3施工期声环境保护措施</w:t>
      </w:r>
    </w:p>
    <w:p w14:paraId="0AFC01DA">
      <w:pPr>
        <w:pStyle w:val="59"/>
        <w:ind w:firstLine="480"/>
        <w:rPr>
          <w:color w:val="auto"/>
        </w:rPr>
      </w:pPr>
      <w:r>
        <w:rPr>
          <w:color w:val="auto"/>
        </w:rPr>
        <w:t>项目施工期噪声主要来源于施工机械噪声和运输车辆噪声。</w:t>
      </w:r>
    </w:p>
    <w:p w14:paraId="2A6687D2">
      <w:pPr>
        <w:pStyle w:val="59"/>
        <w:ind w:firstLine="480"/>
        <w:rPr>
          <w:color w:val="auto"/>
        </w:rPr>
      </w:pPr>
      <w:r>
        <w:rPr>
          <w:color w:val="auto"/>
        </w:rPr>
        <w:t>针对建筑施工露天作业，流动性和间歇性较强，对各生产环节中的噪声治理具有一定难度的特点，因此对一些重点噪声设备和声源，提出下面一些治理措施和建议：</w:t>
      </w:r>
    </w:p>
    <w:p w14:paraId="5D53B59F">
      <w:pPr>
        <w:pStyle w:val="59"/>
        <w:ind w:firstLine="480"/>
        <w:rPr>
          <w:color w:val="auto"/>
        </w:rPr>
      </w:pPr>
      <w:r>
        <w:rPr>
          <w:color w:val="auto"/>
        </w:rPr>
        <w:t>1、合理安排施工时间（晚间22:00-6:00）严禁高噪声设备施工，尽量避免高噪声设备同时运行。</w:t>
      </w:r>
    </w:p>
    <w:p w14:paraId="7EFCF430">
      <w:pPr>
        <w:pStyle w:val="59"/>
        <w:ind w:firstLine="480"/>
        <w:rPr>
          <w:color w:val="auto"/>
        </w:rPr>
      </w:pPr>
      <w:r>
        <w:rPr>
          <w:rFonts w:hint="eastAsia"/>
          <w:color w:val="auto"/>
        </w:rPr>
        <w:t>2</w:t>
      </w:r>
      <w:r>
        <w:rPr>
          <w:color w:val="auto"/>
        </w:rPr>
        <w:t>、优先选用低噪声设备，做好施工机械的维护和保养，有效降低机械设备运转时噪声源强。</w:t>
      </w:r>
    </w:p>
    <w:p w14:paraId="3BC4194F">
      <w:pPr>
        <w:pStyle w:val="59"/>
        <w:ind w:firstLine="480"/>
        <w:rPr>
          <w:color w:val="auto"/>
        </w:rPr>
      </w:pPr>
      <w:r>
        <w:rPr>
          <w:rFonts w:hint="eastAsia"/>
          <w:color w:val="auto"/>
        </w:rPr>
        <w:t>3</w:t>
      </w:r>
      <w:r>
        <w:rPr>
          <w:color w:val="auto"/>
        </w:rPr>
        <w:t>、加强运输车辆管理，严禁超速超载。</w:t>
      </w:r>
    </w:p>
    <w:p w14:paraId="5E0D9D9D">
      <w:pPr>
        <w:pStyle w:val="59"/>
        <w:ind w:firstLine="480"/>
        <w:rPr>
          <w:color w:val="auto"/>
        </w:rPr>
      </w:pPr>
      <w:r>
        <w:rPr>
          <w:color w:val="auto"/>
        </w:rPr>
        <w:t>经采取上述噪声防治措施后，能大大降低施工噪声对周围环境的影响。施工期噪声污染是短暂的，暂时的，一旦施工期结束，施工噪声即随之消失。</w:t>
      </w:r>
    </w:p>
    <w:p w14:paraId="5C53B7AD">
      <w:pPr>
        <w:pStyle w:val="137"/>
        <w:rPr>
          <w:color w:val="auto"/>
        </w:rPr>
      </w:pPr>
      <w:r>
        <w:rPr>
          <w:color w:val="auto"/>
        </w:rPr>
        <w:t>6.1.4施工期固体废物处置措施</w:t>
      </w:r>
    </w:p>
    <w:p w14:paraId="1D82388D">
      <w:pPr>
        <w:pStyle w:val="59"/>
        <w:ind w:firstLine="480"/>
        <w:rPr>
          <w:color w:val="auto"/>
          <w:szCs w:val="22"/>
        </w:rPr>
      </w:pPr>
      <w:r>
        <w:rPr>
          <w:color w:val="auto"/>
          <w:szCs w:val="22"/>
        </w:rPr>
        <w:t>固体废物主要</w:t>
      </w:r>
      <w:r>
        <w:rPr>
          <w:rFonts w:hint="eastAsia"/>
          <w:color w:val="auto"/>
          <w:szCs w:val="22"/>
        </w:rPr>
        <w:t>为暂存池和排水沟</w:t>
      </w:r>
      <w:r>
        <w:rPr>
          <w:color w:val="auto"/>
          <w:szCs w:val="22"/>
        </w:rPr>
        <w:t>开挖产生的</w:t>
      </w:r>
      <w:r>
        <w:rPr>
          <w:rFonts w:hint="eastAsia"/>
          <w:color w:val="auto"/>
          <w:szCs w:val="22"/>
        </w:rPr>
        <w:t>土方、建筑</w:t>
      </w:r>
      <w:r>
        <w:rPr>
          <w:color w:val="auto"/>
          <w:szCs w:val="22"/>
        </w:rPr>
        <w:t>废弃物、</w:t>
      </w:r>
      <w:r>
        <w:rPr>
          <w:rFonts w:hint="eastAsia"/>
          <w:color w:val="auto"/>
          <w:szCs w:val="22"/>
        </w:rPr>
        <w:t>清基杂物</w:t>
      </w:r>
      <w:r>
        <w:rPr>
          <w:color w:val="auto"/>
          <w:szCs w:val="22"/>
        </w:rPr>
        <w:t>和生活垃圾。</w:t>
      </w:r>
    </w:p>
    <w:p w14:paraId="49DC3C81">
      <w:pPr>
        <w:pStyle w:val="59"/>
        <w:ind w:firstLine="480"/>
        <w:rPr>
          <w:color w:val="auto"/>
        </w:rPr>
      </w:pPr>
      <w:r>
        <w:rPr>
          <w:color w:val="auto"/>
        </w:rPr>
        <w:t>施工单位应遵照当地建筑垃圾管理办法进行处置，把产生的建筑垃圾充分、合理的利用起来，贯彻变“废”为“宝”和清洁生产的理念。建筑材料下脚料、包装袋等建筑废弃物，外售废品回收部门；</w:t>
      </w:r>
      <w:r>
        <w:rPr>
          <w:rFonts w:hint="eastAsia"/>
          <w:color w:val="auto"/>
          <w:szCs w:val="22"/>
        </w:rPr>
        <w:t>开挖土方作为防渗工程用土回填，无弃方；</w:t>
      </w:r>
      <w:r>
        <w:rPr>
          <w:color w:val="auto"/>
        </w:rPr>
        <w:t>生活垃圾</w:t>
      </w:r>
      <w:r>
        <w:rPr>
          <w:rFonts w:hint="eastAsia"/>
          <w:color w:val="auto"/>
        </w:rPr>
        <w:t>和清基杂物</w:t>
      </w:r>
      <w:r>
        <w:rPr>
          <w:color w:val="auto"/>
        </w:rPr>
        <w:t>集中收集后由市政统一处理</w:t>
      </w:r>
      <w:r>
        <w:rPr>
          <w:rFonts w:hint="eastAsia"/>
          <w:color w:val="auto"/>
        </w:rPr>
        <w:t>。</w:t>
      </w:r>
      <w:r>
        <w:rPr>
          <w:color w:val="auto"/>
        </w:rPr>
        <w:t xml:space="preserve"> </w:t>
      </w:r>
    </w:p>
    <w:p w14:paraId="6C1797E3">
      <w:pPr>
        <w:pStyle w:val="59"/>
        <w:ind w:firstLine="480"/>
        <w:rPr>
          <w:color w:val="auto"/>
        </w:rPr>
      </w:pPr>
      <w:r>
        <w:rPr>
          <w:color w:val="auto"/>
        </w:rPr>
        <w:t>采取上述措施，本项目施工期产生的固废处置率100%，不会对环境产生明显影响，施工期固体废物处置措施可行。</w:t>
      </w:r>
    </w:p>
    <w:p w14:paraId="26566474">
      <w:pPr>
        <w:pStyle w:val="137"/>
        <w:rPr>
          <w:color w:val="auto"/>
        </w:rPr>
      </w:pPr>
      <w:r>
        <w:rPr>
          <w:color w:val="auto"/>
        </w:rPr>
        <w:t>6.1.5施工期生态保护措施</w:t>
      </w:r>
    </w:p>
    <w:p w14:paraId="5AABE237">
      <w:pPr>
        <w:pStyle w:val="59"/>
        <w:ind w:firstLine="480"/>
        <w:rPr>
          <w:color w:val="auto"/>
        </w:rPr>
      </w:pPr>
      <w:bookmarkStart w:id="172" w:name="_Toc119316811"/>
      <w:r>
        <w:rPr>
          <w:rFonts w:hint="eastAsia"/>
          <w:color w:val="auto"/>
        </w:rPr>
        <w:t>为有效控制施工活动的不良影响，维护区域生态环境，施工期间采取以下生态保护措施：</w:t>
      </w:r>
    </w:p>
    <w:p w14:paraId="655B9285">
      <w:pPr>
        <w:pStyle w:val="59"/>
        <w:ind w:firstLine="480"/>
        <w:rPr>
          <w:color w:val="auto"/>
        </w:rPr>
      </w:pPr>
      <w:r>
        <w:rPr>
          <w:rFonts w:hint="eastAsia"/>
          <w:color w:val="auto"/>
        </w:rPr>
        <w:t>（</w:t>
      </w:r>
      <w:r>
        <w:rPr>
          <w:color w:val="auto"/>
        </w:rPr>
        <w:t>1）</w:t>
      </w:r>
      <w:r>
        <w:rPr>
          <w:rFonts w:hint="eastAsia"/>
          <w:color w:val="auto"/>
        </w:rPr>
        <w:t>水土流失防止措施</w:t>
      </w:r>
    </w:p>
    <w:p w14:paraId="229975C6">
      <w:pPr>
        <w:pStyle w:val="59"/>
        <w:ind w:firstLine="480"/>
        <w:rPr>
          <w:color w:val="auto"/>
        </w:rPr>
      </w:pPr>
      <w:r>
        <w:rPr>
          <w:rFonts w:hint="eastAsia"/>
          <w:color w:val="auto"/>
        </w:rPr>
        <w:t>开挖土方设置临时堆放场地，挖、填施工产生的开挖土石就近用于填方段；保存临时占地的表层熟土，为植被恢复提供良好的土壤。临时占地在施工前也应保存好熟化土，施工结束后及时平整场地、覆盖熟化土以恢复周边植被。</w:t>
      </w:r>
    </w:p>
    <w:p w14:paraId="71C4D283">
      <w:pPr>
        <w:pStyle w:val="59"/>
        <w:ind w:firstLine="480"/>
        <w:rPr>
          <w:color w:val="auto"/>
        </w:rPr>
      </w:pPr>
      <w:r>
        <w:rPr>
          <w:rFonts w:hint="eastAsia"/>
          <w:color w:val="auto"/>
        </w:rPr>
        <w:t>（2）植被保护措施</w:t>
      </w:r>
    </w:p>
    <w:p w14:paraId="78BAB5D0">
      <w:pPr>
        <w:pStyle w:val="59"/>
        <w:ind w:firstLine="480"/>
        <w:rPr>
          <w:color w:val="auto"/>
        </w:rPr>
      </w:pPr>
      <w:r>
        <w:rPr>
          <w:rFonts w:hint="eastAsia"/>
          <w:color w:val="auto"/>
        </w:rPr>
        <w:t>施工过程中严格控制施工占地，尤其是临时占地，不能超出界限，避免对施工范围之外区域的植被造成碾压和破坏。</w:t>
      </w:r>
    </w:p>
    <w:p w14:paraId="22C05E66">
      <w:pPr>
        <w:pStyle w:val="59"/>
        <w:ind w:firstLine="480"/>
        <w:rPr>
          <w:color w:val="auto"/>
        </w:rPr>
      </w:pPr>
      <w:r>
        <w:rPr>
          <w:rFonts w:hint="eastAsia"/>
          <w:color w:val="auto"/>
        </w:rPr>
        <w:t>（</w:t>
      </w:r>
      <w:r>
        <w:rPr>
          <w:color w:val="auto"/>
        </w:rPr>
        <w:t>3</w:t>
      </w:r>
      <w:r>
        <w:rPr>
          <w:rFonts w:hint="eastAsia"/>
          <w:color w:val="auto"/>
        </w:rPr>
        <w:t>）野生动物保护措施</w:t>
      </w:r>
    </w:p>
    <w:p w14:paraId="6B86FF89">
      <w:pPr>
        <w:pStyle w:val="59"/>
        <w:ind w:firstLine="480"/>
        <w:rPr>
          <w:bCs/>
          <w:color w:val="auto"/>
        </w:rPr>
      </w:pPr>
      <w:r>
        <w:rPr>
          <w:rFonts w:hint="eastAsia"/>
          <w:color w:val="auto"/>
        </w:rPr>
        <w:t>合理安排，科学组织施工。为了减少工程施工噪声对野生动物的惊扰，应做好施工方式和时间的计划，并力求避免在晨昏和正午进行噪声较大的施工活动，禁止夜间施工。</w:t>
      </w:r>
    </w:p>
    <w:p w14:paraId="3E5CF960">
      <w:pPr>
        <w:pStyle w:val="548"/>
        <w:rPr>
          <w:color w:val="auto"/>
        </w:rPr>
      </w:pPr>
      <w:bookmarkStart w:id="173" w:name="_Toc149054215"/>
      <w:r>
        <w:rPr>
          <w:rFonts w:hint="eastAsia"/>
          <w:color w:val="auto"/>
        </w:rPr>
        <w:t>6.2回填复垦期环境保护措施及其可行性论证</w:t>
      </w:r>
      <w:bookmarkEnd w:id="172"/>
      <w:bookmarkEnd w:id="173"/>
    </w:p>
    <w:p w14:paraId="4FC75F6F">
      <w:pPr>
        <w:pStyle w:val="137"/>
        <w:rPr>
          <w:color w:val="auto"/>
        </w:rPr>
      </w:pPr>
      <w:r>
        <w:rPr>
          <w:color w:val="auto"/>
        </w:rPr>
        <w:t>6.2.1大气环境保护措施及其可行性论证</w:t>
      </w:r>
    </w:p>
    <w:p w14:paraId="7E9D0187">
      <w:pPr>
        <w:pStyle w:val="137"/>
        <w:rPr>
          <w:color w:val="auto"/>
        </w:rPr>
      </w:pPr>
      <w:r>
        <w:rPr>
          <w:rFonts w:hint="eastAsia"/>
          <w:color w:val="auto"/>
        </w:rPr>
        <w:t>6</w:t>
      </w:r>
      <w:r>
        <w:rPr>
          <w:color w:val="auto"/>
        </w:rPr>
        <w:t>.2.1</w:t>
      </w:r>
      <w:r>
        <w:rPr>
          <w:rFonts w:hint="eastAsia"/>
          <w:color w:val="auto"/>
        </w:rPr>
        <w:t>大气污染防治措施</w:t>
      </w:r>
    </w:p>
    <w:p w14:paraId="5BC06BF3">
      <w:pPr>
        <w:pStyle w:val="135"/>
        <w:rPr>
          <w:color w:val="auto"/>
        </w:rPr>
      </w:pPr>
      <w:r>
        <w:rPr>
          <w:rFonts w:hint="eastAsia"/>
          <w:color w:val="auto"/>
        </w:rPr>
        <w:t>6</w:t>
      </w:r>
      <w:r>
        <w:rPr>
          <w:color w:val="auto"/>
        </w:rPr>
        <w:t>.2.1.1</w:t>
      </w:r>
      <w:r>
        <w:rPr>
          <w:rFonts w:hint="eastAsia"/>
          <w:color w:val="auto"/>
        </w:rPr>
        <w:t>回填区</w:t>
      </w:r>
      <w:r>
        <w:rPr>
          <w:color w:val="auto"/>
        </w:rPr>
        <w:t>扬尘的防治</w:t>
      </w:r>
    </w:p>
    <w:p w14:paraId="368787CD">
      <w:pPr>
        <w:pStyle w:val="59"/>
        <w:ind w:firstLine="480"/>
        <w:rPr>
          <w:color w:val="auto"/>
        </w:rPr>
      </w:pPr>
      <w:r>
        <w:rPr>
          <w:rFonts w:hint="eastAsia"/>
          <w:color w:val="auto"/>
        </w:rPr>
        <w:t>1、回填区管理</w:t>
      </w:r>
    </w:p>
    <w:p w14:paraId="36715664">
      <w:pPr>
        <w:pStyle w:val="59"/>
        <w:ind w:firstLine="480"/>
        <w:rPr>
          <w:color w:val="auto"/>
        </w:rPr>
      </w:pPr>
      <w:r>
        <w:rPr>
          <w:rFonts w:hint="eastAsia"/>
          <w:color w:val="auto"/>
        </w:rPr>
        <w:t>采用全封闭式专用密闭运输汽车，将掺合一定水分的</w:t>
      </w:r>
      <w:r>
        <w:rPr>
          <w:rFonts w:hint="eastAsia"/>
          <w:color w:val="auto"/>
          <w:lang w:eastAsia="zh-CN"/>
        </w:rPr>
        <w:t>灰渣</w:t>
      </w:r>
      <w:r>
        <w:rPr>
          <w:rFonts w:hint="eastAsia"/>
          <w:color w:val="auto"/>
        </w:rPr>
        <w:t>，从厂区直接运入回填区；</w:t>
      </w:r>
      <w:r>
        <w:rPr>
          <w:rFonts w:hint="eastAsia"/>
          <w:color w:val="auto"/>
          <w:lang w:eastAsia="zh-CN"/>
        </w:rPr>
        <w:t>灰渣</w:t>
      </w:r>
      <w:r>
        <w:rPr>
          <w:rFonts w:hint="eastAsia"/>
          <w:color w:val="auto"/>
        </w:rPr>
        <w:t>卸车后，采用推土机推摊铺平；紧接着采用压实机碾压，堆而填之。管理人员可根据当地的气候变化规律，找出适合本工程的喷洒水规律，建立制度，控制回填作业扬尘。</w:t>
      </w:r>
    </w:p>
    <w:p w14:paraId="44973147">
      <w:pPr>
        <w:pStyle w:val="59"/>
        <w:ind w:firstLine="480"/>
        <w:rPr>
          <w:color w:val="auto"/>
        </w:rPr>
      </w:pPr>
      <w:r>
        <w:rPr>
          <w:rFonts w:hint="eastAsia"/>
          <w:color w:val="auto"/>
          <w:lang w:eastAsia="zh-CN"/>
        </w:rPr>
        <w:t>灰渣</w:t>
      </w:r>
      <w:r>
        <w:rPr>
          <w:rFonts w:hint="eastAsia"/>
          <w:color w:val="auto"/>
        </w:rPr>
        <w:t>必须做到随倒随压，避免碾压不及时或未进行保湿时，风吹扬尘造成二次污染。分区分单元分层作业，单元面积</w:t>
      </w:r>
      <w:r>
        <w:rPr>
          <w:rFonts w:hint="eastAsia"/>
          <w:color w:val="auto"/>
          <w:lang w:val="en-US" w:eastAsia="zh-CN"/>
        </w:rPr>
        <w:t>400</w:t>
      </w:r>
      <w:r>
        <w:rPr>
          <w:rFonts w:hint="eastAsia"/>
          <w:color w:val="auto"/>
        </w:rPr>
        <w:t>m</w:t>
      </w:r>
      <w:r>
        <w:rPr>
          <w:color w:val="auto"/>
          <w:vertAlign w:val="superscript"/>
        </w:rPr>
        <w:t>2</w:t>
      </w:r>
      <w:r>
        <w:rPr>
          <w:rFonts w:hint="eastAsia"/>
          <w:color w:val="auto"/>
        </w:rPr>
        <w:t>，作业时作业单元周边设置围挡，</w:t>
      </w:r>
      <w:bookmarkStart w:id="174" w:name="_Hlk139980044"/>
      <w:r>
        <w:rPr>
          <w:rFonts w:hint="eastAsia"/>
          <w:color w:val="auto"/>
        </w:rPr>
        <w:t>高度不小于1</w:t>
      </w:r>
      <w:r>
        <w:rPr>
          <w:color w:val="auto"/>
        </w:rPr>
        <w:t>.8</w:t>
      </w:r>
      <w:r>
        <w:rPr>
          <w:rFonts w:hint="eastAsia"/>
          <w:color w:val="auto"/>
        </w:rPr>
        <w:t>m，</w:t>
      </w:r>
      <w:bookmarkEnd w:id="174"/>
      <w:r>
        <w:rPr>
          <w:rFonts w:hint="eastAsia"/>
          <w:color w:val="auto"/>
        </w:rPr>
        <w:t>对每日回填完成的作业单元进行及时苫布覆盖，非作业面以及已碾实的</w:t>
      </w:r>
      <w:r>
        <w:rPr>
          <w:rFonts w:hint="eastAsia"/>
          <w:color w:val="auto"/>
          <w:lang w:eastAsia="zh-CN"/>
        </w:rPr>
        <w:t>灰渣</w:t>
      </w:r>
      <w:r>
        <w:rPr>
          <w:rFonts w:hint="eastAsia"/>
          <w:color w:val="auto"/>
        </w:rPr>
        <w:t>表面采用苫布覆盖。</w:t>
      </w:r>
    </w:p>
    <w:p w14:paraId="1FFCA541">
      <w:pPr>
        <w:pStyle w:val="59"/>
        <w:ind w:firstLine="480"/>
        <w:rPr>
          <w:color w:val="auto"/>
        </w:rPr>
      </w:pPr>
      <w:r>
        <w:rPr>
          <w:rFonts w:hint="eastAsia"/>
          <w:color w:val="auto"/>
        </w:rPr>
        <w:t>为减轻卸车时产生的灰尘对大气环境的影响，应注意控制卸车时的速度，在干燥天气，应配备水车，边卸车边适当洒水，减少灰尘飞扬。</w:t>
      </w:r>
    </w:p>
    <w:p w14:paraId="0BF9BD99">
      <w:pPr>
        <w:pStyle w:val="59"/>
        <w:ind w:firstLine="480"/>
        <w:rPr>
          <w:color w:val="auto"/>
        </w:rPr>
      </w:pPr>
      <w:r>
        <w:rPr>
          <w:rFonts w:hint="eastAsia"/>
          <w:color w:val="auto"/>
        </w:rPr>
        <w:t>回填区运行管理中应建立严格的质量保证体系，对碾压</w:t>
      </w:r>
      <w:r>
        <w:rPr>
          <w:rFonts w:hint="eastAsia"/>
          <w:color w:val="auto"/>
          <w:lang w:eastAsia="zh-CN"/>
        </w:rPr>
        <w:t>灰渣</w:t>
      </w:r>
      <w:r>
        <w:rPr>
          <w:rFonts w:hint="eastAsia"/>
          <w:color w:val="auto"/>
        </w:rPr>
        <w:t>的干容量、含水量、喷洒质量、设备完好率、回填设施的安全进行检测和检查。</w:t>
      </w:r>
    </w:p>
    <w:p w14:paraId="62D568FC">
      <w:pPr>
        <w:pStyle w:val="59"/>
        <w:ind w:firstLine="480"/>
        <w:rPr>
          <w:color w:val="auto"/>
        </w:rPr>
      </w:pPr>
      <w:r>
        <w:rPr>
          <w:rFonts w:hint="eastAsia"/>
          <w:color w:val="auto"/>
        </w:rPr>
        <w:t>制定严格的回填区回填作业的运行规章制度，加强岗前和岗中培训，培养工作人员的高度责任心和环保意识。加强回填区的运行管理和环境管理，建立管理制度，严格按规程操作，在现场要有专人管理，加强扬尘的监视和防治。</w:t>
      </w:r>
    </w:p>
    <w:p w14:paraId="6BD9A4B9">
      <w:pPr>
        <w:pStyle w:val="59"/>
        <w:ind w:firstLine="480"/>
        <w:rPr>
          <w:color w:val="auto"/>
        </w:rPr>
      </w:pPr>
      <w:r>
        <w:rPr>
          <w:rFonts w:hint="eastAsia"/>
          <w:color w:val="auto"/>
        </w:rPr>
        <w:t>与当地气象部门建立合作关系，根据中期和近期的大风预报情况制订并调整回填作业运作程序。当风力大于四级时，当停止本项目的</w:t>
      </w:r>
      <w:r>
        <w:rPr>
          <w:rFonts w:hint="eastAsia"/>
          <w:color w:val="auto"/>
          <w:lang w:eastAsia="zh-CN"/>
        </w:rPr>
        <w:t>灰渣</w:t>
      </w:r>
      <w:r>
        <w:rPr>
          <w:rFonts w:hint="eastAsia"/>
          <w:color w:val="auto"/>
        </w:rPr>
        <w:t>等的运输，同时暂停本项目回填运作，并在大风来临之前加强回填区域洒水作业，并提前对回填单元进行遮盖；在大风期间，要缩短洒水的时间间隔，适当增加调湿干灰的水量，以防扬尘的发生。</w:t>
      </w:r>
    </w:p>
    <w:p w14:paraId="223A77E4">
      <w:pPr>
        <w:pStyle w:val="59"/>
        <w:ind w:firstLine="480"/>
        <w:rPr>
          <w:color w:val="auto"/>
        </w:rPr>
      </w:pPr>
      <w:r>
        <w:rPr>
          <w:rFonts w:hint="eastAsia"/>
          <w:color w:val="auto"/>
        </w:rPr>
        <w:t>在大风、干燥季节来临前，回填区应备用苫布等遮盖物，以便于在大风、干燥季节对未进行碾压的</w:t>
      </w:r>
      <w:r>
        <w:rPr>
          <w:rFonts w:hint="eastAsia"/>
          <w:color w:val="auto"/>
          <w:lang w:eastAsia="zh-CN"/>
        </w:rPr>
        <w:t>灰渣</w:t>
      </w:r>
      <w:r>
        <w:rPr>
          <w:rFonts w:hint="eastAsia"/>
          <w:color w:val="auto"/>
        </w:rPr>
        <w:t>等临时苫护，避免扬尘的产生。</w:t>
      </w:r>
    </w:p>
    <w:p w14:paraId="4964E336">
      <w:pPr>
        <w:pStyle w:val="59"/>
        <w:ind w:firstLine="480"/>
        <w:rPr>
          <w:color w:val="auto"/>
        </w:rPr>
      </w:pPr>
      <w:r>
        <w:rPr>
          <w:rFonts w:hint="eastAsia"/>
          <w:color w:val="auto"/>
        </w:rPr>
        <w:t>在回填区下风向设监测点，定期对总悬浮微粒进行监测，为环境管理提供数据。</w:t>
      </w:r>
    </w:p>
    <w:p w14:paraId="36BB122B">
      <w:pPr>
        <w:pStyle w:val="59"/>
        <w:ind w:firstLine="480"/>
        <w:rPr>
          <w:color w:val="auto"/>
        </w:rPr>
      </w:pPr>
      <w:r>
        <w:rPr>
          <w:rFonts w:hint="eastAsia"/>
          <w:color w:val="auto"/>
        </w:rPr>
        <w:t>2、回填区洒水</w:t>
      </w:r>
    </w:p>
    <w:p w14:paraId="1CF6A02C">
      <w:pPr>
        <w:pStyle w:val="59"/>
        <w:ind w:firstLine="480"/>
        <w:rPr>
          <w:color w:val="auto"/>
        </w:rPr>
      </w:pPr>
      <w:r>
        <w:rPr>
          <w:rFonts w:hint="eastAsia"/>
          <w:color w:val="auto"/>
        </w:rPr>
        <w:t>洒水是抑制扬尘的重要工程措施。洒水周期和水量应根据季节和天气，适时洒水，避免因风吹而扬灰。例如干燥多风季节应勤洒多洒，阴雨天气可以少洒或不洒。一般情况下，建议每天洒4次水，每次洒水深度</w:t>
      </w:r>
      <w:r>
        <w:rPr>
          <w:color w:val="auto"/>
        </w:rPr>
        <w:t>2mm。</w:t>
      </w:r>
      <w:r>
        <w:rPr>
          <w:rFonts w:hint="eastAsia"/>
          <w:color w:val="auto"/>
        </w:rPr>
        <w:t>配备1辆移动式洒水车，在回填复垦期间定期对作业面进行洒水降尘，洒水面积</w:t>
      </w:r>
      <w:r>
        <w:rPr>
          <w:color w:val="auto"/>
        </w:rPr>
        <w:t>1200</w:t>
      </w:r>
      <w:r>
        <w:rPr>
          <w:rFonts w:hint="eastAsia"/>
          <w:color w:val="auto"/>
        </w:rPr>
        <w:t>m</w:t>
      </w:r>
      <w:r>
        <w:rPr>
          <w:color w:val="auto"/>
          <w:vertAlign w:val="superscript"/>
        </w:rPr>
        <w:t>2</w:t>
      </w:r>
      <w:r>
        <w:rPr>
          <w:rFonts w:hint="eastAsia"/>
          <w:color w:val="auto"/>
        </w:rPr>
        <w:t>。</w:t>
      </w:r>
      <w:r>
        <w:rPr>
          <w:color w:val="auto"/>
        </w:rPr>
        <w:t>在运行过程中应经常了解天气预报，避免</w:t>
      </w:r>
      <w:r>
        <w:rPr>
          <w:rFonts w:hint="eastAsia"/>
          <w:color w:val="auto"/>
        </w:rPr>
        <w:t>扬尘污染。不得在大风天气作业。</w:t>
      </w:r>
    </w:p>
    <w:p w14:paraId="6821BE6B">
      <w:pPr>
        <w:pStyle w:val="59"/>
        <w:ind w:firstLine="480"/>
        <w:rPr>
          <w:color w:val="auto"/>
        </w:rPr>
      </w:pPr>
      <w:r>
        <w:rPr>
          <w:color w:val="auto"/>
        </w:rPr>
        <w:t>3</w:t>
      </w:r>
      <w:r>
        <w:rPr>
          <w:rFonts w:hint="eastAsia"/>
          <w:color w:val="auto"/>
        </w:rPr>
        <w:t>、冬季运行应满足下列要求：</w:t>
      </w:r>
    </w:p>
    <w:p w14:paraId="1C019C20">
      <w:pPr>
        <w:pStyle w:val="59"/>
        <w:ind w:firstLine="480"/>
        <w:rPr>
          <w:color w:val="auto"/>
        </w:rPr>
      </w:pPr>
      <w:r>
        <w:rPr>
          <w:color w:val="auto"/>
        </w:rPr>
        <w:t>冬季运行时应使用较小堆灰工作面</w:t>
      </w:r>
      <w:r>
        <w:rPr>
          <w:rFonts w:hint="eastAsia"/>
          <w:color w:val="auto"/>
        </w:rPr>
        <w:t>，</w:t>
      </w:r>
      <w:r>
        <w:rPr>
          <w:color w:val="auto"/>
        </w:rPr>
        <w:t>连续铺碾</w:t>
      </w:r>
      <w:r>
        <w:rPr>
          <w:rFonts w:hint="eastAsia"/>
          <w:color w:val="auto"/>
        </w:rPr>
        <w:t>，</w:t>
      </w:r>
      <w:r>
        <w:rPr>
          <w:color w:val="auto"/>
        </w:rPr>
        <w:t>减少裸露</w:t>
      </w:r>
      <w:r>
        <w:rPr>
          <w:rFonts w:hint="eastAsia"/>
          <w:color w:val="auto"/>
        </w:rPr>
        <w:t>面积，</w:t>
      </w:r>
      <w:r>
        <w:rPr>
          <w:color w:val="auto"/>
        </w:rPr>
        <w:t>减轻冻害。</w:t>
      </w:r>
    </w:p>
    <w:p w14:paraId="4D2CF2E2">
      <w:pPr>
        <w:pStyle w:val="59"/>
        <w:ind w:firstLine="480"/>
        <w:rPr>
          <w:color w:val="auto"/>
        </w:rPr>
      </w:pPr>
      <w:r>
        <w:rPr>
          <w:color w:val="auto"/>
        </w:rPr>
        <w:t>低温天气运行时</w:t>
      </w:r>
      <w:r>
        <w:rPr>
          <w:rFonts w:hint="eastAsia"/>
          <w:color w:val="auto"/>
        </w:rPr>
        <w:t>，</w:t>
      </w:r>
      <w:r>
        <w:rPr>
          <w:color w:val="auto"/>
        </w:rPr>
        <w:t>应适当降低</w:t>
      </w:r>
      <w:r>
        <w:rPr>
          <w:rFonts w:hint="eastAsia"/>
          <w:color w:val="auto"/>
          <w:lang w:eastAsia="zh-CN"/>
        </w:rPr>
        <w:t>灰渣</w:t>
      </w:r>
      <w:r>
        <w:rPr>
          <w:color w:val="auto"/>
        </w:rPr>
        <w:t>含</w:t>
      </w:r>
      <w:r>
        <w:rPr>
          <w:rFonts w:hint="eastAsia"/>
          <w:color w:val="auto"/>
        </w:rPr>
        <w:t>水量，</w:t>
      </w:r>
      <w:r>
        <w:rPr>
          <w:color w:val="auto"/>
        </w:rPr>
        <w:t>既保证</w:t>
      </w:r>
      <w:r>
        <w:rPr>
          <w:rFonts w:hint="eastAsia"/>
          <w:color w:val="auto"/>
          <w:lang w:eastAsia="zh-CN"/>
        </w:rPr>
        <w:t>灰渣</w:t>
      </w:r>
      <w:r>
        <w:rPr>
          <w:color w:val="auto"/>
        </w:rPr>
        <w:t>碾压效果</w:t>
      </w:r>
      <w:r>
        <w:rPr>
          <w:rFonts w:hint="eastAsia"/>
          <w:color w:val="auto"/>
        </w:rPr>
        <w:t>，</w:t>
      </w:r>
      <w:r>
        <w:rPr>
          <w:color w:val="auto"/>
        </w:rPr>
        <w:t>又不使</w:t>
      </w:r>
      <w:r>
        <w:rPr>
          <w:rFonts w:hint="eastAsia"/>
          <w:color w:val="auto"/>
          <w:lang w:eastAsia="zh-CN"/>
        </w:rPr>
        <w:t>灰渣</w:t>
      </w:r>
      <w:r>
        <w:rPr>
          <w:color w:val="auto"/>
        </w:rPr>
        <w:t>产生冻结现象。</w:t>
      </w:r>
    </w:p>
    <w:p w14:paraId="101FF52F">
      <w:pPr>
        <w:pStyle w:val="59"/>
        <w:ind w:firstLine="480"/>
        <w:rPr>
          <w:color w:val="auto"/>
        </w:rPr>
      </w:pPr>
      <w:r>
        <w:rPr>
          <w:color w:val="auto"/>
        </w:rPr>
        <w:t>寒冷结冰季节应加快灰场运行过程</w:t>
      </w:r>
      <w:r>
        <w:rPr>
          <w:rFonts w:hint="eastAsia"/>
          <w:color w:val="auto"/>
        </w:rPr>
        <w:t>，</w:t>
      </w:r>
      <w:r>
        <w:rPr>
          <w:color w:val="auto"/>
        </w:rPr>
        <w:t>避免作业时间长</w:t>
      </w:r>
      <w:r>
        <w:rPr>
          <w:rFonts w:hint="eastAsia"/>
          <w:color w:val="auto"/>
        </w:rPr>
        <w:t>，导致</w:t>
      </w:r>
      <w:r>
        <w:rPr>
          <w:rFonts w:hint="eastAsia"/>
          <w:color w:val="auto"/>
          <w:lang w:eastAsia="zh-CN"/>
        </w:rPr>
        <w:t>灰渣</w:t>
      </w:r>
      <w:r>
        <w:rPr>
          <w:rFonts w:hint="eastAsia"/>
          <w:color w:val="auto"/>
        </w:rPr>
        <w:t>结冰。</w:t>
      </w:r>
    </w:p>
    <w:p w14:paraId="374EFC75">
      <w:pPr>
        <w:pStyle w:val="59"/>
        <w:ind w:firstLine="480"/>
        <w:rPr>
          <w:color w:val="auto"/>
        </w:rPr>
      </w:pPr>
      <w:r>
        <w:rPr>
          <w:color w:val="auto"/>
        </w:rPr>
        <w:t>在隔夜的压实灰面上继续摊灰前</w:t>
      </w:r>
      <w:r>
        <w:rPr>
          <w:rFonts w:hint="eastAsia"/>
          <w:color w:val="auto"/>
        </w:rPr>
        <w:t>，</w:t>
      </w:r>
      <w:r>
        <w:rPr>
          <w:color w:val="auto"/>
        </w:rPr>
        <w:t>应先振碾和静碾各一</w:t>
      </w:r>
      <w:r>
        <w:rPr>
          <w:rFonts w:hint="eastAsia"/>
          <w:color w:val="auto"/>
        </w:rPr>
        <w:t>遍，</w:t>
      </w:r>
      <w:r>
        <w:rPr>
          <w:color w:val="auto"/>
        </w:rPr>
        <w:t>使新旧</w:t>
      </w:r>
      <w:r>
        <w:rPr>
          <w:rFonts w:hint="eastAsia"/>
          <w:color w:val="auto"/>
          <w:lang w:eastAsia="zh-CN"/>
        </w:rPr>
        <w:t>灰渣</w:t>
      </w:r>
      <w:r>
        <w:rPr>
          <w:color w:val="auto"/>
        </w:rPr>
        <w:t>表面结合良好。</w:t>
      </w:r>
    </w:p>
    <w:p w14:paraId="6E59E983">
      <w:pPr>
        <w:pStyle w:val="59"/>
        <w:ind w:firstLine="480"/>
        <w:rPr>
          <w:color w:val="auto"/>
        </w:rPr>
      </w:pPr>
      <w:r>
        <w:rPr>
          <w:color w:val="auto"/>
        </w:rPr>
        <w:t>对于风干的灰面应及时洒水</w:t>
      </w:r>
      <w:r>
        <w:rPr>
          <w:rFonts w:hint="eastAsia"/>
          <w:color w:val="auto"/>
        </w:rPr>
        <w:t>，</w:t>
      </w:r>
      <w:r>
        <w:rPr>
          <w:color w:val="auto"/>
        </w:rPr>
        <w:t>使灰面形成冰壳防止</w:t>
      </w:r>
      <w:r>
        <w:rPr>
          <w:rFonts w:hint="eastAsia"/>
          <w:color w:val="auto"/>
        </w:rPr>
        <w:t>扬尘</w:t>
      </w:r>
      <w:r>
        <w:rPr>
          <w:color w:val="auto"/>
        </w:rPr>
        <w:t>污</w:t>
      </w:r>
      <w:r>
        <w:rPr>
          <w:rFonts w:hint="eastAsia"/>
          <w:color w:val="auto"/>
        </w:rPr>
        <w:t>染。</w:t>
      </w:r>
    </w:p>
    <w:p w14:paraId="243D35E1">
      <w:pPr>
        <w:pStyle w:val="59"/>
        <w:ind w:firstLine="480"/>
        <w:rPr>
          <w:color w:val="auto"/>
        </w:rPr>
      </w:pPr>
      <w:r>
        <w:rPr>
          <w:color w:val="auto"/>
        </w:rPr>
        <w:t>4</w:t>
      </w:r>
      <w:r>
        <w:rPr>
          <w:rFonts w:hint="eastAsia"/>
          <w:color w:val="auto"/>
        </w:rPr>
        <w:t>、雨天运行时应满足下列要求：</w:t>
      </w:r>
    </w:p>
    <w:p w14:paraId="1E5F2A39">
      <w:pPr>
        <w:pStyle w:val="59"/>
        <w:ind w:firstLine="480"/>
        <w:rPr>
          <w:color w:val="auto"/>
        </w:rPr>
      </w:pPr>
      <w:r>
        <w:rPr>
          <w:color w:val="auto"/>
        </w:rPr>
        <w:t>阴雨天时卸到现场的</w:t>
      </w:r>
      <w:r>
        <w:rPr>
          <w:rFonts w:hint="eastAsia"/>
          <w:color w:val="auto"/>
          <w:lang w:eastAsia="zh-CN"/>
        </w:rPr>
        <w:t>灰渣</w:t>
      </w:r>
      <w:r>
        <w:rPr>
          <w:color w:val="auto"/>
        </w:rPr>
        <w:t>应及时铺平、碾压</w:t>
      </w:r>
      <w:r>
        <w:rPr>
          <w:rFonts w:hint="eastAsia"/>
          <w:color w:val="auto"/>
        </w:rPr>
        <w:t>，</w:t>
      </w:r>
      <w:r>
        <w:rPr>
          <w:color w:val="auto"/>
        </w:rPr>
        <w:t>避免雨天</w:t>
      </w:r>
      <w:r>
        <w:rPr>
          <w:rFonts w:hint="eastAsia"/>
          <w:color w:val="auto"/>
        </w:rPr>
        <w:t>时将松散灰堆在现场；</w:t>
      </w:r>
    </w:p>
    <w:p w14:paraId="346AB285">
      <w:pPr>
        <w:pStyle w:val="59"/>
        <w:ind w:firstLine="480"/>
        <w:rPr>
          <w:color w:val="auto"/>
        </w:rPr>
      </w:pPr>
      <w:r>
        <w:rPr>
          <w:color w:val="auto"/>
        </w:rPr>
        <w:t>压实后的</w:t>
      </w:r>
      <w:r>
        <w:rPr>
          <w:rFonts w:hint="eastAsia"/>
          <w:color w:val="auto"/>
          <w:lang w:eastAsia="zh-CN"/>
        </w:rPr>
        <w:t>灰渣</w:t>
      </w:r>
      <w:r>
        <w:rPr>
          <w:color w:val="auto"/>
        </w:rPr>
        <w:t>表面应保持平整</w:t>
      </w:r>
      <w:r>
        <w:rPr>
          <w:rFonts w:hint="eastAsia"/>
          <w:color w:val="auto"/>
        </w:rPr>
        <w:t>，</w:t>
      </w:r>
      <w:r>
        <w:rPr>
          <w:color w:val="auto"/>
        </w:rPr>
        <w:t>避免中到大雨时形成的</w:t>
      </w:r>
      <w:r>
        <w:rPr>
          <w:rFonts w:hint="eastAsia"/>
          <w:color w:val="auto"/>
        </w:rPr>
        <w:t>径流冲蚀灰面；</w:t>
      </w:r>
    </w:p>
    <w:p w14:paraId="0432A2A4">
      <w:pPr>
        <w:pStyle w:val="59"/>
        <w:ind w:firstLine="480"/>
        <w:rPr>
          <w:color w:val="auto"/>
        </w:rPr>
      </w:pPr>
      <w:r>
        <w:rPr>
          <w:color w:val="auto"/>
        </w:rPr>
        <w:t>阴雨天气应适当降低调湿灰的含水量</w:t>
      </w:r>
      <w:r>
        <w:rPr>
          <w:rFonts w:hint="eastAsia"/>
          <w:color w:val="auto"/>
        </w:rPr>
        <w:t>，</w:t>
      </w:r>
      <w:r>
        <w:rPr>
          <w:color w:val="auto"/>
        </w:rPr>
        <w:t>并适当降低灰面碾</w:t>
      </w:r>
      <w:r>
        <w:rPr>
          <w:rFonts w:hint="eastAsia"/>
          <w:color w:val="auto"/>
        </w:rPr>
        <w:t>压过程的喷洒水量；</w:t>
      </w:r>
    </w:p>
    <w:p w14:paraId="542401C4">
      <w:pPr>
        <w:pStyle w:val="59"/>
        <w:ind w:firstLine="480"/>
        <w:rPr>
          <w:color w:val="auto"/>
        </w:rPr>
      </w:pPr>
      <w:r>
        <w:rPr>
          <w:color w:val="auto"/>
        </w:rPr>
        <w:t>运灰罐车内的粘灰应及时清理</w:t>
      </w:r>
      <w:r>
        <w:rPr>
          <w:rFonts w:hint="eastAsia"/>
          <w:color w:val="auto"/>
        </w:rPr>
        <w:t>；</w:t>
      </w:r>
    </w:p>
    <w:p w14:paraId="3BB47F71">
      <w:pPr>
        <w:pStyle w:val="59"/>
        <w:ind w:firstLine="480"/>
        <w:rPr>
          <w:color w:val="auto"/>
        </w:rPr>
      </w:pPr>
      <w:r>
        <w:rPr>
          <w:rFonts w:hint="eastAsia"/>
          <w:color w:val="auto"/>
        </w:rPr>
        <w:t>雨天灰面碾压工作应在积水区边缘3</w:t>
      </w:r>
      <w:r>
        <w:rPr>
          <w:color w:val="auto"/>
        </w:rPr>
        <w:t>0</w:t>
      </w:r>
      <w:r>
        <w:rPr>
          <w:rFonts w:hint="eastAsia"/>
          <w:color w:val="auto"/>
        </w:rPr>
        <w:t>m以外进行，不得在积水区卸灰及碾压；</w:t>
      </w:r>
    </w:p>
    <w:p w14:paraId="1C5E9A05">
      <w:pPr>
        <w:pStyle w:val="59"/>
        <w:ind w:firstLine="480"/>
        <w:rPr>
          <w:color w:val="auto"/>
        </w:rPr>
      </w:pPr>
      <w:r>
        <w:rPr>
          <w:color w:val="auto"/>
        </w:rPr>
        <w:t>5</w:t>
      </w:r>
      <w:r>
        <w:rPr>
          <w:rFonts w:hint="eastAsia"/>
          <w:color w:val="auto"/>
        </w:rPr>
        <w:t>、</w:t>
      </w:r>
      <w:r>
        <w:rPr>
          <w:color w:val="auto"/>
        </w:rPr>
        <w:t>运输过程扬尘防治对策</w:t>
      </w:r>
    </w:p>
    <w:p w14:paraId="4DA3502D">
      <w:pPr>
        <w:pStyle w:val="59"/>
        <w:ind w:firstLine="480"/>
        <w:rPr>
          <w:color w:val="auto"/>
        </w:rPr>
      </w:pPr>
      <w:r>
        <w:rPr>
          <w:rFonts w:hint="eastAsia"/>
          <w:color w:val="auto"/>
        </w:rPr>
        <w:t>为防止炉渣等运输过程产生的扬尘污染，环评要求采取以下措施：</w:t>
      </w:r>
    </w:p>
    <w:p w14:paraId="62BBA210">
      <w:pPr>
        <w:pStyle w:val="59"/>
        <w:ind w:firstLine="480"/>
        <w:rPr>
          <w:color w:val="auto"/>
        </w:rPr>
      </w:pPr>
      <w:r>
        <w:rPr>
          <w:color w:val="auto"/>
        </w:rPr>
        <w:fldChar w:fldCharType="begin"/>
      </w:r>
      <w:r>
        <w:rPr>
          <w:color w:val="auto"/>
        </w:rPr>
        <w:instrText xml:space="preserve"> </w:instrText>
      </w:r>
      <w:r>
        <w:rPr>
          <w:rFonts w:hint="eastAsia"/>
          <w:color w:val="auto"/>
        </w:rPr>
        <w:instrText xml:space="preserve">= 1 \* GB3</w:instrText>
      </w:r>
      <w:r>
        <w:rPr>
          <w:color w:val="auto"/>
        </w:rPr>
        <w:instrText xml:space="preserve"> </w:instrText>
      </w:r>
      <w:r>
        <w:rPr>
          <w:color w:val="auto"/>
        </w:rPr>
        <w:fldChar w:fldCharType="separate"/>
      </w:r>
      <w:r>
        <w:rPr>
          <w:rFonts w:hint="eastAsia"/>
          <w:color w:val="auto"/>
        </w:rPr>
        <w:t>①</w:t>
      </w:r>
      <w:r>
        <w:rPr>
          <w:color w:val="auto"/>
        </w:rPr>
        <w:fldChar w:fldCharType="end"/>
      </w:r>
      <w:r>
        <w:rPr>
          <w:rFonts w:hint="eastAsia"/>
          <w:color w:val="auto"/>
          <w:lang w:eastAsia="zh-CN"/>
        </w:rPr>
        <w:t>灰渣</w:t>
      </w:r>
      <w:r>
        <w:rPr>
          <w:rFonts w:hint="eastAsia"/>
          <w:color w:val="auto"/>
        </w:rPr>
        <w:t>应加湿后用专用运灰车运输。</w:t>
      </w:r>
    </w:p>
    <w:p w14:paraId="471B5905">
      <w:pPr>
        <w:pStyle w:val="59"/>
        <w:ind w:firstLine="480"/>
        <w:rPr>
          <w:color w:val="auto"/>
        </w:rPr>
      </w:pPr>
      <w:r>
        <w:rPr>
          <w:rFonts w:hint="eastAsia"/>
          <w:color w:val="auto"/>
        </w:rPr>
        <w:t>②运输车辆往返回填区，车厢板和轮胎会滞留有残灰，会造成</w:t>
      </w:r>
      <w:r>
        <w:rPr>
          <w:rFonts w:hint="eastAsia"/>
          <w:color w:val="auto"/>
          <w:lang w:eastAsia="zh-CN"/>
        </w:rPr>
        <w:t>灰渣</w:t>
      </w:r>
      <w:r>
        <w:rPr>
          <w:rFonts w:hint="eastAsia"/>
          <w:color w:val="auto"/>
        </w:rPr>
        <w:t>沿运灰道路</w:t>
      </w:r>
      <w:r>
        <w:rPr>
          <w:rFonts w:hint="eastAsia"/>
          <w:color w:val="auto"/>
          <w:lang w:eastAsia="zh-CN"/>
        </w:rPr>
        <w:t>抛撒</w:t>
      </w:r>
      <w:r>
        <w:rPr>
          <w:rFonts w:hint="eastAsia"/>
          <w:color w:val="auto"/>
        </w:rPr>
        <w:t>、散失，应定时对运输车辆进行清洗，杜绝运输途中发生扬尘污染。严格禁止超高装车，防止</w:t>
      </w:r>
      <w:r>
        <w:rPr>
          <w:rFonts w:hint="eastAsia"/>
          <w:color w:val="auto"/>
          <w:lang w:eastAsia="zh-CN"/>
        </w:rPr>
        <w:t>灰渣</w:t>
      </w:r>
      <w:r>
        <w:rPr>
          <w:rFonts w:hint="eastAsia"/>
          <w:color w:val="auto"/>
        </w:rPr>
        <w:t>散落。</w:t>
      </w:r>
    </w:p>
    <w:p w14:paraId="684E4C22">
      <w:pPr>
        <w:pStyle w:val="59"/>
        <w:ind w:firstLine="480"/>
        <w:rPr>
          <w:color w:val="auto"/>
        </w:rPr>
      </w:pPr>
      <w:r>
        <w:rPr>
          <w:rFonts w:hint="eastAsia"/>
          <w:color w:val="auto"/>
        </w:rPr>
        <w:t>③遇大风天气，为防止扬尘污染不得进行运输、回填作业。</w:t>
      </w:r>
    </w:p>
    <w:p w14:paraId="57B32C51">
      <w:pPr>
        <w:pStyle w:val="135"/>
        <w:rPr>
          <w:color w:val="auto"/>
        </w:rPr>
      </w:pPr>
      <w:r>
        <w:rPr>
          <w:rFonts w:hint="eastAsia"/>
          <w:color w:val="auto"/>
        </w:rPr>
        <w:t>6</w:t>
      </w:r>
      <w:r>
        <w:rPr>
          <w:color w:val="auto"/>
        </w:rPr>
        <w:t>.2.1.2</w:t>
      </w:r>
      <w:r>
        <w:rPr>
          <w:rFonts w:hint="eastAsia"/>
          <w:color w:val="auto"/>
        </w:rPr>
        <w:t>机械尾气防治措施</w:t>
      </w:r>
    </w:p>
    <w:p w14:paraId="0D1AF88A">
      <w:pPr>
        <w:pStyle w:val="59"/>
        <w:ind w:firstLine="480"/>
        <w:rPr>
          <w:color w:val="auto"/>
        </w:rPr>
      </w:pPr>
      <w:r>
        <w:rPr>
          <w:rFonts w:hint="eastAsia"/>
          <w:color w:val="auto"/>
        </w:rPr>
        <w:t>优先选用质量好、设计环保的机械设备，使用高品质柴油，降低对空气的污染；定期对机械进行维修和检查，对于使用时间过长、技术落后、技术状况差、耗油量大、污染严重的机械，严格按照相关标准予以报废。</w:t>
      </w:r>
    </w:p>
    <w:p w14:paraId="254B207C">
      <w:pPr>
        <w:pStyle w:val="135"/>
        <w:rPr>
          <w:color w:val="auto"/>
        </w:rPr>
      </w:pPr>
      <w:r>
        <w:rPr>
          <w:rFonts w:hint="eastAsia"/>
          <w:color w:val="auto"/>
        </w:rPr>
        <w:t>6</w:t>
      </w:r>
      <w:r>
        <w:rPr>
          <w:color w:val="auto"/>
        </w:rPr>
        <w:t>.2.1.3小结</w:t>
      </w:r>
    </w:p>
    <w:p w14:paraId="13E01E14">
      <w:pPr>
        <w:pStyle w:val="59"/>
        <w:ind w:firstLine="480"/>
        <w:rPr>
          <w:color w:val="auto"/>
        </w:rPr>
      </w:pPr>
      <w:r>
        <w:rPr>
          <w:rFonts w:hint="eastAsia"/>
          <w:color w:val="auto"/>
        </w:rPr>
        <w:t>综上所述，回填</w:t>
      </w:r>
      <w:r>
        <w:rPr>
          <w:color w:val="auto"/>
        </w:rPr>
        <w:t>过程中产生的扬尘均为无组织排放，现场的扬尘将对周边环境空气造成一定程度的污染，但这种污染是短期的，工程结束后，将不再存在</w:t>
      </w:r>
      <w:r>
        <w:rPr>
          <w:rFonts w:hint="eastAsia"/>
          <w:color w:val="auto"/>
        </w:rPr>
        <w:t>。回填复垦期废气拟采取的污染防治措施主要为：作业时周边设置围挡，高度不小于1</w:t>
      </w:r>
      <w:r>
        <w:rPr>
          <w:color w:val="auto"/>
        </w:rPr>
        <w:t>.8</w:t>
      </w:r>
      <w:r>
        <w:rPr>
          <w:rFonts w:hint="eastAsia"/>
          <w:color w:val="auto"/>
        </w:rPr>
        <w:t>m，回填面及时覆盖，运输车辆采取篷布遮盖、封闭车厢、罐车运输等密闭措施，并控制车速；回填区配备洒水车辆，对运输道路及作业区进行洒水降尘，使用高品质柴油，定期对机械进行检修。采取上述措施后，经估算场界污染物浓度可达到《大气污染物综合排放标准》（</w:t>
      </w:r>
      <w:r>
        <w:rPr>
          <w:color w:val="auto"/>
        </w:rPr>
        <w:t>GB16297-1996）中</w:t>
      </w:r>
      <w:r>
        <w:rPr>
          <w:rFonts w:hint="eastAsia"/>
          <w:color w:val="auto"/>
        </w:rPr>
        <w:t>的表</w:t>
      </w:r>
      <w:r>
        <w:rPr>
          <w:color w:val="auto"/>
        </w:rPr>
        <w:t>2无组织排放监控浓度限值，敏感点及区域环境空气满足《环境空气质量标准》（GB3095-2012）</w:t>
      </w:r>
      <w:r>
        <w:rPr>
          <w:rFonts w:hint="eastAsia"/>
          <w:color w:val="auto"/>
        </w:rPr>
        <w:t>及修改单</w:t>
      </w:r>
      <w:r>
        <w:rPr>
          <w:color w:val="auto"/>
        </w:rPr>
        <w:t>二级标准的要求，对区域环境空气产生的影响可以接受。</w:t>
      </w:r>
    </w:p>
    <w:p w14:paraId="12E861A6">
      <w:pPr>
        <w:pStyle w:val="137"/>
        <w:rPr>
          <w:color w:val="auto"/>
        </w:rPr>
      </w:pPr>
      <w:r>
        <w:rPr>
          <w:color w:val="auto"/>
        </w:rPr>
        <w:t>6.2.2水环境保护措施及其可行性论证</w:t>
      </w:r>
    </w:p>
    <w:p w14:paraId="42077523">
      <w:pPr>
        <w:pStyle w:val="135"/>
        <w:rPr>
          <w:snapToGrid w:val="0"/>
          <w:color w:val="auto"/>
        </w:rPr>
      </w:pPr>
      <w:r>
        <w:rPr>
          <w:snapToGrid w:val="0"/>
          <w:color w:val="auto"/>
        </w:rPr>
        <w:t>6.2.2.1废水处理措施</w:t>
      </w:r>
    </w:p>
    <w:p w14:paraId="7DC4FDCC">
      <w:pPr>
        <w:pStyle w:val="59"/>
        <w:ind w:firstLine="480"/>
        <w:rPr>
          <w:color w:val="auto"/>
        </w:rPr>
      </w:pPr>
      <w:r>
        <w:rPr>
          <w:color w:val="auto"/>
        </w:rPr>
        <w:t>本项目</w:t>
      </w:r>
      <w:r>
        <w:rPr>
          <w:rFonts w:hint="eastAsia"/>
          <w:color w:val="auto"/>
        </w:rPr>
        <w:t>回填复垦期</w:t>
      </w:r>
      <w:r>
        <w:rPr>
          <w:color w:val="auto"/>
        </w:rPr>
        <w:t>产生废水为</w:t>
      </w:r>
      <w:r>
        <w:rPr>
          <w:rFonts w:hint="eastAsia"/>
          <w:bCs/>
          <w:color w:val="auto"/>
        </w:rPr>
        <w:t>生活污水、</w:t>
      </w:r>
      <w:r>
        <w:rPr>
          <w:rFonts w:hint="eastAsia"/>
          <w:color w:val="auto"/>
        </w:rPr>
        <w:t>淋溶水</w:t>
      </w:r>
      <w:r>
        <w:rPr>
          <w:color w:val="auto"/>
        </w:rPr>
        <w:t>。</w:t>
      </w:r>
    </w:p>
    <w:p w14:paraId="1401D478">
      <w:pPr>
        <w:pStyle w:val="59"/>
        <w:ind w:firstLine="480"/>
        <w:rPr>
          <w:color w:val="auto"/>
        </w:rPr>
      </w:pPr>
      <w:r>
        <w:rPr>
          <w:color w:val="auto"/>
          <w:kern w:val="0"/>
        </w:rPr>
        <w:t>本项目</w:t>
      </w:r>
      <w:r>
        <w:rPr>
          <w:bCs/>
          <w:color w:val="auto"/>
          <w:kern w:val="0"/>
        </w:rPr>
        <w:t>员工</w:t>
      </w:r>
      <w:r>
        <w:rPr>
          <w:rFonts w:hint="eastAsia"/>
          <w:bCs/>
          <w:color w:val="auto"/>
          <w:kern w:val="0"/>
        </w:rPr>
        <w:t>生活污水</w:t>
      </w:r>
      <w:r>
        <w:rPr>
          <w:bCs/>
          <w:color w:val="auto"/>
          <w:kern w:val="0"/>
        </w:rPr>
        <w:t>排入依托租赁的民房配套的防渗旱厕，定期清掏，外运堆肥；</w:t>
      </w:r>
      <w:r>
        <w:rPr>
          <w:rFonts w:hint="eastAsia"/>
          <w:color w:val="auto"/>
          <w:kern w:val="0"/>
        </w:rPr>
        <w:t>回填区</w:t>
      </w:r>
      <w:r>
        <w:rPr>
          <w:color w:val="auto"/>
          <w:kern w:val="0"/>
        </w:rPr>
        <w:t>产生的</w:t>
      </w:r>
      <w:r>
        <w:rPr>
          <w:rFonts w:hint="eastAsia"/>
          <w:color w:val="auto"/>
        </w:rPr>
        <w:t>淋溶水</w:t>
      </w:r>
      <w:r>
        <w:rPr>
          <w:color w:val="auto"/>
        </w:rPr>
        <w:t>经导排系统输送至</w:t>
      </w:r>
      <w:r>
        <w:rPr>
          <w:rFonts w:hint="eastAsia"/>
          <w:color w:val="auto"/>
        </w:rPr>
        <w:t>淋溶水</w:t>
      </w:r>
      <w:r>
        <w:rPr>
          <w:color w:val="auto"/>
        </w:rPr>
        <w:t>暂存池，</w:t>
      </w:r>
      <w:r>
        <w:rPr>
          <w:rFonts w:hint="eastAsia"/>
          <w:color w:val="auto"/>
        </w:rPr>
        <w:t>沉淀后回用于项目区洒水抑尘使用，不外排</w:t>
      </w:r>
      <w:r>
        <w:rPr>
          <w:color w:val="auto"/>
        </w:rPr>
        <w:t>。</w:t>
      </w:r>
    </w:p>
    <w:p w14:paraId="363A5250">
      <w:pPr>
        <w:pStyle w:val="135"/>
        <w:rPr>
          <w:snapToGrid w:val="0"/>
          <w:color w:val="auto"/>
        </w:rPr>
      </w:pPr>
      <w:r>
        <w:rPr>
          <w:snapToGrid w:val="0"/>
          <w:color w:val="auto"/>
        </w:rPr>
        <w:t>6.2.2.2雨水导排措施</w:t>
      </w:r>
    </w:p>
    <w:p w14:paraId="68392569">
      <w:pPr>
        <w:pStyle w:val="59"/>
        <w:ind w:firstLine="480"/>
        <w:rPr>
          <w:color w:val="auto"/>
        </w:rPr>
      </w:pPr>
      <w:r>
        <w:rPr>
          <w:rFonts w:hint="eastAsia"/>
          <w:color w:val="auto"/>
        </w:rPr>
        <w:t>回填区四周</w:t>
      </w:r>
      <w:r>
        <w:rPr>
          <w:color w:val="auto"/>
        </w:rPr>
        <w:t>设置雨水沟，将整个</w:t>
      </w:r>
      <w:r>
        <w:rPr>
          <w:rFonts w:hint="eastAsia"/>
          <w:color w:val="auto"/>
        </w:rPr>
        <w:t>回填区</w:t>
      </w:r>
      <w:r>
        <w:rPr>
          <w:color w:val="auto"/>
        </w:rPr>
        <w:t>与场外其他区域分开，将</w:t>
      </w:r>
      <w:r>
        <w:rPr>
          <w:rFonts w:hint="eastAsia"/>
          <w:color w:val="auto"/>
        </w:rPr>
        <w:t>回填区</w:t>
      </w:r>
      <w:r>
        <w:rPr>
          <w:color w:val="auto"/>
        </w:rPr>
        <w:t>外汇集的雨水和堆体径流的雨水排出场外</w:t>
      </w:r>
      <w:r>
        <w:rPr>
          <w:rFonts w:hint="eastAsia"/>
          <w:color w:val="auto"/>
        </w:rPr>
        <w:t>，排水沟断面尺寸为底宽0.6m、深0.5m的土质沟渠，长度12</w:t>
      </w:r>
      <w:r>
        <w:rPr>
          <w:rFonts w:hint="eastAsia"/>
          <w:color w:val="auto"/>
          <w:lang w:val="en-US" w:eastAsia="zh-CN"/>
        </w:rPr>
        <w:t>0</w:t>
      </w:r>
      <w:r>
        <w:rPr>
          <w:rFonts w:hint="eastAsia"/>
          <w:color w:val="auto"/>
        </w:rPr>
        <w:t>0m。</w:t>
      </w:r>
    </w:p>
    <w:p w14:paraId="6170ED1F">
      <w:pPr>
        <w:pStyle w:val="59"/>
        <w:ind w:firstLine="480"/>
        <w:rPr>
          <w:color w:val="auto"/>
        </w:rPr>
      </w:pPr>
      <w:r>
        <w:rPr>
          <w:color w:val="auto"/>
        </w:rPr>
        <w:t>综上</w:t>
      </w:r>
      <w:r>
        <w:rPr>
          <w:rFonts w:hint="eastAsia"/>
          <w:color w:val="auto"/>
        </w:rPr>
        <w:t>所述，</w:t>
      </w:r>
      <w:r>
        <w:rPr>
          <w:color w:val="auto"/>
          <w:kern w:val="0"/>
        </w:rPr>
        <w:t>本项目雨水环境保护措施可行。</w:t>
      </w:r>
    </w:p>
    <w:p w14:paraId="0DA77E07">
      <w:pPr>
        <w:pStyle w:val="135"/>
        <w:rPr>
          <w:snapToGrid w:val="0"/>
          <w:color w:val="auto"/>
        </w:rPr>
      </w:pPr>
      <w:r>
        <w:rPr>
          <w:snapToGrid w:val="0"/>
          <w:color w:val="auto"/>
        </w:rPr>
        <w:t>6.2.2.</w:t>
      </w:r>
      <w:r>
        <w:rPr>
          <w:rFonts w:hint="eastAsia"/>
          <w:snapToGrid w:val="0"/>
          <w:color w:val="auto"/>
        </w:rPr>
        <w:t>3淋溶水</w:t>
      </w:r>
      <w:r>
        <w:rPr>
          <w:snapToGrid w:val="0"/>
          <w:color w:val="auto"/>
        </w:rPr>
        <w:t>暂存池规模及可行性分析</w:t>
      </w:r>
    </w:p>
    <w:p w14:paraId="1A75AC4F">
      <w:pPr>
        <w:pStyle w:val="59"/>
        <w:ind w:firstLine="480"/>
        <w:rPr>
          <w:color w:val="auto"/>
        </w:rPr>
      </w:pPr>
      <w:r>
        <w:rPr>
          <w:rFonts w:hint="eastAsia"/>
          <w:color w:val="auto"/>
        </w:rPr>
        <w:t>淋溶水</w:t>
      </w:r>
      <w:r>
        <w:rPr>
          <w:color w:val="auto"/>
        </w:rPr>
        <w:t>产生量主要源于大气降水，由于降雨量的季节变化，</w:t>
      </w:r>
      <w:r>
        <w:rPr>
          <w:rFonts w:hint="eastAsia"/>
          <w:color w:val="auto"/>
        </w:rPr>
        <w:t>淋溶水</w:t>
      </w:r>
      <w:r>
        <w:rPr>
          <w:color w:val="auto"/>
        </w:rPr>
        <w:t>的产生量也随季节波动。本项目</w:t>
      </w:r>
      <w:r>
        <w:rPr>
          <w:rFonts w:hint="eastAsia"/>
          <w:color w:val="auto"/>
        </w:rPr>
        <w:t>淋溶水</w:t>
      </w:r>
      <w:r>
        <w:rPr>
          <w:color w:val="auto"/>
        </w:rPr>
        <w:t>最大平均日产生量</w:t>
      </w:r>
      <w:r>
        <w:rPr>
          <w:rFonts w:hint="eastAsia"/>
          <w:color w:val="auto"/>
        </w:rPr>
        <w:t>为19.356t/d,7027t/a</w:t>
      </w:r>
      <w:r>
        <w:rPr>
          <w:color w:val="auto"/>
        </w:rPr>
        <w:t>。</w:t>
      </w:r>
      <w:r>
        <w:rPr>
          <w:rFonts w:hint="eastAsia"/>
          <w:color w:val="auto"/>
        </w:rPr>
        <w:t>淋溶水</w:t>
      </w:r>
      <w:r>
        <w:rPr>
          <w:color w:val="auto"/>
        </w:rPr>
        <w:t>经导排系统输送至</w:t>
      </w:r>
      <w:r>
        <w:rPr>
          <w:rFonts w:hint="eastAsia"/>
          <w:color w:val="auto"/>
        </w:rPr>
        <w:t>淋溶水</w:t>
      </w:r>
      <w:r>
        <w:rPr>
          <w:color w:val="auto"/>
        </w:rPr>
        <w:t>暂存池，</w:t>
      </w:r>
      <w:r>
        <w:rPr>
          <w:rFonts w:hint="eastAsia"/>
          <w:color w:val="auto"/>
        </w:rPr>
        <w:t>沉淀后回用于项目区洒水抑尘使用，不外排</w:t>
      </w:r>
      <w:r>
        <w:rPr>
          <w:color w:val="auto"/>
        </w:rPr>
        <w:t>。</w:t>
      </w:r>
      <w:r>
        <w:rPr>
          <w:rFonts w:hint="eastAsia"/>
          <w:color w:val="auto"/>
        </w:rPr>
        <w:t>淋溶水</w:t>
      </w:r>
      <w:r>
        <w:rPr>
          <w:color w:val="auto"/>
        </w:rPr>
        <w:t>暂存池</w:t>
      </w:r>
      <w:r>
        <w:rPr>
          <w:rFonts w:hint="eastAsia"/>
          <w:color w:val="auto"/>
        </w:rPr>
        <w:t>需进行防渗，保证</w:t>
      </w:r>
      <w:r>
        <w:rPr>
          <w:color w:val="auto"/>
        </w:rPr>
        <w:t>渗透系数</w:t>
      </w:r>
      <w:r>
        <w:rPr>
          <w:rFonts w:hint="eastAsia"/>
          <w:color w:val="auto"/>
        </w:rPr>
        <w:t>应</w:t>
      </w:r>
      <w:r>
        <w:rPr>
          <w:color w:val="auto"/>
        </w:rPr>
        <w:t>小于</w:t>
      </w:r>
      <w:r>
        <w:rPr>
          <w:rFonts w:hint="eastAsia"/>
          <w:color w:val="auto"/>
        </w:rPr>
        <w:t>1</w:t>
      </w:r>
      <w:r>
        <w:rPr>
          <w:color w:val="auto"/>
        </w:rPr>
        <w:t>×10</w:t>
      </w:r>
      <w:r>
        <w:rPr>
          <w:color w:val="auto"/>
          <w:vertAlign w:val="superscript"/>
        </w:rPr>
        <w:t>-7</w:t>
      </w:r>
      <w:r>
        <w:rPr>
          <w:color w:val="auto"/>
        </w:rPr>
        <w:t>cm/s。本项目池体</w:t>
      </w:r>
      <w:r>
        <w:rPr>
          <w:rFonts w:hint="eastAsia"/>
          <w:color w:val="auto"/>
        </w:rPr>
        <w:t>2.5m深，</w:t>
      </w:r>
      <w:r>
        <w:rPr>
          <w:color w:val="auto"/>
        </w:rPr>
        <w:t>设在冻层以下，防止冻胀。</w:t>
      </w:r>
    </w:p>
    <w:p w14:paraId="18FB5BEF">
      <w:pPr>
        <w:pStyle w:val="59"/>
        <w:ind w:firstLine="480"/>
        <w:rPr>
          <w:color w:val="auto"/>
          <w:kern w:val="0"/>
        </w:rPr>
      </w:pPr>
      <w:r>
        <w:rPr>
          <w:color w:val="auto"/>
          <w:kern w:val="0"/>
        </w:rPr>
        <w:t>综上，</w:t>
      </w:r>
      <w:r>
        <w:rPr>
          <w:rFonts w:hint="eastAsia"/>
          <w:color w:val="auto"/>
          <w:kern w:val="0"/>
        </w:rPr>
        <w:t>淋溶水</w:t>
      </w:r>
      <w:r>
        <w:rPr>
          <w:color w:val="auto"/>
          <w:kern w:val="0"/>
        </w:rPr>
        <w:t>暂存池的容积及防渗是可行的。</w:t>
      </w:r>
    </w:p>
    <w:p w14:paraId="6FAA809F">
      <w:pPr>
        <w:pStyle w:val="135"/>
        <w:rPr>
          <w:snapToGrid w:val="0"/>
          <w:color w:val="auto"/>
        </w:rPr>
      </w:pPr>
      <w:r>
        <w:rPr>
          <w:snapToGrid w:val="0"/>
          <w:color w:val="auto"/>
        </w:rPr>
        <w:t>6.2.2.</w:t>
      </w:r>
      <w:r>
        <w:rPr>
          <w:rFonts w:hint="eastAsia"/>
          <w:snapToGrid w:val="0"/>
          <w:color w:val="auto"/>
        </w:rPr>
        <w:t>4淋溶水</w:t>
      </w:r>
      <w:r>
        <w:rPr>
          <w:snapToGrid w:val="0"/>
          <w:color w:val="auto"/>
        </w:rPr>
        <w:t>导排措施及其可行性</w:t>
      </w:r>
    </w:p>
    <w:p w14:paraId="61837A0C">
      <w:pPr>
        <w:pStyle w:val="59"/>
        <w:ind w:firstLine="480"/>
        <w:rPr>
          <w:color w:val="auto"/>
        </w:rPr>
      </w:pPr>
      <w:r>
        <w:rPr>
          <w:rFonts w:hint="eastAsia"/>
          <w:color w:val="auto"/>
        </w:rPr>
        <w:t>淋溶水</w:t>
      </w:r>
      <w:r>
        <w:rPr>
          <w:color w:val="auto"/>
        </w:rPr>
        <w:t>收集导排系统包括设置于整个场地，包括倒排管、</w:t>
      </w:r>
      <w:r>
        <w:rPr>
          <w:rFonts w:hint="eastAsia"/>
          <w:color w:val="auto"/>
        </w:rPr>
        <w:t>淋溶水</w:t>
      </w:r>
      <w:r>
        <w:rPr>
          <w:color w:val="auto"/>
        </w:rPr>
        <w:t>收集井和提升泵、输送管道组成。</w:t>
      </w:r>
    </w:p>
    <w:p w14:paraId="5DB17696">
      <w:pPr>
        <w:pStyle w:val="59"/>
        <w:ind w:firstLine="480"/>
        <w:rPr>
          <w:color w:val="auto"/>
        </w:rPr>
      </w:pPr>
      <w:r>
        <w:rPr>
          <w:color w:val="auto"/>
        </w:rPr>
        <w:t>本项目选用DN300和DN200的HDPE穿孔管作为</w:t>
      </w:r>
      <w:r>
        <w:rPr>
          <w:rFonts w:hint="eastAsia"/>
          <w:color w:val="auto"/>
        </w:rPr>
        <w:t>淋溶水</w:t>
      </w:r>
      <w:r>
        <w:rPr>
          <w:color w:val="auto"/>
        </w:rPr>
        <w:t>导排排水管，为保证</w:t>
      </w:r>
      <w:r>
        <w:rPr>
          <w:rFonts w:hint="eastAsia"/>
          <w:color w:val="auto"/>
        </w:rPr>
        <w:t>淋溶水</w:t>
      </w:r>
      <w:r>
        <w:rPr>
          <w:color w:val="auto"/>
        </w:rPr>
        <w:t>的及时排出，</w:t>
      </w:r>
      <w:r>
        <w:rPr>
          <w:rFonts w:hint="eastAsia"/>
          <w:color w:val="auto"/>
        </w:rPr>
        <w:t>淋溶水</w:t>
      </w:r>
      <w:r>
        <w:rPr>
          <w:color w:val="auto"/>
        </w:rPr>
        <w:t>提升井内</w:t>
      </w:r>
      <w:r>
        <w:rPr>
          <w:rFonts w:hint="eastAsia"/>
          <w:color w:val="auto"/>
        </w:rPr>
        <w:t>1</w:t>
      </w:r>
      <w:r>
        <w:rPr>
          <w:color w:val="auto"/>
        </w:rPr>
        <w:t>台设置Q=20m</w:t>
      </w:r>
      <w:r>
        <w:rPr>
          <w:color w:val="auto"/>
          <w:vertAlign w:val="superscript"/>
        </w:rPr>
        <w:t>3</w:t>
      </w:r>
      <w:r>
        <w:rPr>
          <w:color w:val="auto"/>
        </w:rPr>
        <w:t>/h，H=40m自冲搅拌型潜水提升泵，能够满足平均日</w:t>
      </w:r>
      <w:r>
        <w:rPr>
          <w:rFonts w:hint="eastAsia"/>
          <w:color w:val="auto"/>
        </w:rPr>
        <w:t>淋溶水</w:t>
      </w:r>
      <w:r>
        <w:rPr>
          <w:color w:val="auto"/>
        </w:rPr>
        <w:t>排除要求。</w:t>
      </w:r>
    </w:p>
    <w:p w14:paraId="6CE64C5C">
      <w:pPr>
        <w:pStyle w:val="137"/>
        <w:rPr>
          <w:color w:val="auto"/>
        </w:rPr>
      </w:pPr>
      <w:r>
        <w:rPr>
          <w:color w:val="auto"/>
        </w:rPr>
        <w:t>6.2.3地下水污染防治措施及可行性论证</w:t>
      </w:r>
    </w:p>
    <w:p w14:paraId="10A30262">
      <w:pPr>
        <w:pStyle w:val="59"/>
        <w:ind w:firstLine="480"/>
        <w:rPr>
          <w:color w:val="auto"/>
        </w:rPr>
      </w:pPr>
      <w:r>
        <w:rPr>
          <w:color w:val="auto"/>
        </w:rPr>
        <w:t>根据可能产生地下水污染的工程单元的分布情况，按照</w:t>
      </w:r>
      <w:r>
        <w:rPr>
          <w:rFonts w:asciiTheme="minorEastAsia" w:hAnsiTheme="minorEastAsia" w:eastAsiaTheme="minorEastAsia"/>
          <w:color w:val="auto"/>
        </w:rPr>
        <w:t>“源头控制、分区防治、污染监控、应急响应”相结</w:t>
      </w:r>
      <w:r>
        <w:rPr>
          <w:color w:val="auto"/>
        </w:rPr>
        <w:t>合的原则，从污染物的产生、入渗、扩散、应急响应等方面制定地下水环境保护措施。</w:t>
      </w:r>
    </w:p>
    <w:p w14:paraId="326E8D51">
      <w:pPr>
        <w:pStyle w:val="135"/>
        <w:rPr>
          <w:color w:val="auto"/>
        </w:rPr>
      </w:pPr>
      <w:r>
        <w:rPr>
          <w:color w:val="auto"/>
        </w:rPr>
        <w:t>6.2.3.1源头控制措施</w:t>
      </w:r>
    </w:p>
    <w:p w14:paraId="10AF62FE">
      <w:pPr>
        <w:pStyle w:val="59"/>
        <w:adjustRightInd/>
        <w:snapToGrid/>
        <w:ind w:firstLine="480"/>
        <w:contextualSpacing/>
        <w:rPr>
          <w:rFonts w:cs="Times New Roman"/>
          <w:color w:val="auto"/>
        </w:rPr>
      </w:pPr>
      <w:r>
        <w:rPr>
          <w:rFonts w:cs="Times New Roman"/>
          <w:color w:val="auto"/>
        </w:rPr>
        <w:t>1、工程对产生的废污水进行综合利用，从源头上减少废污水的排放量；</w:t>
      </w:r>
    </w:p>
    <w:p w14:paraId="7C75CD2A">
      <w:pPr>
        <w:pStyle w:val="59"/>
        <w:adjustRightInd/>
        <w:snapToGrid/>
        <w:ind w:firstLine="480"/>
        <w:contextualSpacing/>
        <w:rPr>
          <w:rFonts w:cs="Times New Roman"/>
          <w:color w:val="auto"/>
        </w:rPr>
      </w:pPr>
      <w:r>
        <w:rPr>
          <w:rFonts w:cs="Times New Roman"/>
          <w:color w:val="auto"/>
        </w:rPr>
        <w:t>2、污水收储及处理设施、建构筑物采取防渗漏措施，避免或减少污水的跑、冒、滴、漏，将废水泄漏的环境风险降低到最低程度；</w:t>
      </w:r>
    </w:p>
    <w:p w14:paraId="7CC8EF7B">
      <w:pPr>
        <w:pStyle w:val="59"/>
        <w:adjustRightInd/>
        <w:snapToGrid/>
        <w:ind w:firstLine="480"/>
        <w:contextualSpacing/>
        <w:rPr>
          <w:rFonts w:cs="Times New Roman"/>
          <w:color w:val="auto"/>
        </w:rPr>
      </w:pPr>
      <w:r>
        <w:rPr>
          <w:rFonts w:cs="Times New Roman"/>
          <w:color w:val="auto"/>
        </w:rPr>
        <w:t>3、定期巡检维护，做到废水泄漏早发现、早处理，确保废污水处理设施和输送管线正常运行；</w:t>
      </w:r>
    </w:p>
    <w:p w14:paraId="7B54D6CA">
      <w:pPr>
        <w:pStyle w:val="59"/>
        <w:adjustRightInd/>
        <w:snapToGrid/>
        <w:ind w:firstLine="480"/>
        <w:contextualSpacing/>
        <w:rPr>
          <w:rFonts w:cs="Times New Roman"/>
          <w:color w:val="auto"/>
        </w:rPr>
      </w:pPr>
      <w:r>
        <w:rPr>
          <w:rFonts w:cs="Times New Roman"/>
          <w:color w:val="auto"/>
        </w:rPr>
        <w:t>4、建立有关规章制度和岗位责任制，制定风险预警方案，设立应急设施减轻环境污染影响。</w:t>
      </w:r>
    </w:p>
    <w:p w14:paraId="76B164EC">
      <w:pPr>
        <w:pStyle w:val="135"/>
        <w:rPr>
          <w:color w:val="auto"/>
        </w:rPr>
      </w:pPr>
      <w:r>
        <w:rPr>
          <w:color w:val="auto"/>
        </w:rPr>
        <w:t>6.2.3.2分区控制措施</w:t>
      </w:r>
    </w:p>
    <w:p w14:paraId="03499370">
      <w:pPr>
        <w:pStyle w:val="59"/>
        <w:ind w:firstLine="480"/>
        <w:rPr>
          <w:rFonts w:cs="Times New Roman"/>
          <w:color w:val="auto"/>
        </w:rPr>
      </w:pPr>
      <w:r>
        <w:rPr>
          <w:rFonts w:hint="eastAsia"/>
          <w:color w:val="auto"/>
        </w:rPr>
        <w:t>根据环境风险评估报告及对本项目</w:t>
      </w:r>
      <w:r>
        <w:rPr>
          <w:rFonts w:hint="eastAsia"/>
          <w:color w:val="auto"/>
          <w:lang w:eastAsia="zh-CN"/>
        </w:rPr>
        <w:t>灰渣</w:t>
      </w:r>
      <w:r>
        <w:rPr>
          <w:rFonts w:hint="eastAsia"/>
          <w:color w:val="auto"/>
        </w:rPr>
        <w:t>淋溶水的检测结果，项目</w:t>
      </w:r>
      <w:r>
        <w:rPr>
          <w:rFonts w:hint="eastAsia"/>
          <w:color w:val="auto"/>
          <w:lang w:eastAsia="zh-CN"/>
        </w:rPr>
        <w:t>灰渣</w:t>
      </w:r>
      <w:r>
        <w:rPr>
          <w:rFonts w:hint="eastAsia"/>
          <w:color w:val="auto"/>
        </w:rPr>
        <w:t>中可溶性重金属含量较低，对地下水水质的影响轻微，淋溶水不会对地下水和周边土壤环境造成明显影响，对周边环境风险可接受，为减少淋溶水的产生量及下渗量，避免对地下水造成影响，本</w:t>
      </w:r>
      <w:r>
        <w:rPr>
          <w:rFonts w:hint="eastAsia" w:cs="Times New Roman"/>
          <w:color w:val="auto"/>
          <w:lang w:val="sq-AL"/>
        </w:rPr>
        <w:t>项目场底清理后场底基础进行30cm厚的改性压实粘土压实防渗，防渗后其防渗性能能够小于渗透系数为1.0×10</w:t>
      </w:r>
      <w:r>
        <w:rPr>
          <w:rFonts w:hint="eastAsia" w:cs="Times New Roman"/>
          <w:color w:val="auto"/>
          <w:vertAlign w:val="superscript"/>
          <w:lang w:val="sq-AL"/>
        </w:rPr>
        <w:t>-5</w:t>
      </w:r>
      <w:r>
        <w:rPr>
          <w:rFonts w:hint="eastAsia" w:cs="Times New Roman"/>
          <w:color w:val="auto"/>
          <w:lang w:val="sq-AL"/>
        </w:rPr>
        <w:t>cm/s且厚度为0.75m的天然基础层</w:t>
      </w:r>
      <w:r>
        <w:rPr>
          <w:rFonts w:cs="Times New Roman"/>
          <w:color w:val="auto"/>
        </w:rPr>
        <w:t>。</w:t>
      </w:r>
      <w:r>
        <w:rPr>
          <w:rFonts w:hint="eastAsia" w:cs="Times New Roman"/>
          <w:color w:val="auto"/>
        </w:rPr>
        <w:t>淋溶水</w:t>
      </w:r>
      <w:r>
        <w:rPr>
          <w:rFonts w:cs="Times New Roman"/>
          <w:color w:val="auto"/>
        </w:rPr>
        <w:t>暂存池进行防渗，渗透系数</w:t>
      </w:r>
      <w:r>
        <w:rPr>
          <w:rFonts w:hint="eastAsia" w:cs="Times New Roman"/>
          <w:color w:val="auto"/>
        </w:rPr>
        <w:t>应</w:t>
      </w:r>
      <w:r>
        <w:rPr>
          <w:rFonts w:cs="Times New Roman"/>
          <w:color w:val="auto"/>
        </w:rPr>
        <w:t>小于</w:t>
      </w:r>
      <w:r>
        <w:rPr>
          <w:rFonts w:hint="eastAsia" w:cs="Times New Roman"/>
          <w:color w:val="auto"/>
        </w:rPr>
        <w:t>1</w:t>
      </w:r>
      <w:r>
        <w:rPr>
          <w:rFonts w:cs="Times New Roman"/>
          <w:color w:val="auto"/>
        </w:rPr>
        <w:t>×10</w:t>
      </w:r>
      <w:r>
        <w:rPr>
          <w:rFonts w:cs="Times New Roman"/>
          <w:color w:val="auto"/>
          <w:vertAlign w:val="superscript"/>
        </w:rPr>
        <w:t>-7</w:t>
      </w:r>
      <w:r>
        <w:rPr>
          <w:rFonts w:cs="Times New Roman"/>
          <w:color w:val="auto"/>
        </w:rPr>
        <w:t>cm/s。</w:t>
      </w:r>
    </w:p>
    <w:p w14:paraId="199A45E3">
      <w:pPr>
        <w:keepNext/>
        <w:keepLines/>
        <w:adjustRightInd w:val="0"/>
        <w:snapToGrid w:val="0"/>
        <w:spacing w:line="500" w:lineRule="exact"/>
        <w:outlineLvl w:val="3"/>
        <w:rPr>
          <w:color w:val="auto"/>
          <w:sz w:val="24"/>
          <w:szCs w:val="20"/>
          <w:lang w:val="zh-CN"/>
        </w:rPr>
      </w:pPr>
      <w:r>
        <w:rPr>
          <w:color w:val="auto"/>
          <w:sz w:val="24"/>
          <w:szCs w:val="20"/>
          <w:lang w:val="zh-CN"/>
        </w:rPr>
        <w:t>6.2.3.3末端控制措施</w:t>
      </w:r>
    </w:p>
    <w:p w14:paraId="00599B4B">
      <w:pPr>
        <w:spacing w:line="500" w:lineRule="exact"/>
        <w:ind w:firstLine="480" w:firstLineChars="200"/>
        <w:rPr>
          <w:color w:val="auto"/>
          <w:sz w:val="24"/>
          <w:szCs w:val="22"/>
        </w:rPr>
      </w:pPr>
      <w:r>
        <w:rPr>
          <w:rFonts w:hint="eastAsia"/>
          <w:color w:val="auto"/>
          <w:sz w:val="24"/>
          <w:szCs w:val="22"/>
        </w:rPr>
        <w:t>（1）地下水监控井</w:t>
      </w:r>
    </w:p>
    <w:p w14:paraId="74EAC5E9">
      <w:pPr>
        <w:pStyle w:val="59"/>
        <w:ind w:firstLine="480"/>
        <w:rPr>
          <w:color w:val="auto"/>
        </w:rPr>
      </w:pPr>
      <w:r>
        <w:rPr>
          <w:rFonts w:hint="eastAsia"/>
          <w:color w:val="auto"/>
        </w:rPr>
        <w:t>建立场区地下水环境监控体系，包括建立地下水污染监控和环境管理制度，制定监测计划，及时发现问题采取预防措施。地下水监测内容包括监测井位置、井深、监测井结构、监测层位、监测项目、监测频率等。</w:t>
      </w:r>
    </w:p>
    <w:p w14:paraId="181D541E">
      <w:pPr>
        <w:pStyle w:val="59"/>
        <w:ind w:firstLine="480"/>
        <w:rPr>
          <w:color w:val="auto"/>
        </w:rPr>
      </w:pPr>
      <w:r>
        <w:rPr>
          <w:color w:val="auto"/>
        </w:rPr>
        <w:t>跟踪监测点位布设参照《一般工业固体废物贮存和填埋</w:t>
      </w:r>
      <w:r>
        <w:rPr>
          <w:rFonts w:hint="eastAsia"/>
          <w:color w:val="auto"/>
        </w:rPr>
        <w:t>污染控制标准</w:t>
      </w:r>
      <w:r>
        <w:rPr>
          <w:color w:val="auto"/>
        </w:rPr>
        <w:t>》（GB 18599-2020）</w:t>
      </w:r>
      <w:r>
        <w:rPr>
          <w:rFonts w:hint="eastAsia"/>
          <w:color w:val="auto"/>
        </w:rPr>
        <w:t>10.3.2</w:t>
      </w:r>
      <w:r>
        <w:rPr>
          <w:color w:val="auto"/>
        </w:rPr>
        <w:t>中相关要求：</w:t>
      </w:r>
    </w:p>
    <w:p w14:paraId="110F74C2">
      <w:pPr>
        <w:pStyle w:val="59"/>
        <w:ind w:firstLine="480"/>
        <w:rPr>
          <w:color w:val="auto"/>
        </w:rPr>
      </w:pPr>
      <w:r>
        <w:rPr>
          <w:rFonts w:hint="eastAsia"/>
          <w:color w:val="auto"/>
        </w:rPr>
        <w:t>a)在地下水流场上游应布置1个监测井，在下游至少应布置1个监测井，在可能出现污染扩散区域至少应布置1个监测井。设置有地下水导排系统的，应在地下水主管出口处至少布置1个监测井，用以监测地下水导排系统排水的水质；</w:t>
      </w:r>
    </w:p>
    <w:p w14:paraId="3CDDFAF2">
      <w:pPr>
        <w:pStyle w:val="59"/>
        <w:ind w:firstLine="480"/>
        <w:rPr>
          <w:color w:val="auto"/>
        </w:rPr>
      </w:pPr>
      <w:r>
        <w:rPr>
          <w:rFonts w:hint="eastAsia"/>
          <w:color w:val="auto"/>
        </w:rPr>
        <w:t>b)岩溶发育区以及环境影响评价文件中确定地下水评价等级为一级的贮存场、填埋场应根据环境影响评价结论加大下游监测井布设密度；</w:t>
      </w:r>
    </w:p>
    <w:p w14:paraId="2B88F00D">
      <w:pPr>
        <w:pStyle w:val="59"/>
        <w:ind w:firstLine="480"/>
        <w:rPr>
          <w:color w:val="auto"/>
        </w:rPr>
      </w:pPr>
      <w:r>
        <w:rPr>
          <w:rFonts w:hint="eastAsia"/>
          <w:color w:val="auto"/>
        </w:rPr>
        <w:t>c)当地下水含水层埋藏较深或地下水监测井较难布设的基岩山区，经环境影响评价确认地下水不会受到污染时，可减少地下水监测井的数量；</w:t>
      </w:r>
    </w:p>
    <w:p w14:paraId="32B67456">
      <w:pPr>
        <w:pStyle w:val="59"/>
        <w:ind w:firstLine="480"/>
        <w:rPr>
          <w:color w:val="auto"/>
        </w:rPr>
      </w:pPr>
      <w:r>
        <w:rPr>
          <w:rFonts w:hint="eastAsia"/>
          <w:color w:val="auto"/>
        </w:rPr>
        <w:t>d)监测井的位置、深度应根据场区水文地质特征进行针对性布置；</w:t>
      </w:r>
    </w:p>
    <w:p w14:paraId="4D81B858">
      <w:pPr>
        <w:pStyle w:val="59"/>
        <w:ind w:firstLine="480"/>
        <w:rPr>
          <w:color w:val="auto"/>
        </w:rPr>
      </w:pPr>
      <w:r>
        <w:rPr>
          <w:rFonts w:hint="eastAsia"/>
          <w:color w:val="auto"/>
        </w:rPr>
        <w:t>e)监测井的建设与管理应符合HJ/T 164的技术要求；</w:t>
      </w:r>
    </w:p>
    <w:p w14:paraId="23752DF2">
      <w:pPr>
        <w:pStyle w:val="59"/>
        <w:ind w:firstLine="480"/>
        <w:rPr>
          <w:color w:val="auto"/>
        </w:rPr>
      </w:pPr>
      <w:r>
        <w:rPr>
          <w:rFonts w:hint="eastAsia"/>
          <w:color w:val="auto"/>
        </w:rPr>
        <w:t>f)已有的地下水取水井、观测井和勘测井，如果满足上述要求可以作为地下水监测井使用。</w:t>
      </w:r>
    </w:p>
    <w:p w14:paraId="4D38D210">
      <w:pPr>
        <w:pStyle w:val="59"/>
        <w:ind w:firstLine="480"/>
        <w:rPr>
          <w:color w:val="auto"/>
        </w:rPr>
      </w:pPr>
      <w:r>
        <w:rPr>
          <w:rFonts w:hint="eastAsia"/>
          <w:color w:val="auto"/>
        </w:rPr>
        <w:t>因此，在回填区、上游、下游处设置</w:t>
      </w:r>
      <w:r>
        <w:rPr>
          <w:color w:val="auto"/>
        </w:rPr>
        <w:t>3口地下水水质长期观测监控井，即</w:t>
      </w:r>
      <w:r>
        <w:rPr>
          <w:rFonts w:hint="eastAsia"/>
          <w:color w:val="auto"/>
        </w:rPr>
        <w:t>回填区</w:t>
      </w:r>
      <w:r>
        <w:rPr>
          <w:color w:val="auto"/>
        </w:rPr>
        <w:t>（上游）对照井、</w:t>
      </w:r>
      <w:r>
        <w:rPr>
          <w:rFonts w:hint="eastAsia"/>
          <w:color w:val="auto"/>
        </w:rPr>
        <w:t>回填区</w:t>
      </w:r>
      <w:r>
        <w:rPr>
          <w:color w:val="auto"/>
        </w:rPr>
        <w:t>污染控制井和</w:t>
      </w:r>
      <w:r>
        <w:rPr>
          <w:rFonts w:hint="eastAsia"/>
          <w:color w:val="auto"/>
        </w:rPr>
        <w:t>回填区</w:t>
      </w:r>
      <w:r>
        <w:rPr>
          <w:color w:val="auto"/>
        </w:rPr>
        <w:t>（下游）的污染监控井</w:t>
      </w:r>
      <w:r>
        <w:rPr>
          <w:rFonts w:hint="eastAsia"/>
          <w:color w:val="auto"/>
        </w:rPr>
        <w:t>，</w:t>
      </w:r>
      <w:r>
        <w:rPr>
          <w:color w:val="auto"/>
        </w:rPr>
        <w:t>满足</w:t>
      </w:r>
      <w:r>
        <w:rPr>
          <w:rFonts w:hint="eastAsia"/>
          <w:color w:val="auto"/>
        </w:rPr>
        <w:t>《一般工业固体废物贮存和填埋污染控制标准》（</w:t>
      </w:r>
      <w:r>
        <w:rPr>
          <w:color w:val="auto"/>
        </w:rPr>
        <w:t>GB18599-2020）对监测井设置的要求。</w:t>
      </w:r>
    </w:p>
    <w:p w14:paraId="23199C4A">
      <w:pPr>
        <w:pStyle w:val="59"/>
        <w:ind w:firstLine="480"/>
        <w:rPr>
          <w:color w:val="auto"/>
        </w:rPr>
      </w:pPr>
      <w:r>
        <w:rPr>
          <w:rFonts w:hint="eastAsia"/>
          <w:color w:val="auto"/>
        </w:rPr>
        <w:t>结合《地下水环境监测技术规范》（H</w:t>
      </w:r>
      <w:r>
        <w:rPr>
          <w:color w:val="auto"/>
        </w:rPr>
        <w:t>J164-2020</w:t>
      </w:r>
      <w:r>
        <w:rPr>
          <w:rFonts w:hint="eastAsia"/>
          <w:color w:val="auto"/>
        </w:rPr>
        <w:t>）的要求，</w:t>
      </w:r>
      <w:r>
        <w:rPr>
          <w:color w:val="auto"/>
        </w:rPr>
        <w:t>地下水监测</w:t>
      </w:r>
      <w:r>
        <w:rPr>
          <w:rFonts w:hint="eastAsia"/>
          <w:color w:val="auto"/>
        </w:rPr>
        <w:t>点</w:t>
      </w:r>
      <w:r>
        <w:rPr>
          <w:color w:val="auto"/>
        </w:rPr>
        <w:t>位</w:t>
      </w:r>
      <w:r>
        <w:rPr>
          <w:rFonts w:hint="eastAsia"/>
          <w:color w:val="auto"/>
        </w:rPr>
        <w:t>布设</w:t>
      </w:r>
      <w:r>
        <w:rPr>
          <w:color w:val="auto"/>
        </w:rPr>
        <w:t>、</w:t>
      </w:r>
      <w:r>
        <w:rPr>
          <w:rFonts w:hint="eastAsia"/>
          <w:color w:val="auto"/>
        </w:rPr>
        <w:t>层位、</w:t>
      </w:r>
      <w:r>
        <w:rPr>
          <w:color w:val="auto"/>
        </w:rPr>
        <w:t>监测频率</w:t>
      </w:r>
      <w:r>
        <w:rPr>
          <w:rFonts w:hint="eastAsia"/>
          <w:color w:val="auto"/>
        </w:rPr>
        <w:t>、</w:t>
      </w:r>
      <w:r>
        <w:rPr>
          <w:color w:val="auto"/>
        </w:rPr>
        <w:t>监测计划、监测项目</w:t>
      </w:r>
      <w:r>
        <w:rPr>
          <w:rFonts w:hint="eastAsia"/>
          <w:color w:val="auto"/>
        </w:rPr>
        <w:t>见下表。</w:t>
      </w:r>
    </w:p>
    <w:p w14:paraId="05717F9E">
      <w:pPr>
        <w:pStyle w:val="76"/>
        <w:rPr>
          <w:color w:val="auto"/>
        </w:rPr>
      </w:pPr>
      <w:r>
        <w:rPr>
          <w:color w:val="auto"/>
        </w:rPr>
        <w:t>表6-2-1地下水环境监测井相关参数</w:t>
      </w:r>
    </w:p>
    <w:tbl>
      <w:tblPr>
        <w:tblStyle w:val="762"/>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038"/>
        <w:gridCol w:w="1987"/>
        <w:gridCol w:w="708"/>
        <w:gridCol w:w="709"/>
        <w:gridCol w:w="1135"/>
        <w:gridCol w:w="1256"/>
        <w:gridCol w:w="668"/>
      </w:tblGrid>
      <w:tr w14:paraId="6116B5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485" w:type="pct"/>
            <w:vAlign w:val="center"/>
          </w:tcPr>
          <w:p w14:paraId="20FDC159">
            <w:pPr>
              <w:pStyle w:val="84"/>
              <w:rPr>
                <w:color w:val="auto"/>
              </w:rPr>
            </w:pPr>
            <w:r>
              <w:rPr>
                <w:color w:val="auto"/>
              </w:rPr>
              <w:t>名称</w:t>
            </w:r>
          </w:p>
        </w:tc>
        <w:tc>
          <w:tcPr>
            <w:tcW w:w="625" w:type="pct"/>
            <w:vAlign w:val="center"/>
          </w:tcPr>
          <w:p w14:paraId="1E7432D7">
            <w:pPr>
              <w:pStyle w:val="84"/>
              <w:rPr>
                <w:color w:val="auto"/>
              </w:rPr>
            </w:pPr>
            <w:r>
              <w:rPr>
                <w:color w:val="auto"/>
              </w:rPr>
              <w:t>位置</w:t>
            </w:r>
          </w:p>
        </w:tc>
        <w:tc>
          <w:tcPr>
            <w:tcW w:w="1196" w:type="pct"/>
            <w:vAlign w:val="center"/>
          </w:tcPr>
          <w:p w14:paraId="0B9EE656">
            <w:pPr>
              <w:pStyle w:val="84"/>
              <w:rPr>
                <w:color w:val="auto"/>
              </w:rPr>
            </w:pPr>
            <w:r>
              <w:rPr>
                <w:rFonts w:hint="eastAsia"/>
                <w:color w:val="auto"/>
              </w:rPr>
              <w:t>坐标</w:t>
            </w:r>
          </w:p>
        </w:tc>
        <w:tc>
          <w:tcPr>
            <w:tcW w:w="426" w:type="pct"/>
            <w:vAlign w:val="center"/>
          </w:tcPr>
          <w:p w14:paraId="7E26E17C">
            <w:pPr>
              <w:pStyle w:val="84"/>
              <w:rPr>
                <w:color w:val="auto"/>
              </w:rPr>
            </w:pPr>
            <w:r>
              <w:rPr>
                <w:rFonts w:hint="eastAsia"/>
                <w:color w:val="auto"/>
              </w:rPr>
              <w:t>层位</w:t>
            </w:r>
          </w:p>
        </w:tc>
        <w:tc>
          <w:tcPr>
            <w:tcW w:w="427" w:type="pct"/>
            <w:vAlign w:val="center"/>
          </w:tcPr>
          <w:p w14:paraId="6185BA25">
            <w:pPr>
              <w:pStyle w:val="84"/>
              <w:rPr>
                <w:color w:val="auto"/>
              </w:rPr>
            </w:pPr>
            <w:r>
              <w:rPr>
                <w:color w:val="auto"/>
              </w:rPr>
              <w:t>井深</w:t>
            </w:r>
          </w:p>
        </w:tc>
        <w:tc>
          <w:tcPr>
            <w:tcW w:w="683" w:type="pct"/>
            <w:vAlign w:val="center"/>
          </w:tcPr>
          <w:p w14:paraId="5EB96F2F">
            <w:pPr>
              <w:pStyle w:val="84"/>
              <w:rPr>
                <w:color w:val="auto"/>
              </w:rPr>
            </w:pPr>
            <w:r>
              <w:rPr>
                <w:color w:val="auto"/>
              </w:rPr>
              <w:t>监测频率</w:t>
            </w:r>
          </w:p>
        </w:tc>
        <w:tc>
          <w:tcPr>
            <w:tcW w:w="756" w:type="pct"/>
            <w:vAlign w:val="center"/>
          </w:tcPr>
          <w:p w14:paraId="7C299EA6">
            <w:pPr>
              <w:pStyle w:val="84"/>
              <w:rPr>
                <w:color w:val="auto"/>
              </w:rPr>
            </w:pPr>
            <w:r>
              <w:rPr>
                <w:color w:val="auto"/>
              </w:rPr>
              <w:t>监测项目</w:t>
            </w:r>
          </w:p>
        </w:tc>
        <w:tc>
          <w:tcPr>
            <w:tcW w:w="403" w:type="pct"/>
            <w:vAlign w:val="center"/>
          </w:tcPr>
          <w:p w14:paraId="35BF5E4F">
            <w:pPr>
              <w:pStyle w:val="84"/>
              <w:rPr>
                <w:color w:val="auto"/>
              </w:rPr>
            </w:pPr>
            <w:r>
              <w:rPr>
                <w:color w:val="auto"/>
              </w:rPr>
              <w:t>备注</w:t>
            </w:r>
          </w:p>
        </w:tc>
      </w:tr>
      <w:tr w14:paraId="539F5B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85" w:type="pct"/>
            <w:vAlign w:val="center"/>
          </w:tcPr>
          <w:p w14:paraId="3F4B7993">
            <w:pPr>
              <w:pStyle w:val="84"/>
              <w:rPr>
                <w:color w:val="auto"/>
              </w:rPr>
            </w:pPr>
            <w:r>
              <w:rPr>
                <w:color w:val="auto"/>
              </w:rPr>
              <w:t>对照井</w:t>
            </w:r>
          </w:p>
        </w:tc>
        <w:tc>
          <w:tcPr>
            <w:tcW w:w="625" w:type="pct"/>
            <w:vAlign w:val="center"/>
          </w:tcPr>
          <w:p w14:paraId="05CB328E">
            <w:pPr>
              <w:pStyle w:val="84"/>
              <w:rPr>
                <w:color w:val="auto"/>
              </w:rPr>
            </w:pPr>
            <w:r>
              <w:rPr>
                <w:rFonts w:hint="eastAsia"/>
                <w:color w:val="auto"/>
              </w:rPr>
              <w:t>回填区</w:t>
            </w:r>
            <w:r>
              <w:rPr>
                <w:rFonts w:hint="eastAsia"/>
                <w:color w:val="auto"/>
                <w:lang w:eastAsia="zh-CN"/>
              </w:rPr>
              <w:t>东</w:t>
            </w:r>
            <w:r>
              <w:rPr>
                <w:rFonts w:hint="eastAsia"/>
                <w:color w:val="auto"/>
              </w:rPr>
              <w:t>北侧</w:t>
            </w:r>
            <w:r>
              <w:rPr>
                <w:color w:val="auto"/>
              </w:rPr>
              <w:t>20</w:t>
            </w:r>
            <w:r>
              <w:rPr>
                <w:rFonts w:hint="eastAsia"/>
                <w:color w:val="auto"/>
              </w:rPr>
              <w:t>m</w:t>
            </w:r>
          </w:p>
        </w:tc>
        <w:tc>
          <w:tcPr>
            <w:tcW w:w="1196" w:type="pct"/>
            <w:vAlign w:val="center"/>
          </w:tcPr>
          <w:p w14:paraId="458B3A7E">
            <w:pPr>
              <w:pStyle w:val="84"/>
              <w:rPr>
                <w:color w:val="auto"/>
              </w:rPr>
            </w:pPr>
            <w:r>
              <w:rPr>
                <w:color w:val="auto"/>
              </w:rPr>
              <w:t xml:space="preserve">E </w:t>
            </w:r>
            <w:r>
              <w:rPr>
                <w:rFonts w:hint="eastAsia"/>
                <w:color w:val="auto"/>
              </w:rPr>
              <w:t>131.27095699</w:t>
            </w:r>
          </w:p>
          <w:p w14:paraId="5338DDB4">
            <w:pPr>
              <w:pStyle w:val="84"/>
              <w:rPr>
                <w:color w:val="auto"/>
              </w:rPr>
            </w:pPr>
            <w:r>
              <w:rPr>
                <w:color w:val="auto"/>
              </w:rPr>
              <w:t xml:space="preserve">N </w:t>
            </w:r>
            <w:r>
              <w:rPr>
                <w:rFonts w:hint="eastAsia"/>
                <w:color w:val="auto"/>
              </w:rPr>
              <w:t>45.34789324</w:t>
            </w:r>
          </w:p>
        </w:tc>
        <w:tc>
          <w:tcPr>
            <w:tcW w:w="426" w:type="pct"/>
            <w:vAlign w:val="center"/>
          </w:tcPr>
          <w:p w14:paraId="71C66EFF">
            <w:pPr>
              <w:pStyle w:val="84"/>
              <w:rPr>
                <w:color w:val="auto"/>
              </w:rPr>
            </w:pPr>
            <w:r>
              <w:rPr>
                <w:rFonts w:hint="eastAsia"/>
                <w:color w:val="auto"/>
              </w:rPr>
              <w:t>浅层地下水</w:t>
            </w:r>
          </w:p>
        </w:tc>
        <w:tc>
          <w:tcPr>
            <w:tcW w:w="427" w:type="pct"/>
            <w:vMerge w:val="restart"/>
            <w:vAlign w:val="center"/>
          </w:tcPr>
          <w:p w14:paraId="5AB8A998">
            <w:pPr>
              <w:pStyle w:val="84"/>
              <w:rPr>
                <w:color w:val="auto"/>
              </w:rPr>
            </w:pPr>
            <w:r>
              <w:rPr>
                <w:rFonts w:hint="eastAsia"/>
                <w:color w:val="auto"/>
              </w:rPr>
              <w:t>1</w:t>
            </w:r>
            <w:r>
              <w:rPr>
                <w:color w:val="auto"/>
              </w:rPr>
              <w:t>5</w:t>
            </w:r>
            <w:r>
              <w:rPr>
                <w:rFonts w:hint="eastAsia"/>
                <w:color w:val="auto"/>
              </w:rPr>
              <w:t>m</w:t>
            </w:r>
          </w:p>
        </w:tc>
        <w:tc>
          <w:tcPr>
            <w:tcW w:w="683" w:type="pct"/>
            <w:vMerge w:val="restart"/>
            <w:vAlign w:val="center"/>
          </w:tcPr>
          <w:p w14:paraId="150CA132">
            <w:pPr>
              <w:pStyle w:val="84"/>
              <w:jc w:val="both"/>
              <w:rPr>
                <w:color w:val="auto"/>
              </w:rPr>
            </w:pPr>
            <w:r>
              <w:rPr>
                <w:color w:val="auto"/>
              </w:rPr>
              <w:t>1次/季度；复垦后</w:t>
            </w:r>
            <w:r>
              <w:rPr>
                <w:rFonts w:hint="eastAsia"/>
                <w:color w:val="auto"/>
              </w:rPr>
              <w:t>至</w:t>
            </w:r>
            <w:r>
              <w:rPr>
                <w:color w:val="auto"/>
              </w:rPr>
              <w:t>少每</w:t>
            </w:r>
            <w:r>
              <w:rPr>
                <w:rFonts w:hint="eastAsia"/>
                <w:color w:val="auto"/>
              </w:rPr>
              <w:t>半</w:t>
            </w:r>
            <w:r>
              <w:rPr>
                <w:color w:val="auto"/>
              </w:rPr>
              <w:t>年1次，直到地下水水质连续2年不超出地下水本底水平。</w:t>
            </w:r>
          </w:p>
        </w:tc>
        <w:tc>
          <w:tcPr>
            <w:tcW w:w="756" w:type="pct"/>
            <w:vMerge w:val="restart"/>
            <w:shd w:val="clear" w:color="auto" w:fill="auto"/>
            <w:vAlign w:val="center"/>
          </w:tcPr>
          <w:p w14:paraId="36D525B0">
            <w:pPr>
              <w:pStyle w:val="84"/>
              <w:jc w:val="both"/>
              <w:rPr>
                <w:color w:val="auto"/>
              </w:rPr>
            </w:pPr>
            <w:r>
              <w:rPr>
                <w:rFonts w:hint="eastAsia"/>
                <w:color w:val="auto"/>
                <w:kern w:val="0"/>
              </w:rPr>
              <w:t>浑浊度、</w:t>
            </w:r>
            <w:r>
              <w:rPr>
                <w:color w:val="auto"/>
                <w:kern w:val="0"/>
              </w:rPr>
              <w:t>pH、溶解性总固体、氯化物、硝酸盐（以N计）、亚硝酸盐（以N计）</w:t>
            </w:r>
            <w:r>
              <w:rPr>
                <w:rFonts w:hint="eastAsia"/>
                <w:color w:val="auto"/>
                <w:kern w:val="0"/>
              </w:rPr>
              <w:t>、C</w:t>
            </w:r>
            <w:r>
              <w:rPr>
                <w:color w:val="auto"/>
                <w:kern w:val="0"/>
              </w:rPr>
              <w:t>OD</w:t>
            </w:r>
            <w:r>
              <w:rPr>
                <w:rFonts w:hint="eastAsia"/>
                <w:color w:val="auto"/>
                <w:kern w:val="0"/>
              </w:rPr>
              <w:t>、氨氮、镉、汞、砷、铅、铬、铜、镍、锌</w:t>
            </w:r>
          </w:p>
        </w:tc>
        <w:tc>
          <w:tcPr>
            <w:tcW w:w="403" w:type="pct"/>
            <w:vAlign w:val="center"/>
          </w:tcPr>
          <w:p w14:paraId="2EC48B18">
            <w:pPr>
              <w:pStyle w:val="84"/>
              <w:rPr>
                <w:color w:val="auto"/>
              </w:rPr>
            </w:pPr>
            <w:r>
              <w:rPr>
                <w:color w:val="auto"/>
              </w:rPr>
              <w:t>新建</w:t>
            </w:r>
          </w:p>
        </w:tc>
      </w:tr>
      <w:tr w14:paraId="1B314F0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85" w:type="pct"/>
            <w:vAlign w:val="center"/>
          </w:tcPr>
          <w:p w14:paraId="450D2C11">
            <w:pPr>
              <w:pStyle w:val="84"/>
              <w:rPr>
                <w:color w:val="auto"/>
              </w:rPr>
            </w:pPr>
            <w:r>
              <w:rPr>
                <w:color w:val="auto"/>
              </w:rPr>
              <w:t>污染扩散监测井</w:t>
            </w:r>
          </w:p>
        </w:tc>
        <w:tc>
          <w:tcPr>
            <w:tcW w:w="625" w:type="pct"/>
            <w:vAlign w:val="center"/>
          </w:tcPr>
          <w:p w14:paraId="37F60310">
            <w:pPr>
              <w:pStyle w:val="84"/>
              <w:rPr>
                <w:color w:val="auto"/>
              </w:rPr>
            </w:pPr>
            <w:r>
              <w:rPr>
                <w:rFonts w:hint="eastAsia"/>
                <w:color w:val="auto"/>
              </w:rPr>
              <w:t>回填区</w:t>
            </w:r>
            <w:r>
              <w:rPr>
                <w:rFonts w:hint="eastAsia"/>
                <w:color w:val="auto"/>
                <w:lang w:eastAsia="zh-CN"/>
              </w:rPr>
              <w:t>东南</w:t>
            </w:r>
            <w:r>
              <w:rPr>
                <w:rFonts w:hint="eastAsia"/>
                <w:color w:val="auto"/>
              </w:rPr>
              <w:t>侧</w:t>
            </w:r>
            <w:r>
              <w:rPr>
                <w:color w:val="auto"/>
              </w:rPr>
              <w:t>20m</w:t>
            </w:r>
          </w:p>
        </w:tc>
        <w:tc>
          <w:tcPr>
            <w:tcW w:w="1196" w:type="pct"/>
            <w:vAlign w:val="center"/>
          </w:tcPr>
          <w:p w14:paraId="0C9A5207">
            <w:pPr>
              <w:pStyle w:val="84"/>
              <w:rPr>
                <w:color w:val="auto"/>
              </w:rPr>
            </w:pPr>
            <w:r>
              <w:rPr>
                <w:color w:val="auto"/>
              </w:rPr>
              <w:t>E</w:t>
            </w:r>
            <w:r>
              <w:rPr>
                <w:rFonts w:hint="eastAsia"/>
                <w:color w:val="auto"/>
              </w:rPr>
              <w:t>131.26842499</w:t>
            </w:r>
          </w:p>
          <w:p w14:paraId="2265CA03">
            <w:pPr>
              <w:pStyle w:val="84"/>
              <w:rPr>
                <w:color w:val="auto"/>
              </w:rPr>
            </w:pPr>
            <w:r>
              <w:rPr>
                <w:color w:val="auto"/>
              </w:rPr>
              <w:t xml:space="preserve">N </w:t>
            </w:r>
            <w:r>
              <w:rPr>
                <w:rFonts w:hint="eastAsia"/>
                <w:color w:val="auto"/>
              </w:rPr>
              <w:t>45.34529686</w:t>
            </w:r>
          </w:p>
        </w:tc>
        <w:tc>
          <w:tcPr>
            <w:tcW w:w="426" w:type="pct"/>
            <w:vAlign w:val="center"/>
          </w:tcPr>
          <w:p w14:paraId="13240F56">
            <w:pPr>
              <w:pStyle w:val="84"/>
              <w:rPr>
                <w:color w:val="auto"/>
              </w:rPr>
            </w:pPr>
            <w:r>
              <w:rPr>
                <w:rFonts w:hint="eastAsia"/>
                <w:color w:val="auto"/>
              </w:rPr>
              <w:t>浅层地下水</w:t>
            </w:r>
          </w:p>
        </w:tc>
        <w:tc>
          <w:tcPr>
            <w:tcW w:w="427" w:type="pct"/>
            <w:vMerge w:val="continue"/>
            <w:vAlign w:val="center"/>
          </w:tcPr>
          <w:p w14:paraId="4946A5DA">
            <w:pPr>
              <w:pStyle w:val="84"/>
              <w:rPr>
                <w:color w:val="auto"/>
              </w:rPr>
            </w:pPr>
          </w:p>
        </w:tc>
        <w:tc>
          <w:tcPr>
            <w:tcW w:w="683" w:type="pct"/>
            <w:vMerge w:val="continue"/>
            <w:vAlign w:val="center"/>
          </w:tcPr>
          <w:p w14:paraId="797E38BA">
            <w:pPr>
              <w:pStyle w:val="84"/>
              <w:rPr>
                <w:color w:val="auto"/>
              </w:rPr>
            </w:pPr>
          </w:p>
        </w:tc>
        <w:tc>
          <w:tcPr>
            <w:tcW w:w="756" w:type="pct"/>
            <w:vMerge w:val="continue"/>
            <w:vAlign w:val="center"/>
          </w:tcPr>
          <w:p w14:paraId="233C1FB1">
            <w:pPr>
              <w:pStyle w:val="84"/>
              <w:rPr>
                <w:color w:val="auto"/>
              </w:rPr>
            </w:pPr>
          </w:p>
        </w:tc>
        <w:tc>
          <w:tcPr>
            <w:tcW w:w="403" w:type="pct"/>
            <w:vAlign w:val="center"/>
          </w:tcPr>
          <w:p w14:paraId="3A8DFE0B">
            <w:pPr>
              <w:pStyle w:val="84"/>
              <w:rPr>
                <w:color w:val="auto"/>
              </w:rPr>
            </w:pPr>
            <w:r>
              <w:rPr>
                <w:color w:val="auto"/>
              </w:rPr>
              <w:t>新建</w:t>
            </w:r>
          </w:p>
        </w:tc>
      </w:tr>
      <w:tr w14:paraId="1DA089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76" w:hRule="atLeast"/>
        </w:trPr>
        <w:tc>
          <w:tcPr>
            <w:tcW w:w="485" w:type="pct"/>
            <w:vAlign w:val="center"/>
          </w:tcPr>
          <w:p w14:paraId="6661DA1E">
            <w:pPr>
              <w:pStyle w:val="84"/>
              <w:rPr>
                <w:color w:val="auto"/>
              </w:rPr>
            </w:pPr>
            <w:r>
              <w:rPr>
                <w:rFonts w:hint="eastAsia"/>
                <w:color w:val="auto"/>
              </w:rPr>
              <w:t>污染监视井</w:t>
            </w:r>
          </w:p>
        </w:tc>
        <w:tc>
          <w:tcPr>
            <w:tcW w:w="625" w:type="pct"/>
            <w:vAlign w:val="center"/>
          </w:tcPr>
          <w:p w14:paraId="75D7A7A7">
            <w:pPr>
              <w:pStyle w:val="84"/>
              <w:rPr>
                <w:color w:val="auto"/>
              </w:rPr>
            </w:pPr>
            <w:r>
              <w:rPr>
                <w:rFonts w:hint="eastAsia"/>
                <w:color w:val="auto"/>
              </w:rPr>
              <w:t>回填区</w:t>
            </w:r>
            <w:r>
              <w:rPr>
                <w:rFonts w:hint="eastAsia"/>
                <w:color w:val="auto"/>
                <w:lang w:eastAsia="zh-CN"/>
              </w:rPr>
              <w:t>西南</w:t>
            </w:r>
            <w:r>
              <w:rPr>
                <w:rFonts w:hint="eastAsia"/>
                <w:color w:val="auto"/>
              </w:rPr>
              <w:t>侧</w:t>
            </w:r>
            <w:r>
              <w:rPr>
                <w:color w:val="auto"/>
              </w:rPr>
              <w:t>30m</w:t>
            </w:r>
          </w:p>
        </w:tc>
        <w:tc>
          <w:tcPr>
            <w:tcW w:w="1196" w:type="pct"/>
            <w:vAlign w:val="center"/>
          </w:tcPr>
          <w:p w14:paraId="7880E746">
            <w:pPr>
              <w:pStyle w:val="84"/>
              <w:rPr>
                <w:color w:val="auto"/>
              </w:rPr>
            </w:pPr>
            <w:r>
              <w:rPr>
                <w:color w:val="auto"/>
              </w:rPr>
              <w:t xml:space="preserve">E </w:t>
            </w:r>
            <w:r>
              <w:rPr>
                <w:rFonts w:hint="eastAsia"/>
                <w:color w:val="auto"/>
              </w:rPr>
              <w:t>131.26705170</w:t>
            </w:r>
          </w:p>
          <w:p w14:paraId="271D3CB2">
            <w:pPr>
              <w:pStyle w:val="84"/>
              <w:rPr>
                <w:color w:val="auto"/>
              </w:rPr>
            </w:pPr>
            <w:r>
              <w:rPr>
                <w:color w:val="auto"/>
              </w:rPr>
              <w:t xml:space="preserve">N </w:t>
            </w:r>
            <w:r>
              <w:rPr>
                <w:rFonts w:hint="eastAsia"/>
                <w:color w:val="auto"/>
              </w:rPr>
              <w:t>45.34083366</w:t>
            </w:r>
          </w:p>
        </w:tc>
        <w:tc>
          <w:tcPr>
            <w:tcW w:w="426" w:type="pct"/>
            <w:vAlign w:val="center"/>
          </w:tcPr>
          <w:p w14:paraId="40725D39">
            <w:pPr>
              <w:pStyle w:val="84"/>
              <w:rPr>
                <w:color w:val="auto"/>
              </w:rPr>
            </w:pPr>
            <w:r>
              <w:rPr>
                <w:rFonts w:hint="eastAsia"/>
                <w:color w:val="auto"/>
              </w:rPr>
              <w:t>浅层地下水</w:t>
            </w:r>
          </w:p>
        </w:tc>
        <w:tc>
          <w:tcPr>
            <w:tcW w:w="427" w:type="pct"/>
            <w:vMerge w:val="continue"/>
            <w:vAlign w:val="center"/>
          </w:tcPr>
          <w:p w14:paraId="295513C7">
            <w:pPr>
              <w:pStyle w:val="84"/>
              <w:rPr>
                <w:color w:val="auto"/>
              </w:rPr>
            </w:pPr>
          </w:p>
        </w:tc>
        <w:tc>
          <w:tcPr>
            <w:tcW w:w="683" w:type="pct"/>
            <w:vMerge w:val="continue"/>
            <w:vAlign w:val="center"/>
          </w:tcPr>
          <w:p w14:paraId="5478D7B4">
            <w:pPr>
              <w:pStyle w:val="84"/>
              <w:rPr>
                <w:color w:val="auto"/>
              </w:rPr>
            </w:pPr>
          </w:p>
        </w:tc>
        <w:tc>
          <w:tcPr>
            <w:tcW w:w="756" w:type="pct"/>
            <w:vMerge w:val="continue"/>
            <w:vAlign w:val="center"/>
          </w:tcPr>
          <w:p w14:paraId="1DF253FA">
            <w:pPr>
              <w:pStyle w:val="84"/>
              <w:rPr>
                <w:color w:val="auto"/>
              </w:rPr>
            </w:pPr>
          </w:p>
        </w:tc>
        <w:tc>
          <w:tcPr>
            <w:tcW w:w="403" w:type="pct"/>
            <w:vAlign w:val="center"/>
          </w:tcPr>
          <w:p w14:paraId="54B57506">
            <w:pPr>
              <w:pStyle w:val="84"/>
              <w:rPr>
                <w:color w:val="auto"/>
              </w:rPr>
            </w:pPr>
            <w:r>
              <w:rPr>
                <w:color w:val="auto"/>
              </w:rPr>
              <w:t>新建</w:t>
            </w:r>
          </w:p>
        </w:tc>
      </w:tr>
    </w:tbl>
    <w:p w14:paraId="6ACAE340">
      <w:pPr>
        <w:pStyle w:val="135"/>
        <w:rPr>
          <w:color w:val="auto"/>
        </w:rPr>
      </w:pPr>
      <w:r>
        <w:rPr>
          <w:rFonts w:hint="eastAsia"/>
          <w:color w:val="auto"/>
        </w:rPr>
        <w:t>6</w:t>
      </w:r>
      <w:r>
        <w:rPr>
          <w:color w:val="auto"/>
        </w:rPr>
        <w:t>.2.2.4</w:t>
      </w:r>
      <w:r>
        <w:rPr>
          <w:rFonts w:hint="eastAsia"/>
          <w:color w:val="auto"/>
        </w:rPr>
        <w:t>其他措施</w:t>
      </w:r>
    </w:p>
    <w:p w14:paraId="7FED2D86">
      <w:pPr>
        <w:pStyle w:val="59"/>
        <w:ind w:firstLine="480"/>
        <w:rPr>
          <w:color w:val="auto"/>
        </w:rPr>
      </w:pPr>
      <w:r>
        <w:rPr>
          <w:rFonts w:hint="eastAsia"/>
          <w:color w:val="auto"/>
        </w:rPr>
        <w:t>1、</w:t>
      </w:r>
      <w:r>
        <w:rPr>
          <w:color w:val="auto"/>
        </w:rPr>
        <w:t>数据管理</w:t>
      </w:r>
    </w:p>
    <w:p w14:paraId="1E2B238C">
      <w:pPr>
        <w:pStyle w:val="59"/>
        <w:ind w:firstLine="480"/>
        <w:rPr>
          <w:color w:val="auto"/>
        </w:rPr>
      </w:pPr>
      <w:r>
        <w:rPr>
          <w:color w:val="auto"/>
        </w:rPr>
        <w:t>建设单位应按照相关规定对监测结果及时建立档案，并按照国家环保部门相关规定定期向相关部门汇报并报备。如发现污染物浓度异常升高，加密监测频次，并分析污染原因，确定泄漏污染源，及时采取应急措施。建设单位应建立完善的质量管理体系，实现“质量、安全、环境”三位一体的全面质量管理目标。设立地下水动态监测小组，负责对地下水环境监测和管理，或者委托专业的资质机构完成。建立有关规章制度和岗位责任制。制定风险预警方案，设立应急设施减少环境污染影响。</w:t>
      </w:r>
    </w:p>
    <w:p w14:paraId="273F6841">
      <w:pPr>
        <w:pStyle w:val="59"/>
        <w:ind w:firstLine="480"/>
        <w:rPr>
          <w:color w:val="auto"/>
        </w:rPr>
      </w:pPr>
      <w:r>
        <w:rPr>
          <w:color w:val="auto"/>
        </w:rPr>
        <w:t>（1）管理措施</w:t>
      </w:r>
    </w:p>
    <w:p w14:paraId="1EE64670">
      <w:pPr>
        <w:pStyle w:val="59"/>
        <w:ind w:firstLine="480"/>
        <w:rPr>
          <w:color w:val="auto"/>
        </w:rPr>
      </w:pPr>
      <w:r>
        <w:rPr>
          <w:color w:val="auto"/>
        </w:rPr>
        <w:t>建设单位应委托具有监测资质的单位负责地下水监测工作，按要求及时分析整理原始资料、监测报告的编写工作。</w:t>
      </w:r>
    </w:p>
    <w:p w14:paraId="68E1E7B0">
      <w:pPr>
        <w:pStyle w:val="59"/>
        <w:ind w:firstLine="480"/>
        <w:rPr>
          <w:color w:val="auto"/>
        </w:rPr>
      </w:pPr>
      <w:r>
        <w:rPr>
          <w:color w:val="auto"/>
        </w:rPr>
        <w:t>建立地下水监测数据信息管理系统，根据实际情况，按事故的性质、类型、影响范围、严重后果分等级制定相应预案。在制定预案时要根据本场环境污染事故潜在威胁的情况，认真细致地考虑各项影响因素，适当的时候组织有关部门、人员进行演练，不断补充完善。</w:t>
      </w:r>
    </w:p>
    <w:p w14:paraId="1DBDDED6">
      <w:pPr>
        <w:pStyle w:val="59"/>
        <w:ind w:firstLine="480"/>
        <w:rPr>
          <w:color w:val="auto"/>
        </w:rPr>
      </w:pPr>
      <w:r>
        <w:rPr>
          <w:color w:val="auto"/>
        </w:rPr>
        <w:t>（2）技术措施</w:t>
      </w:r>
    </w:p>
    <w:p w14:paraId="40AB5219">
      <w:pPr>
        <w:pStyle w:val="59"/>
        <w:ind w:firstLine="480"/>
        <w:rPr>
          <w:color w:val="auto"/>
        </w:rPr>
      </w:pPr>
      <w:r>
        <w:rPr>
          <w:color w:val="auto"/>
        </w:rPr>
        <w:t>按照《地下水环境监测技术规范》（HJ/T164-2020）要求，及时上报监测数据和有关表格。</w:t>
      </w:r>
    </w:p>
    <w:p w14:paraId="140D5DC6">
      <w:pPr>
        <w:pStyle w:val="59"/>
        <w:ind w:firstLine="480"/>
        <w:rPr>
          <w:color w:val="auto"/>
        </w:rPr>
      </w:pPr>
      <w:r>
        <w:rPr>
          <w:color w:val="auto"/>
        </w:rPr>
        <w:t>在日常例行监测中，一旦发现地下水水质监测数据异常，应尽快核查数据，确保数据的正确性。并将核查过的监测数据通告公司安全环保部门，由专人负责对数据进行分析、核实，并密切关注生产设施的运行情况，为防止地下水污染采取措施提供正确的依据。应采取措施如下：</w:t>
      </w:r>
    </w:p>
    <w:p w14:paraId="5B2C8D09">
      <w:pPr>
        <w:pStyle w:val="59"/>
        <w:ind w:firstLine="480"/>
        <w:rPr>
          <w:color w:val="auto"/>
        </w:rPr>
      </w:pPr>
      <w:r>
        <w:rPr>
          <w:color w:val="auto"/>
        </w:rPr>
        <w:t>了解全场生产是否出现异常情况，出现异常情况的装置、原因。加大监测密度，分析变化动向；周期性地编写地下水动态监测报告；定期对污染区的生产装置进行检查</w:t>
      </w:r>
    </w:p>
    <w:p w14:paraId="151398A6">
      <w:pPr>
        <w:pStyle w:val="59"/>
        <w:ind w:firstLine="480"/>
        <w:rPr>
          <w:color w:val="auto"/>
        </w:rPr>
      </w:pPr>
      <w:r>
        <w:rPr>
          <w:rFonts w:hint="eastAsia"/>
          <w:color w:val="auto"/>
        </w:rPr>
        <w:t>2、</w:t>
      </w:r>
      <w:r>
        <w:rPr>
          <w:color w:val="auto"/>
        </w:rPr>
        <w:t>信息公开</w:t>
      </w:r>
    </w:p>
    <w:p w14:paraId="3A523E10">
      <w:pPr>
        <w:pStyle w:val="59"/>
        <w:ind w:firstLine="480"/>
        <w:rPr>
          <w:color w:val="auto"/>
        </w:rPr>
      </w:pPr>
      <w:r>
        <w:rPr>
          <w:color w:val="auto"/>
        </w:rPr>
        <w:t>跟踪监测报告内容包括：</w:t>
      </w:r>
    </w:p>
    <w:p w14:paraId="7B88A972">
      <w:pPr>
        <w:pStyle w:val="59"/>
        <w:ind w:firstLine="480"/>
        <w:rPr>
          <w:color w:val="auto"/>
        </w:rPr>
      </w:pPr>
      <w:r>
        <w:rPr>
          <w:color w:val="auto"/>
        </w:rPr>
        <w:t>本项目设置的环境监测点的地下水环境跟踪监测数据，同时包括项目排放的污染物的种类、数量和浓度。</w:t>
      </w:r>
    </w:p>
    <w:p w14:paraId="0682447D">
      <w:pPr>
        <w:pStyle w:val="59"/>
        <w:ind w:firstLine="480"/>
        <w:rPr>
          <w:color w:val="auto"/>
        </w:rPr>
      </w:pPr>
      <w:r>
        <w:rPr>
          <w:color w:val="auto"/>
        </w:rPr>
        <w:t>场区管线、</w:t>
      </w:r>
      <w:r>
        <w:rPr>
          <w:rFonts w:hint="eastAsia"/>
          <w:color w:val="auto"/>
        </w:rPr>
        <w:t>污水收集</w:t>
      </w:r>
      <w:r>
        <w:rPr>
          <w:color w:val="auto"/>
        </w:rPr>
        <w:t>装置等设施的运行状况、跑冒滴漏记录、维护记录等。</w:t>
      </w:r>
    </w:p>
    <w:p w14:paraId="16D13F5B">
      <w:pPr>
        <w:pStyle w:val="59"/>
        <w:ind w:firstLine="480"/>
        <w:rPr>
          <w:color w:val="auto"/>
        </w:rPr>
      </w:pPr>
      <w:r>
        <w:rPr>
          <w:color w:val="auto"/>
        </w:rPr>
        <w:t>跟踪监测的信息应在当地环境保护主管部门网站上公开，公开内容主要包含建设项目特征因子的地下水环境监测值。</w:t>
      </w:r>
    </w:p>
    <w:p w14:paraId="772884C0">
      <w:pPr>
        <w:pStyle w:val="137"/>
        <w:rPr>
          <w:color w:val="auto"/>
        </w:rPr>
      </w:pPr>
      <w:r>
        <w:rPr>
          <w:color w:val="auto"/>
        </w:rPr>
        <w:t>6.2.4声环境保护措施</w:t>
      </w:r>
    </w:p>
    <w:p w14:paraId="454C4C1F">
      <w:pPr>
        <w:pStyle w:val="59"/>
        <w:ind w:firstLine="480"/>
        <w:rPr>
          <w:color w:val="auto"/>
        </w:rPr>
      </w:pPr>
      <w:r>
        <w:rPr>
          <w:color w:val="auto"/>
        </w:rPr>
        <w:t>本项目</w:t>
      </w:r>
      <w:r>
        <w:rPr>
          <w:rFonts w:hint="eastAsia"/>
          <w:color w:val="auto"/>
        </w:rPr>
        <w:t>回填复垦期</w:t>
      </w:r>
      <w:r>
        <w:rPr>
          <w:color w:val="auto"/>
        </w:rPr>
        <w:t>噪声源主要来自</w:t>
      </w:r>
      <w:r>
        <w:rPr>
          <w:rFonts w:hint="eastAsia"/>
          <w:color w:val="auto"/>
        </w:rPr>
        <w:t>运输车噪声和</w:t>
      </w:r>
      <w:r>
        <w:rPr>
          <w:color w:val="auto"/>
        </w:rPr>
        <w:t>设备噪声，拟采取的污染防治措施如下：</w:t>
      </w:r>
    </w:p>
    <w:p w14:paraId="67589B6B">
      <w:pPr>
        <w:pStyle w:val="59"/>
        <w:ind w:firstLine="480"/>
        <w:rPr>
          <w:color w:val="auto"/>
        </w:rPr>
      </w:pPr>
      <w:r>
        <w:rPr>
          <w:rFonts w:hint="eastAsia"/>
          <w:color w:val="auto"/>
        </w:rPr>
        <w:t>（1）回填区</w:t>
      </w:r>
      <w:r>
        <w:rPr>
          <w:color w:val="auto"/>
        </w:rPr>
        <w:t>噪声控制措施</w:t>
      </w:r>
    </w:p>
    <w:p w14:paraId="43C54660">
      <w:pPr>
        <w:pStyle w:val="59"/>
        <w:ind w:firstLine="480"/>
        <w:rPr>
          <w:color w:val="auto"/>
        </w:rPr>
      </w:pPr>
      <w:r>
        <w:rPr>
          <w:rFonts w:hint="eastAsia"/>
          <w:bCs/>
          <w:color w:val="auto"/>
        </w:rPr>
        <w:t>①</w:t>
      </w:r>
      <w:r>
        <w:rPr>
          <w:rFonts w:hint="eastAsia"/>
          <w:color w:val="auto"/>
        </w:rPr>
        <w:t>优先选用低噪声设备。尽可能选取运行精度高、噪声低，配备有减振、降噪装置的生产设备。</w:t>
      </w:r>
    </w:p>
    <w:p w14:paraId="699A91CB">
      <w:pPr>
        <w:pStyle w:val="59"/>
        <w:ind w:firstLine="480"/>
        <w:rPr>
          <w:color w:val="auto"/>
        </w:rPr>
      </w:pPr>
      <w:r>
        <w:rPr>
          <w:rFonts w:hint="eastAsia" w:ascii="宋体" w:hAnsi="宋体" w:cs="宋体"/>
          <w:bCs/>
          <w:color w:val="auto"/>
        </w:rPr>
        <w:t>②</w:t>
      </w:r>
      <w:r>
        <w:rPr>
          <w:rFonts w:hint="eastAsia"/>
          <w:color w:val="auto"/>
        </w:rPr>
        <w:t>回填区设置围挡</w:t>
      </w:r>
      <w:r>
        <w:rPr>
          <w:color w:val="auto"/>
        </w:rPr>
        <w:t>，减少噪声对周围环境的影响</w:t>
      </w:r>
      <w:r>
        <w:rPr>
          <w:rFonts w:hint="eastAsia"/>
          <w:color w:val="auto"/>
        </w:rPr>
        <w:t>。</w:t>
      </w:r>
    </w:p>
    <w:p w14:paraId="19E5AE15">
      <w:pPr>
        <w:pStyle w:val="59"/>
        <w:ind w:firstLine="480"/>
        <w:rPr>
          <w:color w:val="auto"/>
        </w:rPr>
      </w:pPr>
      <w:r>
        <w:rPr>
          <w:color w:val="auto"/>
        </w:rPr>
        <w:t>周边</w:t>
      </w:r>
      <w:r>
        <w:rPr>
          <w:rFonts w:hint="eastAsia"/>
          <w:color w:val="auto"/>
        </w:rPr>
        <w:t>200</w:t>
      </w:r>
      <w:r>
        <w:rPr>
          <w:color w:val="auto"/>
        </w:rPr>
        <w:t>m范围内不存在居民点、学校、医院等敏感目标，采取上述措施后，可有效减轻噪声影响，拟建项目不会对周边声环境产生明显影响。</w:t>
      </w:r>
    </w:p>
    <w:p w14:paraId="672EF006">
      <w:pPr>
        <w:pStyle w:val="59"/>
        <w:ind w:firstLine="480"/>
        <w:rPr>
          <w:b/>
          <w:color w:val="auto"/>
        </w:rPr>
      </w:pPr>
      <w:r>
        <w:rPr>
          <w:rFonts w:hint="eastAsia"/>
          <w:color w:val="auto"/>
        </w:rPr>
        <w:t>（2）</w:t>
      </w:r>
      <w:r>
        <w:rPr>
          <w:color w:val="auto"/>
        </w:rPr>
        <w:t>交通噪声控制措施</w:t>
      </w:r>
    </w:p>
    <w:p w14:paraId="47CFAF7D">
      <w:pPr>
        <w:pStyle w:val="59"/>
        <w:ind w:firstLine="480"/>
        <w:rPr>
          <w:rFonts w:eastAsiaTheme="minorEastAsia"/>
          <w:color w:val="auto"/>
        </w:rPr>
      </w:pPr>
      <w:r>
        <w:rPr>
          <w:rFonts w:hAnsiTheme="minorEastAsia" w:eastAsiaTheme="minorEastAsia"/>
          <w:bCs/>
          <w:color w:val="auto"/>
        </w:rPr>
        <w:t>①</w:t>
      </w:r>
      <w:r>
        <w:rPr>
          <w:rFonts w:hAnsiTheme="minorEastAsia" w:eastAsiaTheme="minorEastAsia"/>
          <w:color w:val="auto"/>
        </w:rPr>
        <w:t>机动车辆必须加强维修和保养，保持技术性能良好；</w:t>
      </w:r>
      <w:r>
        <w:rPr>
          <w:rFonts w:hint="eastAsia" w:hAnsiTheme="minorEastAsia" w:eastAsiaTheme="minorEastAsia"/>
          <w:color w:val="auto"/>
        </w:rPr>
        <w:t>要强化车辆行驶规章制度；加强人员环保意识。</w:t>
      </w:r>
    </w:p>
    <w:p w14:paraId="49D88CFC">
      <w:pPr>
        <w:pStyle w:val="59"/>
        <w:ind w:firstLine="480"/>
        <w:rPr>
          <w:rFonts w:eastAsiaTheme="minorEastAsia"/>
          <w:color w:val="auto"/>
        </w:rPr>
      </w:pPr>
      <w:r>
        <w:rPr>
          <w:rFonts w:hAnsiTheme="minorEastAsia" w:eastAsiaTheme="minorEastAsia"/>
          <w:bCs/>
          <w:color w:val="auto"/>
        </w:rPr>
        <w:t>②</w:t>
      </w:r>
      <w:r>
        <w:rPr>
          <w:rFonts w:hAnsiTheme="minorEastAsia" w:eastAsiaTheme="minorEastAsia"/>
          <w:color w:val="auto"/>
        </w:rPr>
        <w:t>运输车辆经过沿线村庄时将车速控制在</w:t>
      </w:r>
      <w:r>
        <w:rPr>
          <w:rFonts w:eastAsiaTheme="minorEastAsia"/>
          <w:color w:val="auto"/>
        </w:rPr>
        <w:t>20km/h</w:t>
      </w:r>
      <w:r>
        <w:rPr>
          <w:rFonts w:hAnsiTheme="minorEastAsia" w:eastAsiaTheme="minorEastAsia"/>
          <w:color w:val="auto"/>
        </w:rPr>
        <w:t>以下、禁止鸣笛；</w:t>
      </w:r>
    </w:p>
    <w:p w14:paraId="3E5FA0B9">
      <w:pPr>
        <w:pStyle w:val="59"/>
        <w:ind w:firstLine="480"/>
        <w:rPr>
          <w:rFonts w:hAnsiTheme="minorEastAsia" w:eastAsiaTheme="minorEastAsia"/>
          <w:bCs/>
          <w:color w:val="auto"/>
        </w:rPr>
      </w:pPr>
      <w:r>
        <w:rPr>
          <w:rFonts w:hAnsiTheme="minorEastAsia" w:eastAsiaTheme="minorEastAsia"/>
          <w:bCs/>
          <w:color w:val="auto"/>
        </w:rPr>
        <w:t>③</w:t>
      </w:r>
      <w:r>
        <w:rPr>
          <w:rFonts w:hint="eastAsia" w:hAnsiTheme="minorEastAsia" w:eastAsiaTheme="minorEastAsia"/>
          <w:bCs/>
          <w:color w:val="auto"/>
        </w:rPr>
        <w:t>同时加强道路、车辆养护，减少噪声产生。</w:t>
      </w:r>
    </w:p>
    <w:p w14:paraId="56625797">
      <w:pPr>
        <w:pStyle w:val="59"/>
        <w:ind w:firstLine="480"/>
        <w:rPr>
          <w:rFonts w:eastAsiaTheme="minorEastAsia"/>
          <w:color w:val="auto"/>
        </w:rPr>
      </w:pPr>
      <w:r>
        <w:rPr>
          <w:rFonts w:hint="eastAsia" w:eastAsiaTheme="minorEastAsia"/>
          <w:color w:val="auto"/>
        </w:rPr>
        <w:t>（3）加强生产管理</w:t>
      </w:r>
    </w:p>
    <w:p w14:paraId="1F1885E6">
      <w:pPr>
        <w:pStyle w:val="59"/>
        <w:ind w:firstLine="480"/>
        <w:rPr>
          <w:rFonts w:eastAsiaTheme="minorEastAsia"/>
          <w:color w:val="auto"/>
        </w:rPr>
      </w:pPr>
      <w:r>
        <w:rPr>
          <w:rFonts w:hint="eastAsia" w:eastAsiaTheme="minorEastAsia"/>
          <w:color w:val="auto"/>
        </w:rPr>
        <w:t>提高自动控制水平，为操作人员配备噪声防护装备；设备、车辆定期维护保养，减少非正常运营噪声产生；加强员工岗位培训，按规程操作，文明生产。</w:t>
      </w:r>
    </w:p>
    <w:p w14:paraId="035C6897">
      <w:pPr>
        <w:pStyle w:val="59"/>
        <w:ind w:firstLine="480"/>
        <w:rPr>
          <w:color w:val="auto"/>
        </w:rPr>
      </w:pPr>
      <w:r>
        <w:rPr>
          <w:rFonts w:hAnsiTheme="minorEastAsia" w:eastAsiaTheme="minorEastAsia"/>
          <w:color w:val="auto"/>
        </w:rPr>
        <w:t>经降噪措施</w:t>
      </w:r>
      <w:r>
        <w:rPr>
          <w:color w:val="auto"/>
        </w:rPr>
        <w:t>降噪和距离衰减后，项目对</w:t>
      </w:r>
      <w:r>
        <w:rPr>
          <w:rFonts w:hint="eastAsia"/>
          <w:color w:val="auto"/>
        </w:rPr>
        <w:t>厂</w:t>
      </w:r>
      <w:r>
        <w:rPr>
          <w:color w:val="auto"/>
        </w:rPr>
        <w:t>界外环境噪声影响很小，</w:t>
      </w:r>
      <w:r>
        <w:rPr>
          <w:bCs/>
          <w:color w:val="auto"/>
        </w:rPr>
        <w:t>厂界</w:t>
      </w:r>
      <w:r>
        <w:rPr>
          <w:rFonts w:hint="eastAsia"/>
          <w:bCs/>
          <w:color w:val="auto"/>
        </w:rPr>
        <w:t>噪声满足</w:t>
      </w:r>
      <w:r>
        <w:rPr>
          <w:bCs/>
          <w:color w:val="auto"/>
        </w:rPr>
        <w:t>《工业企业厂界环境噪声排放标准》(GB12348-2008)表1中</w:t>
      </w:r>
      <w:r>
        <w:rPr>
          <w:rFonts w:hint="eastAsia"/>
          <w:bCs/>
          <w:color w:val="auto"/>
          <w:lang w:val="en-US" w:eastAsia="zh-CN"/>
        </w:rPr>
        <w:t>2</w:t>
      </w:r>
      <w:r>
        <w:rPr>
          <w:bCs/>
          <w:color w:val="auto"/>
        </w:rPr>
        <w:t>类标准</w:t>
      </w:r>
      <w:r>
        <w:rPr>
          <w:color w:val="auto"/>
        </w:rPr>
        <w:t>要求。运输道路敏感点处噪声满足《声环境质量标准》（GB3096-2008）中</w:t>
      </w:r>
      <w:r>
        <w:rPr>
          <w:rFonts w:hint="eastAsia"/>
          <w:color w:val="auto"/>
        </w:rPr>
        <w:t>1</w:t>
      </w:r>
      <w:r>
        <w:rPr>
          <w:color w:val="auto"/>
        </w:rPr>
        <w:t>类</w:t>
      </w:r>
      <w:r>
        <w:rPr>
          <w:rFonts w:hint="eastAsia"/>
          <w:color w:val="auto"/>
        </w:rPr>
        <w:t>、2类</w:t>
      </w:r>
      <w:r>
        <w:rPr>
          <w:color w:val="auto"/>
        </w:rPr>
        <w:t>标准</w:t>
      </w:r>
      <w:r>
        <w:rPr>
          <w:rFonts w:hint="eastAsia"/>
          <w:color w:val="auto"/>
        </w:rPr>
        <w:t>要求</w:t>
      </w:r>
      <w:r>
        <w:rPr>
          <w:color w:val="auto"/>
        </w:rPr>
        <w:t>。</w:t>
      </w:r>
    </w:p>
    <w:p w14:paraId="3515FF1F">
      <w:pPr>
        <w:pStyle w:val="137"/>
        <w:rPr>
          <w:color w:val="auto"/>
        </w:rPr>
      </w:pPr>
      <w:r>
        <w:rPr>
          <w:color w:val="auto"/>
        </w:rPr>
        <w:t>6.2.5固体废物环境保护措施</w:t>
      </w:r>
    </w:p>
    <w:p w14:paraId="54636998">
      <w:pPr>
        <w:pStyle w:val="59"/>
        <w:ind w:firstLine="480"/>
        <w:rPr>
          <w:color w:val="auto"/>
        </w:rPr>
      </w:pPr>
      <w:r>
        <w:rPr>
          <w:color w:val="auto"/>
        </w:rPr>
        <w:t>本项目</w:t>
      </w:r>
      <w:r>
        <w:rPr>
          <w:rFonts w:hint="eastAsia"/>
          <w:color w:val="auto"/>
        </w:rPr>
        <w:t>回填复垦期</w:t>
      </w:r>
      <w:r>
        <w:rPr>
          <w:color w:val="auto"/>
        </w:rPr>
        <w:t>固体废物为</w:t>
      </w:r>
      <w:r>
        <w:rPr>
          <w:rFonts w:hint="eastAsia"/>
          <w:color w:val="auto"/>
        </w:rPr>
        <w:t>淋溶水暂存池沉渣和生活垃圾，均属于一般工业固体废物</w:t>
      </w:r>
      <w:r>
        <w:rPr>
          <w:color w:val="auto"/>
        </w:rPr>
        <w:t>。</w:t>
      </w:r>
    </w:p>
    <w:p w14:paraId="13B1FDD0">
      <w:pPr>
        <w:pStyle w:val="59"/>
        <w:ind w:firstLine="480"/>
        <w:rPr>
          <w:color w:val="auto"/>
        </w:rPr>
      </w:pPr>
      <w:r>
        <w:rPr>
          <w:rFonts w:hint="eastAsia"/>
          <w:color w:val="auto"/>
        </w:rPr>
        <w:t>淋溶水暂存</w:t>
      </w:r>
      <w:r>
        <w:rPr>
          <w:color w:val="auto"/>
        </w:rPr>
        <w:t>池</w:t>
      </w:r>
      <w:r>
        <w:rPr>
          <w:rFonts w:hint="eastAsia"/>
          <w:color w:val="auto"/>
        </w:rPr>
        <w:t>沉渣</w:t>
      </w:r>
      <w:r>
        <w:rPr>
          <w:color w:val="auto"/>
        </w:rPr>
        <w:t>成分与</w:t>
      </w:r>
      <w:r>
        <w:rPr>
          <w:rFonts w:hint="eastAsia"/>
          <w:color w:val="auto"/>
        </w:rPr>
        <w:t>淋溶水</w:t>
      </w:r>
      <w:r>
        <w:rPr>
          <w:color w:val="auto"/>
        </w:rPr>
        <w:t>相同，</w:t>
      </w:r>
      <w:r>
        <w:rPr>
          <w:rFonts w:hint="eastAsia"/>
          <w:color w:val="auto"/>
        </w:rPr>
        <w:t>未超过《危险废物鉴别标准 浸出毒性鉴别》（GB5085.3-2007）中表1浸出液污染物浓度限值，不属于危险废物，直接回填到采坑。固体废物</w:t>
      </w:r>
      <w:r>
        <w:rPr>
          <w:color w:val="auto"/>
        </w:rPr>
        <w:t>处置率100%，不会对环境产生明显影响，施工期固体废物处置措施可行。</w:t>
      </w:r>
    </w:p>
    <w:p w14:paraId="0691DD75">
      <w:pPr>
        <w:pStyle w:val="137"/>
        <w:rPr>
          <w:color w:val="auto"/>
        </w:rPr>
      </w:pPr>
      <w:r>
        <w:rPr>
          <w:color w:val="auto"/>
        </w:rPr>
        <w:t>6.2.6土壤环境保护措施</w:t>
      </w:r>
    </w:p>
    <w:p w14:paraId="77A7C15B">
      <w:pPr>
        <w:pStyle w:val="135"/>
        <w:rPr>
          <w:color w:val="auto"/>
        </w:rPr>
      </w:pPr>
      <w:r>
        <w:rPr>
          <w:rFonts w:hint="eastAsia"/>
          <w:color w:val="auto"/>
        </w:rPr>
        <w:t>6</w:t>
      </w:r>
      <w:r>
        <w:rPr>
          <w:color w:val="auto"/>
        </w:rPr>
        <w:t>.2.6.1源头控制措施</w:t>
      </w:r>
    </w:p>
    <w:p w14:paraId="56A692EE">
      <w:pPr>
        <w:pStyle w:val="59"/>
        <w:ind w:firstLine="480"/>
        <w:rPr>
          <w:color w:val="auto"/>
        </w:rPr>
      </w:pPr>
      <w:r>
        <w:rPr>
          <w:rFonts w:hint="eastAsia"/>
          <w:color w:val="auto"/>
        </w:rPr>
        <w:t>本项目土壤污染源头控制措施主要是减少项目废气、废水、固废等污染物的产生及排放量。本环评报告主要提出如下措施：</w:t>
      </w:r>
    </w:p>
    <w:p w14:paraId="30521663">
      <w:pPr>
        <w:pStyle w:val="59"/>
        <w:ind w:firstLine="480"/>
        <w:rPr>
          <w:color w:val="auto"/>
        </w:rPr>
      </w:pPr>
      <w:r>
        <w:rPr>
          <w:rFonts w:hint="eastAsia"/>
          <w:color w:val="auto"/>
        </w:rPr>
        <w:t>①企业应加强对废气治理措施的管理和维护，确保各污染物达标排放，有效减少废气污染物通过沉降或降水进入土壤的量。</w:t>
      </w:r>
    </w:p>
    <w:p w14:paraId="4B030E1A">
      <w:pPr>
        <w:pStyle w:val="59"/>
        <w:ind w:firstLine="480"/>
        <w:rPr>
          <w:color w:val="auto"/>
        </w:rPr>
      </w:pPr>
      <w:r>
        <w:rPr>
          <w:rFonts w:ascii="宋体" w:hAnsi="宋体"/>
          <w:color w:val="auto"/>
        </w:rPr>
        <w:fldChar w:fldCharType="begin"/>
      </w:r>
      <w:r>
        <w:rPr>
          <w:rFonts w:ascii="宋体" w:hAnsi="宋体"/>
          <w:color w:val="auto"/>
        </w:rPr>
        <w:instrText xml:space="preserve"> </w:instrText>
      </w:r>
      <w:r>
        <w:rPr>
          <w:rFonts w:hint="eastAsia" w:ascii="宋体" w:hAnsi="宋体"/>
          <w:color w:val="auto"/>
        </w:rPr>
        <w:instrText xml:space="preserve">= 2 \* GB3</w:instrText>
      </w:r>
      <w:r>
        <w:rPr>
          <w:rFonts w:ascii="宋体" w:hAnsi="宋体"/>
          <w:color w:val="auto"/>
        </w:rPr>
        <w:instrText xml:space="preserve"> </w:instrText>
      </w:r>
      <w:r>
        <w:rPr>
          <w:rFonts w:ascii="宋体" w:hAnsi="宋体"/>
          <w:color w:val="auto"/>
        </w:rPr>
        <w:fldChar w:fldCharType="separate"/>
      </w:r>
      <w:r>
        <w:rPr>
          <w:rFonts w:hint="eastAsia" w:ascii="宋体" w:hAnsi="宋体"/>
          <w:color w:val="auto"/>
        </w:rPr>
        <w:t>②</w:t>
      </w:r>
      <w:r>
        <w:rPr>
          <w:rFonts w:ascii="宋体" w:hAnsi="宋体"/>
          <w:color w:val="auto"/>
        </w:rPr>
        <w:fldChar w:fldCharType="end"/>
      </w:r>
      <w:r>
        <w:rPr>
          <w:rFonts w:hint="eastAsia"/>
          <w:color w:val="auto"/>
        </w:rPr>
        <w:t>严格按照国家相关规范要求，对工艺、设备、废水处理构筑物采取相应的措施并对运输车辆实行密闭措施，以防止和降低可能污染物的“跑、冒、滴、漏”，将污染物泄漏的环境风险事故降低到最低程度</w:t>
      </w:r>
      <w:r>
        <w:rPr>
          <w:color w:val="auto"/>
        </w:rPr>
        <w:t>。</w:t>
      </w:r>
    </w:p>
    <w:p w14:paraId="77A61900">
      <w:pPr>
        <w:pStyle w:val="135"/>
        <w:rPr>
          <w:color w:val="auto"/>
        </w:rPr>
      </w:pPr>
      <w:r>
        <w:rPr>
          <w:rFonts w:hint="eastAsia"/>
          <w:color w:val="auto"/>
        </w:rPr>
        <w:t>6</w:t>
      </w:r>
      <w:r>
        <w:rPr>
          <w:color w:val="auto"/>
        </w:rPr>
        <w:t>.2.6.2</w:t>
      </w:r>
      <w:r>
        <w:rPr>
          <w:rFonts w:hint="eastAsia"/>
          <w:color w:val="auto"/>
        </w:rPr>
        <w:t>过程控制</w:t>
      </w:r>
      <w:r>
        <w:rPr>
          <w:color w:val="auto"/>
        </w:rPr>
        <w:t>措施</w:t>
      </w:r>
    </w:p>
    <w:p w14:paraId="6F54C1FE">
      <w:pPr>
        <w:pStyle w:val="59"/>
        <w:ind w:firstLine="480"/>
        <w:rPr>
          <w:color w:val="auto"/>
        </w:rPr>
      </w:pPr>
      <w:r>
        <w:rPr>
          <w:rFonts w:hint="eastAsia"/>
          <w:color w:val="auto"/>
        </w:rPr>
        <w:t>根据预测结果可以看出，</w:t>
      </w:r>
      <w:bookmarkStart w:id="175" w:name="_Hlk144111714"/>
      <w:r>
        <w:rPr>
          <w:rFonts w:hint="eastAsia"/>
          <w:color w:val="auto"/>
        </w:rPr>
        <w:t>淋溶液垂直入渗对土壤环境的影响可接受，淋溶水不会对土壤环境造成明显影响。因此，通过及时导排淋溶水，经常疏通截水沟，防止场外降水进入场内，减少淋溶水产生量等措施，本项目实施不会对土壤环境造成明显影响，不存在土壤污染环境风险。</w:t>
      </w:r>
    </w:p>
    <w:bookmarkEnd w:id="175"/>
    <w:p w14:paraId="419735A1">
      <w:pPr>
        <w:pStyle w:val="59"/>
        <w:ind w:firstLine="480"/>
        <w:rPr>
          <w:color w:val="auto"/>
        </w:rPr>
      </w:pPr>
      <w:r>
        <w:rPr>
          <w:rFonts w:hint="eastAsia"/>
          <w:color w:val="auto"/>
        </w:rPr>
        <w:t>根据《一般工业固体废物贮存和填埋污染控制标准》（</w:t>
      </w:r>
      <w:r>
        <w:rPr>
          <w:color w:val="auto"/>
        </w:rPr>
        <w:t>GB 18599-2020）中8回填及回填利用污染控制要求，本项目在回填活动前应开展环境本底调查，并按照《建设用地土壤污染风险评估技术导则》（HJ25.3-2019）等相关标准进行环境风险评估，重点评估对地下水、地表水及周边土壤的环境污染风险，确保环境风险可以接受。回填或回填活动结束后，根据风险评估结果对可能受到影响的土壤、地表水及地下水开展长期监测，</w:t>
      </w:r>
      <w:r>
        <w:rPr>
          <w:rFonts w:hint="eastAsia"/>
          <w:color w:val="auto"/>
        </w:rPr>
        <w:t>土壤的</w:t>
      </w:r>
      <w:r>
        <w:rPr>
          <w:color w:val="auto"/>
        </w:rPr>
        <w:t>监测频次至少每年1次。</w:t>
      </w:r>
    </w:p>
    <w:p w14:paraId="3F0BA79C">
      <w:pPr>
        <w:pStyle w:val="135"/>
        <w:rPr>
          <w:color w:val="auto"/>
        </w:rPr>
      </w:pPr>
      <w:r>
        <w:rPr>
          <w:rFonts w:hint="eastAsia"/>
          <w:color w:val="auto"/>
        </w:rPr>
        <w:t>6</w:t>
      </w:r>
      <w:r>
        <w:rPr>
          <w:color w:val="auto"/>
        </w:rPr>
        <w:t>.2.6.3跟踪监测</w:t>
      </w:r>
    </w:p>
    <w:p w14:paraId="00314CB0">
      <w:pPr>
        <w:pStyle w:val="59"/>
        <w:ind w:firstLine="480"/>
        <w:rPr>
          <w:rFonts w:ascii="宋体" w:hAnsi="宋体"/>
          <w:color w:val="auto"/>
        </w:rPr>
      </w:pPr>
      <w:bookmarkStart w:id="176" w:name="_Toc119316812"/>
      <w:r>
        <w:rPr>
          <w:rFonts w:hint="eastAsia" w:ascii="宋体" w:hAnsi="宋体"/>
          <w:color w:val="auto"/>
        </w:rPr>
        <w:t>（1）监测点位、位置、层位及监测因子</w:t>
      </w:r>
    </w:p>
    <w:p w14:paraId="67DA57FA">
      <w:pPr>
        <w:pStyle w:val="59"/>
        <w:ind w:firstLine="480"/>
        <w:rPr>
          <w:color w:val="auto"/>
        </w:rPr>
      </w:pPr>
      <w:r>
        <w:rPr>
          <w:rFonts w:hint="eastAsia"/>
          <w:color w:val="auto"/>
        </w:rPr>
        <w:t>本项目共布设</w:t>
      </w:r>
      <w:r>
        <w:rPr>
          <w:color w:val="auto"/>
        </w:rPr>
        <w:t>1</w:t>
      </w:r>
      <w:r>
        <w:rPr>
          <w:rFonts w:hint="eastAsia"/>
          <w:color w:val="auto"/>
        </w:rPr>
        <w:t>个土壤污染跟踪监测点，监测点位置见下表。根据《环境影响评价技术导则 土壤环境（试行）》（HJ964</w:t>
      </w:r>
      <w:r>
        <w:rPr>
          <w:color w:val="auto"/>
        </w:rPr>
        <w:t>-</w:t>
      </w:r>
      <w:r>
        <w:rPr>
          <w:rFonts w:hint="eastAsia"/>
          <w:color w:val="auto"/>
        </w:rPr>
        <w:t>2018）的要求，二级评价的项目跟踪监测每</w:t>
      </w:r>
      <w:r>
        <w:rPr>
          <w:color w:val="auto"/>
        </w:rPr>
        <w:t>5年开展1次，监测点位布设在重点影响区和土壤环境敏感目标附近。</w:t>
      </w:r>
      <w:r>
        <w:rPr>
          <w:rFonts w:hint="eastAsia"/>
          <w:color w:val="auto"/>
        </w:rPr>
        <w:t>根据</w:t>
      </w:r>
      <w:r>
        <w:rPr>
          <w:color w:val="auto"/>
        </w:rPr>
        <w:t>GB 18599-2020</w:t>
      </w:r>
      <w:r>
        <w:rPr>
          <w:rFonts w:hint="eastAsia"/>
          <w:color w:val="auto"/>
        </w:rPr>
        <w:t>的要求，充填及回填</w:t>
      </w:r>
      <w:r>
        <w:rPr>
          <w:color w:val="auto"/>
        </w:rPr>
        <w:t>活动结束后，</w:t>
      </w:r>
      <w:r>
        <w:rPr>
          <w:rFonts w:hint="eastAsia"/>
          <w:color w:val="auto"/>
        </w:rPr>
        <w:t>应对土壤</w:t>
      </w:r>
      <w:r>
        <w:rPr>
          <w:color w:val="auto"/>
        </w:rPr>
        <w:t>开展长期监测，监测频次至少每年1次。</w:t>
      </w:r>
      <w:r>
        <w:rPr>
          <w:rFonts w:hint="eastAsia"/>
          <w:color w:val="auto"/>
        </w:rPr>
        <w:t>因此，监测频率设置为每年一次。</w:t>
      </w:r>
    </w:p>
    <w:p w14:paraId="40FC6D08">
      <w:pPr>
        <w:pStyle w:val="76"/>
        <w:rPr>
          <w:color w:val="auto"/>
        </w:rPr>
      </w:pPr>
      <w:r>
        <w:rPr>
          <w:rFonts w:hint="eastAsia"/>
          <w:color w:val="auto"/>
        </w:rPr>
        <w:t>表</w:t>
      </w:r>
      <w:r>
        <w:rPr>
          <w:color w:val="auto"/>
        </w:rPr>
        <w:t>6</w:t>
      </w:r>
      <w:r>
        <w:rPr>
          <w:rFonts w:hint="eastAsia"/>
          <w:color w:val="auto"/>
        </w:rPr>
        <w:t>-</w:t>
      </w:r>
      <w:r>
        <w:rPr>
          <w:color w:val="auto"/>
        </w:rPr>
        <w:t>2</w:t>
      </w:r>
      <w:r>
        <w:rPr>
          <w:rFonts w:hint="eastAsia"/>
          <w:color w:val="auto"/>
        </w:rPr>
        <w:t>-</w:t>
      </w:r>
      <w:r>
        <w:rPr>
          <w:color w:val="auto"/>
        </w:rPr>
        <w:t>2</w:t>
      </w:r>
      <w:r>
        <w:rPr>
          <w:rFonts w:hint="eastAsia"/>
          <w:color w:val="auto"/>
        </w:rPr>
        <w:t>土壤污染跟踪监测点信息一览表</w:t>
      </w:r>
    </w:p>
    <w:tbl>
      <w:tblPr>
        <w:tblStyle w:val="45"/>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18"/>
        <w:gridCol w:w="1465"/>
        <w:gridCol w:w="1277"/>
        <w:gridCol w:w="1276"/>
        <w:gridCol w:w="3770"/>
      </w:tblGrid>
      <w:tr w14:paraId="4B03C7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2" w:type="pct"/>
            <w:vAlign w:val="center"/>
          </w:tcPr>
          <w:p w14:paraId="7E88AA5C">
            <w:pPr>
              <w:pStyle w:val="84"/>
              <w:rPr>
                <w:color w:val="auto"/>
              </w:rPr>
            </w:pPr>
            <w:r>
              <w:rPr>
                <w:color w:val="auto"/>
              </w:rPr>
              <w:t>点号</w:t>
            </w:r>
          </w:p>
        </w:tc>
        <w:tc>
          <w:tcPr>
            <w:tcW w:w="882" w:type="pct"/>
            <w:vAlign w:val="center"/>
          </w:tcPr>
          <w:p w14:paraId="0C494006">
            <w:pPr>
              <w:pStyle w:val="84"/>
              <w:rPr>
                <w:color w:val="auto"/>
              </w:rPr>
            </w:pPr>
            <w:r>
              <w:rPr>
                <w:color w:val="auto"/>
              </w:rPr>
              <w:t>位置</w:t>
            </w:r>
          </w:p>
        </w:tc>
        <w:tc>
          <w:tcPr>
            <w:tcW w:w="769" w:type="pct"/>
            <w:vAlign w:val="center"/>
          </w:tcPr>
          <w:p w14:paraId="22FF24DC">
            <w:pPr>
              <w:pStyle w:val="84"/>
              <w:rPr>
                <w:color w:val="auto"/>
              </w:rPr>
            </w:pPr>
            <w:r>
              <w:rPr>
                <w:color w:val="auto"/>
              </w:rPr>
              <w:t>取样</w:t>
            </w:r>
            <w:r>
              <w:rPr>
                <w:rFonts w:hint="eastAsia"/>
                <w:color w:val="auto"/>
              </w:rPr>
              <w:t>层位</w:t>
            </w:r>
          </w:p>
        </w:tc>
        <w:tc>
          <w:tcPr>
            <w:tcW w:w="768" w:type="pct"/>
            <w:vAlign w:val="center"/>
          </w:tcPr>
          <w:p w14:paraId="11A432D4">
            <w:pPr>
              <w:pStyle w:val="84"/>
              <w:rPr>
                <w:color w:val="auto"/>
              </w:rPr>
            </w:pPr>
            <w:r>
              <w:rPr>
                <w:rFonts w:hint="eastAsia"/>
                <w:color w:val="auto"/>
              </w:rPr>
              <w:t>监测频次</w:t>
            </w:r>
          </w:p>
        </w:tc>
        <w:tc>
          <w:tcPr>
            <w:tcW w:w="2269" w:type="pct"/>
            <w:vAlign w:val="center"/>
          </w:tcPr>
          <w:p w14:paraId="6FE97436">
            <w:pPr>
              <w:pStyle w:val="84"/>
              <w:rPr>
                <w:color w:val="auto"/>
              </w:rPr>
            </w:pPr>
            <w:r>
              <w:rPr>
                <w:color w:val="auto"/>
              </w:rPr>
              <w:t>监测因子</w:t>
            </w:r>
          </w:p>
        </w:tc>
      </w:tr>
      <w:tr w14:paraId="665C9B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312" w:type="pct"/>
            <w:vAlign w:val="center"/>
          </w:tcPr>
          <w:p w14:paraId="66AF1E16">
            <w:pPr>
              <w:pStyle w:val="84"/>
              <w:rPr>
                <w:color w:val="auto"/>
              </w:rPr>
            </w:pPr>
            <w:r>
              <w:rPr>
                <w:color w:val="auto"/>
              </w:rPr>
              <w:t>1</w:t>
            </w:r>
          </w:p>
        </w:tc>
        <w:tc>
          <w:tcPr>
            <w:tcW w:w="882" w:type="pct"/>
            <w:vAlign w:val="center"/>
          </w:tcPr>
          <w:p w14:paraId="753A7136">
            <w:pPr>
              <w:pStyle w:val="84"/>
              <w:rPr>
                <w:color w:val="auto"/>
              </w:rPr>
            </w:pPr>
            <w:r>
              <w:rPr>
                <w:rFonts w:hint="eastAsia"/>
                <w:color w:val="auto"/>
              </w:rPr>
              <w:t>场区东侧</w:t>
            </w:r>
          </w:p>
        </w:tc>
        <w:tc>
          <w:tcPr>
            <w:tcW w:w="769" w:type="pct"/>
            <w:vAlign w:val="center"/>
          </w:tcPr>
          <w:p w14:paraId="7E223B34">
            <w:pPr>
              <w:pStyle w:val="84"/>
              <w:rPr>
                <w:color w:val="auto"/>
              </w:rPr>
            </w:pPr>
            <w:r>
              <w:rPr>
                <w:rFonts w:hint="eastAsia"/>
                <w:color w:val="auto"/>
              </w:rPr>
              <w:t>表层土壤</w:t>
            </w:r>
          </w:p>
        </w:tc>
        <w:tc>
          <w:tcPr>
            <w:tcW w:w="768" w:type="pct"/>
            <w:vAlign w:val="center"/>
          </w:tcPr>
          <w:p w14:paraId="29EDAA2B">
            <w:pPr>
              <w:pStyle w:val="84"/>
              <w:rPr>
                <w:color w:val="auto"/>
              </w:rPr>
            </w:pPr>
            <w:r>
              <w:rPr>
                <w:rFonts w:hint="eastAsia"/>
                <w:color w:val="auto"/>
              </w:rPr>
              <w:t>每年一次</w:t>
            </w:r>
          </w:p>
        </w:tc>
        <w:tc>
          <w:tcPr>
            <w:tcW w:w="2269" w:type="pct"/>
            <w:vAlign w:val="center"/>
          </w:tcPr>
          <w:p w14:paraId="3FA390BE">
            <w:pPr>
              <w:pStyle w:val="84"/>
              <w:rPr>
                <w:color w:val="auto"/>
              </w:rPr>
            </w:pPr>
            <w:r>
              <w:rPr>
                <w:color w:val="auto"/>
              </w:rPr>
              <w:t>pH、镉、汞、砷、铜、铅、铬、镍</w:t>
            </w:r>
            <w:r>
              <w:rPr>
                <w:rFonts w:hint="eastAsia"/>
                <w:color w:val="auto"/>
              </w:rPr>
              <w:t>、锌</w:t>
            </w:r>
          </w:p>
        </w:tc>
      </w:tr>
    </w:tbl>
    <w:p w14:paraId="6C585780">
      <w:pPr>
        <w:pStyle w:val="59"/>
        <w:ind w:firstLine="480"/>
        <w:rPr>
          <w:color w:val="auto"/>
        </w:rPr>
      </w:pPr>
      <w:r>
        <w:rPr>
          <w:rFonts w:hint="eastAsia"/>
          <w:color w:val="auto"/>
        </w:rPr>
        <w:t>（</w:t>
      </w:r>
      <w:r>
        <w:rPr>
          <w:color w:val="auto"/>
        </w:rPr>
        <w:t>2</w:t>
      </w:r>
      <w:r>
        <w:rPr>
          <w:rFonts w:hint="eastAsia"/>
          <w:color w:val="auto"/>
        </w:rPr>
        <w:t>）</w:t>
      </w:r>
      <w:r>
        <w:rPr>
          <w:color w:val="auto"/>
        </w:rPr>
        <w:t>执行标准</w:t>
      </w:r>
    </w:p>
    <w:p w14:paraId="485B9984">
      <w:pPr>
        <w:pStyle w:val="59"/>
        <w:ind w:firstLine="480"/>
        <w:rPr>
          <w:color w:val="auto"/>
        </w:rPr>
      </w:pPr>
      <w:r>
        <w:rPr>
          <w:color w:val="auto"/>
        </w:rPr>
        <w:t>土壤环境质量执行</w:t>
      </w:r>
      <w:r>
        <w:rPr>
          <w:rFonts w:hint="eastAsia"/>
          <w:color w:val="auto"/>
        </w:rPr>
        <w:t>《土壤环境质量</w:t>
      </w:r>
      <w:r>
        <w:rPr>
          <w:color w:val="auto"/>
        </w:rPr>
        <w:t xml:space="preserve"> 农用地土壤污染风险管控标准（试行）》（GB15618-2018）的要求。</w:t>
      </w:r>
    </w:p>
    <w:p w14:paraId="4D7B5259">
      <w:pPr>
        <w:pStyle w:val="137"/>
        <w:rPr>
          <w:color w:val="auto"/>
        </w:rPr>
      </w:pPr>
      <w:r>
        <w:rPr>
          <w:color w:val="auto"/>
        </w:rPr>
        <w:t>6.2.7生态保护措施</w:t>
      </w:r>
      <w:r>
        <w:rPr>
          <w:rFonts w:hint="eastAsia"/>
          <w:color w:val="auto"/>
        </w:rPr>
        <w:t>及回填复垦措施</w:t>
      </w:r>
    </w:p>
    <w:p w14:paraId="413A56BB">
      <w:pPr>
        <w:pStyle w:val="59"/>
        <w:ind w:firstLine="480"/>
        <w:rPr>
          <w:color w:val="auto"/>
        </w:rPr>
      </w:pPr>
      <w:r>
        <w:rPr>
          <w:color w:val="auto"/>
        </w:rPr>
        <w:t>（</w:t>
      </w:r>
      <w:r>
        <w:rPr>
          <w:rFonts w:hint="eastAsia"/>
          <w:color w:val="auto"/>
        </w:rPr>
        <w:t>1</w:t>
      </w:r>
      <w:r>
        <w:rPr>
          <w:color w:val="auto"/>
        </w:rPr>
        <w:t>）</w:t>
      </w:r>
      <w:r>
        <w:rPr>
          <w:rFonts w:hint="eastAsia"/>
          <w:color w:val="auto"/>
        </w:rPr>
        <w:t>厂区</w:t>
      </w:r>
      <w:r>
        <w:rPr>
          <w:color w:val="auto"/>
        </w:rPr>
        <w:t>周边设置排水沟，减少水土流失；</w:t>
      </w:r>
    </w:p>
    <w:p w14:paraId="3C75770A">
      <w:pPr>
        <w:pStyle w:val="59"/>
        <w:ind w:firstLine="480"/>
        <w:rPr>
          <w:color w:val="auto"/>
        </w:rPr>
      </w:pPr>
      <w:r>
        <w:rPr>
          <w:color w:val="auto"/>
        </w:rPr>
        <w:t>（</w:t>
      </w:r>
      <w:r>
        <w:rPr>
          <w:rFonts w:hint="eastAsia"/>
          <w:color w:val="auto"/>
        </w:rPr>
        <w:t>2</w:t>
      </w:r>
      <w:r>
        <w:rPr>
          <w:color w:val="auto"/>
        </w:rPr>
        <w:t>）采取相应扬尘、噪声污染防治设施，降低颗粒物对周围植物的影响，减少噪声对野生动物的干扰；</w:t>
      </w:r>
    </w:p>
    <w:p w14:paraId="7A5E408A">
      <w:pPr>
        <w:pStyle w:val="59"/>
        <w:ind w:firstLine="480"/>
        <w:rPr>
          <w:color w:val="auto"/>
        </w:rPr>
      </w:pPr>
      <w:r>
        <w:rPr>
          <w:color w:val="auto"/>
        </w:rPr>
        <w:t>（</w:t>
      </w:r>
      <w:r>
        <w:rPr>
          <w:rFonts w:hint="eastAsia"/>
          <w:color w:val="auto"/>
        </w:rPr>
        <w:t>3</w:t>
      </w:r>
      <w:r>
        <w:rPr>
          <w:color w:val="auto"/>
        </w:rPr>
        <w:t>）分区</w:t>
      </w:r>
      <w:r>
        <w:rPr>
          <w:rFonts w:hint="eastAsia"/>
          <w:color w:val="auto"/>
        </w:rPr>
        <w:t>回填</w:t>
      </w:r>
      <w:r>
        <w:rPr>
          <w:color w:val="auto"/>
        </w:rPr>
        <w:t>，分区覆盖，采取阶段性生态恢复措施，分区</w:t>
      </w:r>
      <w:r>
        <w:rPr>
          <w:rFonts w:hint="eastAsia"/>
          <w:color w:val="auto"/>
        </w:rPr>
        <w:t>回填</w:t>
      </w:r>
      <w:r>
        <w:rPr>
          <w:color w:val="auto"/>
        </w:rPr>
        <w:t>完成，达到设计标高后进行阶段性</w:t>
      </w:r>
      <w:r>
        <w:rPr>
          <w:rFonts w:hint="eastAsia"/>
          <w:color w:val="auto"/>
        </w:rPr>
        <w:t>复垦。</w:t>
      </w:r>
    </w:p>
    <w:p w14:paraId="531CA222">
      <w:pPr>
        <w:pStyle w:val="59"/>
        <w:ind w:firstLine="480"/>
        <w:rPr>
          <w:color w:val="auto"/>
        </w:rPr>
      </w:pPr>
      <w:r>
        <w:rPr>
          <w:rFonts w:hint="eastAsia" w:cs="Times New Roman"/>
          <w:color w:val="auto"/>
        </w:rPr>
        <w:t>（4）本项目回填后应立即将场地复垦为耕地，实施主体为建设单位。在回填至设计标高后统一进行覆土，</w:t>
      </w:r>
      <w:r>
        <w:rPr>
          <w:rFonts w:hint="eastAsia"/>
          <w:color w:val="auto"/>
          <w:lang w:val="en-US" w:eastAsia="zh-CN"/>
        </w:rPr>
        <w:t>回填复垦旱地有效土层厚度不低于80cm，回填复垦乔木林地有效土层厚度不低于30cm</w:t>
      </w:r>
      <w:r>
        <w:rPr>
          <w:rFonts w:hint="eastAsia" w:cs="Times New Roman"/>
          <w:color w:val="auto"/>
        </w:rPr>
        <w:t>，</w:t>
      </w:r>
      <w:r>
        <w:rPr>
          <w:rFonts w:hint="eastAsia"/>
          <w:color w:val="auto"/>
          <w:lang w:val="en-US" w:eastAsia="zh-CN"/>
        </w:rPr>
        <w:t>需要回填土约28308.2m</w:t>
      </w:r>
      <w:r>
        <w:rPr>
          <w:rFonts w:hint="eastAsia"/>
          <w:color w:val="auto"/>
          <w:vertAlign w:val="superscript"/>
          <w:lang w:val="en-US" w:eastAsia="zh-CN"/>
        </w:rPr>
        <w:t>3</w:t>
      </w:r>
      <w:r>
        <w:rPr>
          <w:rFonts w:hint="eastAsia"/>
          <w:color w:val="auto"/>
          <w:lang w:val="en-US" w:eastAsia="zh-CN"/>
        </w:rPr>
        <w:t>，其中矿区剥离表土回覆5000m</w:t>
      </w:r>
      <w:r>
        <w:rPr>
          <w:rFonts w:hint="eastAsia"/>
          <w:color w:val="auto"/>
          <w:vertAlign w:val="superscript"/>
          <w:lang w:val="en-US" w:eastAsia="zh-CN"/>
        </w:rPr>
        <w:t>3</w:t>
      </w:r>
      <w:r>
        <w:rPr>
          <w:rFonts w:hint="eastAsia"/>
          <w:color w:val="auto"/>
          <w:lang w:val="en-US" w:eastAsia="zh-CN"/>
        </w:rPr>
        <w:t>，剩余全部外购，</w:t>
      </w:r>
      <w:r>
        <w:rPr>
          <w:rFonts w:hint="eastAsia" w:cs="Times New Roman"/>
          <w:color w:val="auto"/>
        </w:rPr>
        <w:t>可以与周边环境持平，土壤质量应满足《土壤环境质量农用地土壤污染风险管控标准（试行）》（GB15618-2018）要求，土地复垦实施过程应满足《土地复垦质量控制标准》（TD/T1036-2013）规定的相关土地复垦质量控制要求。</w:t>
      </w:r>
    </w:p>
    <w:bookmarkEnd w:id="176"/>
    <w:p w14:paraId="70097343">
      <w:pPr>
        <w:pStyle w:val="137"/>
        <w:rPr>
          <w:color w:val="auto"/>
        </w:rPr>
      </w:pPr>
      <w:r>
        <w:rPr>
          <w:rFonts w:hint="eastAsia"/>
          <w:color w:val="auto"/>
        </w:rPr>
        <w:t>6</w:t>
      </w:r>
      <w:r>
        <w:rPr>
          <w:color w:val="auto"/>
        </w:rPr>
        <w:t>.2.8</w:t>
      </w:r>
      <w:r>
        <w:rPr>
          <w:rFonts w:hint="eastAsia"/>
          <w:color w:val="auto"/>
        </w:rPr>
        <w:t>环境风险防范措施及应急预案</w:t>
      </w:r>
    </w:p>
    <w:p w14:paraId="1091CDA2">
      <w:pPr>
        <w:pStyle w:val="135"/>
        <w:rPr>
          <w:color w:val="auto"/>
        </w:rPr>
      </w:pPr>
      <w:r>
        <w:rPr>
          <w:color w:val="auto"/>
        </w:rPr>
        <w:t>6.2.8.1环境风险管理措施</w:t>
      </w:r>
    </w:p>
    <w:p w14:paraId="3392A348">
      <w:pPr>
        <w:pStyle w:val="59"/>
        <w:ind w:firstLine="480"/>
        <w:rPr>
          <w:color w:val="auto"/>
        </w:rPr>
      </w:pPr>
      <w:r>
        <w:rPr>
          <w:color w:val="auto"/>
        </w:rPr>
        <w:t>根据本项目所在区域环境特征和生产运营特性，本项目</w:t>
      </w:r>
      <w:r>
        <w:rPr>
          <w:rFonts w:hint="eastAsia"/>
          <w:color w:val="auto"/>
        </w:rPr>
        <w:t>回填复垦期</w:t>
      </w:r>
      <w:r>
        <w:rPr>
          <w:color w:val="auto"/>
        </w:rPr>
        <w:t>主要环境风险为</w:t>
      </w:r>
      <w:r>
        <w:rPr>
          <w:rFonts w:hint="eastAsia"/>
          <w:color w:val="auto"/>
        </w:rPr>
        <w:t>淋溶水</w:t>
      </w:r>
      <w:r>
        <w:rPr>
          <w:color w:val="auto"/>
        </w:rPr>
        <w:t>的产生、泄漏风险等。环境风险事故的发生，不仅对现场人员、财产造成损失，而且对周围环境可能存在着难以弥补的危害。本着避免风险事故发生和降低风险事故发生后对环境造成污染的态度，建设单位首先应努力开展和完善本项目的风险管理体系和各项防范措施。</w:t>
      </w:r>
    </w:p>
    <w:p w14:paraId="399FB993">
      <w:pPr>
        <w:pStyle w:val="59"/>
        <w:ind w:firstLine="480"/>
        <w:rPr>
          <w:color w:val="auto"/>
        </w:rPr>
      </w:pPr>
      <w:r>
        <w:rPr>
          <w:color w:val="auto"/>
        </w:rPr>
        <w:t>（1）树立并强化环境风险意识</w:t>
      </w:r>
    </w:p>
    <w:p w14:paraId="5C9D0543">
      <w:pPr>
        <w:pStyle w:val="59"/>
        <w:ind w:firstLine="480"/>
        <w:rPr>
          <w:color w:val="auto"/>
        </w:rPr>
      </w:pPr>
      <w:r>
        <w:rPr>
          <w:color w:val="auto"/>
        </w:rPr>
        <w:t>建设单位应全面贯</w:t>
      </w:r>
      <w:r>
        <w:rPr>
          <w:rFonts w:asciiTheme="minorEastAsia" w:hAnsiTheme="minorEastAsia" w:eastAsiaTheme="minorEastAsia"/>
          <w:color w:val="auto"/>
        </w:rPr>
        <w:t>彻“安全第一，预防为主，综合治理”方</w:t>
      </w:r>
      <w:r>
        <w:rPr>
          <w:color w:val="auto"/>
        </w:rPr>
        <w:t>针，树立环境风险意识，明确环境风险责任，落实环境保护的内容。</w:t>
      </w:r>
    </w:p>
    <w:p w14:paraId="4AB09C4C">
      <w:pPr>
        <w:pStyle w:val="59"/>
        <w:ind w:firstLine="480"/>
        <w:rPr>
          <w:color w:val="auto"/>
        </w:rPr>
      </w:pPr>
      <w:r>
        <w:rPr>
          <w:color w:val="auto"/>
        </w:rPr>
        <w:t>（2）实行安全环保管理制度</w:t>
      </w:r>
    </w:p>
    <w:p w14:paraId="1715C5CB">
      <w:pPr>
        <w:pStyle w:val="59"/>
        <w:ind w:firstLine="480"/>
        <w:rPr>
          <w:color w:val="auto"/>
        </w:rPr>
      </w:pPr>
      <w:r>
        <w:rPr>
          <w:color w:val="auto"/>
        </w:rPr>
        <w:t>本项目在</w:t>
      </w:r>
      <w:r>
        <w:rPr>
          <w:rFonts w:hint="eastAsia"/>
          <w:color w:val="auto"/>
        </w:rPr>
        <w:t>回填复垦期</w:t>
      </w:r>
      <w:r>
        <w:rPr>
          <w:color w:val="auto"/>
        </w:rPr>
        <w:t>间应针对事故可能发生的环节及可能造成的影响开展全面、全员、全过程的系统管理，把安全工作重点放在系统的安全隐患的预防上，并从整体和全局上促进建设项目各个环节的安全操作，同时建立监察、监测、管理系统，实行安全检查目标管理。</w:t>
      </w:r>
    </w:p>
    <w:p w14:paraId="0FA5019A">
      <w:pPr>
        <w:pStyle w:val="59"/>
        <w:ind w:firstLine="480"/>
        <w:rPr>
          <w:color w:val="auto"/>
        </w:rPr>
      </w:pPr>
      <w:r>
        <w:rPr>
          <w:color w:val="auto"/>
        </w:rPr>
        <w:t>（3）规范并强化风险预防措施</w:t>
      </w:r>
    </w:p>
    <w:p w14:paraId="0B2004DE">
      <w:pPr>
        <w:pStyle w:val="59"/>
        <w:ind w:firstLine="480"/>
        <w:rPr>
          <w:color w:val="auto"/>
        </w:rPr>
      </w:pPr>
      <w:r>
        <w:rPr>
          <w:color w:val="auto"/>
        </w:rPr>
        <w:t>建设单位应制定安全管理规章制度，并采取相应的预防和处理措施，对防止安全事故的发生起到制度上、技术上的保证作用，对</w:t>
      </w:r>
      <w:r>
        <w:rPr>
          <w:rFonts w:hint="eastAsia"/>
          <w:color w:val="auto"/>
        </w:rPr>
        <w:t>淋溶水</w:t>
      </w:r>
      <w:r>
        <w:rPr>
          <w:color w:val="auto"/>
        </w:rPr>
        <w:t>产生、渗漏和交通运输事故等一些较大的事故进行重点防范，把事故发生的概率降到最低。</w:t>
      </w:r>
    </w:p>
    <w:p w14:paraId="11D7F1D2">
      <w:pPr>
        <w:pStyle w:val="59"/>
        <w:ind w:firstLine="480"/>
        <w:rPr>
          <w:color w:val="auto"/>
        </w:rPr>
      </w:pPr>
      <w:r>
        <w:rPr>
          <w:color w:val="auto"/>
        </w:rPr>
        <w:t>（4）提高生产及管理人员的技术水平</w:t>
      </w:r>
    </w:p>
    <w:p w14:paraId="6F8073CE">
      <w:pPr>
        <w:pStyle w:val="59"/>
        <w:ind w:firstLine="480"/>
        <w:rPr>
          <w:color w:val="auto"/>
        </w:rPr>
      </w:pPr>
      <w:r>
        <w:rPr>
          <w:color w:val="auto"/>
        </w:rPr>
        <w:t>管理和操作人员的失误是导致事故发生的重要因素之一。失误的原因主要是技术能力不足、工作疏忽等。操作事故是生产过程中发生概率较大的风险事故，而管理及操作人员的技术水平则直接影响到此类事故的发生概率。项目在建设和发展过程中，建设单位应严格要求操作和管理人员的技术水平，职工上岗前必须参加培训，落实安全教育制度。</w:t>
      </w:r>
    </w:p>
    <w:p w14:paraId="64D19552">
      <w:pPr>
        <w:pStyle w:val="59"/>
        <w:ind w:firstLine="480"/>
        <w:rPr>
          <w:color w:val="auto"/>
        </w:rPr>
      </w:pPr>
      <w:r>
        <w:rPr>
          <w:color w:val="auto"/>
        </w:rPr>
        <w:t>（5）建立事故的监测报警系统</w:t>
      </w:r>
    </w:p>
    <w:p w14:paraId="69F3118C">
      <w:pPr>
        <w:pStyle w:val="59"/>
        <w:ind w:firstLine="480"/>
        <w:rPr>
          <w:color w:val="auto"/>
        </w:rPr>
      </w:pPr>
      <w:r>
        <w:rPr>
          <w:color w:val="auto"/>
        </w:rPr>
        <w:t>建议建设单位在场区附近建立地下水环境</w:t>
      </w:r>
      <w:r>
        <w:rPr>
          <w:rFonts w:hint="eastAsia"/>
          <w:color w:val="auto"/>
        </w:rPr>
        <w:t>监测</w:t>
      </w:r>
      <w:r>
        <w:rPr>
          <w:color w:val="auto"/>
        </w:rPr>
        <w:t>系统，随时掌握周边环境质量情况，及早发现事故排放风险，及早治理，减少事故影响。</w:t>
      </w:r>
    </w:p>
    <w:p w14:paraId="7080A699">
      <w:pPr>
        <w:pStyle w:val="59"/>
        <w:ind w:firstLine="480"/>
        <w:rPr>
          <w:color w:val="auto"/>
        </w:rPr>
      </w:pPr>
      <w:r>
        <w:rPr>
          <w:color w:val="auto"/>
        </w:rPr>
        <w:t>（6）从法律法规上加强管理</w:t>
      </w:r>
    </w:p>
    <w:p w14:paraId="4350D2A0">
      <w:pPr>
        <w:pStyle w:val="59"/>
        <w:ind w:firstLine="480"/>
        <w:rPr>
          <w:color w:val="auto"/>
        </w:rPr>
      </w:pPr>
      <w:r>
        <w:rPr>
          <w:color w:val="auto"/>
        </w:rPr>
        <w:t>为确保</w:t>
      </w:r>
      <w:r>
        <w:rPr>
          <w:rFonts w:hint="eastAsia"/>
          <w:color w:val="auto"/>
          <w:lang w:eastAsia="zh-CN"/>
        </w:rPr>
        <w:t>灰渣</w:t>
      </w:r>
      <w:r>
        <w:rPr>
          <w:color w:val="auto"/>
        </w:rPr>
        <w:t>运输和处理的安全，应严格遵守国家及有关部门制定的相关法规并严格执行，杜绝事故发生的源头。</w:t>
      </w:r>
    </w:p>
    <w:p w14:paraId="3590AE11">
      <w:pPr>
        <w:pStyle w:val="59"/>
        <w:ind w:firstLine="480"/>
        <w:rPr>
          <w:color w:val="auto"/>
        </w:rPr>
      </w:pPr>
      <w:r>
        <w:rPr>
          <w:color w:val="auto"/>
        </w:rPr>
        <w:t>（7）建立事故救援演习制度</w:t>
      </w:r>
    </w:p>
    <w:p w14:paraId="769B03E7">
      <w:pPr>
        <w:pStyle w:val="59"/>
        <w:ind w:firstLine="480"/>
        <w:rPr>
          <w:color w:val="auto"/>
        </w:rPr>
      </w:pPr>
      <w:r>
        <w:rPr>
          <w:color w:val="auto"/>
        </w:rPr>
        <w:t>建设单位应定期进行事故风险救援演习，培养员工的风险意识， 训练事故救援队伍的反应和救援能力，为实际工作做充分准备。</w:t>
      </w:r>
    </w:p>
    <w:p w14:paraId="1BF79084">
      <w:pPr>
        <w:pStyle w:val="135"/>
        <w:rPr>
          <w:color w:val="auto"/>
        </w:rPr>
      </w:pPr>
      <w:r>
        <w:rPr>
          <w:color w:val="auto"/>
        </w:rPr>
        <w:t>6.2.8.2</w:t>
      </w:r>
      <w:r>
        <w:rPr>
          <w:rFonts w:hint="eastAsia"/>
          <w:color w:val="auto"/>
        </w:rPr>
        <w:t>环境风险防范措施</w:t>
      </w:r>
    </w:p>
    <w:p w14:paraId="09334869">
      <w:pPr>
        <w:pStyle w:val="59"/>
        <w:ind w:firstLine="480"/>
        <w:rPr>
          <w:color w:val="auto"/>
        </w:rPr>
      </w:pPr>
      <w:r>
        <w:rPr>
          <w:rFonts w:hint="eastAsia"/>
          <w:color w:val="auto"/>
        </w:rPr>
        <w:t>（1）项目场底清理后场底基础进行30cm厚的改性压实粘土压实防渗，防渗后其防渗性能能够小于渗透系数为1.0×10</w:t>
      </w:r>
      <w:r>
        <w:rPr>
          <w:rFonts w:hint="eastAsia"/>
          <w:color w:val="auto"/>
          <w:vertAlign w:val="superscript"/>
        </w:rPr>
        <w:t>-5</w:t>
      </w:r>
      <w:r>
        <w:rPr>
          <w:rFonts w:hint="eastAsia"/>
          <w:color w:val="auto"/>
        </w:rPr>
        <w:t>cm/s且厚度为0.75m的天然基础层；淋溶水暂存池采取防渗措施，渗透系数应小于1</w:t>
      </w:r>
      <w:r>
        <w:rPr>
          <w:color w:val="auto"/>
        </w:rPr>
        <w:t>×10</w:t>
      </w:r>
      <w:r>
        <w:rPr>
          <w:color w:val="auto"/>
          <w:vertAlign w:val="superscript"/>
        </w:rPr>
        <w:t>-7</w:t>
      </w:r>
      <w:r>
        <w:rPr>
          <w:color w:val="auto"/>
        </w:rPr>
        <w:t>cm/s。</w:t>
      </w:r>
    </w:p>
    <w:p w14:paraId="5D5BB920">
      <w:pPr>
        <w:pStyle w:val="59"/>
        <w:ind w:firstLine="480"/>
        <w:rPr>
          <w:color w:val="auto"/>
        </w:rPr>
      </w:pPr>
      <w:r>
        <w:rPr>
          <w:rFonts w:hint="eastAsia"/>
          <w:color w:val="auto"/>
        </w:rPr>
        <w:t>（2）作业时做好淋溶水导排管道的铺设工作，保证其不堵塞、不破裂，正常运转；淋溶水导排系统在初期若发现有淋溶水淌出，应立即停止作业，进行修补。</w:t>
      </w:r>
    </w:p>
    <w:p w14:paraId="195C1F83">
      <w:pPr>
        <w:pStyle w:val="59"/>
        <w:ind w:firstLine="480"/>
        <w:rPr>
          <w:color w:val="auto"/>
        </w:rPr>
      </w:pPr>
      <w:r>
        <w:rPr>
          <w:rFonts w:hint="eastAsia"/>
          <w:color w:val="auto"/>
        </w:rPr>
        <w:t>（3）项目在回填区周边设置了</w:t>
      </w:r>
      <w:r>
        <w:rPr>
          <w:color w:val="auto"/>
        </w:rPr>
        <w:t>3</w:t>
      </w:r>
      <w:r>
        <w:rPr>
          <w:rFonts w:hint="eastAsia"/>
          <w:color w:val="auto"/>
        </w:rPr>
        <w:t>口地下水监测井，应加强监控措施、增加监测频次，一旦数据异常，有污染迹象时，应及时查找原因，发现渗漏位置并采取补救措施，防止污染进一步扩散。</w:t>
      </w:r>
    </w:p>
    <w:p w14:paraId="26578A80">
      <w:pPr>
        <w:pStyle w:val="59"/>
        <w:ind w:firstLine="480"/>
        <w:rPr>
          <w:color w:val="auto"/>
        </w:rPr>
      </w:pPr>
      <w:r>
        <w:rPr>
          <w:rFonts w:hint="eastAsia"/>
          <w:color w:val="auto"/>
        </w:rPr>
        <w:t>（4）本工程选用DN300和DN200的HDPE穿孔管作为淋溶水导排排水管，为保证淋溶水的及时排出，淋溶水提升井内1台设置Q=20m</w:t>
      </w:r>
      <w:r>
        <w:rPr>
          <w:rFonts w:hint="eastAsia"/>
          <w:color w:val="auto"/>
          <w:vertAlign w:val="superscript"/>
        </w:rPr>
        <w:t>3</w:t>
      </w:r>
      <w:r>
        <w:rPr>
          <w:rFonts w:hint="eastAsia"/>
          <w:color w:val="auto"/>
        </w:rPr>
        <w:t>/h，H=40m自冲搅拌型潜水提升泵，工作一台能够满足平均日淋溶水排除要求，淋溶水排污泵采用液位自动控制，自动启闭水泵，配电使用远程自动控制系统。采取上述措施后，可将淋溶水渗漏等风险降至可接受水平。</w:t>
      </w:r>
    </w:p>
    <w:p w14:paraId="6727DC5C">
      <w:pPr>
        <w:pStyle w:val="135"/>
        <w:rPr>
          <w:color w:val="auto"/>
        </w:rPr>
      </w:pPr>
      <w:r>
        <w:rPr>
          <w:color w:val="auto"/>
        </w:rPr>
        <w:t>6.2.8.3风险应急预案</w:t>
      </w:r>
    </w:p>
    <w:p w14:paraId="7D038FCA">
      <w:pPr>
        <w:pStyle w:val="59"/>
        <w:ind w:firstLine="480"/>
        <w:rPr>
          <w:color w:val="auto"/>
        </w:rPr>
      </w:pPr>
      <w:r>
        <w:rPr>
          <w:color w:val="auto"/>
        </w:rPr>
        <w:t>环境风险应急预案是在安全预案的基础上，突出减少环境风险的预案。本项目应按照《企业事业单位突发环境事件应急预案备案管理办法(试行)》(环发[2015]4号)和《黑龙江省人民政府关于印发黑龙江省突发事件应急预案管理办法的通知》（黑政规﹝2018﹞2号），制订本项目的突发环境事件应急预案并上报当地政府有关部门备案。项目制定的突发环境事件应急预案应包括以下内容：</w:t>
      </w:r>
    </w:p>
    <w:p w14:paraId="4A01B774">
      <w:pPr>
        <w:pStyle w:val="59"/>
        <w:ind w:firstLine="480"/>
        <w:rPr>
          <w:color w:val="auto"/>
        </w:rPr>
      </w:pPr>
      <w:r>
        <w:rPr>
          <w:color w:val="auto"/>
        </w:rPr>
        <w:t>（1）总则。包括编制目的、编制依据、适用范围和工作原则等，做到目的明确、依据合法、范围明确、符合国家有关规定要求和本单位应急工作实际。</w:t>
      </w:r>
    </w:p>
    <w:p w14:paraId="02D77B46">
      <w:pPr>
        <w:pStyle w:val="59"/>
        <w:ind w:firstLine="480"/>
        <w:rPr>
          <w:color w:val="auto"/>
        </w:rPr>
      </w:pPr>
      <w:r>
        <w:rPr>
          <w:color w:val="auto"/>
        </w:rPr>
        <w:t>（2）企业基本情况。本单位的概况、周边环境状况、环境敏感点等，明确有关设施、装置、设备、生产线以及重要目标场所的布局等情况。</w:t>
      </w:r>
    </w:p>
    <w:p w14:paraId="47911630">
      <w:pPr>
        <w:pStyle w:val="59"/>
        <w:ind w:firstLine="480"/>
        <w:rPr>
          <w:color w:val="auto"/>
        </w:rPr>
      </w:pPr>
      <w:r>
        <w:rPr>
          <w:color w:val="auto"/>
        </w:rPr>
        <w:t>（3）本单位环境危险源情况。本单位的环境危险源情况分析，主要包括环境危险源的基本情况以及可能产生的危害后果及严重程度，能够客观分析本单位存在的危险源及危险程度，能够客观分析可能发生的事件特征、主要污染物种类，客观分析可能引发事故的诱因、影响范围及后果。</w:t>
      </w:r>
    </w:p>
    <w:p w14:paraId="4AC48B58">
      <w:pPr>
        <w:pStyle w:val="59"/>
        <w:ind w:firstLine="480"/>
        <w:rPr>
          <w:color w:val="auto"/>
        </w:rPr>
      </w:pPr>
      <w:r>
        <w:rPr>
          <w:color w:val="auto"/>
        </w:rPr>
        <w:t>（4）应急物资储备情况。针对单位危险源数量和性质应储备的应急物资品名和基本储量等，明确对应急救援所需的物资和装备的要求，应急物资与装备保障符合单位实际，满足应急要求。</w:t>
      </w:r>
    </w:p>
    <w:p w14:paraId="07E29A6E">
      <w:pPr>
        <w:pStyle w:val="59"/>
        <w:ind w:firstLine="480"/>
        <w:rPr>
          <w:color w:val="auto"/>
        </w:rPr>
      </w:pPr>
      <w:r>
        <w:rPr>
          <w:color w:val="auto"/>
        </w:rPr>
        <w:t>（5）应急组织指挥体系与职责。包括领导机构、工作机构、地方机构或者现场指挥机构、环境应急专家组等，能够清晰描述本单位的应急组织体系，明确应急组织成员日常及应急状态下的工作职责，各应急救援小组设置合理，应急工作明确。</w:t>
      </w:r>
    </w:p>
    <w:p w14:paraId="4F403C06">
      <w:pPr>
        <w:pStyle w:val="59"/>
        <w:ind w:firstLine="480"/>
        <w:rPr>
          <w:color w:val="auto"/>
        </w:rPr>
      </w:pPr>
      <w:r>
        <w:rPr>
          <w:color w:val="auto"/>
        </w:rPr>
        <w:t>（6）预防与预警机制。包括应急准备措施、环境风险隐患排查和整治措施、预警分级指标、预警发布或者解除程序、预警相应措施等，明确预防和管理措施，明确隐患排查和整治措施，明确预警信息发布的方式、内容和流程，预警级别与采取的预警措施科学合理。</w:t>
      </w:r>
    </w:p>
    <w:p w14:paraId="77BF71E8">
      <w:pPr>
        <w:pStyle w:val="59"/>
        <w:ind w:firstLine="480"/>
        <w:rPr>
          <w:color w:val="auto"/>
        </w:rPr>
      </w:pPr>
      <w:r>
        <w:rPr>
          <w:color w:val="auto"/>
        </w:rPr>
        <w:t>（7）应急处置。包括应急预案启动条件、信息报告、先期处置、分级响应、指挥与协调、信息发布、应急终止等程序和措施等。</w:t>
      </w:r>
    </w:p>
    <w:p w14:paraId="04111BCB">
      <w:pPr>
        <w:pStyle w:val="59"/>
        <w:ind w:firstLine="480"/>
        <w:rPr>
          <w:color w:val="auto"/>
        </w:rPr>
      </w:pPr>
      <w:r>
        <w:rPr>
          <w:color w:val="auto"/>
        </w:rPr>
        <w:t>（8）后期处置。包括善后处置、调查与评估、恢复重建等，明确事故发生后，污染物处理、善后处置、应急处置能力评估及应急预案的修订等要求。</w:t>
      </w:r>
    </w:p>
    <w:p w14:paraId="3CA2165E">
      <w:pPr>
        <w:pStyle w:val="59"/>
        <w:ind w:firstLine="480"/>
        <w:rPr>
          <w:color w:val="auto"/>
        </w:rPr>
      </w:pPr>
      <w:r>
        <w:rPr>
          <w:color w:val="auto"/>
        </w:rPr>
        <w:t>（9）应急保障。包括人力资源保障、财力保障、物资保障、医疗卫生保障、交通运输保障、通信保障、科技支撑等，明确上述各类保障措施。</w:t>
      </w:r>
    </w:p>
    <w:p w14:paraId="20C4255C">
      <w:pPr>
        <w:pStyle w:val="59"/>
        <w:ind w:firstLine="480"/>
        <w:rPr>
          <w:color w:val="auto"/>
        </w:rPr>
      </w:pPr>
      <w:r>
        <w:rPr>
          <w:color w:val="auto"/>
        </w:rPr>
        <w:t>（10）监督管理。包括应急预案演练、宣教培训、责任与奖惩等，明确本单位开展应急管理培训的计划和方式方法；如果应急预案涉及周边社区和居民，应明确相应的应急宣传教育工作；明确应急演练的方式、频次、范围、内容、组织、评估、总结等内容；明确各类奖惩制度。</w:t>
      </w:r>
    </w:p>
    <w:p w14:paraId="3241A109">
      <w:pPr>
        <w:pStyle w:val="59"/>
        <w:ind w:firstLine="480"/>
        <w:rPr>
          <w:color w:val="auto"/>
        </w:rPr>
      </w:pPr>
      <w:r>
        <w:rPr>
          <w:color w:val="auto"/>
        </w:rPr>
        <w:t>（11）附则。包括名词术语、预案解释、修订情况和实施日期等，对预案中用到的术语进行解释，明确预案的解释单位，说明预案修订情况，明确实施日期。</w:t>
      </w:r>
    </w:p>
    <w:p w14:paraId="6ADFFAC2">
      <w:pPr>
        <w:pStyle w:val="59"/>
        <w:ind w:firstLine="480"/>
        <w:rPr>
          <w:color w:val="auto"/>
        </w:rPr>
      </w:pPr>
      <w:r>
        <w:rPr>
          <w:color w:val="auto"/>
        </w:rPr>
        <w:t>（12）附件。包括相关单位和人员通讯录、标准化格式文本、工作流程图、应急物资储备清单等，通讯录应列出所有参与应急指挥、协调人员姓名、所在部门、职务和联系电话，并保证准确有效；给出信息接报、处理、上报等规范化格式文本，要求规范、清晰、简洁；明确工作流程，关键的路线、标识和图纸等；以表格形式列出应急装备、设施和器材清单，清单应当包括种类、名称、数量以及存放位置、规格、性能、用途和用法等信息。</w:t>
      </w:r>
    </w:p>
    <w:p w14:paraId="588CEE47">
      <w:pPr>
        <w:pStyle w:val="135"/>
        <w:rPr>
          <w:color w:val="auto"/>
        </w:rPr>
      </w:pPr>
      <w:r>
        <w:rPr>
          <w:color w:val="auto"/>
        </w:rPr>
        <w:t>6.2.8.4环境风险分析结论</w:t>
      </w:r>
    </w:p>
    <w:p w14:paraId="01E1A8BF">
      <w:pPr>
        <w:pStyle w:val="59"/>
        <w:ind w:firstLine="480"/>
        <w:rPr>
          <w:color w:val="auto"/>
        </w:rPr>
      </w:pPr>
      <w:r>
        <w:rPr>
          <w:rFonts w:hint="eastAsia"/>
          <w:color w:val="auto"/>
        </w:rPr>
        <w:t>通过以上分析内容可知，本工程在认真采取防控措施，最大限度消除隐患的前提下，事故概率极低，一旦发生事故，按应急预案计划处理，也会使事故损失降到最小程度。项目设计、施工、生产运行中，在切实落实各项环保、安全措施基础上，在可控的范围内，项目产生的环境风险环境可接受</w:t>
      </w:r>
      <w:r>
        <w:rPr>
          <w:color w:val="auto"/>
        </w:rPr>
        <w:t>。</w:t>
      </w:r>
    </w:p>
    <w:p w14:paraId="194CEB5F">
      <w:pPr>
        <w:pStyle w:val="76"/>
        <w:rPr>
          <w:color w:val="auto"/>
        </w:rPr>
      </w:pPr>
      <w:r>
        <w:rPr>
          <w:color w:val="auto"/>
        </w:rPr>
        <w:t>表6-2-3建设项目环境风险简单分析内容表</w:t>
      </w:r>
    </w:p>
    <w:tbl>
      <w:tblPr>
        <w:tblStyle w:val="45"/>
        <w:tblW w:w="8522" w:type="dxa"/>
        <w:jc w:val="center"/>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autofit"/>
        <w:tblCellMar>
          <w:top w:w="0" w:type="dxa"/>
          <w:left w:w="108" w:type="dxa"/>
          <w:bottom w:w="0" w:type="dxa"/>
          <w:right w:w="108" w:type="dxa"/>
        </w:tblCellMar>
      </w:tblPr>
      <w:tblGrid>
        <w:gridCol w:w="1668"/>
        <w:gridCol w:w="1567"/>
        <w:gridCol w:w="1448"/>
        <w:gridCol w:w="1312"/>
        <w:gridCol w:w="1310"/>
        <w:gridCol w:w="1217"/>
      </w:tblGrid>
      <w:tr w14:paraId="30E7789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282" w:hRule="atLeast"/>
          <w:jc w:val="center"/>
        </w:trPr>
        <w:tc>
          <w:tcPr>
            <w:tcW w:w="1668" w:type="dxa"/>
            <w:vAlign w:val="center"/>
          </w:tcPr>
          <w:p w14:paraId="6300027D">
            <w:pPr>
              <w:jc w:val="center"/>
              <w:rPr>
                <w:color w:val="auto"/>
                <w:szCs w:val="21"/>
              </w:rPr>
            </w:pPr>
            <w:r>
              <w:rPr>
                <w:color w:val="auto"/>
                <w:szCs w:val="21"/>
              </w:rPr>
              <w:t>建设项目名称</w:t>
            </w:r>
          </w:p>
        </w:tc>
        <w:tc>
          <w:tcPr>
            <w:tcW w:w="6854" w:type="dxa"/>
            <w:gridSpan w:val="5"/>
            <w:vAlign w:val="center"/>
          </w:tcPr>
          <w:p w14:paraId="5B887176">
            <w:pPr>
              <w:jc w:val="center"/>
              <w:rPr>
                <w:rFonts w:hint="eastAsia" w:eastAsia="宋体"/>
                <w:color w:val="auto"/>
                <w:szCs w:val="21"/>
                <w:lang w:eastAsia="zh-CN"/>
              </w:rPr>
            </w:pPr>
            <w:r>
              <w:rPr>
                <w:rFonts w:hint="eastAsia"/>
                <w:color w:val="auto"/>
                <w:szCs w:val="21"/>
                <w:lang w:eastAsia="zh-CN"/>
              </w:rPr>
              <w:t>鸡东县新泉采石场固废回填复垦项目</w:t>
            </w:r>
          </w:p>
        </w:tc>
      </w:tr>
      <w:tr w14:paraId="32CD5D10">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48" w:hRule="atLeast"/>
          <w:jc w:val="center"/>
        </w:trPr>
        <w:tc>
          <w:tcPr>
            <w:tcW w:w="1668" w:type="dxa"/>
            <w:vAlign w:val="center"/>
          </w:tcPr>
          <w:p w14:paraId="5924573F">
            <w:pPr>
              <w:jc w:val="center"/>
              <w:rPr>
                <w:color w:val="auto"/>
                <w:szCs w:val="21"/>
              </w:rPr>
            </w:pPr>
            <w:r>
              <w:rPr>
                <w:color w:val="auto"/>
                <w:szCs w:val="21"/>
              </w:rPr>
              <w:t>建设地点</w:t>
            </w:r>
          </w:p>
        </w:tc>
        <w:tc>
          <w:tcPr>
            <w:tcW w:w="1567" w:type="dxa"/>
            <w:vAlign w:val="center"/>
          </w:tcPr>
          <w:p w14:paraId="206DDE22">
            <w:pPr>
              <w:jc w:val="center"/>
              <w:rPr>
                <w:color w:val="auto"/>
                <w:szCs w:val="21"/>
              </w:rPr>
            </w:pPr>
            <w:r>
              <w:rPr>
                <w:color w:val="auto"/>
                <w:szCs w:val="21"/>
              </w:rPr>
              <w:t>（黑龙江）省</w:t>
            </w:r>
          </w:p>
        </w:tc>
        <w:tc>
          <w:tcPr>
            <w:tcW w:w="1448" w:type="dxa"/>
            <w:vAlign w:val="center"/>
          </w:tcPr>
          <w:p w14:paraId="555C5059">
            <w:pPr>
              <w:jc w:val="center"/>
              <w:rPr>
                <w:color w:val="auto"/>
                <w:szCs w:val="21"/>
              </w:rPr>
            </w:pPr>
            <w:r>
              <w:rPr>
                <w:color w:val="auto"/>
                <w:szCs w:val="21"/>
              </w:rPr>
              <w:t>（鸡西）市</w:t>
            </w:r>
          </w:p>
        </w:tc>
        <w:tc>
          <w:tcPr>
            <w:tcW w:w="1312" w:type="dxa"/>
            <w:vAlign w:val="center"/>
          </w:tcPr>
          <w:p w14:paraId="68056880">
            <w:pPr>
              <w:jc w:val="center"/>
              <w:rPr>
                <w:color w:val="auto"/>
                <w:szCs w:val="21"/>
              </w:rPr>
            </w:pPr>
            <w:r>
              <w:rPr>
                <w:color w:val="auto"/>
                <w:szCs w:val="21"/>
              </w:rPr>
              <w:t>（</w:t>
            </w:r>
            <w:r>
              <w:rPr>
                <w:rFonts w:hint="eastAsia"/>
                <w:color w:val="auto"/>
                <w:szCs w:val="21"/>
              </w:rPr>
              <w:t>鸡东</w:t>
            </w:r>
            <w:r>
              <w:rPr>
                <w:color w:val="auto"/>
                <w:szCs w:val="21"/>
              </w:rPr>
              <w:t>）</w:t>
            </w:r>
            <w:r>
              <w:rPr>
                <w:rFonts w:hint="eastAsia"/>
                <w:color w:val="auto"/>
                <w:szCs w:val="21"/>
              </w:rPr>
              <w:t>县</w:t>
            </w:r>
          </w:p>
        </w:tc>
        <w:tc>
          <w:tcPr>
            <w:tcW w:w="1310" w:type="dxa"/>
            <w:vAlign w:val="center"/>
          </w:tcPr>
          <w:p w14:paraId="7955264E">
            <w:pPr>
              <w:jc w:val="center"/>
              <w:rPr>
                <w:color w:val="auto"/>
                <w:szCs w:val="21"/>
              </w:rPr>
            </w:pPr>
            <w:r>
              <w:rPr>
                <w:color w:val="auto"/>
                <w:szCs w:val="21"/>
              </w:rPr>
              <w:t>（</w:t>
            </w:r>
            <w:r>
              <w:rPr>
                <w:rFonts w:hint="eastAsia"/>
                <w:bCs/>
                <w:color w:val="auto"/>
                <w:szCs w:val="21"/>
                <w:lang w:val="en-US" w:eastAsia="zh-CN"/>
              </w:rPr>
              <w:t>东海</w:t>
            </w:r>
            <w:r>
              <w:rPr>
                <w:color w:val="auto"/>
                <w:szCs w:val="21"/>
              </w:rPr>
              <w:t>）</w:t>
            </w:r>
            <w:r>
              <w:rPr>
                <w:rFonts w:hint="eastAsia"/>
                <w:color w:val="auto"/>
                <w:szCs w:val="21"/>
              </w:rPr>
              <w:t>镇</w:t>
            </w:r>
          </w:p>
        </w:tc>
        <w:tc>
          <w:tcPr>
            <w:tcW w:w="1217" w:type="dxa"/>
            <w:vAlign w:val="center"/>
          </w:tcPr>
          <w:p w14:paraId="2EAD70EF">
            <w:pPr>
              <w:jc w:val="center"/>
              <w:rPr>
                <w:color w:val="auto"/>
                <w:szCs w:val="21"/>
              </w:rPr>
            </w:pPr>
            <w:r>
              <w:rPr>
                <w:color w:val="auto"/>
                <w:szCs w:val="21"/>
              </w:rPr>
              <w:t>（</w:t>
            </w:r>
            <w:r>
              <w:rPr>
                <w:rFonts w:hint="eastAsia"/>
                <w:color w:val="auto"/>
                <w:szCs w:val="21"/>
              </w:rPr>
              <w:t>/</w:t>
            </w:r>
            <w:r>
              <w:rPr>
                <w:color w:val="auto"/>
                <w:szCs w:val="21"/>
              </w:rPr>
              <w:t>）园区</w:t>
            </w:r>
          </w:p>
        </w:tc>
      </w:tr>
      <w:tr w14:paraId="75F37FA5">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50" w:hRule="atLeast"/>
          <w:jc w:val="center"/>
        </w:trPr>
        <w:tc>
          <w:tcPr>
            <w:tcW w:w="1668" w:type="dxa"/>
            <w:vAlign w:val="center"/>
          </w:tcPr>
          <w:p w14:paraId="14B406C4">
            <w:pPr>
              <w:jc w:val="center"/>
              <w:rPr>
                <w:color w:val="auto"/>
                <w:szCs w:val="21"/>
              </w:rPr>
            </w:pPr>
            <w:r>
              <w:rPr>
                <w:color w:val="auto"/>
                <w:szCs w:val="21"/>
              </w:rPr>
              <w:t>地理坐标</w:t>
            </w:r>
          </w:p>
        </w:tc>
        <w:tc>
          <w:tcPr>
            <w:tcW w:w="1567" w:type="dxa"/>
            <w:vAlign w:val="center"/>
          </w:tcPr>
          <w:p w14:paraId="17CC3029">
            <w:pPr>
              <w:jc w:val="center"/>
              <w:rPr>
                <w:color w:val="auto"/>
                <w:szCs w:val="21"/>
              </w:rPr>
            </w:pPr>
            <w:r>
              <w:rPr>
                <w:color w:val="auto"/>
                <w:szCs w:val="21"/>
              </w:rPr>
              <w:t>经度</w:t>
            </w:r>
          </w:p>
        </w:tc>
        <w:tc>
          <w:tcPr>
            <w:tcW w:w="1448" w:type="dxa"/>
            <w:vAlign w:val="center"/>
          </w:tcPr>
          <w:p w14:paraId="54970678">
            <w:pPr>
              <w:jc w:val="center"/>
              <w:rPr>
                <w:bCs/>
                <w:color w:val="auto"/>
                <w:szCs w:val="21"/>
              </w:rPr>
            </w:pPr>
            <w:r>
              <w:rPr>
                <w:rFonts w:hint="eastAsia"/>
                <w:bCs/>
                <w:color w:val="auto"/>
                <w:szCs w:val="21"/>
              </w:rPr>
              <w:t>131.26722336</w:t>
            </w:r>
          </w:p>
        </w:tc>
        <w:tc>
          <w:tcPr>
            <w:tcW w:w="1312" w:type="dxa"/>
            <w:vAlign w:val="center"/>
          </w:tcPr>
          <w:p w14:paraId="636E7552">
            <w:pPr>
              <w:jc w:val="center"/>
              <w:rPr>
                <w:color w:val="auto"/>
                <w:szCs w:val="21"/>
              </w:rPr>
            </w:pPr>
            <w:r>
              <w:rPr>
                <w:color w:val="auto"/>
                <w:szCs w:val="21"/>
              </w:rPr>
              <w:t>纬度</w:t>
            </w:r>
          </w:p>
        </w:tc>
        <w:tc>
          <w:tcPr>
            <w:tcW w:w="2527" w:type="dxa"/>
            <w:gridSpan w:val="2"/>
            <w:vAlign w:val="center"/>
          </w:tcPr>
          <w:p w14:paraId="1863C408">
            <w:pPr>
              <w:jc w:val="center"/>
              <w:rPr>
                <w:bCs/>
                <w:color w:val="auto"/>
                <w:szCs w:val="21"/>
              </w:rPr>
            </w:pPr>
            <w:r>
              <w:rPr>
                <w:rFonts w:hint="eastAsia"/>
                <w:color w:val="auto"/>
                <w:kern w:val="0"/>
                <w:szCs w:val="21"/>
              </w:rPr>
              <w:t>45.34641481</w:t>
            </w:r>
          </w:p>
        </w:tc>
      </w:tr>
      <w:tr w14:paraId="453D2B94">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3" w:hRule="atLeast"/>
          <w:jc w:val="center"/>
        </w:trPr>
        <w:tc>
          <w:tcPr>
            <w:tcW w:w="1668" w:type="dxa"/>
            <w:vAlign w:val="center"/>
          </w:tcPr>
          <w:p w14:paraId="2A63DBB4">
            <w:pPr>
              <w:jc w:val="center"/>
              <w:rPr>
                <w:color w:val="auto"/>
                <w:szCs w:val="21"/>
              </w:rPr>
            </w:pPr>
            <w:r>
              <w:rPr>
                <w:color w:val="auto"/>
                <w:szCs w:val="21"/>
              </w:rPr>
              <w:t>主要危险物质及分布</w:t>
            </w:r>
          </w:p>
        </w:tc>
        <w:tc>
          <w:tcPr>
            <w:tcW w:w="6854" w:type="dxa"/>
            <w:gridSpan w:val="5"/>
            <w:vAlign w:val="center"/>
          </w:tcPr>
          <w:p w14:paraId="3343042D">
            <w:pPr>
              <w:adjustRightInd w:val="0"/>
              <w:snapToGrid w:val="0"/>
              <w:spacing w:line="0" w:lineRule="atLeast"/>
              <w:jc w:val="center"/>
              <w:rPr>
                <w:color w:val="auto"/>
                <w:kern w:val="0"/>
                <w:szCs w:val="21"/>
              </w:rPr>
            </w:pPr>
            <w:r>
              <w:rPr>
                <w:rFonts w:hint="eastAsia"/>
                <w:color w:val="auto"/>
              </w:rPr>
              <w:t>本项目不涉及的危险物质</w:t>
            </w:r>
          </w:p>
        </w:tc>
      </w:tr>
      <w:tr w14:paraId="2C0D003C">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3" w:hRule="atLeast"/>
          <w:jc w:val="center"/>
        </w:trPr>
        <w:tc>
          <w:tcPr>
            <w:tcW w:w="1668" w:type="dxa"/>
            <w:vAlign w:val="center"/>
          </w:tcPr>
          <w:p w14:paraId="44B24565">
            <w:pPr>
              <w:jc w:val="center"/>
              <w:rPr>
                <w:color w:val="auto"/>
                <w:szCs w:val="21"/>
              </w:rPr>
            </w:pPr>
            <w:r>
              <w:rPr>
                <w:color w:val="auto"/>
                <w:szCs w:val="21"/>
              </w:rPr>
              <w:t>环境影响途径及危害后果</w:t>
            </w:r>
          </w:p>
          <w:p w14:paraId="200A6358">
            <w:pPr>
              <w:jc w:val="center"/>
              <w:rPr>
                <w:color w:val="auto"/>
                <w:szCs w:val="21"/>
              </w:rPr>
            </w:pPr>
            <w:r>
              <w:rPr>
                <w:color w:val="auto"/>
                <w:szCs w:val="21"/>
              </w:rPr>
              <w:t>（大气、地表水、地下水等）</w:t>
            </w:r>
          </w:p>
        </w:tc>
        <w:tc>
          <w:tcPr>
            <w:tcW w:w="6854" w:type="dxa"/>
            <w:gridSpan w:val="5"/>
            <w:vAlign w:val="center"/>
          </w:tcPr>
          <w:p w14:paraId="02DA5944">
            <w:pPr>
              <w:rPr>
                <w:color w:val="auto"/>
                <w:szCs w:val="21"/>
              </w:rPr>
            </w:pPr>
            <w:r>
              <w:rPr>
                <w:rFonts w:hint="eastAsia"/>
                <w:color w:val="auto"/>
                <w:szCs w:val="21"/>
              </w:rPr>
              <w:t>在连续大雨或暴雨的情况下，由于防洪导排水系统故障，使雨水不能及时排出，或由于场区外四周地表降水汇集，大量雨水进入场区而导致淋溶水量显著增大，可能引发环境污染事故。</w:t>
            </w:r>
          </w:p>
          <w:p w14:paraId="1268B968">
            <w:pPr>
              <w:pStyle w:val="18"/>
              <w:rPr>
                <w:color w:val="auto"/>
              </w:rPr>
            </w:pPr>
            <w:r>
              <w:rPr>
                <w:rFonts w:hint="eastAsia"/>
                <w:color w:val="auto"/>
              </w:rPr>
              <w:t>由于选址不当或防渗施工及防渗材料不符合技术要求，出现暂存池防渗层断裂，淋溶水将可能对土壤及地下水造成污染。因输送管道材料质量、所采取的防渗防腐措施或人为破坏等原因，导致管道淋溶水收集管道破裂，致使淋溶水泄漏，可能会污染土壤及地下水。</w:t>
            </w:r>
          </w:p>
        </w:tc>
      </w:tr>
      <w:tr w14:paraId="18640028">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3" w:hRule="atLeast"/>
          <w:jc w:val="center"/>
        </w:trPr>
        <w:tc>
          <w:tcPr>
            <w:tcW w:w="1668" w:type="dxa"/>
            <w:vAlign w:val="center"/>
          </w:tcPr>
          <w:p w14:paraId="62F36FF8">
            <w:pPr>
              <w:jc w:val="center"/>
              <w:rPr>
                <w:color w:val="auto"/>
                <w:szCs w:val="21"/>
              </w:rPr>
            </w:pPr>
            <w:r>
              <w:rPr>
                <w:color w:val="auto"/>
                <w:szCs w:val="21"/>
              </w:rPr>
              <w:t>风险防范措施要求</w:t>
            </w:r>
          </w:p>
        </w:tc>
        <w:tc>
          <w:tcPr>
            <w:tcW w:w="6854" w:type="dxa"/>
            <w:gridSpan w:val="5"/>
            <w:vAlign w:val="center"/>
          </w:tcPr>
          <w:p w14:paraId="4AD3C288">
            <w:pPr>
              <w:rPr>
                <w:color w:val="auto"/>
                <w:szCs w:val="21"/>
              </w:rPr>
            </w:pPr>
            <w:r>
              <w:rPr>
                <w:rFonts w:hint="eastAsia"/>
                <w:color w:val="auto"/>
                <w:szCs w:val="21"/>
              </w:rPr>
              <w:t>（1）项目场底清理后场底基础进行30cm厚的改性压实粘土压实防渗，防渗后其防渗性能能够小于渗透系数为1.0×10</w:t>
            </w:r>
            <w:r>
              <w:rPr>
                <w:rFonts w:hint="eastAsia"/>
                <w:color w:val="auto"/>
                <w:szCs w:val="21"/>
                <w:vertAlign w:val="superscript"/>
              </w:rPr>
              <w:t>-5</w:t>
            </w:r>
            <w:r>
              <w:rPr>
                <w:rFonts w:hint="eastAsia"/>
                <w:color w:val="auto"/>
                <w:szCs w:val="21"/>
              </w:rPr>
              <w:t>cm/s且厚度为0.75m的天然基础层；淋溶水暂存池采取防渗措施，渗透系数应小于1</w:t>
            </w:r>
            <w:r>
              <w:rPr>
                <w:color w:val="auto"/>
                <w:szCs w:val="21"/>
              </w:rPr>
              <w:t>×10</w:t>
            </w:r>
            <w:r>
              <w:rPr>
                <w:color w:val="auto"/>
                <w:szCs w:val="21"/>
                <w:vertAlign w:val="superscript"/>
              </w:rPr>
              <w:t>-7</w:t>
            </w:r>
            <w:r>
              <w:rPr>
                <w:color w:val="auto"/>
                <w:szCs w:val="21"/>
              </w:rPr>
              <w:t>cm/s。</w:t>
            </w:r>
          </w:p>
          <w:p w14:paraId="749A597E">
            <w:pPr>
              <w:rPr>
                <w:color w:val="auto"/>
                <w:szCs w:val="21"/>
              </w:rPr>
            </w:pPr>
            <w:r>
              <w:rPr>
                <w:rFonts w:hint="eastAsia"/>
                <w:color w:val="auto"/>
                <w:szCs w:val="21"/>
              </w:rPr>
              <w:t>（2）作业时做好淋溶水导排管道的铺设工作，保证其不堵塞、不破裂，正常运转；淋溶水导排系统在初期若发现有淋溶水淌出，应立即停止作业，进行修补。</w:t>
            </w:r>
          </w:p>
          <w:p w14:paraId="7A7EA7FE">
            <w:pPr>
              <w:rPr>
                <w:color w:val="auto"/>
                <w:szCs w:val="21"/>
              </w:rPr>
            </w:pPr>
            <w:r>
              <w:rPr>
                <w:rFonts w:hint="eastAsia"/>
                <w:color w:val="auto"/>
                <w:szCs w:val="21"/>
              </w:rPr>
              <w:t>（3）项目在回填区周边设置了</w:t>
            </w:r>
            <w:r>
              <w:rPr>
                <w:color w:val="auto"/>
                <w:szCs w:val="21"/>
              </w:rPr>
              <w:t>3</w:t>
            </w:r>
            <w:r>
              <w:rPr>
                <w:rFonts w:hint="eastAsia"/>
                <w:color w:val="auto"/>
                <w:szCs w:val="21"/>
              </w:rPr>
              <w:t>口地下水监测井，应加强监控措施、增加监测频次，一旦数据异常，有污染迹象时，应及时查找原因，发现渗漏位置并采取补救措施，防止污染进一步扩散。</w:t>
            </w:r>
          </w:p>
          <w:p w14:paraId="5B8C5AE8">
            <w:pPr>
              <w:rPr>
                <w:color w:val="auto"/>
                <w:szCs w:val="21"/>
              </w:rPr>
            </w:pPr>
            <w:r>
              <w:rPr>
                <w:rFonts w:hint="eastAsia"/>
                <w:color w:val="auto"/>
                <w:szCs w:val="21"/>
              </w:rPr>
              <w:t>（4）本工程选用DN300和DN200的HDPE穿孔管作为淋溶水导排排水管，为保证淋溶水的及时排出，淋溶水提升井内1台设置Q=20m</w:t>
            </w:r>
            <w:r>
              <w:rPr>
                <w:rFonts w:hint="eastAsia"/>
                <w:color w:val="auto"/>
                <w:szCs w:val="21"/>
                <w:vertAlign w:val="superscript"/>
              </w:rPr>
              <w:t>3</w:t>
            </w:r>
            <w:r>
              <w:rPr>
                <w:rFonts w:hint="eastAsia"/>
                <w:color w:val="auto"/>
                <w:szCs w:val="21"/>
              </w:rPr>
              <w:t>/h，H=40m自冲搅拌型潜水提升泵，工作一台能够满足平均日淋溶水排除要求，淋溶水排污泵采用液位自动控制，自动启闭水泵，配电使用远程自动控制系统。采取上述措施后，可将淋溶水渗漏等风险降至可接受水平。</w:t>
            </w:r>
          </w:p>
        </w:tc>
      </w:tr>
      <w:tr w14:paraId="7AA286CB">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CellMar>
            <w:top w:w="0" w:type="dxa"/>
            <w:left w:w="108" w:type="dxa"/>
            <w:bottom w:w="0" w:type="dxa"/>
            <w:right w:w="108" w:type="dxa"/>
          </w:tblCellMar>
        </w:tblPrEx>
        <w:trPr>
          <w:trHeight w:val="303" w:hRule="atLeast"/>
          <w:jc w:val="center"/>
        </w:trPr>
        <w:tc>
          <w:tcPr>
            <w:tcW w:w="8522" w:type="dxa"/>
            <w:gridSpan w:val="6"/>
            <w:vAlign w:val="center"/>
          </w:tcPr>
          <w:p w14:paraId="38E09F0D">
            <w:pPr>
              <w:rPr>
                <w:color w:val="auto"/>
                <w:szCs w:val="21"/>
              </w:rPr>
            </w:pPr>
            <w:r>
              <w:rPr>
                <w:color w:val="auto"/>
                <w:szCs w:val="21"/>
              </w:rPr>
              <w:t>填表说明（列出项目相关信息及评价说明）</w:t>
            </w:r>
          </w:p>
        </w:tc>
      </w:tr>
    </w:tbl>
    <w:p w14:paraId="4143D0A7">
      <w:pPr>
        <w:pStyle w:val="548"/>
        <w:rPr>
          <w:color w:val="auto"/>
        </w:rPr>
      </w:pPr>
      <w:bookmarkStart w:id="177" w:name="_Toc149054216"/>
      <w:r>
        <w:rPr>
          <w:color w:val="auto"/>
        </w:rPr>
        <w:t>6.</w:t>
      </w:r>
      <w:r>
        <w:rPr>
          <w:rFonts w:hint="eastAsia"/>
          <w:color w:val="auto"/>
        </w:rPr>
        <w:t>3生态恢复期</w:t>
      </w:r>
      <w:r>
        <w:rPr>
          <w:color w:val="auto"/>
        </w:rPr>
        <w:t>保护措施</w:t>
      </w:r>
      <w:bookmarkEnd w:id="177"/>
    </w:p>
    <w:p w14:paraId="4FE7FB9F">
      <w:pPr>
        <w:pStyle w:val="59"/>
        <w:ind w:firstLine="480"/>
        <w:rPr>
          <w:color w:val="auto"/>
        </w:rPr>
      </w:pPr>
      <w:r>
        <w:rPr>
          <w:rFonts w:hint="eastAsia"/>
          <w:color w:val="auto"/>
        </w:rPr>
        <w:t>在生态恢复期淋溶水收集导排处理系统仍保持运行，直到不再产生淋溶水为止。本项目主要噪声来源于水泵，在采取低噪声设备，加强维修和保养后，对周围的环境影响较小。固体废物为淋溶水暂存池产生的少量沉渣，拆除暂存池时统一由市政处理。</w:t>
      </w:r>
    </w:p>
    <w:p w14:paraId="06054EC3">
      <w:pPr>
        <w:pStyle w:val="548"/>
        <w:rPr>
          <w:color w:val="auto"/>
        </w:rPr>
      </w:pPr>
      <w:bookmarkStart w:id="178" w:name="_Toc149054217"/>
      <w:bookmarkStart w:id="179" w:name="_Toc119316814"/>
      <w:r>
        <w:rPr>
          <w:color w:val="auto"/>
        </w:rPr>
        <w:t>6.5环境保护投资</w:t>
      </w:r>
      <w:bookmarkEnd w:id="178"/>
      <w:bookmarkEnd w:id="179"/>
    </w:p>
    <w:p w14:paraId="2EB3C3CB">
      <w:pPr>
        <w:pStyle w:val="59"/>
        <w:ind w:firstLine="480"/>
        <w:rPr>
          <w:snapToGrid w:val="0"/>
          <w:color w:val="auto"/>
        </w:rPr>
      </w:pPr>
      <w:r>
        <w:rPr>
          <w:snapToGrid w:val="0"/>
          <w:color w:val="auto"/>
        </w:rPr>
        <w:t>环保投资比按下式计算：</w:t>
      </w:r>
    </w:p>
    <w:p w14:paraId="6F10F183">
      <w:pPr>
        <w:jc w:val="center"/>
        <w:rPr>
          <w:snapToGrid w:val="0"/>
          <w:color w:val="auto"/>
          <w:kern w:val="0"/>
          <w:sz w:val="24"/>
        </w:rPr>
      </w:pPr>
      <w:r>
        <w:rPr>
          <w:color w:val="auto"/>
          <w:kern w:val="0"/>
          <w:sz w:val="24"/>
        </w:rPr>
        <w:drawing>
          <wp:inline distT="0" distB="0" distL="0" distR="0">
            <wp:extent cx="1132840" cy="409575"/>
            <wp:effectExtent l="19050" t="0" r="0" b="0"/>
            <wp:docPr id="675" name="图片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图片 151"/>
                    <pic:cNvPicPr>
                      <a:picLocks noChangeAspect="1" noChangeArrowheads="1"/>
                    </pic:cNvPicPr>
                  </pic:nvPicPr>
                  <pic:blipFill>
                    <a:blip r:embed="rId66" cstate="print"/>
                    <a:srcRect/>
                    <a:stretch>
                      <a:fillRect/>
                    </a:stretch>
                  </pic:blipFill>
                  <pic:spPr>
                    <a:xfrm>
                      <a:off x="0" y="0"/>
                      <a:ext cx="1132840" cy="409575"/>
                    </a:xfrm>
                    <a:prstGeom prst="rect">
                      <a:avLst/>
                    </a:prstGeom>
                    <a:noFill/>
                    <a:ln w="9525">
                      <a:noFill/>
                      <a:miter lim="800000"/>
                      <a:headEnd/>
                      <a:tailEnd/>
                    </a:ln>
                  </pic:spPr>
                </pic:pic>
              </a:graphicData>
            </a:graphic>
          </wp:inline>
        </w:drawing>
      </w:r>
    </w:p>
    <w:p w14:paraId="15E707C6">
      <w:pPr>
        <w:spacing w:line="360" w:lineRule="auto"/>
        <w:rPr>
          <w:snapToGrid w:val="0"/>
          <w:color w:val="auto"/>
          <w:kern w:val="0"/>
          <w:sz w:val="24"/>
        </w:rPr>
      </w:pPr>
      <w:r>
        <w:rPr>
          <w:snapToGrid w:val="0"/>
          <w:color w:val="auto"/>
          <w:kern w:val="0"/>
          <w:sz w:val="24"/>
        </w:rPr>
        <w:t>式中：</w:t>
      </w:r>
      <w:r>
        <w:rPr>
          <w:i/>
          <w:snapToGrid w:val="0"/>
          <w:color w:val="auto"/>
          <w:kern w:val="0"/>
          <w:sz w:val="24"/>
        </w:rPr>
        <w:t>HJ</w:t>
      </w:r>
      <w:r>
        <w:rPr>
          <w:snapToGrid w:val="0"/>
          <w:color w:val="auto"/>
          <w:kern w:val="0"/>
          <w:sz w:val="24"/>
        </w:rPr>
        <w:t>—环保费用投资比，100％；</w:t>
      </w:r>
    </w:p>
    <w:p w14:paraId="07C708A3">
      <w:pPr>
        <w:spacing w:line="360" w:lineRule="auto"/>
        <w:rPr>
          <w:snapToGrid w:val="0"/>
          <w:color w:val="auto"/>
          <w:kern w:val="0"/>
          <w:sz w:val="24"/>
        </w:rPr>
      </w:pPr>
      <w:r>
        <w:rPr>
          <w:snapToGrid w:val="0"/>
          <w:color w:val="auto"/>
          <w:kern w:val="0"/>
          <w:sz w:val="24"/>
        </w:rPr>
        <w:t xml:space="preserve">      </w:t>
      </w:r>
      <w:r>
        <w:rPr>
          <w:i/>
          <w:snapToGrid w:val="0"/>
          <w:color w:val="auto"/>
          <w:kern w:val="0"/>
          <w:sz w:val="24"/>
        </w:rPr>
        <w:t>HT</w:t>
      </w:r>
      <w:r>
        <w:rPr>
          <w:snapToGrid w:val="0"/>
          <w:color w:val="auto"/>
          <w:kern w:val="0"/>
          <w:sz w:val="24"/>
        </w:rPr>
        <w:t>—环保投资，万元；</w:t>
      </w:r>
    </w:p>
    <w:p w14:paraId="751344F6">
      <w:pPr>
        <w:spacing w:line="360" w:lineRule="auto"/>
        <w:rPr>
          <w:snapToGrid w:val="0"/>
          <w:color w:val="auto"/>
          <w:kern w:val="0"/>
          <w:sz w:val="24"/>
        </w:rPr>
      </w:pPr>
      <w:r>
        <w:rPr>
          <w:snapToGrid w:val="0"/>
          <w:color w:val="auto"/>
          <w:kern w:val="0"/>
          <w:sz w:val="24"/>
        </w:rPr>
        <w:t xml:space="preserve">      </w:t>
      </w:r>
      <w:r>
        <w:rPr>
          <w:i/>
          <w:snapToGrid w:val="0"/>
          <w:color w:val="auto"/>
          <w:kern w:val="0"/>
          <w:sz w:val="24"/>
        </w:rPr>
        <w:t>JI</w:t>
      </w:r>
      <w:r>
        <w:rPr>
          <w:snapToGrid w:val="0"/>
          <w:color w:val="auto"/>
          <w:kern w:val="0"/>
          <w:sz w:val="24"/>
        </w:rPr>
        <w:t>—项目总投资，万元。</w:t>
      </w:r>
    </w:p>
    <w:p w14:paraId="2A18A879">
      <w:pPr>
        <w:pStyle w:val="59"/>
        <w:ind w:firstLine="480"/>
        <w:rPr>
          <w:snapToGrid w:val="0"/>
          <w:color w:val="auto"/>
        </w:rPr>
      </w:pPr>
      <w:r>
        <w:rPr>
          <w:snapToGrid w:val="0"/>
          <w:color w:val="auto"/>
        </w:rPr>
        <w:t>根据工程分析和环境影响预测及评价结果，本项目产生的污水、废气、噪声固废等对周围环境将会产生一定的影响，因此，必须采取相应的环境保护措施加以控制，并保证相应环保投资的投入，以使项目建成后生产过程中产生的各类污染物对周围环境的影响降低到最小程度。根据初步估算，本项目的环保投资见表6-5-1。</w:t>
      </w:r>
    </w:p>
    <w:p w14:paraId="6A56535F">
      <w:pPr>
        <w:pStyle w:val="59"/>
        <w:ind w:firstLine="480"/>
        <w:rPr>
          <w:b/>
          <w:snapToGrid w:val="0"/>
          <w:color w:val="auto"/>
          <w:lang w:val="zh-CN"/>
        </w:rPr>
      </w:pPr>
      <w:bookmarkStart w:id="180" w:name="_Hlk480428871"/>
      <w:r>
        <w:rPr>
          <w:snapToGrid w:val="0"/>
          <w:color w:val="auto"/>
        </w:rPr>
        <w:t>本工程总投资为</w:t>
      </w:r>
      <w:r>
        <w:rPr>
          <w:rFonts w:hint="eastAsia"/>
          <w:snapToGrid w:val="0"/>
          <w:color w:val="auto"/>
          <w:lang w:val="en-US" w:eastAsia="zh-CN"/>
        </w:rPr>
        <w:t>766.81</w:t>
      </w:r>
      <w:r>
        <w:rPr>
          <w:rFonts w:hint="eastAsia"/>
          <w:snapToGrid w:val="0"/>
          <w:color w:val="auto"/>
          <w:lang w:eastAsia="zh-CN"/>
        </w:rPr>
        <w:t>万元</w:t>
      </w:r>
      <w:r>
        <w:rPr>
          <w:snapToGrid w:val="0"/>
          <w:color w:val="auto"/>
        </w:rPr>
        <w:t>，环保投资估算为</w:t>
      </w:r>
      <w:r>
        <w:rPr>
          <w:rFonts w:hint="eastAsia"/>
          <w:snapToGrid w:val="0"/>
          <w:color w:val="auto"/>
        </w:rPr>
        <w:t>1</w:t>
      </w:r>
      <w:r>
        <w:rPr>
          <w:snapToGrid w:val="0"/>
          <w:color w:val="auto"/>
        </w:rPr>
        <w:t>3</w:t>
      </w:r>
      <w:r>
        <w:rPr>
          <w:rFonts w:hint="eastAsia"/>
          <w:snapToGrid w:val="0"/>
          <w:color w:val="auto"/>
        </w:rPr>
        <w:t>7</w:t>
      </w:r>
      <w:r>
        <w:rPr>
          <w:snapToGrid w:val="0"/>
          <w:color w:val="auto"/>
        </w:rPr>
        <w:t>万元，占总投资的</w:t>
      </w:r>
      <w:r>
        <w:rPr>
          <w:rFonts w:hint="eastAsia"/>
          <w:snapToGrid w:val="0"/>
          <w:color w:val="auto"/>
          <w:lang w:val="en-US" w:eastAsia="zh-CN"/>
        </w:rPr>
        <w:t>17.86</w:t>
      </w:r>
      <w:r>
        <w:rPr>
          <w:snapToGrid w:val="0"/>
          <w:color w:val="auto"/>
        </w:rPr>
        <w:t>%。</w:t>
      </w:r>
    </w:p>
    <w:p w14:paraId="3364270A">
      <w:pPr>
        <w:pStyle w:val="76"/>
        <w:rPr>
          <w:snapToGrid w:val="0"/>
          <w:color w:val="auto"/>
          <w:lang w:val="zh-CN"/>
        </w:rPr>
      </w:pPr>
      <w:r>
        <w:rPr>
          <w:snapToGrid w:val="0"/>
          <w:color w:val="auto"/>
          <w:lang w:val="zh-CN"/>
        </w:rPr>
        <w:t>表6-5-1环保投资明细表</w:t>
      </w:r>
    </w:p>
    <w:tbl>
      <w:tblPr>
        <w:tblStyle w:val="45"/>
        <w:tblW w:w="861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87"/>
        <w:gridCol w:w="1610"/>
        <w:gridCol w:w="5374"/>
        <w:gridCol w:w="1242"/>
      </w:tblGrid>
      <w:tr w14:paraId="30410D2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gridSpan w:val="2"/>
            <w:shd w:val="clear" w:color="auto" w:fill="auto"/>
            <w:vAlign w:val="center"/>
          </w:tcPr>
          <w:p w14:paraId="0291DAD7">
            <w:pPr>
              <w:spacing w:line="0" w:lineRule="atLeast"/>
              <w:jc w:val="center"/>
              <w:rPr>
                <w:snapToGrid w:val="0"/>
                <w:color w:val="auto"/>
                <w:kern w:val="0"/>
                <w:lang w:val="zh-CN"/>
              </w:rPr>
            </w:pPr>
            <w:r>
              <w:rPr>
                <w:snapToGrid w:val="0"/>
                <w:color w:val="auto"/>
                <w:kern w:val="0"/>
                <w:lang w:val="zh-CN"/>
              </w:rPr>
              <w:t>项目</w:t>
            </w:r>
          </w:p>
        </w:tc>
        <w:tc>
          <w:tcPr>
            <w:tcW w:w="5374" w:type="dxa"/>
            <w:shd w:val="clear" w:color="auto" w:fill="auto"/>
            <w:vAlign w:val="center"/>
          </w:tcPr>
          <w:p w14:paraId="6A0ACC36">
            <w:pPr>
              <w:spacing w:line="0" w:lineRule="atLeast"/>
              <w:jc w:val="center"/>
              <w:rPr>
                <w:snapToGrid w:val="0"/>
                <w:color w:val="auto"/>
                <w:kern w:val="0"/>
                <w:lang w:val="zh-CN"/>
              </w:rPr>
            </w:pPr>
            <w:r>
              <w:rPr>
                <w:snapToGrid w:val="0"/>
                <w:color w:val="auto"/>
                <w:kern w:val="0"/>
                <w:lang w:val="zh-CN"/>
              </w:rPr>
              <w:t>治理设施内容</w:t>
            </w:r>
          </w:p>
        </w:tc>
        <w:tc>
          <w:tcPr>
            <w:tcW w:w="1242" w:type="dxa"/>
            <w:shd w:val="clear" w:color="auto" w:fill="auto"/>
            <w:vAlign w:val="center"/>
          </w:tcPr>
          <w:p w14:paraId="59B52F79">
            <w:pPr>
              <w:spacing w:line="0" w:lineRule="atLeast"/>
              <w:jc w:val="center"/>
              <w:rPr>
                <w:snapToGrid w:val="0"/>
                <w:color w:val="auto"/>
                <w:kern w:val="0"/>
                <w:lang w:val="zh-CN"/>
              </w:rPr>
            </w:pPr>
            <w:r>
              <w:rPr>
                <w:snapToGrid w:val="0"/>
                <w:color w:val="auto"/>
                <w:kern w:val="0"/>
                <w:lang w:val="zh-CN"/>
              </w:rPr>
              <w:t>金额（万元）</w:t>
            </w:r>
          </w:p>
        </w:tc>
      </w:tr>
      <w:tr w14:paraId="24CB16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gridSpan w:val="2"/>
            <w:vMerge w:val="restart"/>
            <w:shd w:val="clear" w:color="auto" w:fill="auto"/>
            <w:vAlign w:val="center"/>
          </w:tcPr>
          <w:p w14:paraId="7A2F88E9">
            <w:pPr>
              <w:spacing w:line="0" w:lineRule="atLeast"/>
              <w:jc w:val="center"/>
              <w:rPr>
                <w:snapToGrid w:val="0"/>
                <w:color w:val="auto"/>
                <w:kern w:val="0"/>
                <w:lang w:val="zh-CN"/>
              </w:rPr>
            </w:pPr>
            <w:r>
              <w:rPr>
                <w:snapToGrid w:val="0"/>
                <w:color w:val="auto"/>
                <w:kern w:val="0"/>
                <w:lang w:val="zh-CN"/>
              </w:rPr>
              <w:t>施工期</w:t>
            </w:r>
          </w:p>
        </w:tc>
        <w:tc>
          <w:tcPr>
            <w:tcW w:w="5374" w:type="dxa"/>
            <w:shd w:val="clear" w:color="auto" w:fill="auto"/>
            <w:vAlign w:val="center"/>
          </w:tcPr>
          <w:p w14:paraId="665FE8B0">
            <w:pPr>
              <w:spacing w:line="0" w:lineRule="atLeast"/>
              <w:jc w:val="center"/>
              <w:rPr>
                <w:snapToGrid w:val="0"/>
                <w:color w:val="auto"/>
                <w:kern w:val="0"/>
                <w:lang w:val="zh-CN"/>
              </w:rPr>
            </w:pPr>
            <w:r>
              <w:rPr>
                <w:snapToGrid w:val="0"/>
                <w:color w:val="auto"/>
                <w:kern w:val="0"/>
                <w:lang w:val="zh-CN"/>
              </w:rPr>
              <w:t>施工期设备减振措施</w:t>
            </w:r>
          </w:p>
        </w:tc>
        <w:tc>
          <w:tcPr>
            <w:tcW w:w="1242" w:type="dxa"/>
            <w:shd w:val="clear" w:color="auto" w:fill="auto"/>
            <w:vAlign w:val="center"/>
          </w:tcPr>
          <w:p w14:paraId="2505AC8A">
            <w:pPr>
              <w:spacing w:line="0" w:lineRule="atLeast"/>
              <w:jc w:val="center"/>
              <w:rPr>
                <w:snapToGrid w:val="0"/>
                <w:color w:val="auto"/>
                <w:kern w:val="0"/>
                <w:lang w:val="zh-CN"/>
              </w:rPr>
            </w:pPr>
            <w:r>
              <w:rPr>
                <w:rFonts w:hint="eastAsia"/>
                <w:snapToGrid w:val="0"/>
                <w:color w:val="auto"/>
                <w:kern w:val="0"/>
                <w:lang w:val="zh-CN"/>
              </w:rPr>
              <w:t>0.2</w:t>
            </w:r>
          </w:p>
        </w:tc>
      </w:tr>
      <w:tr w14:paraId="0413A9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gridSpan w:val="2"/>
            <w:vMerge w:val="continue"/>
            <w:shd w:val="clear" w:color="auto" w:fill="auto"/>
            <w:vAlign w:val="center"/>
          </w:tcPr>
          <w:p w14:paraId="7733D7D6">
            <w:pPr>
              <w:spacing w:line="0" w:lineRule="atLeast"/>
              <w:jc w:val="center"/>
              <w:rPr>
                <w:snapToGrid w:val="0"/>
                <w:color w:val="auto"/>
                <w:kern w:val="0"/>
                <w:lang w:val="zh-CN"/>
              </w:rPr>
            </w:pPr>
          </w:p>
        </w:tc>
        <w:tc>
          <w:tcPr>
            <w:tcW w:w="5374" w:type="dxa"/>
            <w:shd w:val="clear" w:color="auto" w:fill="auto"/>
            <w:vAlign w:val="center"/>
          </w:tcPr>
          <w:p w14:paraId="1389FF7C">
            <w:pPr>
              <w:spacing w:line="0" w:lineRule="atLeast"/>
              <w:jc w:val="center"/>
              <w:rPr>
                <w:b/>
                <w:snapToGrid w:val="0"/>
                <w:color w:val="auto"/>
                <w:kern w:val="0"/>
                <w:lang w:val="zh-CN"/>
              </w:rPr>
            </w:pPr>
            <w:r>
              <w:rPr>
                <w:snapToGrid w:val="0"/>
                <w:color w:val="auto"/>
                <w:kern w:val="0"/>
              </w:rPr>
              <w:t>施工场地洒水降尘、物料堆存采用</w:t>
            </w:r>
            <w:r>
              <w:rPr>
                <w:rFonts w:hint="eastAsia"/>
                <w:snapToGrid w:val="0"/>
                <w:color w:val="auto"/>
                <w:kern w:val="0"/>
              </w:rPr>
              <w:t>苫布苫盖</w:t>
            </w:r>
          </w:p>
        </w:tc>
        <w:tc>
          <w:tcPr>
            <w:tcW w:w="1242" w:type="dxa"/>
            <w:shd w:val="clear" w:color="auto" w:fill="auto"/>
            <w:vAlign w:val="center"/>
          </w:tcPr>
          <w:p w14:paraId="3B0EF813">
            <w:pPr>
              <w:spacing w:line="0" w:lineRule="atLeast"/>
              <w:jc w:val="center"/>
              <w:rPr>
                <w:snapToGrid w:val="0"/>
                <w:color w:val="auto"/>
                <w:kern w:val="0"/>
                <w:lang w:val="zh-CN"/>
              </w:rPr>
            </w:pPr>
            <w:r>
              <w:rPr>
                <w:rFonts w:hint="eastAsia"/>
                <w:snapToGrid w:val="0"/>
                <w:color w:val="auto"/>
                <w:kern w:val="0"/>
                <w:lang w:val="zh-CN"/>
              </w:rPr>
              <w:t>0.5</w:t>
            </w:r>
          </w:p>
        </w:tc>
      </w:tr>
      <w:tr w14:paraId="3EF361B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gridSpan w:val="2"/>
            <w:vMerge w:val="continue"/>
            <w:shd w:val="clear" w:color="auto" w:fill="auto"/>
            <w:vAlign w:val="center"/>
          </w:tcPr>
          <w:p w14:paraId="72EDD68B">
            <w:pPr>
              <w:spacing w:line="0" w:lineRule="atLeast"/>
              <w:jc w:val="center"/>
              <w:rPr>
                <w:snapToGrid w:val="0"/>
                <w:color w:val="auto"/>
                <w:kern w:val="0"/>
                <w:lang w:val="zh-CN"/>
              </w:rPr>
            </w:pPr>
          </w:p>
        </w:tc>
        <w:tc>
          <w:tcPr>
            <w:tcW w:w="5374" w:type="dxa"/>
            <w:shd w:val="clear" w:color="auto" w:fill="auto"/>
            <w:vAlign w:val="center"/>
          </w:tcPr>
          <w:p w14:paraId="3E60AD93">
            <w:pPr>
              <w:spacing w:line="0" w:lineRule="atLeast"/>
              <w:jc w:val="center"/>
              <w:rPr>
                <w:snapToGrid w:val="0"/>
                <w:color w:val="auto"/>
                <w:kern w:val="0"/>
                <w:lang w:val="zh-CN"/>
              </w:rPr>
            </w:pPr>
            <w:r>
              <w:rPr>
                <w:snapToGrid w:val="0"/>
                <w:color w:val="auto"/>
                <w:kern w:val="0"/>
              </w:rPr>
              <w:t>表土场密目网苫盖</w:t>
            </w:r>
          </w:p>
        </w:tc>
        <w:tc>
          <w:tcPr>
            <w:tcW w:w="1242" w:type="dxa"/>
            <w:shd w:val="clear" w:color="auto" w:fill="auto"/>
            <w:vAlign w:val="center"/>
          </w:tcPr>
          <w:p w14:paraId="71A9B289">
            <w:pPr>
              <w:spacing w:line="0" w:lineRule="atLeast"/>
              <w:jc w:val="center"/>
              <w:rPr>
                <w:snapToGrid w:val="0"/>
                <w:color w:val="auto"/>
                <w:kern w:val="0"/>
              </w:rPr>
            </w:pPr>
            <w:r>
              <w:rPr>
                <w:rFonts w:hint="eastAsia"/>
                <w:snapToGrid w:val="0"/>
                <w:color w:val="auto"/>
                <w:kern w:val="0"/>
                <w:lang w:val="zh-CN"/>
              </w:rPr>
              <w:t>0.</w:t>
            </w:r>
            <w:r>
              <w:rPr>
                <w:rFonts w:hint="eastAsia"/>
                <w:snapToGrid w:val="0"/>
                <w:color w:val="auto"/>
                <w:kern w:val="0"/>
              </w:rPr>
              <w:t>7</w:t>
            </w:r>
          </w:p>
        </w:tc>
      </w:tr>
      <w:tr w14:paraId="1B542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gridSpan w:val="2"/>
            <w:vMerge w:val="continue"/>
            <w:shd w:val="clear" w:color="auto" w:fill="auto"/>
            <w:vAlign w:val="center"/>
          </w:tcPr>
          <w:p w14:paraId="6E7A82BD">
            <w:pPr>
              <w:spacing w:line="0" w:lineRule="atLeast"/>
              <w:jc w:val="center"/>
              <w:rPr>
                <w:snapToGrid w:val="0"/>
                <w:color w:val="auto"/>
                <w:kern w:val="0"/>
                <w:lang w:val="zh-CN"/>
              </w:rPr>
            </w:pPr>
          </w:p>
        </w:tc>
        <w:tc>
          <w:tcPr>
            <w:tcW w:w="5374" w:type="dxa"/>
            <w:shd w:val="clear" w:color="auto" w:fill="auto"/>
            <w:vAlign w:val="center"/>
          </w:tcPr>
          <w:p w14:paraId="1D930F13">
            <w:pPr>
              <w:spacing w:line="0" w:lineRule="atLeast"/>
              <w:jc w:val="center"/>
              <w:rPr>
                <w:snapToGrid w:val="0"/>
                <w:color w:val="auto"/>
                <w:kern w:val="0"/>
                <w:lang w:val="zh-CN"/>
              </w:rPr>
            </w:pPr>
            <w:r>
              <w:rPr>
                <w:rFonts w:hAnsi="宋体"/>
                <w:color w:val="auto"/>
                <w:szCs w:val="21"/>
              </w:rPr>
              <w:t>固废运输</w:t>
            </w:r>
          </w:p>
        </w:tc>
        <w:tc>
          <w:tcPr>
            <w:tcW w:w="1242" w:type="dxa"/>
            <w:shd w:val="clear" w:color="auto" w:fill="auto"/>
            <w:vAlign w:val="center"/>
          </w:tcPr>
          <w:p w14:paraId="1C29C23E">
            <w:pPr>
              <w:spacing w:line="0" w:lineRule="atLeast"/>
              <w:jc w:val="center"/>
              <w:rPr>
                <w:snapToGrid w:val="0"/>
                <w:color w:val="auto"/>
                <w:kern w:val="0"/>
                <w:lang w:val="zh-CN"/>
              </w:rPr>
            </w:pPr>
            <w:r>
              <w:rPr>
                <w:rFonts w:hint="eastAsia"/>
                <w:snapToGrid w:val="0"/>
                <w:color w:val="auto"/>
                <w:kern w:val="0"/>
                <w:lang w:val="zh-CN"/>
              </w:rPr>
              <w:t>1.5</w:t>
            </w:r>
          </w:p>
        </w:tc>
      </w:tr>
      <w:tr w14:paraId="720EF3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restart"/>
            <w:shd w:val="clear" w:color="auto" w:fill="auto"/>
            <w:vAlign w:val="center"/>
          </w:tcPr>
          <w:p w14:paraId="02F235AC">
            <w:pPr>
              <w:spacing w:line="0" w:lineRule="atLeast"/>
              <w:jc w:val="center"/>
              <w:rPr>
                <w:snapToGrid w:val="0"/>
                <w:color w:val="auto"/>
                <w:kern w:val="0"/>
                <w:lang w:val="zh-CN"/>
              </w:rPr>
            </w:pPr>
            <w:r>
              <w:rPr>
                <w:rFonts w:hint="eastAsia"/>
                <w:snapToGrid w:val="0"/>
                <w:color w:val="auto"/>
                <w:kern w:val="0"/>
                <w:lang w:val="zh-CN"/>
              </w:rPr>
              <w:t>回填复垦</w:t>
            </w:r>
            <w:r>
              <w:rPr>
                <w:snapToGrid w:val="0"/>
                <w:color w:val="auto"/>
                <w:kern w:val="0"/>
                <w:lang w:val="zh-CN"/>
              </w:rPr>
              <w:t>期</w:t>
            </w:r>
          </w:p>
        </w:tc>
        <w:tc>
          <w:tcPr>
            <w:tcW w:w="1610" w:type="dxa"/>
            <w:vMerge w:val="restart"/>
            <w:shd w:val="clear" w:color="auto" w:fill="auto"/>
            <w:vAlign w:val="center"/>
          </w:tcPr>
          <w:p w14:paraId="44D71360">
            <w:pPr>
              <w:spacing w:line="0" w:lineRule="atLeast"/>
              <w:jc w:val="center"/>
              <w:rPr>
                <w:snapToGrid w:val="0"/>
                <w:color w:val="auto"/>
                <w:kern w:val="0"/>
                <w:lang w:val="zh-CN"/>
              </w:rPr>
            </w:pPr>
            <w:r>
              <w:rPr>
                <w:snapToGrid w:val="0"/>
                <w:color w:val="auto"/>
                <w:kern w:val="0"/>
                <w:lang w:val="zh-CN"/>
              </w:rPr>
              <w:t>废水治理</w:t>
            </w:r>
          </w:p>
        </w:tc>
        <w:tc>
          <w:tcPr>
            <w:tcW w:w="5374" w:type="dxa"/>
            <w:shd w:val="clear" w:color="auto" w:fill="auto"/>
            <w:vAlign w:val="center"/>
          </w:tcPr>
          <w:p w14:paraId="1A769BFC">
            <w:pPr>
              <w:spacing w:line="0" w:lineRule="atLeast"/>
              <w:jc w:val="center"/>
              <w:rPr>
                <w:snapToGrid w:val="0"/>
                <w:color w:val="auto"/>
                <w:kern w:val="0"/>
                <w:lang w:val="zh-CN"/>
              </w:rPr>
            </w:pPr>
            <w:r>
              <w:rPr>
                <w:rFonts w:hint="eastAsia"/>
                <w:snapToGrid w:val="0"/>
                <w:color w:val="auto"/>
                <w:kern w:val="0"/>
                <w:lang w:val="zh-CN"/>
              </w:rPr>
              <w:t>淋溶水</w:t>
            </w:r>
            <w:r>
              <w:rPr>
                <w:snapToGrid w:val="0"/>
                <w:color w:val="auto"/>
                <w:kern w:val="0"/>
                <w:lang w:val="zh-CN"/>
              </w:rPr>
              <w:t>暂存池、</w:t>
            </w:r>
            <w:r>
              <w:rPr>
                <w:rFonts w:hint="eastAsia"/>
                <w:snapToGrid w:val="0"/>
                <w:color w:val="auto"/>
                <w:kern w:val="0"/>
                <w:lang w:val="zh-CN"/>
              </w:rPr>
              <w:t>淋溶水</w:t>
            </w:r>
            <w:r>
              <w:rPr>
                <w:snapToGrid w:val="0"/>
                <w:color w:val="auto"/>
                <w:kern w:val="0"/>
                <w:lang w:val="zh-CN"/>
              </w:rPr>
              <w:t>输送管道</w:t>
            </w:r>
          </w:p>
        </w:tc>
        <w:tc>
          <w:tcPr>
            <w:tcW w:w="1242" w:type="dxa"/>
            <w:shd w:val="clear" w:color="auto" w:fill="auto"/>
            <w:vAlign w:val="center"/>
          </w:tcPr>
          <w:p w14:paraId="29435126">
            <w:pPr>
              <w:spacing w:line="0" w:lineRule="atLeast"/>
              <w:jc w:val="center"/>
              <w:rPr>
                <w:snapToGrid w:val="0"/>
                <w:color w:val="auto"/>
                <w:kern w:val="0"/>
                <w:lang w:val="zh-CN"/>
              </w:rPr>
            </w:pPr>
            <w:r>
              <w:rPr>
                <w:rFonts w:hint="eastAsia"/>
                <w:snapToGrid w:val="0"/>
                <w:color w:val="auto"/>
                <w:kern w:val="0"/>
                <w:lang w:val="zh-CN"/>
              </w:rPr>
              <w:t>1</w:t>
            </w:r>
            <w:r>
              <w:rPr>
                <w:rFonts w:hint="eastAsia"/>
                <w:snapToGrid w:val="0"/>
                <w:color w:val="auto"/>
                <w:kern w:val="0"/>
              </w:rPr>
              <w:t>0</w:t>
            </w:r>
            <w:r>
              <w:rPr>
                <w:rFonts w:hint="eastAsia"/>
                <w:snapToGrid w:val="0"/>
                <w:color w:val="auto"/>
                <w:kern w:val="0"/>
                <w:lang w:val="zh-CN"/>
              </w:rPr>
              <w:t>.0</w:t>
            </w:r>
          </w:p>
        </w:tc>
      </w:tr>
      <w:tr w14:paraId="54595E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56ADAEA4">
            <w:pPr>
              <w:spacing w:line="0" w:lineRule="atLeast"/>
              <w:jc w:val="center"/>
              <w:rPr>
                <w:snapToGrid w:val="0"/>
                <w:color w:val="auto"/>
                <w:kern w:val="0"/>
                <w:lang w:val="zh-CN"/>
              </w:rPr>
            </w:pPr>
          </w:p>
        </w:tc>
        <w:tc>
          <w:tcPr>
            <w:tcW w:w="1610" w:type="dxa"/>
            <w:vMerge w:val="continue"/>
            <w:shd w:val="clear" w:color="auto" w:fill="auto"/>
            <w:vAlign w:val="center"/>
          </w:tcPr>
          <w:p w14:paraId="2F6D331A">
            <w:pPr>
              <w:spacing w:line="0" w:lineRule="atLeast"/>
              <w:jc w:val="center"/>
              <w:rPr>
                <w:snapToGrid w:val="0"/>
                <w:color w:val="auto"/>
                <w:kern w:val="0"/>
                <w:lang w:val="zh-CN"/>
              </w:rPr>
            </w:pPr>
          </w:p>
        </w:tc>
        <w:tc>
          <w:tcPr>
            <w:tcW w:w="5374" w:type="dxa"/>
            <w:shd w:val="clear" w:color="auto" w:fill="auto"/>
            <w:vAlign w:val="center"/>
          </w:tcPr>
          <w:p w14:paraId="64CD592C">
            <w:pPr>
              <w:spacing w:line="0" w:lineRule="atLeast"/>
              <w:jc w:val="center"/>
              <w:rPr>
                <w:snapToGrid w:val="0"/>
                <w:color w:val="auto"/>
                <w:kern w:val="0"/>
                <w:lang w:val="zh-CN"/>
              </w:rPr>
            </w:pPr>
            <w:r>
              <w:rPr>
                <w:rFonts w:hint="eastAsia"/>
                <w:snapToGrid w:val="0"/>
                <w:color w:val="auto"/>
                <w:kern w:val="0"/>
                <w:lang w:val="zh-CN"/>
              </w:rPr>
              <w:t>排水沟</w:t>
            </w:r>
          </w:p>
        </w:tc>
        <w:tc>
          <w:tcPr>
            <w:tcW w:w="1242" w:type="dxa"/>
            <w:shd w:val="clear" w:color="auto" w:fill="auto"/>
            <w:vAlign w:val="center"/>
          </w:tcPr>
          <w:p w14:paraId="2234BE09">
            <w:pPr>
              <w:spacing w:line="0" w:lineRule="atLeast"/>
              <w:jc w:val="center"/>
              <w:rPr>
                <w:snapToGrid w:val="0"/>
                <w:color w:val="auto"/>
                <w:kern w:val="0"/>
                <w:lang w:val="zh-CN"/>
              </w:rPr>
            </w:pPr>
            <w:r>
              <w:rPr>
                <w:snapToGrid w:val="0"/>
                <w:color w:val="auto"/>
                <w:kern w:val="0"/>
                <w:lang w:val="zh-CN"/>
              </w:rPr>
              <w:t>2.0</w:t>
            </w:r>
          </w:p>
        </w:tc>
      </w:tr>
      <w:tr w14:paraId="273855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07528F84">
            <w:pPr>
              <w:spacing w:line="0" w:lineRule="atLeast"/>
              <w:jc w:val="center"/>
              <w:rPr>
                <w:snapToGrid w:val="0"/>
                <w:color w:val="auto"/>
                <w:kern w:val="0"/>
                <w:lang w:val="zh-CN"/>
              </w:rPr>
            </w:pPr>
          </w:p>
        </w:tc>
        <w:tc>
          <w:tcPr>
            <w:tcW w:w="1610" w:type="dxa"/>
            <w:shd w:val="clear" w:color="auto" w:fill="auto"/>
            <w:vAlign w:val="center"/>
          </w:tcPr>
          <w:p w14:paraId="4ED43255">
            <w:pPr>
              <w:spacing w:line="0" w:lineRule="atLeast"/>
              <w:jc w:val="center"/>
              <w:rPr>
                <w:snapToGrid w:val="0"/>
                <w:color w:val="auto"/>
                <w:kern w:val="0"/>
                <w:lang w:val="zh-CN"/>
              </w:rPr>
            </w:pPr>
            <w:r>
              <w:rPr>
                <w:snapToGrid w:val="0"/>
                <w:color w:val="auto"/>
                <w:kern w:val="0"/>
                <w:lang w:val="zh-CN"/>
              </w:rPr>
              <w:t>废气治理</w:t>
            </w:r>
          </w:p>
        </w:tc>
        <w:tc>
          <w:tcPr>
            <w:tcW w:w="5374" w:type="dxa"/>
            <w:shd w:val="clear" w:color="auto" w:fill="auto"/>
            <w:vAlign w:val="center"/>
          </w:tcPr>
          <w:p w14:paraId="7A1FE7A5">
            <w:pPr>
              <w:spacing w:line="0" w:lineRule="atLeast"/>
              <w:jc w:val="center"/>
              <w:rPr>
                <w:snapToGrid w:val="0"/>
                <w:color w:val="auto"/>
                <w:kern w:val="0"/>
                <w:lang w:val="zh-CN"/>
              </w:rPr>
            </w:pPr>
            <w:r>
              <w:rPr>
                <w:rFonts w:hint="eastAsia"/>
                <w:bCs/>
                <w:color w:val="auto"/>
              </w:rPr>
              <w:t>及时覆盖</w:t>
            </w:r>
            <w:r>
              <w:rPr>
                <w:snapToGrid w:val="0"/>
                <w:color w:val="auto"/>
                <w:kern w:val="0"/>
                <w:lang w:val="zh-CN"/>
              </w:rPr>
              <w:t>、</w:t>
            </w:r>
            <w:r>
              <w:rPr>
                <w:rFonts w:hint="eastAsia"/>
                <w:snapToGrid w:val="0"/>
                <w:color w:val="auto"/>
                <w:kern w:val="0"/>
                <w:lang w:val="zh-CN"/>
              </w:rPr>
              <w:t>封闭</w:t>
            </w:r>
            <w:r>
              <w:rPr>
                <w:snapToGrid w:val="0"/>
                <w:color w:val="auto"/>
                <w:kern w:val="0"/>
                <w:lang w:val="zh-CN"/>
              </w:rPr>
              <w:t>运输车、洒水车、</w:t>
            </w:r>
            <w:r>
              <w:rPr>
                <w:rFonts w:hint="eastAsia"/>
                <w:snapToGrid w:val="0"/>
                <w:color w:val="auto"/>
                <w:kern w:val="0"/>
                <w:lang w:val="zh-CN"/>
              </w:rPr>
              <w:t>作业区</w:t>
            </w:r>
            <w:r>
              <w:rPr>
                <w:snapToGrid w:val="0"/>
                <w:color w:val="auto"/>
                <w:kern w:val="0"/>
                <w:lang w:val="zh-CN"/>
              </w:rPr>
              <w:t>四周设置围挡</w:t>
            </w:r>
          </w:p>
        </w:tc>
        <w:tc>
          <w:tcPr>
            <w:tcW w:w="1242" w:type="dxa"/>
            <w:shd w:val="clear" w:color="auto" w:fill="auto"/>
            <w:vAlign w:val="center"/>
          </w:tcPr>
          <w:p w14:paraId="103C3D74">
            <w:pPr>
              <w:spacing w:line="0" w:lineRule="atLeast"/>
              <w:jc w:val="center"/>
              <w:rPr>
                <w:snapToGrid w:val="0"/>
                <w:color w:val="auto"/>
                <w:kern w:val="0"/>
                <w:lang w:val="zh-CN"/>
              </w:rPr>
            </w:pPr>
            <w:r>
              <w:rPr>
                <w:rFonts w:hint="eastAsia"/>
                <w:snapToGrid w:val="0"/>
                <w:color w:val="auto"/>
                <w:kern w:val="0"/>
              </w:rPr>
              <w:t>20</w:t>
            </w:r>
            <w:r>
              <w:rPr>
                <w:rFonts w:hint="eastAsia"/>
                <w:snapToGrid w:val="0"/>
                <w:color w:val="auto"/>
                <w:kern w:val="0"/>
                <w:lang w:val="zh-CN"/>
              </w:rPr>
              <w:t>.0</w:t>
            </w:r>
          </w:p>
        </w:tc>
      </w:tr>
      <w:tr w14:paraId="65CC98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1" w:hRule="atLeast"/>
          <w:jc w:val="center"/>
        </w:trPr>
        <w:tc>
          <w:tcPr>
            <w:tcW w:w="387" w:type="dxa"/>
            <w:vMerge w:val="continue"/>
            <w:shd w:val="clear" w:color="auto" w:fill="auto"/>
            <w:vAlign w:val="center"/>
          </w:tcPr>
          <w:p w14:paraId="2A87F537">
            <w:pPr>
              <w:spacing w:line="0" w:lineRule="atLeast"/>
              <w:jc w:val="center"/>
              <w:rPr>
                <w:snapToGrid w:val="0"/>
                <w:color w:val="auto"/>
                <w:kern w:val="0"/>
                <w:lang w:val="zh-CN"/>
              </w:rPr>
            </w:pPr>
          </w:p>
        </w:tc>
        <w:tc>
          <w:tcPr>
            <w:tcW w:w="1610" w:type="dxa"/>
            <w:shd w:val="clear" w:color="auto" w:fill="auto"/>
            <w:vAlign w:val="center"/>
          </w:tcPr>
          <w:p w14:paraId="3403376D">
            <w:pPr>
              <w:spacing w:line="0" w:lineRule="atLeast"/>
              <w:jc w:val="center"/>
              <w:rPr>
                <w:snapToGrid w:val="0"/>
                <w:color w:val="auto"/>
                <w:kern w:val="0"/>
                <w:lang w:val="zh-CN"/>
              </w:rPr>
            </w:pPr>
            <w:r>
              <w:rPr>
                <w:snapToGrid w:val="0"/>
                <w:color w:val="auto"/>
                <w:kern w:val="0"/>
                <w:lang w:val="zh-CN"/>
              </w:rPr>
              <w:t>防渗工程</w:t>
            </w:r>
          </w:p>
        </w:tc>
        <w:tc>
          <w:tcPr>
            <w:tcW w:w="5374" w:type="dxa"/>
            <w:shd w:val="clear" w:color="auto" w:fill="auto"/>
            <w:vAlign w:val="center"/>
          </w:tcPr>
          <w:p w14:paraId="3EAC56D8">
            <w:pPr>
              <w:pStyle w:val="84"/>
              <w:spacing w:line="0" w:lineRule="atLeast"/>
              <w:rPr>
                <w:snapToGrid w:val="0"/>
                <w:color w:val="auto"/>
                <w:szCs w:val="22"/>
              </w:rPr>
            </w:pPr>
            <w:r>
              <w:rPr>
                <w:rFonts w:hint="eastAsia"/>
                <w:snapToGrid w:val="0"/>
                <w:color w:val="auto"/>
                <w:kern w:val="0"/>
                <w:lang w:val="zh-CN"/>
              </w:rPr>
              <w:t>淋溶水</w:t>
            </w:r>
            <w:r>
              <w:rPr>
                <w:snapToGrid w:val="0"/>
                <w:color w:val="auto"/>
                <w:kern w:val="0"/>
                <w:lang w:val="zh-CN"/>
              </w:rPr>
              <w:t>暂存池</w:t>
            </w:r>
            <w:r>
              <w:rPr>
                <w:snapToGrid w:val="0"/>
                <w:color w:val="auto"/>
                <w:szCs w:val="22"/>
              </w:rPr>
              <w:t>、</w:t>
            </w:r>
            <w:r>
              <w:rPr>
                <w:rFonts w:hint="eastAsia"/>
                <w:snapToGrid w:val="0"/>
                <w:color w:val="auto"/>
                <w:szCs w:val="22"/>
              </w:rPr>
              <w:t>场</w:t>
            </w:r>
            <w:r>
              <w:rPr>
                <w:snapToGrid w:val="0"/>
                <w:color w:val="auto"/>
                <w:szCs w:val="22"/>
              </w:rPr>
              <w:t xml:space="preserve">底防渗 </w:t>
            </w:r>
          </w:p>
        </w:tc>
        <w:tc>
          <w:tcPr>
            <w:tcW w:w="1242" w:type="dxa"/>
            <w:shd w:val="clear" w:color="auto" w:fill="auto"/>
            <w:vAlign w:val="center"/>
          </w:tcPr>
          <w:p w14:paraId="32AC88D5">
            <w:pPr>
              <w:spacing w:line="0" w:lineRule="atLeast"/>
              <w:jc w:val="center"/>
              <w:rPr>
                <w:snapToGrid w:val="0"/>
                <w:color w:val="auto"/>
                <w:kern w:val="0"/>
                <w:lang w:val="zh-CN"/>
              </w:rPr>
            </w:pPr>
            <w:r>
              <w:rPr>
                <w:snapToGrid w:val="0"/>
                <w:color w:val="auto"/>
                <w:kern w:val="0"/>
              </w:rPr>
              <w:t>5</w:t>
            </w:r>
            <w:r>
              <w:rPr>
                <w:rFonts w:hint="eastAsia"/>
                <w:snapToGrid w:val="0"/>
                <w:color w:val="auto"/>
                <w:kern w:val="0"/>
              </w:rPr>
              <w:t>0</w:t>
            </w:r>
            <w:r>
              <w:rPr>
                <w:snapToGrid w:val="0"/>
                <w:color w:val="auto"/>
                <w:kern w:val="0"/>
                <w:lang w:val="zh-CN"/>
              </w:rPr>
              <w:t>.0</w:t>
            </w:r>
          </w:p>
        </w:tc>
      </w:tr>
      <w:tr w14:paraId="779952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3A797EB1">
            <w:pPr>
              <w:spacing w:line="0" w:lineRule="atLeast"/>
              <w:jc w:val="center"/>
              <w:rPr>
                <w:snapToGrid w:val="0"/>
                <w:color w:val="auto"/>
                <w:kern w:val="0"/>
                <w:lang w:val="zh-CN"/>
              </w:rPr>
            </w:pPr>
          </w:p>
        </w:tc>
        <w:tc>
          <w:tcPr>
            <w:tcW w:w="1610" w:type="dxa"/>
            <w:shd w:val="clear" w:color="auto" w:fill="auto"/>
            <w:vAlign w:val="center"/>
          </w:tcPr>
          <w:p w14:paraId="4413BE31">
            <w:pPr>
              <w:spacing w:line="0" w:lineRule="atLeast"/>
              <w:jc w:val="center"/>
              <w:rPr>
                <w:snapToGrid w:val="0"/>
                <w:color w:val="auto"/>
                <w:kern w:val="0"/>
                <w:lang w:val="zh-CN"/>
              </w:rPr>
            </w:pPr>
            <w:r>
              <w:rPr>
                <w:snapToGrid w:val="0"/>
                <w:color w:val="auto"/>
                <w:kern w:val="0"/>
                <w:lang w:val="zh-CN"/>
              </w:rPr>
              <w:t>固废治理</w:t>
            </w:r>
          </w:p>
        </w:tc>
        <w:tc>
          <w:tcPr>
            <w:tcW w:w="5374" w:type="dxa"/>
            <w:shd w:val="clear" w:color="auto" w:fill="auto"/>
            <w:vAlign w:val="center"/>
          </w:tcPr>
          <w:p w14:paraId="4CEB7A29">
            <w:pPr>
              <w:spacing w:line="0" w:lineRule="atLeast"/>
              <w:jc w:val="center"/>
              <w:rPr>
                <w:snapToGrid w:val="0"/>
                <w:color w:val="auto"/>
                <w:kern w:val="0"/>
                <w:lang w:val="zh-CN"/>
              </w:rPr>
            </w:pPr>
            <w:r>
              <w:rPr>
                <w:rFonts w:hAnsi="宋体"/>
                <w:color w:val="auto"/>
                <w:szCs w:val="21"/>
              </w:rPr>
              <w:t>固废运输</w:t>
            </w:r>
          </w:p>
        </w:tc>
        <w:tc>
          <w:tcPr>
            <w:tcW w:w="1242" w:type="dxa"/>
            <w:shd w:val="clear" w:color="auto" w:fill="auto"/>
            <w:vAlign w:val="center"/>
          </w:tcPr>
          <w:p w14:paraId="5F67DAD7">
            <w:pPr>
              <w:spacing w:line="0" w:lineRule="atLeast"/>
              <w:jc w:val="center"/>
              <w:rPr>
                <w:snapToGrid w:val="0"/>
                <w:color w:val="auto"/>
                <w:kern w:val="0"/>
                <w:lang w:val="zh-CN"/>
              </w:rPr>
            </w:pPr>
            <w:r>
              <w:rPr>
                <w:rFonts w:hint="eastAsia"/>
                <w:snapToGrid w:val="0"/>
                <w:color w:val="auto"/>
                <w:kern w:val="0"/>
                <w:lang w:val="zh-CN"/>
              </w:rPr>
              <w:t>0.1</w:t>
            </w:r>
          </w:p>
        </w:tc>
      </w:tr>
      <w:tr w14:paraId="681845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7F89960E">
            <w:pPr>
              <w:spacing w:line="0" w:lineRule="atLeast"/>
              <w:jc w:val="center"/>
              <w:rPr>
                <w:snapToGrid w:val="0"/>
                <w:color w:val="auto"/>
                <w:kern w:val="0"/>
                <w:lang w:val="zh-CN"/>
              </w:rPr>
            </w:pPr>
          </w:p>
        </w:tc>
        <w:tc>
          <w:tcPr>
            <w:tcW w:w="1610" w:type="dxa"/>
            <w:shd w:val="clear" w:color="auto" w:fill="auto"/>
            <w:vAlign w:val="center"/>
          </w:tcPr>
          <w:p w14:paraId="33CF7CE7">
            <w:pPr>
              <w:spacing w:line="0" w:lineRule="atLeast"/>
              <w:jc w:val="center"/>
              <w:rPr>
                <w:snapToGrid w:val="0"/>
                <w:color w:val="auto"/>
                <w:kern w:val="0"/>
                <w:lang w:val="zh-CN"/>
              </w:rPr>
            </w:pPr>
            <w:r>
              <w:rPr>
                <w:snapToGrid w:val="0"/>
                <w:color w:val="auto"/>
                <w:kern w:val="0"/>
                <w:lang w:val="zh-CN"/>
              </w:rPr>
              <w:t>噪声治理</w:t>
            </w:r>
          </w:p>
        </w:tc>
        <w:tc>
          <w:tcPr>
            <w:tcW w:w="5374" w:type="dxa"/>
            <w:shd w:val="clear" w:color="auto" w:fill="auto"/>
            <w:vAlign w:val="center"/>
          </w:tcPr>
          <w:p w14:paraId="7537DC84">
            <w:pPr>
              <w:spacing w:line="0" w:lineRule="atLeast"/>
              <w:jc w:val="center"/>
              <w:rPr>
                <w:snapToGrid w:val="0"/>
                <w:color w:val="auto"/>
                <w:kern w:val="0"/>
                <w:lang w:val="zh-CN"/>
              </w:rPr>
            </w:pPr>
            <w:r>
              <w:rPr>
                <w:snapToGrid w:val="0"/>
                <w:color w:val="auto"/>
                <w:kern w:val="0"/>
                <w:lang w:val="zh-CN"/>
              </w:rPr>
              <w:t>选用低噪声设备，采取隔声减振措施</w:t>
            </w:r>
            <w:r>
              <w:rPr>
                <w:rFonts w:hint="eastAsia"/>
                <w:snapToGrid w:val="0"/>
                <w:color w:val="auto"/>
                <w:kern w:val="0"/>
                <w:lang w:val="zh-CN"/>
              </w:rPr>
              <w:t>，作业区设置围挡</w:t>
            </w:r>
          </w:p>
        </w:tc>
        <w:tc>
          <w:tcPr>
            <w:tcW w:w="1242" w:type="dxa"/>
            <w:shd w:val="clear" w:color="auto" w:fill="auto"/>
            <w:vAlign w:val="center"/>
          </w:tcPr>
          <w:p w14:paraId="5CF4A356">
            <w:pPr>
              <w:spacing w:line="0" w:lineRule="atLeast"/>
              <w:jc w:val="center"/>
              <w:rPr>
                <w:snapToGrid w:val="0"/>
                <w:color w:val="auto"/>
                <w:kern w:val="0"/>
                <w:lang w:val="zh-CN"/>
              </w:rPr>
            </w:pPr>
            <w:r>
              <w:rPr>
                <w:snapToGrid w:val="0"/>
                <w:color w:val="auto"/>
                <w:kern w:val="0"/>
                <w:lang w:val="zh-CN"/>
              </w:rPr>
              <w:t>1.0</w:t>
            </w:r>
          </w:p>
        </w:tc>
      </w:tr>
      <w:tr w14:paraId="273FD8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1D352614">
            <w:pPr>
              <w:spacing w:line="0" w:lineRule="atLeast"/>
              <w:jc w:val="center"/>
              <w:rPr>
                <w:snapToGrid w:val="0"/>
                <w:color w:val="auto"/>
                <w:kern w:val="0"/>
                <w:lang w:val="zh-CN"/>
              </w:rPr>
            </w:pPr>
          </w:p>
        </w:tc>
        <w:tc>
          <w:tcPr>
            <w:tcW w:w="1610" w:type="dxa"/>
            <w:shd w:val="clear" w:color="auto" w:fill="auto"/>
            <w:vAlign w:val="center"/>
          </w:tcPr>
          <w:p w14:paraId="0FC89A0F">
            <w:pPr>
              <w:spacing w:line="0" w:lineRule="atLeast"/>
              <w:jc w:val="center"/>
              <w:rPr>
                <w:snapToGrid w:val="0"/>
                <w:color w:val="auto"/>
                <w:kern w:val="0"/>
                <w:lang w:val="zh-CN"/>
              </w:rPr>
            </w:pPr>
            <w:r>
              <w:rPr>
                <w:rFonts w:hAnsi="宋体"/>
                <w:color w:val="auto"/>
                <w:szCs w:val="21"/>
              </w:rPr>
              <w:t>生态保护措施</w:t>
            </w:r>
          </w:p>
        </w:tc>
        <w:tc>
          <w:tcPr>
            <w:tcW w:w="5374" w:type="dxa"/>
            <w:shd w:val="clear" w:color="auto" w:fill="auto"/>
            <w:vAlign w:val="center"/>
          </w:tcPr>
          <w:p w14:paraId="39844C3E">
            <w:pPr>
              <w:spacing w:line="0" w:lineRule="atLeast"/>
              <w:jc w:val="center"/>
              <w:rPr>
                <w:color w:val="auto"/>
                <w:szCs w:val="21"/>
              </w:rPr>
            </w:pPr>
            <w:r>
              <w:rPr>
                <w:rFonts w:hint="eastAsia"/>
                <w:snapToGrid w:val="0"/>
                <w:color w:val="auto"/>
                <w:kern w:val="0"/>
              </w:rPr>
              <w:t>回填结束后进行土地复垦，复垦为耕地</w:t>
            </w:r>
          </w:p>
        </w:tc>
        <w:tc>
          <w:tcPr>
            <w:tcW w:w="1242" w:type="dxa"/>
            <w:shd w:val="clear" w:color="auto" w:fill="auto"/>
            <w:vAlign w:val="center"/>
          </w:tcPr>
          <w:p w14:paraId="5CA11998">
            <w:pPr>
              <w:spacing w:line="0" w:lineRule="atLeast"/>
              <w:jc w:val="center"/>
              <w:rPr>
                <w:snapToGrid w:val="0"/>
                <w:color w:val="auto"/>
                <w:kern w:val="0"/>
                <w:lang w:val="zh-CN"/>
              </w:rPr>
            </w:pPr>
            <w:r>
              <w:rPr>
                <w:rFonts w:hint="eastAsia"/>
                <w:snapToGrid w:val="0"/>
                <w:color w:val="auto"/>
                <w:kern w:val="0"/>
                <w:lang w:val="zh-CN"/>
              </w:rPr>
              <w:t>20.0</w:t>
            </w:r>
          </w:p>
        </w:tc>
      </w:tr>
      <w:tr w14:paraId="47D634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0B3A4849">
            <w:pPr>
              <w:spacing w:line="0" w:lineRule="atLeast"/>
              <w:jc w:val="center"/>
              <w:rPr>
                <w:snapToGrid w:val="0"/>
                <w:color w:val="auto"/>
                <w:kern w:val="0"/>
                <w:lang w:val="zh-CN"/>
              </w:rPr>
            </w:pPr>
          </w:p>
        </w:tc>
        <w:tc>
          <w:tcPr>
            <w:tcW w:w="1610" w:type="dxa"/>
            <w:shd w:val="clear" w:color="auto" w:fill="auto"/>
            <w:vAlign w:val="center"/>
          </w:tcPr>
          <w:p w14:paraId="0889F97B">
            <w:pPr>
              <w:spacing w:line="0" w:lineRule="atLeast"/>
              <w:jc w:val="center"/>
              <w:rPr>
                <w:snapToGrid w:val="0"/>
                <w:color w:val="auto"/>
                <w:kern w:val="0"/>
                <w:lang w:val="zh-CN"/>
              </w:rPr>
            </w:pPr>
            <w:r>
              <w:rPr>
                <w:snapToGrid w:val="0"/>
                <w:color w:val="auto"/>
                <w:kern w:val="0"/>
                <w:lang w:val="zh-CN"/>
              </w:rPr>
              <w:t>环保设施运行维护维修费用</w:t>
            </w:r>
          </w:p>
        </w:tc>
        <w:tc>
          <w:tcPr>
            <w:tcW w:w="5374" w:type="dxa"/>
            <w:shd w:val="clear" w:color="auto" w:fill="auto"/>
            <w:vAlign w:val="center"/>
          </w:tcPr>
          <w:p w14:paraId="380C1507">
            <w:pPr>
              <w:spacing w:line="0" w:lineRule="atLeast"/>
              <w:jc w:val="center"/>
              <w:rPr>
                <w:snapToGrid w:val="0"/>
                <w:color w:val="auto"/>
                <w:kern w:val="0"/>
                <w:lang w:val="zh-CN"/>
              </w:rPr>
            </w:pPr>
            <w:r>
              <w:rPr>
                <w:snapToGrid w:val="0"/>
                <w:color w:val="auto"/>
                <w:kern w:val="0"/>
                <w:lang w:val="zh-CN"/>
              </w:rPr>
              <w:t>各环保设施的运行维护维修费用</w:t>
            </w:r>
          </w:p>
        </w:tc>
        <w:tc>
          <w:tcPr>
            <w:tcW w:w="1242" w:type="dxa"/>
            <w:shd w:val="clear" w:color="auto" w:fill="auto"/>
            <w:vAlign w:val="center"/>
          </w:tcPr>
          <w:p w14:paraId="4FCF87A4">
            <w:pPr>
              <w:spacing w:line="0" w:lineRule="atLeast"/>
              <w:jc w:val="center"/>
              <w:rPr>
                <w:snapToGrid w:val="0"/>
                <w:color w:val="auto"/>
                <w:kern w:val="0"/>
                <w:lang w:val="zh-CN"/>
              </w:rPr>
            </w:pPr>
            <w:r>
              <w:rPr>
                <w:rFonts w:hint="eastAsia"/>
                <w:snapToGrid w:val="0"/>
                <w:color w:val="auto"/>
                <w:kern w:val="0"/>
                <w:lang w:val="zh-CN"/>
              </w:rPr>
              <w:t>2</w:t>
            </w:r>
            <w:r>
              <w:rPr>
                <w:snapToGrid w:val="0"/>
                <w:color w:val="auto"/>
                <w:kern w:val="0"/>
                <w:lang w:val="zh-CN"/>
              </w:rPr>
              <w:t>.0</w:t>
            </w:r>
          </w:p>
        </w:tc>
      </w:tr>
      <w:tr w14:paraId="7EFDF9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17402B67">
            <w:pPr>
              <w:spacing w:line="0" w:lineRule="atLeast"/>
              <w:jc w:val="center"/>
              <w:rPr>
                <w:snapToGrid w:val="0"/>
                <w:color w:val="auto"/>
                <w:kern w:val="0"/>
                <w:lang w:val="zh-CN"/>
              </w:rPr>
            </w:pPr>
          </w:p>
        </w:tc>
        <w:tc>
          <w:tcPr>
            <w:tcW w:w="1610" w:type="dxa"/>
            <w:shd w:val="clear" w:color="auto" w:fill="auto"/>
            <w:vAlign w:val="center"/>
          </w:tcPr>
          <w:p w14:paraId="2F64B137">
            <w:pPr>
              <w:spacing w:line="0" w:lineRule="atLeast"/>
              <w:jc w:val="center"/>
              <w:rPr>
                <w:snapToGrid w:val="0"/>
                <w:color w:val="auto"/>
                <w:kern w:val="0"/>
                <w:lang w:val="zh-CN"/>
              </w:rPr>
            </w:pPr>
            <w:r>
              <w:rPr>
                <w:snapToGrid w:val="0"/>
                <w:color w:val="auto"/>
                <w:kern w:val="0"/>
                <w:lang w:val="zh-CN"/>
              </w:rPr>
              <w:t>定期监测</w:t>
            </w:r>
          </w:p>
        </w:tc>
        <w:tc>
          <w:tcPr>
            <w:tcW w:w="5374" w:type="dxa"/>
            <w:shd w:val="clear" w:color="auto" w:fill="auto"/>
            <w:vAlign w:val="center"/>
          </w:tcPr>
          <w:p w14:paraId="25A31492">
            <w:pPr>
              <w:spacing w:line="0" w:lineRule="atLeast"/>
              <w:jc w:val="center"/>
              <w:rPr>
                <w:snapToGrid w:val="0"/>
                <w:color w:val="auto"/>
                <w:kern w:val="0"/>
                <w:lang w:val="zh-CN"/>
              </w:rPr>
            </w:pPr>
            <w:r>
              <w:rPr>
                <w:snapToGrid w:val="0"/>
                <w:color w:val="auto"/>
                <w:kern w:val="0"/>
                <w:lang w:val="zh-CN"/>
              </w:rPr>
              <w:t>地下水及土壤跟踪监测</w:t>
            </w:r>
          </w:p>
        </w:tc>
        <w:tc>
          <w:tcPr>
            <w:tcW w:w="1242" w:type="dxa"/>
            <w:shd w:val="clear" w:color="auto" w:fill="auto"/>
            <w:vAlign w:val="center"/>
          </w:tcPr>
          <w:p w14:paraId="436F8F12">
            <w:pPr>
              <w:spacing w:line="0" w:lineRule="atLeast"/>
              <w:jc w:val="center"/>
              <w:rPr>
                <w:snapToGrid w:val="0"/>
                <w:color w:val="auto"/>
                <w:kern w:val="0"/>
                <w:lang w:val="zh-CN"/>
              </w:rPr>
            </w:pPr>
            <w:r>
              <w:rPr>
                <w:rFonts w:hint="eastAsia"/>
                <w:snapToGrid w:val="0"/>
                <w:color w:val="auto"/>
                <w:kern w:val="0"/>
                <w:lang w:val="zh-CN"/>
              </w:rPr>
              <w:t>5</w:t>
            </w:r>
            <w:r>
              <w:rPr>
                <w:snapToGrid w:val="0"/>
                <w:color w:val="auto"/>
                <w:kern w:val="0"/>
                <w:lang w:val="zh-CN"/>
              </w:rPr>
              <w:t>.0</w:t>
            </w:r>
          </w:p>
        </w:tc>
      </w:tr>
      <w:tr w14:paraId="34E05E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1D1B3A77">
            <w:pPr>
              <w:spacing w:line="0" w:lineRule="atLeast"/>
              <w:jc w:val="center"/>
              <w:rPr>
                <w:snapToGrid w:val="0"/>
                <w:color w:val="auto"/>
                <w:kern w:val="0"/>
                <w:lang w:val="zh-CN"/>
              </w:rPr>
            </w:pPr>
          </w:p>
        </w:tc>
        <w:tc>
          <w:tcPr>
            <w:tcW w:w="1610" w:type="dxa"/>
            <w:shd w:val="clear" w:color="auto" w:fill="auto"/>
            <w:vAlign w:val="center"/>
          </w:tcPr>
          <w:p w14:paraId="6DDCE30F">
            <w:pPr>
              <w:spacing w:line="0" w:lineRule="atLeast"/>
              <w:jc w:val="center"/>
              <w:rPr>
                <w:snapToGrid w:val="0"/>
                <w:color w:val="auto"/>
                <w:kern w:val="0"/>
                <w:lang w:val="zh-CN"/>
              </w:rPr>
            </w:pPr>
            <w:r>
              <w:rPr>
                <w:snapToGrid w:val="0"/>
                <w:color w:val="auto"/>
                <w:kern w:val="0"/>
              </w:rPr>
              <w:t>风险</w:t>
            </w:r>
          </w:p>
        </w:tc>
        <w:tc>
          <w:tcPr>
            <w:tcW w:w="5374" w:type="dxa"/>
            <w:shd w:val="clear" w:color="auto" w:fill="auto"/>
            <w:vAlign w:val="center"/>
          </w:tcPr>
          <w:p w14:paraId="5DF5B936">
            <w:pPr>
              <w:spacing w:line="0" w:lineRule="atLeast"/>
              <w:jc w:val="center"/>
              <w:rPr>
                <w:snapToGrid w:val="0"/>
                <w:color w:val="auto"/>
                <w:kern w:val="0"/>
                <w:lang w:val="zh-CN"/>
              </w:rPr>
            </w:pPr>
            <w:r>
              <w:rPr>
                <w:rFonts w:hint="eastAsia"/>
                <w:color w:val="auto"/>
              </w:rPr>
              <w:t>设置3口地下水监测井，定期检查维护淋溶水集排水设施和淋溶水暂存池等、</w:t>
            </w:r>
            <w:r>
              <w:rPr>
                <w:snapToGrid w:val="0"/>
                <w:color w:val="auto"/>
                <w:kern w:val="0"/>
              </w:rPr>
              <w:t>编制突发环境事件应急预案</w:t>
            </w:r>
          </w:p>
        </w:tc>
        <w:tc>
          <w:tcPr>
            <w:tcW w:w="1242" w:type="dxa"/>
            <w:shd w:val="clear" w:color="auto" w:fill="auto"/>
            <w:vAlign w:val="center"/>
          </w:tcPr>
          <w:p w14:paraId="6E0BEED4">
            <w:pPr>
              <w:spacing w:line="0" w:lineRule="atLeast"/>
              <w:jc w:val="center"/>
              <w:rPr>
                <w:snapToGrid w:val="0"/>
                <w:color w:val="auto"/>
                <w:kern w:val="0"/>
                <w:lang w:val="zh-CN"/>
              </w:rPr>
            </w:pPr>
            <w:r>
              <w:rPr>
                <w:rFonts w:hint="eastAsia"/>
                <w:snapToGrid w:val="0"/>
                <w:color w:val="auto"/>
                <w:kern w:val="0"/>
                <w:lang w:val="zh-CN"/>
              </w:rPr>
              <w:t>10.0</w:t>
            </w:r>
          </w:p>
        </w:tc>
      </w:tr>
      <w:tr w14:paraId="1F059D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restart"/>
            <w:shd w:val="clear" w:color="auto" w:fill="auto"/>
            <w:vAlign w:val="center"/>
          </w:tcPr>
          <w:p w14:paraId="31B0F8FB">
            <w:pPr>
              <w:spacing w:line="0" w:lineRule="atLeast"/>
              <w:jc w:val="center"/>
              <w:rPr>
                <w:snapToGrid w:val="0"/>
                <w:color w:val="auto"/>
                <w:kern w:val="0"/>
                <w:lang w:val="zh-CN"/>
              </w:rPr>
            </w:pPr>
            <w:r>
              <w:rPr>
                <w:rFonts w:hint="eastAsia"/>
                <w:snapToGrid w:val="0"/>
                <w:color w:val="auto"/>
                <w:kern w:val="0"/>
                <w:lang w:val="zh-CN"/>
              </w:rPr>
              <w:t>生态恢复</w:t>
            </w:r>
            <w:r>
              <w:rPr>
                <w:snapToGrid w:val="0"/>
                <w:color w:val="auto"/>
                <w:kern w:val="0"/>
                <w:lang w:val="zh-CN"/>
              </w:rPr>
              <w:t>期</w:t>
            </w:r>
          </w:p>
        </w:tc>
        <w:tc>
          <w:tcPr>
            <w:tcW w:w="1610" w:type="dxa"/>
            <w:shd w:val="clear" w:color="auto" w:fill="auto"/>
            <w:vAlign w:val="center"/>
          </w:tcPr>
          <w:p w14:paraId="77EA23B6">
            <w:pPr>
              <w:spacing w:line="0" w:lineRule="atLeast"/>
              <w:jc w:val="center"/>
              <w:rPr>
                <w:snapToGrid w:val="0"/>
                <w:color w:val="auto"/>
                <w:kern w:val="0"/>
                <w:lang w:val="zh-CN"/>
              </w:rPr>
            </w:pPr>
            <w:r>
              <w:rPr>
                <w:rFonts w:hAnsi="宋体"/>
                <w:color w:val="auto"/>
                <w:szCs w:val="21"/>
              </w:rPr>
              <w:t>生态保护措施</w:t>
            </w:r>
          </w:p>
        </w:tc>
        <w:tc>
          <w:tcPr>
            <w:tcW w:w="5374" w:type="dxa"/>
            <w:shd w:val="clear" w:color="auto" w:fill="auto"/>
            <w:vAlign w:val="center"/>
          </w:tcPr>
          <w:p w14:paraId="173AABCF">
            <w:pPr>
              <w:spacing w:line="0" w:lineRule="atLeast"/>
              <w:jc w:val="center"/>
              <w:rPr>
                <w:snapToGrid w:val="0"/>
                <w:color w:val="auto"/>
                <w:kern w:val="0"/>
                <w:lang w:val="zh-CN"/>
              </w:rPr>
            </w:pPr>
            <w:r>
              <w:rPr>
                <w:rFonts w:hAnsi="宋体"/>
                <w:color w:val="auto"/>
                <w:szCs w:val="21"/>
              </w:rPr>
              <w:t>生态监测与管护</w:t>
            </w:r>
          </w:p>
        </w:tc>
        <w:tc>
          <w:tcPr>
            <w:tcW w:w="1242" w:type="dxa"/>
            <w:shd w:val="clear" w:color="auto" w:fill="auto"/>
            <w:vAlign w:val="center"/>
          </w:tcPr>
          <w:p w14:paraId="56A3ADD0">
            <w:pPr>
              <w:spacing w:line="0" w:lineRule="atLeast"/>
              <w:jc w:val="center"/>
              <w:rPr>
                <w:snapToGrid w:val="0"/>
                <w:color w:val="auto"/>
                <w:kern w:val="0"/>
                <w:lang w:val="zh-CN"/>
              </w:rPr>
            </w:pPr>
            <w:r>
              <w:rPr>
                <w:rFonts w:hint="eastAsia"/>
                <w:snapToGrid w:val="0"/>
                <w:color w:val="auto"/>
                <w:kern w:val="0"/>
                <w:lang w:val="zh-CN"/>
              </w:rPr>
              <w:t>10.0</w:t>
            </w:r>
          </w:p>
        </w:tc>
      </w:tr>
      <w:tr w14:paraId="688ABE5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1AB4CB0B">
            <w:pPr>
              <w:spacing w:line="0" w:lineRule="atLeast"/>
              <w:jc w:val="center"/>
              <w:rPr>
                <w:snapToGrid w:val="0"/>
                <w:color w:val="auto"/>
                <w:kern w:val="0"/>
                <w:lang w:val="zh-CN"/>
              </w:rPr>
            </w:pPr>
          </w:p>
        </w:tc>
        <w:tc>
          <w:tcPr>
            <w:tcW w:w="1610" w:type="dxa"/>
            <w:shd w:val="clear" w:color="auto" w:fill="auto"/>
            <w:vAlign w:val="center"/>
          </w:tcPr>
          <w:p w14:paraId="5DB56268">
            <w:pPr>
              <w:spacing w:line="0" w:lineRule="atLeast"/>
              <w:jc w:val="center"/>
              <w:rPr>
                <w:snapToGrid w:val="0"/>
                <w:color w:val="auto"/>
                <w:kern w:val="0"/>
                <w:lang w:val="zh-CN"/>
              </w:rPr>
            </w:pPr>
            <w:r>
              <w:rPr>
                <w:snapToGrid w:val="0"/>
                <w:color w:val="auto"/>
                <w:kern w:val="0"/>
                <w:lang w:val="zh-CN"/>
              </w:rPr>
              <w:t>环保设施运行维护维修费用</w:t>
            </w:r>
          </w:p>
        </w:tc>
        <w:tc>
          <w:tcPr>
            <w:tcW w:w="5374" w:type="dxa"/>
            <w:shd w:val="clear" w:color="auto" w:fill="auto"/>
            <w:vAlign w:val="center"/>
          </w:tcPr>
          <w:p w14:paraId="0D499449">
            <w:pPr>
              <w:spacing w:line="0" w:lineRule="atLeast"/>
              <w:jc w:val="center"/>
              <w:rPr>
                <w:snapToGrid w:val="0"/>
                <w:color w:val="auto"/>
                <w:kern w:val="0"/>
                <w:lang w:val="zh-CN"/>
              </w:rPr>
            </w:pPr>
            <w:r>
              <w:rPr>
                <w:rFonts w:hint="eastAsia"/>
                <w:snapToGrid w:val="0"/>
                <w:color w:val="auto"/>
                <w:kern w:val="0"/>
                <w:lang w:val="zh-CN"/>
              </w:rPr>
              <w:t>生态恢复期</w:t>
            </w:r>
            <w:r>
              <w:rPr>
                <w:snapToGrid w:val="0"/>
                <w:color w:val="auto"/>
                <w:kern w:val="0"/>
                <w:lang w:val="zh-CN"/>
              </w:rPr>
              <w:t>各环保设施的运行维护维修费用</w:t>
            </w:r>
          </w:p>
        </w:tc>
        <w:tc>
          <w:tcPr>
            <w:tcW w:w="1242" w:type="dxa"/>
            <w:shd w:val="clear" w:color="auto" w:fill="auto"/>
            <w:vAlign w:val="center"/>
          </w:tcPr>
          <w:p w14:paraId="42ABF5EF">
            <w:pPr>
              <w:spacing w:line="0" w:lineRule="atLeast"/>
              <w:jc w:val="center"/>
              <w:rPr>
                <w:snapToGrid w:val="0"/>
                <w:color w:val="auto"/>
                <w:kern w:val="0"/>
                <w:lang w:val="zh-CN"/>
              </w:rPr>
            </w:pPr>
            <w:r>
              <w:rPr>
                <w:rFonts w:hint="eastAsia"/>
                <w:snapToGrid w:val="0"/>
                <w:color w:val="auto"/>
                <w:kern w:val="0"/>
                <w:lang w:val="zh-CN"/>
              </w:rPr>
              <w:t>2</w:t>
            </w:r>
            <w:r>
              <w:rPr>
                <w:snapToGrid w:val="0"/>
                <w:color w:val="auto"/>
                <w:kern w:val="0"/>
                <w:lang w:val="zh-CN"/>
              </w:rPr>
              <w:t>.0</w:t>
            </w:r>
          </w:p>
        </w:tc>
      </w:tr>
      <w:tr w14:paraId="1B4B55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387" w:type="dxa"/>
            <w:vMerge w:val="continue"/>
            <w:shd w:val="clear" w:color="auto" w:fill="auto"/>
            <w:vAlign w:val="center"/>
          </w:tcPr>
          <w:p w14:paraId="167CFF88">
            <w:pPr>
              <w:spacing w:line="0" w:lineRule="atLeast"/>
              <w:jc w:val="center"/>
              <w:rPr>
                <w:snapToGrid w:val="0"/>
                <w:color w:val="auto"/>
                <w:kern w:val="0"/>
                <w:lang w:val="zh-CN"/>
              </w:rPr>
            </w:pPr>
          </w:p>
        </w:tc>
        <w:tc>
          <w:tcPr>
            <w:tcW w:w="1610" w:type="dxa"/>
            <w:shd w:val="clear" w:color="auto" w:fill="auto"/>
            <w:vAlign w:val="center"/>
          </w:tcPr>
          <w:p w14:paraId="68FFABAC">
            <w:pPr>
              <w:spacing w:line="0" w:lineRule="atLeast"/>
              <w:jc w:val="center"/>
              <w:rPr>
                <w:snapToGrid w:val="0"/>
                <w:color w:val="auto"/>
                <w:kern w:val="0"/>
                <w:lang w:val="zh-CN"/>
              </w:rPr>
            </w:pPr>
            <w:r>
              <w:rPr>
                <w:snapToGrid w:val="0"/>
                <w:color w:val="auto"/>
                <w:kern w:val="0"/>
                <w:lang w:val="zh-CN"/>
              </w:rPr>
              <w:t>定期监测</w:t>
            </w:r>
          </w:p>
        </w:tc>
        <w:tc>
          <w:tcPr>
            <w:tcW w:w="5374" w:type="dxa"/>
            <w:shd w:val="clear" w:color="auto" w:fill="auto"/>
            <w:vAlign w:val="center"/>
          </w:tcPr>
          <w:p w14:paraId="1FDC1062">
            <w:pPr>
              <w:spacing w:line="0" w:lineRule="atLeast"/>
              <w:jc w:val="center"/>
              <w:rPr>
                <w:snapToGrid w:val="0"/>
                <w:color w:val="auto"/>
                <w:kern w:val="0"/>
                <w:lang w:val="zh-CN"/>
              </w:rPr>
            </w:pPr>
            <w:r>
              <w:rPr>
                <w:snapToGrid w:val="0"/>
                <w:color w:val="auto"/>
                <w:kern w:val="0"/>
                <w:lang w:val="zh-CN"/>
              </w:rPr>
              <w:t>地下水及土壤跟踪监测</w:t>
            </w:r>
          </w:p>
        </w:tc>
        <w:tc>
          <w:tcPr>
            <w:tcW w:w="1242" w:type="dxa"/>
            <w:shd w:val="clear" w:color="auto" w:fill="auto"/>
            <w:vAlign w:val="center"/>
          </w:tcPr>
          <w:p w14:paraId="631AD737">
            <w:pPr>
              <w:spacing w:line="0" w:lineRule="atLeast"/>
              <w:jc w:val="center"/>
              <w:rPr>
                <w:snapToGrid w:val="0"/>
                <w:color w:val="auto"/>
                <w:kern w:val="0"/>
                <w:lang w:val="zh-CN"/>
              </w:rPr>
            </w:pPr>
            <w:r>
              <w:rPr>
                <w:snapToGrid w:val="0"/>
                <w:color w:val="auto"/>
                <w:kern w:val="0"/>
                <w:lang w:val="zh-CN"/>
              </w:rPr>
              <w:t>2.0</w:t>
            </w:r>
          </w:p>
        </w:tc>
      </w:tr>
      <w:tr w14:paraId="149D68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997" w:type="dxa"/>
            <w:gridSpan w:val="2"/>
            <w:shd w:val="clear" w:color="auto" w:fill="auto"/>
            <w:vAlign w:val="center"/>
          </w:tcPr>
          <w:p w14:paraId="353D28E0">
            <w:pPr>
              <w:spacing w:line="0" w:lineRule="atLeast"/>
              <w:jc w:val="center"/>
              <w:rPr>
                <w:snapToGrid w:val="0"/>
                <w:color w:val="auto"/>
                <w:kern w:val="0"/>
                <w:lang w:val="zh-CN"/>
              </w:rPr>
            </w:pPr>
            <w:r>
              <w:rPr>
                <w:snapToGrid w:val="0"/>
                <w:color w:val="auto"/>
                <w:kern w:val="0"/>
                <w:lang w:val="zh-CN"/>
              </w:rPr>
              <w:t>合计</w:t>
            </w:r>
          </w:p>
        </w:tc>
        <w:tc>
          <w:tcPr>
            <w:tcW w:w="5374" w:type="dxa"/>
            <w:shd w:val="clear" w:color="auto" w:fill="auto"/>
            <w:vAlign w:val="center"/>
          </w:tcPr>
          <w:p w14:paraId="28A5BAF7">
            <w:pPr>
              <w:spacing w:line="0" w:lineRule="atLeast"/>
              <w:jc w:val="center"/>
              <w:rPr>
                <w:snapToGrid w:val="0"/>
                <w:color w:val="auto"/>
                <w:kern w:val="0"/>
                <w:lang w:val="zh-CN"/>
              </w:rPr>
            </w:pPr>
            <w:r>
              <w:rPr>
                <w:snapToGrid w:val="0"/>
                <w:color w:val="auto"/>
                <w:kern w:val="0"/>
                <w:lang w:val="zh-CN"/>
              </w:rPr>
              <w:t>/</w:t>
            </w:r>
          </w:p>
        </w:tc>
        <w:tc>
          <w:tcPr>
            <w:tcW w:w="1242" w:type="dxa"/>
            <w:shd w:val="clear" w:color="auto" w:fill="auto"/>
            <w:vAlign w:val="center"/>
          </w:tcPr>
          <w:p w14:paraId="23E0146F">
            <w:pPr>
              <w:spacing w:line="0" w:lineRule="atLeast"/>
              <w:jc w:val="center"/>
              <w:rPr>
                <w:snapToGrid w:val="0"/>
                <w:color w:val="auto"/>
                <w:kern w:val="0"/>
              </w:rPr>
            </w:pPr>
            <w:r>
              <w:rPr>
                <w:rFonts w:hint="eastAsia"/>
                <w:snapToGrid w:val="0"/>
                <w:color w:val="auto"/>
                <w:kern w:val="0"/>
              </w:rPr>
              <w:t>1</w:t>
            </w:r>
            <w:r>
              <w:rPr>
                <w:snapToGrid w:val="0"/>
                <w:color w:val="auto"/>
                <w:kern w:val="0"/>
              </w:rPr>
              <w:t>3</w:t>
            </w:r>
            <w:r>
              <w:rPr>
                <w:rFonts w:hint="eastAsia"/>
                <w:snapToGrid w:val="0"/>
                <w:color w:val="auto"/>
                <w:kern w:val="0"/>
              </w:rPr>
              <w:t>7</w:t>
            </w:r>
          </w:p>
        </w:tc>
      </w:tr>
      <w:bookmarkEnd w:id="180"/>
    </w:tbl>
    <w:p w14:paraId="1ED5812D">
      <w:pPr>
        <w:spacing w:line="360" w:lineRule="auto"/>
        <w:rPr>
          <w:color w:val="auto"/>
          <w:sz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6A55CA7E">
      <w:pPr>
        <w:pStyle w:val="759"/>
        <w:rPr>
          <w:color w:val="auto"/>
        </w:rPr>
      </w:pPr>
      <w:bookmarkStart w:id="181" w:name="_Toc119316815"/>
      <w:bookmarkStart w:id="182" w:name="_Toc477954582"/>
      <w:bookmarkStart w:id="183" w:name="_Toc149054218"/>
      <w:r>
        <w:rPr>
          <w:color w:val="auto"/>
        </w:rPr>
        <w:t>7环境影响经济损益分析</w:t>
      </w:r>
      <w:bookmarkEnd w:id="181"/>
      <w:bookmarkEnd w:id="182"/>
      <w:bookmarkEnd w:id="183"/>
    </w:p>
    <w:p w14:paraId="635316D7">
      <w:pPr>
        <w:pStyle w:val="59"/>
        <w:ind w:firstLine="480"/>
        <w:rPr>
          <w:color w:val="auto"/>
        </w:rPr>
      </w:pPr>
      <w:r>
        <w:rPr>
          <w:color w:val="auto"/>
        </w:rPr>
        <w:t>环境经济损益分析主要是评价建设项目实施后，对环境造成的损失费用和采取各种环保治理措施所能收到的环保效果及其带来的经济和社会效益，衡量建设项目的环保投资在经济上的合理水平。</w:t>
      </w:r>
    </w:p>
    <w:p w14:paraId="2309D0E4">
      <w:pPr>
        <w:pStyle w:val="59"/>
        <w:ind w:firstLine="480"/>
        <w:rPr>
          <w:color w:val="auto"/>
        </w:rPr>
      </w:pPr>
      <w:r>
        <w:rPr>
          <w:color w:val="auto"/>
        </w:rPr>
        <w:t>一个项目的开发建设，除对国民经济的发展起着促进作用外，同时也在一定程度上影响着项目拟建地区环境的变化。社会影响、经济影响、环境影响是一个系统的三要素，最终以提高人类的生活质量为目的。它们之间既是互相促进，又互相制约，必须通过全面规划、综合平衡、正确地把全局利益和局部利益、长远利益和近期利益结合起来，对环境保护和经济发展进行协调，实现社会效益、经济效益、环境效益的三统一。通过对拟建项目的经济、社会和环境效益分析，为项目决策者更好地考虑环境、经济和社会效益的统一提供依据。</w:t>
      </w:r>
    </w:p>
    <w:p w14:paraId="516286EA">
      <w:pPr>
        <w:pStyle w:val="548"/>
        <w:rPr>
          <w:color w:val="auto"/>
        </w:rPr>
      </w:pPr>
      <w:bookmarkStart w:id="184" w:name="_Toc477954583"/>
      <w:bookmarkStart w:id="185" w:name="_Toc369009159"/>
      <w:bookmarkStart w:id="186" w:name="_Toc149054219"/>
      <w:bookmarkStart w:id="187" w:name="_Toc119316816"/>
      <w:r>
        <w:rPr>
          <w:color w:val="auto"/>
        </w:rPr>
        <w:t>7.1</w:t>
      </w:r>
      <w:bookmarkEnd w:id="184"/>
      <w:bookmarkEnd w:id="185"/>
      <w:r>
        <w:rPr>
          <w:color w:val="auto"/>
        </w:rPr>
        <w:t>社会经济效益分析</w:t>
      </w:r>
      <w:bookmarkEnd w:id="186"/>
      <w:bookmarkEnd w:id="187"/>
    </w:p>
    <w:p w14:paraId="66F1A035">
      <w:pPr>
        <w:pStyle w:val="59"/>
        <w:ind w:firstLine="480"/>
        <w:rPr>
          <w:color w:val="auto"/>
        </w:rPr>
      </w:pPr>
      <w:r>
        <w:rPr>
          <w:color w:val="auto"/>
        </w:rPr>
        <w:t>本项目可以有效解决热电厂</w:t>
      </w:r>
      <w:r>
        <w:rPr>
          <w:rFonts w:hint="eastAsia"/>
          <w:color w:val="auto"/>
          <w:lang w:eastAsia="zh-CN"/>
        </w:rPr>
        <w:t>灰渣</w:t>
      </w:r>
      <w:r>
        <w:rPr>
          <w:color w:val="auto"/>
        </w:rPr>
        <w:t>的处置问题，其建设及投入运营将给</w:t>
      </w:r>
      <w:r>
        <w:rPr>
          <w:rFonts w:hint="eastAsia"/>
          <w:color w:val="auto"/>
        </w:rPr>
        <w:t>鸡东</w:t>
      </w:r>
      <w:r>
        <w:rPr>
          <w:color w:val="auto"/>
        </w:rPr>
        <w:t>县的经济、社会公众就业等的改善带来积极的影响。</w:t>
      </w:r>
    </w:p>
    <w:p w14:paraId="18A570B9">
      <w:pPr>
        <w:pStyle w:val="59"/>
        <w:ind w:firstLine="480"/>
        <w:rPr>
          <w:color w:val="auto"/>
        </w:rPr>
      </w:pPr>
      <w:r>
        <w:rPr>
          <w:color w:val="auto"/>
        </w:rPr>
        <w:t>（</w:t>
      </w:r>
      <w:r>
        <w:rPr>
          <w:rFonts w:hint="eastAsia"/>
          <w:color w:val="auto"/>
        </w:rPr>
        <w:t>1</w:t>
      </w:r>
      <w:r>
        <w:rPr>
          <w:color w:val="auto"/>
        </w:rPr>
        <w:t>）对社区公众就业的影响，随着该项工程的建设，将为当地的劳务市场提供一定的就业机会。首先在施工期间，提供了一些短暂的、零散的就业机会。其次，当项目进入</w:t>
      </w:r>
      <w:r>
        <w:rPr>
          <w:rFonts w:hint="eastAsia"/>
          <w:color w:val="auto"/>
        </w:rPr>
        <w:t>回填复垦期</w:t>
      </w:r>
      <w:r>
        <w:rPr>
          <w:color w:val="auto"/>
        </w:rPr>
        <w:t>，将提供一定的长期的稳定的就业机会，其中包括直接参与的工作人员、管理人员等的就业。</w:t>
      </w:r>
    </w:p>
    <w:p w14:paraId="09F66698">
      <w:pPr>
        <w:pStyle w:val="59"/>
        <w:ind w:firstLine="480"/>
        <w:rPr>
          <w:color w:val="auto"/>
        </w:rPr>
      </w:pPr>
      <w:r>
        <w:rPr>
          <w:color w:val="auto"/>
        </w:rPr>
        <w:t>（</w:t>
      </w:r>
      <w:r>
        <w:rPr>
          <w:rFonts w:hint="eastAsia"/>
          <w:color w:val="auto"/>
        </w:rPr>
        <w:t>2</w:t>
      </w:r>
      <w:r>
        <w:rPr>
          <w:color w:val="auto"/>
        </w:rPr>
        <w:t>）对公众生活质量的影响，该项目工程的实施，可以有效预防其对周边环境的污染，有利于居民的身体健康和生活质量的提升。</w:t>
      </w:r>
    </w:p>
    <w:p w14:paraId="7DCCA696">
      <w:pPr>
        <w:pStyle w:val="548"/>
        <w:rPr>
          <w:color w:val="auto"/>
        </w:rPr>
      </w:pPr>
      <w:bookmarkStart w:id="188" w:name="_Toc149054220"/>
      <w:bookmarkStart w:id="189" w:name="_Toc119316817"/>
      <w:r>
        <w:rPr>
          <w:color w:val="auto"/>
        </w:rPr>
        <w:t>7.2经济损益分析</w:t>
      </w:r>
      <w:bookmarkEnd w:id="188"/>
      <w:bookmarkEnd w:id="189"/>
    </w:p>
    <w:p w14:paraId="10214A96">
      <w:pPr>
        <w:pStyle w:val="59"/>
        <w:ind w:firstLine="480"/>
        <w:rPr>
          <w:color w:val="auto"/>
        </w:rPr>
      </w:pPr>
      <w:r>
        <w:rPr>
          <w:color w:val="auto"/>
        </w:rPr>
        <w:t>拟建项目是一个以保护环境为主要目的治理工程，对当地国民经济的贡献主要体现在环境效益方面。</w:t>
      </w:r>
    </w:p>
    <w:p w14:paraId="0ACE753C">
      <w:pPr>
        <w:pStyle w:val="548"/>
        <w:rPr>
          <w:color w:val="auto"/>
        </w:rPr>
      </w:pPr>
      <w:bookmarkStart w:id="190" w:name="_Toc15991709"/>
      <w:bookmarkStart w:id="191" w:name="_Toc528847181"/>
      <w:bookmarkStart w:id="192" w:name="_Toc119316818"/>
      <w:bookmarkStart w:id="193" w:name="_Toc149054221"/>
      <w:r>
        <w:rPr>
          <w:color w:val="auto"/>
        </w:rPr>
        <w:t>7.3环境效益分析</w:t>
      </w:r>
      <w:bookmarkEnd w:id="190"/>
      <w:bookmarkEnd w:id="191"/>
      <w:bookmarkEnd w:id="192"/>
      <w:bookmarkEnd w:id="193"/>
    </w:p>
    <w:p w14:paraId="10E983B6">
      <w:pPr>
        <w:pStyle w:val="59"/>
        <w:ind w:firstLine="480"/>
        <w:rPr>
          <w:color w:val="auto"/>
        </w:rPr>
      </w:pPr>
      <w:bookmarkStart w:id="194" w:name="_Toc480447676"/>
      <w:bookmarkStart w:id="195" w:name="_Toc15991705"/>
      <w:bookmarkStart w:id="196" w:name="_Toc527121414"/>
      <w:r>
        <w:rPr>
          <w:color w:val="auto"/>
        </w:rPr>
        <w:t>项目环保措施主要是体现国家环保政策，</w:t>
      </w:r>
      <w:r>
        <w:rPr>
          <w:rFonts w:ascii="宋体" w:hAnsi="宋体"/>
          <w:color w:val="auto"/>
        </w:rPr>
        <w:t>贯彻“总量控制”和“污染物达标排放”的原则，达到保护环境的目的。本项目采用的废气、废水、噪声等污染治理及清洁生</w:t>
      </w:r>
      <w:r>
        <w:rPr>
          <w:color w:val="auto"/>
        </w:rPr>
        <w:t>产措施，达到了有效控制污染和保护环境的目的。环境保护投资的环境效益表现在以下方面：</w:t>
      </w:r>
    </w:p>
    <w:p w14:paraId="26A680FB">
      <w:pPr>
        <w:pStyle w:val="59"/>
        <w:ind w:firstLine="480"/>
        <w:rPr>
          <w:color w:val="auto"/>
        </w:rPr>
      </w:pPr>
      <w:r>
        <w:rPr>
          <w:color w:val="auto"/>
        </w:rPr>
        <w:t>（1）项目汽车运输扬尘对大气环境有一定影响，在落实报告书提出处理措施后，可以有效减少对周围环境空气质量的影响。</w:t>
      </w:r>
    </w:p>
    <w:p w14:paraId="09E79A58">
      <w:pPr>
        <w:pStyle w:val="59"/>
        <w:ind w:firstLine="480"/>
        <w:rPr>
          <w:color w:val="auto"/>
        </w:rPr>
      </w:pPr>
      <w:r>
        <w:rPr>
          <w:color w:val="auto"/>
        </w:rPr>
        <w:t>（2）项目产生的</w:t>
      </w:r>
      <w:r>
        <w:rPr>
          <w:rFonts w:hint="eastAsia"/>
          <w:color w:val="auto"/>
        </w:rPr>
        <w:t>淋溶水</w:t>
      </w:r>
      <w:r>
        <w:rPr>
          <w:color w:val="auto"/>
        </w:rPr>
        <w:t>经导排系统输送至</w:t>
      </w:r>
      <w:r>
        <w:rPr>
          <w:rFonts w:hint="eastAsia"/>
          <w:color w:val="auto"/>
        </w:rPr>
        <w:t>溶水</w:t>
      </w:r>
      <w:r>
        <w:rPr>
          <w:color w:val="auto"/>
        </w:rPr>
        <w:t>暂存池，</w:t>
      </w:r>
      <w:r>
        <w:rPr>
          <w:rFonts w:hint="eastAsia"/>
          <w:color w:val="auto"/>
        </w:rPr>
        <w:t>沉淀后回用于项目区洒水抑尘使用，不外排</w:t>
      </w:r>
      <w:r>
        <w:rPr>
          <w:color w:val="auto"/>
        </w:rPr>
        <w:t>。</w:t>
      </w:r>
    </w:p>
    <w:p w14:paraId="2FA0A926">
      <w:pPr>
        <w:pStyle w:val="59"/>
        <w:ind w:firstLine="480"/>
        <w:rPr>
          <w:color w:val="auto"/>
        </w:rPr>
      </w:pPr>
      <w:r>
        <w:rPr>
          <w:color w:val="auto"/>
        </w:rPr>
        <w:t>（3）各种设备经隔声、减振处理后对周围声环境影响显著降低。</w:t>
      </w:r>
    </w:p>
    <w:p w14:paraId="4CC7D7C1">
      <w:pPr>
        <w:pStyle w:val="59"/>
        <w:ind w:firstLine="480"/>
        <w:rPr>
          <w:color w:val="auto"/>
        </w:rPr>
      </w:pPr>
      <w:r>
        <w:rPr>
          <w:color w:val="auto"/>
        </w:rPr>
        <w:t>（4）项目</w:t>
      </w:r>
      <w:r>
        <w:rPr>
          <w:rFonts w:hint="eastAsia"/>
          <w:color w:val="auto"/>
        </w:rPr>
        <w:t>回填结束</w:t>
      </w:r>
      <w:r>
        <w:rPr>
          <w:color w:val="auto"/>
        </w:rPr>
        <w:t>后开展生态恢复，可以有效改善生态环境，实现废物综合利用和环境改善的双效益。综上所述，本项目采用相应环境保护措施后环境效益较显著。</w:t>
      </w:r>
    </w:p>
    <w:bookmarkEnd w:id="194"/>
    <w:bookmarkEnd w:id="195"/>
    <w:bookmarkEnd w:id="196"/>
    <w:p w14:paraId="5A5288DD">
      <w:pPr>
        <w:pStyle w:val="548"/>
        <w:rPr>
          <w:color w:val="auto"/>
        </w:rPr>
      </w:pPr>
      <w:bookmarkStart w:id="197" w:name="_Toc15991714"/>
      <w:bookmarkStart w:id="198" w:name="_Toc528847186"/>
      <w:bookmarkStart w:id="199" w:name="_Toc149054222"/>
      <w:bookmarkStart w:id="200" w:name="_Toc119316819"/>
      <w:r>
        <w:rPr>
          <w:color w:val="auto"/>
        </w:rPr>
        <w:t>7.</w:t>
      </w:r>
      <w:bookmarkEnd w:id="197"/>
      <w:bookmarkEnd w:id="198"/>
      <w:r>
        <w:rPr>
          <w:color w:val="auto"/>
        </w:rPr>
        <w:t>4小结</w:t>
      </w:r>
      <w:bookmarkEnd w:id="199"/>
      <w:bookmarkEnd w:id="200"/>
    </w:p>
    <w:p w14:paraId="4775C05E">
      <w:pPr>
        <w:pStyle w:val="59"/>
        <w:ind w:firstLine="480"/>
        <w:contextualSpacing/>
        <w:rPr>
          <w:rFonts w:cs="Times New Roman"/>
          <w:color w:val="auto"/>
        </w:rPr>
      </w:pPr>
      <w:bookmarkStart w:id="201" w:name="_Toc477954588"/>
      <w:r>
        <w:rPr>
          <w:rFonts w:hint="eastAsia" w:cs="Times New Roman"/>
          <w:color w:val="auto"/>
          <w:lang w:eastAsia="zh-CN"/>
        </w:rPr>
        <w:t>灰渣</w:t>
      </w:r>
      <w:r>
        <w:rPr>
          <w:rFonts w:hint="eastAsia" w:cs="Times New Roman"/>
          <w:color w:val="auto"/>
        </w:rPr>
        <w:t>回填进行采坑修复</w:t>
      </w:r>
      <w:r>
        <w:rPr>
          <w:rFonts w:cs="Times New Roman"/>
          <w:color w:val="auto"/>
        </w:rPr>
        <w:t>工程本身就是一项环境保护</w:t>
      </w:r>
      <w:r>
        <w:rPr>
          <w:rFonts w:hint="eastAsia" w:cs="Times New Roman"/>
          <w:color w:val="auto"/>
        </w:rPr>
        <w:t>的</w:t>
      </w:r>
      <w:r>
        <w:rPr>
          <w:rFonts w:cs="Times New Roman"/>
          <w:color w:val="auto"/>
        </w:rPr>
        <w:t>建设工程，该项目的实施有利于改善城镇市容和景观，有利于改善城镇投资环境，对促进经济、社会的发展具有重要的意义，具有良好的社会效益、经济效益和环境效益。</w:t>
      </w:r>
    </w:p>
    <w:p w14:paraId="6049E4B6">
      <w:pPr>
        <w:pStyle w:val="59"/>
        <w:ind w:firstLine="480"/>
        <w:contextualSpacing/>
        <w:rPr>
          <w:rStyle w:val="60"/>
          <w:rFonts w:cs="Times New Roman"/>
          <w:color w:val="auto"/>
        </w:rPr>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AndChars" w:linePitch="326" w:charSpace="0"/>
        </w:sectPr>
      </w:pPr>
      <w:r>
        <w:rPr>
          <w:rStyle w:val="60"/>
          <w:rFonts w:cs="Times New Roman"/>
          <w:color w:val="auto"/>
        </w:rPr>
        <w:t>综上所述，在落实本报告提出的各项污染防治措施的前提下，本项目的建设能够达到经济效益、社会效益和环境效益的统一，既为地方经济发展做出贡献，又使污染物排放量在环境容量容许的范围内降低到最低。因此本项目的建设从环境影响经济损益的角度分析是可行的。</w:t>
      </w:r>
    </w:p>
    <w:p w14:paraId="4BD9AE56">
      <w:pPr>
        <w:pStyle w:val="759"/>
        <w:rPr>
          <w:color w:val="auto"/>
        </w:rPr>
      </w:pPr>
      <w:bookmarkStart w:id="202" w:name="_Toc119316820"/>
      <w:bookmarkStart w:id="203" w:name="_Toc149054223"/>
      <w:r>
        <w:rPr>
          <w:color w:val="auto"/>
        </w:rPr>
        <w:t>8环境管理与监测计划</w:t>
      </w:r>
      <w:bookmarkEnd w:id="201"/>
      <w:bookmarkEnd w:id="202"/>
      <w:bookmarkEnd w:id="203"/>
    </w:p>
    <w:p w14:paraId="5F40EAF0">
      <w:pPr>
        <w:pStyle w:val="548"/>
        <w:rPr>
          <w:snapToGrid w:val="0"/>
          <w:color w:val="auto"/>
        </w:rPr>
      </w:pPr>
      <w:bookmarkStart w:id="204" w:name="_Toc477954589"/>
      <w:bookmarkStart w:id="205" w:name="_Toc119316821"/>
      <w:bookmarkStart w:id="206" w:name="_Toc149054224"/>
      <w:r>
        <w:rPr>
          <w:snapToGrid w:val="0"/>
          <w:color w:val="auto"/>
        </w:rPr>
        <w:t>8.1环境管理</w:t>
      </w:r>
      <w:bookmarkEnd w:id="204"/>
      <w:bookmarkEnd w:id="205"/>
      <w:bookmarkEnd w:id="206"/>
    </w:p>
    <w:p w14:paraId="4008B53E">
      <w:pPr>
        <w:pStyle w:val="59"/>
        <w:ind w:firstLine="480"/>
        <w:rPr>
          <w:color w:val="auto"/>
        </w:rPr>
      </w:pPr>
      <w:r>
        <w:rPr>
          <w:color w:val="auto"/>
        </w:rPr>
        <w:t>环境管理是以环境科学理论为基础，运用经济、法律、技术、行政、教育等手段对经济、社会发展过程中施加给环境的污染和破坏影响进行调节控制，实现经济、社会和环境效益的和谐统一。</w:t>
      </w:r>
    </w:p>
    <w:p w14:paraId="12CE0F3B">
      <w:pPr>
        <w:pStyle w:val="59"/>
        <w:ind w:firstLine="480"/>
        <w:rPr>
          <w:color w:val="auto"/>
        </w:rPr>
      </w:pPr>
      <w:r>
        <w:rPr>
          <w:color w:val="auto"/>
        </w:rPr>
        <w:t>为全面贯彻和落实国家及地方环保法律、法规，加强企业内部污染物排放监督控制，本项目将环境保护纳入企业管理和生产计划之中，企业内部必须建立相应的环境管理机构及监控计划。</w:t>
      </w:r>
    </w:p>
    <w:p w14:paraId="112B9D88">
      <w:pPr>
        <w:pStyle w:val="59"/>
        <w:ind w:firstLine="480"/>
        <w:rPr>
          <w:rFonts w:cs="Times New Roman"/>
          <w:color w:val="auto"/>
        </w:rPr>
      </w:pPr>
      <w:bookmarkStart w:id="207" w:name="_Toc477954590"/>
      <w:bookmarkStart w:id="208" w:name="_Toc342462534"/>
      <w:r>
        <w:rPr>
          <w:rFonts w:cs="Times New Roman"/>
          <w:color w:val="auto"/>
        </w:rPr>
        <w:t>1、管理机构</w:t>
      </w:r>
    </w:p>
    <w:p w14:paraId="2EB3DF3B">
      <w:pPr>
        <w:pStyle w:val="59"/>
        <w:ind w:firstLine="480"/>
        <w:rPr>
          <w:rFonts w:cs="Times New Roman"/>
          <w:color w:val="auto"/>
        </w:rPr>
      </w:pPr>
      <w:r>
        <w:rPr>
          <w:rFonts w:cs="Times New Roman"/>
          <w:color w:val="auto"/>
        </w:rPr>
        <w:t>工业企业环境管理，就是以管理工程和环境科学的理论为基础，运用技术、经济、法律、行政和教育手段，对损害环境质量的生产经营活动加以限制，协调发展生产与保护环境的关系，使生产目标与环境目标统一起来，经济效益与环境效益统一起来。</w:t>
      </w:r>
    </w:p>
    <w:p w14:paraId="16157BD7">
      <w:pPr>
        <w:pStyle w:val="59"/>
        <w:ind w:firstLine="480"/>
        <w:rPr>
          <w:rFonts w:cs="Times New Roman"/>
          <w:color w:val="auto"/>
        </w:rPr>
      </w:pPr>
      <w:r>
        <w:rPr>
          <w:rFonts w:cs="Times New Roman"/>
          <w:color w:val="auto"/>
        </w:rPr>
        <w:t>根据本项目的污染特点，建设单位应有一名副经理负责环保工作，设立环境保护管理机构，配备专职环保管理人员两人。</w:t>
      </w:r>
    </w:p>
    <w:p w14:paraId="2BC11305">
      <w:pPr>
        <w:pStyle w:val="59"/>
        <w:ind w:firstLine="480"/>
        <w:rPr>
          <w:rFonts w:cs="Times New Roman"/>
          <w:color w:val="auto"/>
        </w:rPr>
      </w:pPr>
      <w:r>
        <w:rPr>
          <w:rFonts w:cs="Times New Roman"/>
          <w:color w:val="auto"/>
        </w:rPr>
        <w:t>2、企业环境管理机构的基本职能与职责</w:t>
      </w:r>
    </w:p>
    <w:p w14:paraId="7924583A">
      <w:pPr>
        <w:pStyle w:val="59"/>
        <w:ind w:firstLine="480"/>
        <w:rPr>
          <w:rFonts w:cs="Times New Roman"/>
          <w:color w:val="auto"/>
        </w:rPr>
      </w:pPr>
      <w:r>
        <w:rPr>
          <w:rFonts w:cs="Times New Roman"/>
          <w:color w:val="auto"/>
        </w:rPr>
        <w:t>（1）基本职能</w:t>
      </w:r>
    </w:p>
    <w:p w14:paraId="6968A2DA">
      <w:pPr>
        <w:pStyle w:val="59"/>
        <w:ind w:firstLine="480"/>
        <w:rPr>
          <w:rFonts w:cs="Times New Roman"/>
          <w:color w:val="auto"/>
        </w:rPr>
      </w:pPr>
      <w:r>
        <w:rPr>
          <w:rFonts w:cs="Times New Roman"/>
          <w:color w:val="auto"/>
        </w:rPr>
        <w:t>企业环境管理机构是企业管理工作的职能部门，其基本职能有以下三方面：</w:t>
      </w:r>
    </w:p>
    <w:p w14:paraId="7DBEC29E">
      <w:pPr>
        <w:pStyle w:val="59"/>
        <w:ind w:firstLine="480"/>
        <w:rPr>
          <w:rFonts w:cs="Times New Roman"/>
          <w:color w:val="auto"/>
        </w:rPr>
      </w:pPr>
      <w:r>
        <w:rPr>
          <w:rFonts w:hint="eastAsia" w:ascii="宋体" w:hAnsi="宋体" w:cs="宋体"/>
          <w:color w:val="auto"/>
        </w:rPr>
        <w:t>①</w:t>
      </w:r>
      <w:r>
        <w:rPr>
          <w:rFonts w:cs="Times New Roman"/>
          <w:color w:val="auto"/>
        </w:rPr>
        <w:t>组织编制环境计划（包括规划）；</w:t>
      </w:r>
    </w:p>
    <w:p w14:paraId="495D2033">
      <w:pPr>
        <w:pStyle w:val="59"/>
        <w:ind w:firstLine="480"/>
        <w:rPr>
          <w:rFonts w:cs="Times New Roman"/>
          <w:color w:val="auto"/>
        </w:rPr>
      </w:pPr>
      <w:r>
        <w:rPr>
          <w:rFonts w:hint="eastAsia" w:ascii="宋体" w:hAnsi="宋体" w:cs="宋体"/>
          <w:color w:val="auto"/>
        </w:rPr>
        <w:t>②</w:t>
      </w:r>
      <w:r>
        <w:rPr>
          <w:rFonts w:cs="Times New Roman"/>
          <w:color w:val="auto"/>
        </w:rPr>
        <w:t>组织环境保护工作的协调；</w:t>
      </w:r>
    </w:p>
    <w:p w14:paraId="110F6246">
      <w:pPr>
        <w:pStyle w:val="59"/>
        <w:ind w:firstLine="480"/>
        <w:rPr>
          <w:rFonts w:cs="Times New Roman"/>
          <w:color w:val="auto"/>
        </w:rPr>
      </w:pPr>
      <w:r>
        <w:rPr>
          <w:rFonts w:hint="eastAsia" w:ascii="宋体" w:hAnsi="宋体" w:cs="宋体"/>
          <w:color w:val="auto"/>
        </w:rPr>
        <w:t>③</w:t>
      </w:r>
      <w:r>
        <w:rPr>
          <w:rFonts w:cs="Times New Roman"/>
          <w:color w:val="auto"/>
        </w:rPr>
        <w:t>实施企业环境监督。</w:t>
      </w:r>
    </w:p>
    <w:p w14:paraId="512B0BB9">
      <w:pPr>
        <w:pStyle w:val="59"/>
        <w:ind w:firstLine="480"/>
        <w:rPr>
          <w:rFonts w:cs="Times New Roman"/>
          <w:color w:val="auto"/>
        </w:rPr>
      </w:pPr>
      <w:r>
        <w:rPr>
          <w:rFonts w:cs="Times New Roman"/>
          <w:color w:val="auto"/>
        </w:rPr>
        <w:t>（2）主要工作职责</w:t>
      </w:r>
    </w:p>
    <w:p w14:paraId="430C303A">
      <w:pPr>
        <w:pStyle w:val="59"/>
        <w:ind w:firstLine="480"/>
        <w:rPr>
          <w:rFonts w:cs="Times New Roman"/>
          <w:color w:val="auto"/>
        </w:rPr>
      </w:pPr>
      <w:r>
        <w:rPr>
          <w:rFonts w:cs="Times New Roman"/>
          <w:color w:val="auto"/>
        </w:rPr>
        <w:t>a、督促、检查本企业执行国家环境保护方针、政策、法规及本企业环境保护制度；</w:t>
      </w:r>
    </w:p>
    <w:p w14:paraId="7620CDBC">
      <w:pPr>
        <w:pStyle w:val="59"/>
        <w:ind w:firstLine="480"/>
        <w:rPr>
          <w:rFonts w:cs="Times New Roman"/>
          <w:color w:val="auto"/>
        </w:rPr>
      </w:pPr>
      <w:r>
        <w:rPr>
          <w:rFonts w:cs="Times New Roman"/>
          <w:color w:val="auto"/>
        </w:rPr>
        <w:t>b、拟定本企业环境管理办法，按照国家和地区的规定</w:t>
      </w:r>
      <w:r>
        <w:rPr>
          <w:rFonts w:hint="eastAsia" w:cs="Times New Roman"/>
          <w:color w:val="auto"/>
          <w:lang w:eastAsia="zh-CN"/>
        </w:rPr>
        <w:t>制定</w:t>
      </w:r>
      <w:r>
        <w:rPr>
          <w:rFonts w:cs="Times New Roman"/>
          <w:color w:val="auto"/>
        </w:rPr>
        <w:t>本企业污染物排放指标和污染综合防治的经济技术原则，做好企业升级环保考核工作；</w:t>
      </w:r>
    </w:p>
    <w:p w14:paraId="4B1D3285">
      <w:pPr>
        <w:pStyle w:val="59"/>
        <w:ind w:firstLine="480"/>
        <w:rPr>
          <w:rFonts w:cs="Times New Roman"/>
          <w:color w:val="auto"/>
        </w:rPr>
      </w:pPr>
      <w:r>
        <w:rPr>
          <w:rFonts w:cs="Times New Roman"/>
          <w:color w:val="auto"/>
        </w:rPr>
        <w:t>c、负责组织污染源调查，填写环保报表；</w:t>
      </w:r>
    </w:p>
    <w:p w14:paraId="1AD62808">
      <w:pPr>
        <w:pStyle w:val="59"/>
        <w:ind w:firstLine="480"/>
        <w:rPr>
          <w:rFonts w:cs="Times New Roman"/>
          <w:color w:val="auto"/>
        </w:rPr>
      </w:pPr>
      <w:r>
        <w:rPr>
          <w:rFonts w:cs="Times New Roman"/>
          <w:color w:val="auto"/>
        </w:rPr>
        <w:t>d、组织推动本企业在基本建设、技术改造中，贯彻执行“三同时”的规定，并参加有关方案的审定及竣工验收工作；</w:t>
      </w:r>
    </w:p>
    <w:p w14:paraId="09A5F2F4">
      <w:pPr>
        <w:pStyle w:val="59"/>
        <w:ind w:firstLine="480"/>
        <w:rPr>
          <w:rFonts w:cs="Times New Roman"/>
          <w:color w:val="auto"/>
        </w:rPr>
      </w:pPr>
      <w:r>
        <w:rPr>
          <w:rFonts w:cs="Times New Roman"/>
          <w:color w:val="auto"/>
        </w:rPr>
        <w:t>e、加强与主管</w:t>
      </w:r>
      <w:r>
        <w:rPr>
          <w:rFonts w:hint="eastAsia" w:cs="Times New Roman"/>
          <w:color w:val="auto"/>
          <w:lang w:eastAsia="zh-CN"/>
        </w:rPr>
        <w:t>环保部门</w:t>
      </w:r>
      <w:r>
        <w:rPr>
          <w:rFonts w:cs="Times New Roman"/>
          <w:color w:val="auto"/>
        </w:rPr>
        <w:t>的联系，会同有关单位做好环境预测，制定企业环境保护长远规划和年度计划，并督促实施；</w:t>
      </w:r>
    </w:p>
    <w:p w14:paraId="1CAFA47F">
      <w:pPr>
        <w:pStyle w:val="59"/>
        <w:ind w:firstLine="480"/>
        <w:rPr>
          <w:rFonts w:cs="Times New Roman"/>
          <w:color w:val="auto"/>
        </w:rPr>
      </w:pPr>
      <w:r>
        <w:rPr>
          <w:rFonts w:hint="eastAsia" w:cs="Times New Roman"/>
          <w:color w:val="auto"/>
          <w:lang w:eastAsia="zh-CN"/>
        </w:rPr>
        <w:t>f.</w:t>
      </w:r>
      <w:r>
        <w:rPr>
          <w:rFonts w:cs="Times New Roman"/>
          <w:color w:val="auto"/>
        </w:rPr>
        <w:t>组织有关部门和人员，检查企业环境质量状况及发展趋势；</w:t>
      </w:r>
    </w:p>
    <w:p w14:paraId="19086441">
      <w:pPr>
        <w:pStyle w:val="59"/>
        <w:ind w:firstLine="480"/>
        <w:rPr>
          <w:rFonts w:cs="Times New Roman"/>
          <w:color w:val="auto"/>
        </w:rPr>
      </w:pPr>
      <w:r>
        <w:rPr>
          <w:rFonts w:cs="Times New Roman"/>
          <w:color w:val="auto"/>
        </w:rPr>
        <w:t>g、监督全厂环境保护设施的运行与污染物的排放；</w:t>
      </w:r>
    </w:p>
    <w:p w14:paraId="0E08F3CD">
      <w:pPr>
        <w:pStyle w:val="59"/>
        <w:ind w:firstLine="480"/>
        <w:rPr>
          <w:rFonts w:cs="Times New Roman"/>
          <w:color w:val="auto"/>
        </w:rPr>
      </w:pPr>
      <w:r>
        <w:rPr>
          <w:rFonts w:cs="Times New Roman"/>
          <w:color w:val="auto"/>
        </w:rPr>
        <w:t>h、会同有关单位组织和开展企业环境科研工作；</w:t>
      </w:r>
    </w:p>
    <w:p w14:paraId="7C423C54">
      <w:pPr>
        <w:pStyle w:val="59"/>
        <w:ind w:firstLine="480"/>
        <w:rPr>
          <w:rFonts w:cs="Times New Roman"/>
          <w:color w:val="auto"/>
        </w:rPr>
      </w:pPr>
      <w:r>
        <w:rPr>
          <w:rFonts w:cs="Times New Roman"/>
          <w:color w:val="auto"/>
        </w:rPr>
        <w:t>i、负责组织本企业污染事故的调查与处理；</w:t>
      </w:r>
    </w:p>
    <w:p w14:paraId="733C3F99">
      <w:pPr>
        <w:pStyle w:val="59"/>
        <w:ind w:firstLine="480"/>
        <w:rPr>
          <w:rFonts w:cs="Times New Roman"/>
          <w:color w:val="auto"/>
        </w:rPr>
      </w:pPr>
      <w:r>
        <w:rPr>
          <w:rFonts w:cs="Times New Roman"/>
          <w:color w:val="auto"/>
        </w:rPr>
        <w:t>j、做好企业环境统计工作，建立环境保护档案；</w:t>
      </w:r>
    </w:p>
    <w:p w14:paraId="3AACD190">
      <w:pPr>
        <w:pStyle w:val="59"/>
        <w:ind w:firstLine="480"/>
        <w:rPr>
          <w:rFonts w:cs="Times New Roman"/>
          <w:color w:val="auto"/>
        </w:rPr>
      </w:pPr>
      <w:r>
        <w:rPr>
          <w:rFonts w:cs="Times New Roman"/>
          <w:color w:val="auto"/>
        </w:rPr>
        <w:t>k、会同有关单位组织开展清洁生产活动，负责广泛开展环境宣传教育活动，普及环境科学知识，推动清洁生产活动的深度开展。</w:t>
      </w:r>
    </w:p>
    <w:p w14:paraId="0650453E">
      <w:pPr>
        <w:pStyle w:val="59"/>
        <w:ind w:firstLine="480"/>
        <w:rPr>
          <w:rFonts w:cs="Times New Roman"/>
          <w:color w:val="auto"/>
        </w:rPr>
      </w:pPr>
      <w:r>
        <w:rPr>
          <w:rFonts w:cs="Times New Roman"/>
          <w:color w:val="auto"/>
        </w:rPr>
        <w:t>3、企业管理</w:t>
      </w:r>
    </w:p>
    <w:p w14:paraId="4B7B8C18">
      <w:pPr>
        <w:pStyle w:val="59"/>
        <w:ind w:firstLine="480"/>
        <w:rPr>
          <w:rFonts w:cs="Times New Roman"/>
          <w:color w:val="auto"/>
        </w:rPr>
      </w:pPr>
      <w:r>
        <w:rPr>
          <w:rFonts w:cs="Times New Roman"/>
          <w:color w:val="auto"/>
        </w:rPr>
        <w:t>（1）确保各项环保设施的正常运转，负责日常维护，并制定事故的应急处理方法；</w:t>
      </w:r>
    </w:p>
    <w:p w14:paraId="11BA8F50">
      <w:pPr>
        <w:pStyle w:val="59"/>
        <w:ind w:firstLine="480"/>
        <w:rPr>
          <w:rFonts w:cs="Times New Roman"/>
          <w:color w:val="auto"/>
        </w:rPr>
      </w:pPr>
      <w:r>
        <w:rPr>
          <w:rFonts w:cs="Times New Roman"/>
          <w:color w:val="auto"/>
        </w:rPr>
        <w:t>（2）加强管理，提出清洁生产方案，降低了污染物的可能产生量；</w:t>
      </w:r>
    </w:p>
    <w:p w14:paraId="3E7DFDA2">
      <w:pPr>
        <w:pStyle w:val="59"/>
        <w:ind w:firstLine="480"/>
        <w:rPr>
          <w:rFonts w:cs="Times New Roman"/>
          <w:color w:val="auto"/>
        </w:rPr>
      </w:pPr>
      <w:r>
        <w:rPr>
          <w:rFonts w:cs="Times New Roman"/>
          <w:color w:val="auto"/>
        </w:rPr>
        <w:t>（3）加强对生产设备的管理和维护，杜绝跑、冒、滴、漏现象的发生；</w:t>
      </w:r>
    </w:p>
    <w:p w14:paraId="2704729C">
      <w:pPr>
        <w:pStyle w:val="59"/>
        <w:ind w:firstLine="480"/>
        <w:rPr>
          <w:rFonts w:cs="Times New Roman"/>
          <w:color w:val="auto"/>
        </w:rPr>
      </w:pPr>
      <w:r>
        <w:rPr>
          <w:rFonts w:cs="Times New Roman"/>
          <w:color w:val="auto"/>
        </w:rPr>
        <w:t>（4）负责企业的日常环境监测工作。</w:t>
      </w:r>
    </w:p>
    <w:p w14:paraId="08663B06">
      <w:pPr>
        <w:pStyle w:val="137"/>
        <w:rPr>
          <w:b/>
          <w:color w:val="auto"/>
        </w:rPr>
      </w:pPr>
      <w:bookmarkStart w:id="209" w:name="_Toc15991718"/>
      <w:r>
        <w:rPr>
          <w:color w:val="auto"/>
        </w:rPr>
        <w:t>8.1.1施工期环境管理</w:t>
      </w:r>
      <w:bookmarkEnd w:id="209"/>
      <w:r>
        <w:rPr>
          <w:color w:val="auto"/>
        </w:rPr>
        <w:t>要求</w:t>
      </w:r>
    </w:p>
    <w:p w14:paraId="1073B722">
      <w:pPr>
        <w:pStyle w:val="59"/>
        <w:ind w:firstLine="480"/>
        <w:rPr>
          <w:color w:val="auto"/>
        </w:rPr>
      </w:pPr>
      <w:r>
        <w:rPr>
          <w:color w:val="auto"/>
        </w:rPr>
        <w:t>1、环境管理机构对施工期环境保护工作全面负责，履行施工期各阶段环境管理职责。</w:t>
      </w:r>
    </w:p>
    <w:p w14:paraId="2101F9D9">
      <w:pPr>
        <w:pStyle w:val="59"/>
        <w:ind w:firstLine="480"/>
        <w:rPr>
          <w:color w:val="auto"/>
        </w:rPr>
      </w:pPr>
      <w:r>
        <w:rPr>
          <w:color w:val="auto"/>
        </w:rPr>
        <w:t>2、对施工队伍实行职责管理，要求施工队伍按要求文明施工，并做好监督、检查和教育工作。</w:t>
      </w:r>
    </w:p>
    <w:p w14:paraId="5E0C37A4">
      <w:pPr>
        <w:pStyle w:val="59"/>
        <w:ind w:firstLine="480"/>
        <w:rPr>
          <w:color w:val="auto"/>
        </w:rPr>
      </w:pPr>
      <w:r>
        <w:rPr>
          <w:color w:val="auto"/>
        </w:rPr>
        <w:t>3、按照环保主管部门的要求和本报告书中有关环境保护对策措施对施工程序和场地布置实施统一安排。</w:t>
      </w:r>
    </w:p>
    <w:p w14:paraId="25CD61F8">
      <w:pPr>
        <w:pStyle w:val="59"/>
        <w:ind w:firstLine="480"/>
        <w:rPr>
          <w:color w:val="auto"/>
        </w:rPr>
      </w:pPr>
      <w:r>
        <w:rPr>
          <w:color w:val="auto"/>
        </w:rPr>
        <w:t>4、土建工程需要土石方的挖掘与运输、管道挖沟、施工建材机械等占地，对产生的扬尘应及时洒水，及时清除弃土，避免二次扬尘。</w:t>
      </w:r>
    </w:p>
    <w:p w14:paraId="1A11F639">
      <w:pPr>
        <w:pStyle w:val="59"/>
        <w:ind w:firstLine="480"/>
        <w:rPr>
          <w:color w:val="auto"/>
        </w:rPr>
      </w:pPr>
      <w:r>
        <w:rPr>
          <w:color w:val="auto"/>
        </w:rPr>
        <w:t>5、合理布置施工场内的机械和设备，把噪声较大的机械设备布置到远离居民的地点。</w:t>
      </w:r>
    </w:p>
    <w:p w14:paraId="698EDD20">
      <w:pPr>
        <w:pStyle w:val="137"/>
        <w:rPr>
          <w:color w:val="auto"/>
        </w:rPr>
      </w:pPr>
      <w:bookmarkStart w:id="210" w:name="_Toc15991719"/>
      <w:r>
        <w:rPr>
          <w:color w:val="auto"/>
        </w:rPr>
        <w:t>8.1.2回填复垦期环境管理</w:t>
      </w:r>
      <w:bookmarkEnd w:id="210"/>
      <w:r>
        <w:rPr>
          <w:color w:val="auto"/>
        </w:rPr>
        <w:t>要求</w:t>
      </w:r>
    </w:p>
    <w:p w14:paraId="55A6823F">
      <w:pPr>
        <w:pStyle w:val="59"/>
        <w:adjustRightInd/>
        <w:snapToGrid/>
        <w:ind w:firstLine="480"/>
        <w:rPr>
          <w:rFonts w:cs="Times New Roman"/>
          <w:color w:val="auto"/>
        </w:rPr>
      </w:pPr>
      <w:r>
        <w:rPr>
          <w:rFonts w:cs="Times New Roman"/>
          <w:color w:val="auto"/>
        </w:rPr>
        <w:t>1、建立、执行并监督管理计划，对大气、废水等主要污染物制定详尽的监测、控制制度，以保证及时了解并控制污染物排放情况和对周围环境的影响情况。</w:t>
      </w:r>
    </w:p>
    <w:p w14:paraId="4C3D8C79">
      <w:pPr>
        <w:pStyle w:val="59"/>
        <w:adjustRightInd/>
        <w:snapToGrid/>
        <w:ind w:firstLine="480"/>
        <w:rPr>
          <w:rFonts w:cs="Times New Roman"/>
          <w:color w:val="auto"/>
        </w:rPr>
      </w:pPr>
      <w:r>
        <w:rPr>
          <w:rFonts w:cs="Times New Roman"/>
          <w:color w:val="auto"/>
        </w:rPr>
        <w:t>2、加强项目运营设备与设施的巡查检查，对于损坏的零部件要及时更换或维修，加强对</w:t>
      </w:r>
      <w:r>
        <w:rPr>
          <w:rFonts w:hint="eastAsia" w:cs="Times New Roman"/>
          <w:color w:val="auto"/>
        </w:rPr>
        <w:t>回填</w:t>
      </w:r>
      <w:r>
        <w:rPr>
          <w:rFonts w:cs="Times New Roman"/>
          <w:color w:val="auto"/>
        </w:rPr>
        <w:t>区的围挡、截洪沟系统、</w:t>
      </w:r>
      <w:r>
        <w:rPr>
          <w:rFonts w:hint="eastAsia" w:cs="Times New Roman"/>
          <w:color w:val="auto"/>
        </w:rPr>
        <w:t>淋溶水</w:t>
      </w:r>
      <w:r>
        <w:rPr>
          <w:rFonts w:cs="Times New Roman"/>
          <w:color w:val="auto"/>
        </w:rPr>
        <w:t>收集导排系统等的日常检查，对于潜在的</w:t>
      </w:r>
      <w:r>
        <w:rPr>
          <w:rFonts w:hint="eastAsia" w:cs="Times New Roman"/>
          <w:color w:val="auto"/>
        </w:rPr>
        <w:t>环境</w:t>
      </w:r>
      <w:r>
        <w:rPr>
          <w:rFonts w:cs="Times New Roman"/>
          <w:color w:val="auto"/>
        </w:rPr>
        <w:t>风险及时采取有效措施加以防治处理。</w:t>
      </w:r>
    </w:p>
    <w:p w14:paraId="26ED8376">
      <w:pPr>
        <w:pStyle w:val="59"/>
        <w:adjustRightInd/>
        <w:snapToGrid/>
        <w:ind w:firstLine="480"/>
        <w:rPr>
          <w:rFonts w:cs="Times New Roman"/>
          <w:color w:val="auto"/>
        </w:rPr>
      </w:pPr>
      <w:r>
        <w:rPr>
          <w:rFonts w:cs="Times New Roman"/>
          <w:color w:val="auto"/>
        </w:rPr>
        <w:t>3、明确环境监测的职责，建立健全</w:t>
      </w:r>
      <w:r>
        <w:rPr>
          <w:rFonts w:hint="eastAsia" w:cs="Times New Roman"/>
          <w:color w:val="auto"/>
        </w:rPr>
        <w:t>回填区</w:t>
      </w:r>
      <w:r>
        <w:rPr>
          <w:rFonts w:cs="Times New Roman"/>
          <w:color w:val="auto"/>
        </w:rPr>
        <w:t>的各项规章制度：根据国家环境标准，对重点污染源及污染物开展日常监测工作，编制表格和报表，定期上报有关主管部门，建立监测档案。</w:t>
      </w:r>
    </w:p>
    <w:p w14:paraId="7149461B">
      <w:pPr>
        <w:pStyle w:val="59"/>
        <w:adjustRightInd/>
        <w:snapToGrid/>
        <w:ind w:firstLine="480"/>
        <w:rPr>
          <w:rFonts w:cs="Times New Roman"/>
          <w:color w:val="auto"/>
        </w:rPr>
      </w:pPr>
      <w:r>
        <w:rPr>
          <w:rFonts w:cs="Times New Roman"/>
          <w:color w:val="auto"/>
        </w:rPr>
        <w:t>4、做好</w:t>
      </w:r>
      <w:r>
        <w:rPr>
          <w:rFonts w:hint="eastAsia" w:cs="Times New Roman"/>
          <w:color w:val="auto"/>
        </w:rPr>
        <w:t>回填区</w:t>
      </w:r>
      <w:r>
        <w:rPr>
          <w:rFonts w:cs="Times New Roman"/>
          <w:color w:val="auto"/>
        </w:rPr>
        <w:t>运行情况记录，包括</w:t>
      </w:r>
      <w:r>
        <w:rPr>
          <w:rFonts w:hint="eastAsia" w:cs="Times New Roman"/>
          <w:color w:val="auto"/>
          <w:lang w:eastAsia="zh-CN"/>
        </w:rPr>
        <w:t>灰渣</w:t>
      </w:r>
      <w:r>
        <w:rPr>
          <w:rFonts w:cs="Times New Roman"/>
          <w:color w:val="auto"/>
        </w:rPr>
        <w:t>来源、数量、进场时间、废物</w:t>
      </w:r>
      <w:r>
        <w:rPr>
          <w:rFonts w:hint="eastAsia" w:cs="Times New Roman"/>
          <w:color w:val="auto"/>
        </w:rPr>
        <w:t>回填</w:t>
      </w:r>
      <w:r>
        <w:rPr>
          <w:rFonts w:cs="Times New Roman"/>
          <w:color w:val="auto"/>
        </w:rPr>
        <w:t>位置等，记录单位应存档至少3年。定期对</w:t>
      </w:r>
      <w:r>
        <w:rPr>
          <w:rFonts w:hint="eastAsia" w:cs="Times New Roman"/>
          <w:color w:val="auto"/>
        </w:rPr>
        <w:t>回填区</w:t>
      </w:r>
      <w:r>
        <w:rPr>
          <w:rFonts w:cs="Times New Roman"/>
          <w:color w:val="auto"/>
        </w:rPr>
        <w:t>进行检查，发现问题及时采取措施维修。</w:t>
      </w:r>
    </w:p>
    <w:p w14:paraId="2C528CD3">
      <w:pPr>
        <w:pStyle w:val="137"/>
        <w:rPr>
          <w:color w:val="auto"/>
        </w:rPr>
      </w:pPr>
      <w:r>
        <w:rPr>
          <w:color w:val="auto"/>
        </w:rPr>
        <w:t>8.1.3</w:t>
      </w:r>
      <w:r>
        <w:rPr>
          <w:rFonts w:hint="eastAsia"/>
          <w:color w:val="auto"/>
        </w:rPr>
        <w:t>生态恢复期</w:t>
      </w:r>
      <w:r>
        <w:rPr>
          <w:color w:val="auto"/>
        </w:rPr>
        <w:t>环境管理要求</w:t>
      </w:r>
    </w:p>
    <w:p w14:paraId="61F990B0">
      <w:pPr>
        <w:pStyle w:val="59"/>
        <w:adjustRightInd/>
        <w:snapToGrid/>
        <w:ind w:firstLine="480"/>
        <w:rPr>
          <w:rFonts w:cs="Times New Roman"/>
          <w:color w:val="auto"/>
        </w:rPr>
      </w:pPr>
      <w:r>
        <w:rPr>
          <w:rFonts w:hint="eastAsia" w:cs="Times New Roman"/>
          <w:color w:val="auto"/>
        </w:rPr>
        <w:t>回填结束后应进行土地复垦</w:t>
      </w:r>
      <w:r>
        <w:rPr>
          <w:rFonts w:cs="Times New Roman"/>
          <w:color w:val="auto"/>
        </w:rPr>
        <w:t>，用安全合理的方式净化废物处理和贮存辅助措施，并且实施生态恢复计划。</w:t>
      </w:r>
    </w:p>
    <w:p w14:paraId="59B76618">
      <w:pPr>
        <w:pStyle w:val="59"/>
        <w:adjustRightInd/>
        <w:snapToGrid/>
        <w:ind w:firstLine="480"/>
        <w:rPr>
          <w:rFonts w:cs="Times New Roman"/>
          <w:color w:val="auto"/>
        </w:rPr>
      </w:pPr>
      <w:r>
        <w:rPr>
          <w:rFonts w:cs="Times New Roman"/>
          <w:color w:val="auto"/>
        </w:rPr>
        <w:t>1、维护最终覆盖层的完整性和有效性，进行必要的维修以消除沉降和凹陷及其他影响；</w:t>
      </w:r>
    </w:p>
    <w:p w14:paraId="1FC846DF">
      <w:pPr>
        <w:pStyle w:val="59"/>
        <w:adjustRightInd/>
        <w:snapToGrid/>
        <w:ind w:firstLine="480"/>
        <w:rPr>
          <w:rFonts w:cs="Times New Roman"/>
          <w:color w:val="auto"/>
        </w:rPr>
      </w:pPr>
      <w:r>
        <w:rPr>
          <w:rFonts w:cs="Times New Roman"/>
          <w:color w:val="auto"/>
        </w:rPr>
        <w:t>2、继续</w:t>
      </w:r>
      <w:r>
        <w:rPr>
          <w:rFonts w:hint="eastAsia" w:cs="Times New Roman"/>
          <w:color w:val="auto"/>
        </w:rPr>
        <w:t>导排</w:t>
      </w:r>
      <w:r>
        <w:rPr>
          <w:rFonts w:cs="Times New Roman"/>
          <w:color w:val="auto"/>
        </w:rPr>
        <w:t>产生</w:t>
      </w:r>
      <w:r>
        <w:rPr>
          <w:rFonts w:hint="eastAsia" w:cs="Times New Roman"/>
          <w:color w:val="auto"/>
        </w:rPr>
        <w:t>的淋溶水</w:t>
      </w:r>
      <w:r>
        <w:rPr>
          <w:rFonts w:cs="Times New Roman"/>
          <w:color w:val="auto"/>
        </w:rPr>
        <w:t>，并定期进行监测，直到未产生</w:t>
      </w:r>
      <w:r>
        <w:rPr>
          <w:rFonts w:hint="eastAsia" w:cs="Times New Roman"/>
          <w:color w:val="auto"/>
        </w:rPr>
        <w:t>淋溶水</w:t>
      </w:r>
      <w:r>
        <w:rPr>
          <w:rFonts w:cs="Times New Roman"/>
          <w:color w:val="auto"/>
        </w:rPr>
        <w:t>为止；</w:t>
      </w:r>
    </w:p>
    <w:p w14:paraId="7D922115">
      <w:pPr>
        <w:pStyle w:val="137"/>
        <w:rPr>
          <w:b/>
          <w:color w:val="auto"/>
        </w:rPr>
      </w:pPr>
      <w:bookmarkStart w:id="211" w:name="_Toc527121434"/>
      <w:bookmarkStart w:id="212" w:name="_Toc15991720"/>
      <w:r>
        <w:rPr>
          <w:color w:val="auto"/>
        </w:rPr>
        <w:t>8.1.4污染物排放清单及管理要求</w:t>
      </w:r>
      <w:bookmarkEnd w:id="211"/>
      <w:bookmarkEnd w:id="212"/>
    </w:p>
    <w:p w14:paraId="2E2483E5">
      <w:pPr>
        <w:pStyle w:val="135"/>
        <w:rPr>
          <w:color w:val="auto"/>
        </w:rPr>
      </w:pPr>
      <w:r>
        <w:rPr>
          <w:color w:val="auto"/>
        </w:rPr>
        <w:t>8.1.4.1排放管理清单</w:t>
      </w:r>
    </w:p>
    <w:p w14:paraId="7D4B0587">
      <w:pPr>
        <w:pStyle w:val="59"/>
        <w:ind w:firstLine="480"/>
        <w:rPr>
          <w:color w:val="auto"/>
        </w:rPr>
      </w:pPr>
      <w:r>
        <w:rPr>
          <w:rFonts w:hint="eastAsia"/>
          <w:color w:val="auto"/>
        </w:rPr>
        <w:t>建设项目拟采取的环境保护措施及主要运行参数，排放的污染物种类、排放浓度和总量</w:t>
      </w:r>
      <w:r>
        <w:rPr>
          <w:color w:val="auto"/>
        </w:rPr>
        <w:t>指标，污染物排放的分时段要求，执行的环境标准等</w:t>
      </w:r>
      <w:r>
        <w:rPr>
          <w:rFonts w:hint="eastAsia"/>
          <w:color w:val="auto"/>
        </w:rPr>
        <w:t>详见污染物排放</w:t>
      </w:r>
      <w:r>
        <w:rPr>
          <w:rFonts w:hint="eastAsia"/>
          <w:color w:val="auto"/>
          <w:lang w:eastAsia="zh-CN"/>
        </w:rPr>
        <w:t>清单</w:t>
      </w:r>
      <w:r>
        <w:rPr>
          <w:rFonts w:hint="eastAsia"/>
          <w:color w:val="auto"/>
        </w:rPr>
        <w:t>，见表</w:t>
      </w:r>
      <w:r>
        <w:rPr>
          <w:color w:val="auto"/>
        </w:rPr>
        <w:t>8-1-1</w:t>
      </w:r>
      <w:r>
        <w:rPr>
          <w:rFonts w:hint="eastAsia"/>
          <w:color w:val="auto"/>
        </w:rPr>
        <w:t>。</w:t>
      </w:r>
    </w:p>
    <w:p w14:paraId="6CC11C46">
      <w:pPr>
        <w:pStyle w:val="135"/>
        <w:rPr>
          <w:color w:val="auto"/>
        </w:rPr>
      </w:pPr>
      <w:r>
        <w:rPr>
          <w:rFonts w:hint="eastAsia"/>
          <w:color w:val="auto"/>
        </w:rPr>
        <w:t>8</w:t>
      </w:r>
      <w:r>
        <w:rPr>
          <w:color w:val="auto"/>
        </w:rPr>
        <w:t>.1.5.2</w:t>
      </w:r>
      <w:r>
        <w:rPr>
          <w:rFonts w:hint="eastAsia"/>
          <w:color w:val="auto"/>
        </w:rPr>
        <w:t>排放管理要求</w:t>
      </w:r>
    </w:p>
    <w:p w14:paraId="448A83D2">
      <w:pPr>
        <w:pStyle w:val="59"/>
        <w:ind w:firstLine="480"/>
        <w:rPr>
          <w:color w:val="auto"/>
        </w:rPr>
      </w:pPr>
      <w:r>
        <w:rPr>
          <w:rFonts w:hint="eastAsia"/>
          <w:color w:val="auto"/>
        </w:rPr>
        <w:t>（1）根据国家环保政策、标准及环境监测要求，制定该项目回填复垦期环境管理规章制度、各种污染物排放指标；对环保设施进行定期维护和检修，确保环保设施的正常运行及管网畅通；对本项目废水进行处理，确保处理系统的正常运行；生活垃圾收集管理应由专人负责，分类收集，外运时，应采用封闭自卸专用车，运到指定地点处置。</w:t>
      </w:r>
    </w:p>
    <w:p w14:paraId="4E3D64D3">
      <w:pPr>
        <w:pStyle w:val="59"/>
        <w:ind w:firstLine="480"/>
        <w:rPr>
          <w:color w:val="auto"/>
        </w:rPr>
      </w:pPr>
      <w:r>
        <w:rPr>
          <w:rFonts w:hint="eastAsia"/>
          <w:color w:val="auto"/>
        </w:rPr>
        <w:t>（</w:t>
      </w:r>
      <w:r>
        <w:rPr>
          <w:color w:val="auto"/>
        </w:rPr>
        <w:t>2</w:t>
      </w:r>
      <w:r>
        <w:rPr>
          <w:rFonts w:hint="eastAsia"/>
          <w:color w:val="auto"/>
        </w:rPr>
        <w:t>）工程组成：回填区、暂存池等。</w:t>
      </w:r>
    </w:p>
    <w:p w14:paraId="40FFE70F">
      <w:pPr>
        <w:pStyle w:val="59"/>
        <w:ind w:firstLine="480"/>
        <w:rPr>
          <w:color w:val="auto"/>
        </w:rPr>
      </w:pPr>
      <w:r>
        <w:rPr>
          <w:rFonts w:hint="eastAsia"/>
          <w:color w:val="auto"/>
        </w:rPr>
        <w:t>原辅材料组分：本项目回填材料为</w:t>
      </w:r>
      <w:r>
        <w:rPr>
          <w:rFonts w:hint="eastAsia"/>
          <w:snapToGrid w:val="0"/>
          <w:color w:val="auto"/>
          <w:lang w:eastAsia="zh-CN"/>
        </w:rPr>
        <w:t>黑龙江醇能热电有限公司</w:t>
      </w:r>
      <w:r>
        <w:rPr>
          <w:rFonts w:hint="eastAsia"/>
          <w:color w:val="auto"/>
        </w:rPr>
        <w:t>的</w:t>
      </w:r>
      <w:r>
        <w:rPr>
          <w:rFonts w:hint="eastAsia"/>
          <w:color w:val="auto"/>
          <w:lang w:eastAsia="zh-CN"/>
        </w:rPr>
        <w:t>灰渣</w:t>
      </w:r>
      <w:r>
        <w:rPr>
          <w:rFonts w:hint="eastAsia"/>
          <w:color w:val="auto"/>
        </w:rPr>
        <w:t>，属于</w:t>
      </w:r>
      <w:r>
        <w:rPr>
          <w:snapToGrid w:val="0"/>
          <w:color w:val="auto"/>
        </w:rPr>
        <w:fldChar w:fldCharType="begin"/>
      </w:r>
      <w:r>
        <w:rPr>
          <w:snapToGrid w:val="0"/>
          <w:color w:val="auto"/>
        </w:rPr>
        <w:instrText xml:space="preserve"> </w:instrText>
      </w:r>
      <w:r>
        <w:rPr>
          <w:rFonts w:hint="eastAsia"/>
          <w:snapToGrid w:val="0"/>
          <w:color w:val="auto"/>
        </w:rPr>
        <w:instrText xml:space="preserve">= 1 \* ROMAN</w:instrText>
      </w:r>
      <w:r>
        <w:rPr>
          <w:snapToGrid w:val="0"/>
          <w:color w:val="auto"/>
        </w:rPr>
        <w:instrText xml:space="preserve"> </w:instrText>
      </w:r>
      <w:r>
        <w:rPr>
          <w:snapToGrid w:val="0"/>
          <w:color w:val="auto"/>
        </w:rPr>
        <w:fldChar w:fldCharType="separate"/>
      </w:r>
      <w:r>
        <w:rPr>
          <w:snapToGrid w:val="0"/>
          <w:color w:val="auto"/>
        </w:rPr>
        <w:t>I</w:t>
      </w:r>
      <w:r>
        <w:rPr>
          <w:snapToGrid w:val="0"/>
          <w:color w:val="auto"/>
        </w:rPr>
        <w:fldChar w:fldCharType="end"/>
      </w:r>
      <w:r>
        <w:rPr>
          <w:color w:val="auto"/>
        </w:rPr>
        <w:t>类</w:t>
      </w:r>
      <w:r>
        <w:rPr>
          <w:rFonts w:hint="eastAsia"/>
          <w:color w:val="auto"/>
        </w:rPr>
        <w:t>一般工业固体废物。</w:t>
      </w:r>
    </w:p>
    <w:p w14:paraId="42284DD1">
      <w:pPr>
        <w:pStyle w:val="59"/>
        <w:ind w:firstLine="480"/>
        <w:rPr>
          <w:color w:val="auto"/>
        </w:rPr>
      </w:pPr>
      <w:r>
        <w:rPr>
          <w:rFonts w:hint="eastAsia"/>
          <w:color w:val="auto"/>
        </w:rPr>
        <w:t>（</w:t>
      </w:r>
      <w:r>
        <w:rPr>
          <w:color w:val="auto"/>
        </w:rPr>
        <w:t>3</w:t>
      </w:r>
      <w:r>
        <w:rPr>
          <w:rFonts w:hint="eastAsia"/>
          <w:color w:val="auto"/>
        </w:rPr>
        <w:t>）环境风险防范措施：①项目场底清理后场底基础进行30cm厚的改性压实粘土压实防渗，防渗后其防渗性能能够小于渗透系数为1.0×10</w:t>
      </w:r>
      <w:r>
        <w:rPr>
          <w:rFonts w:hint="eastAsia"/>
          <w:color w:val="auto"/>
          <w:vertAlign w:val="superscript"/>
        </w:rPr>
        <w:t>-5</w:t>
      </w:r>
      <w:r>
        <w:rPr>
          <w:rFonts w:hint="eastAsia"/>
          <w:color w:val="auto"/>
        </w:rPr>
        <w:t>cm/s且厚度为0.75m的天然基础层；淋溶水暂存池采取防渗措施，渗透系数应小于1</w:t>
      </w:r>
      <w:r>
        <w:rPr>
          <w:color w:val="auto"/>
        </w:rPr>
        <w:t>×10</w:t>
      </w:r>
      <w:r>
        <w:rPr>
          <w:color w:val="auto"/>
          <w:vertAlign w:val="superscript"/>
        </w:rPr>
        <w:t>-7</w:t>
      </w:r>
      <w:r>
        <w:rPr>
          <w:color w:val="auto"/>
        </w:rPr>
        <w:t>cm/s。</w:t>
      </w:r>
      <w:r>
        <w:rPr>
          <w:color w:val="auto"/>
        </w:rPr>
        <w:fldChar w:fldCharType="begin"/>
      </w:r>
      <w:r>
        <w:rPr>
          <w:color w:val="auto"/>
        </w:rPr>
        <w:instrText xml:space="preserve"> </w:instrText>
      </w:r>
      <w:r>
        <w:rPr>
          <w:rFonts w:hint="eastAsia"/>
          <w:color w:val="auto"/>
        </w:rPr>
        <w:instrText xml:space="preserve">= 2 \* GB3</w:instrText>
      </w:r>
      <w:r>
        <w:rPr>
          <w:color w:val="auto"/>
        </w:rPr>
        <w:instrText xml:space="preserve"> </w:instrText>
      </w:r>
      <w:r>
        <w:rPr>
          <w:color w:val="auto"/>
        </w:rPr>
        <w:fldChar w:fldCharType="separate"/>
      </w:r>
      <w:r>
        <w:rPr>
          <w:rFonts w:hint="eastAsia"/>
          <w:color w:val="auto"/>
        </w:rPr>
        <w:t>②</w:t>
      </w:r>
      <w:r>
        <w:rPr>
          <w:color w:val="auto"/>
        </w:rPr>
        <w:fldChar w:fldCharType="end"/>
      </w:r>
      <w:r>
        <w:rPr>
          <w:rFonts w:hint="eastAsia"/>
          <w:color w:val="auto"/>
        </w:rPr>
        <w:t>作业时做好淋溶水导排管道的铺设工作，保证其不堵塞、不破裂，正常运转；淋溶水导排系统在初期若发现有淋溶水淌出，应立即停止作业，进行修补。</w:t>
      </w:r>
      <w:r>
        <w:rPr>
          <w:color w:val="auto"/>
        </w:rPr>
        <w:fldChar w:fldCharType="begin"/>
      </w:r>
      <w:r>
        <w:rPr>
          <w:color w:val="auto"/>
        </w:rPr>
        <w:instrText xml:space="preserve"> </w:instrText>
      </w:r>
      <w:r>
        <w:rPr>
          <w:rFonts w:hint="eastAsia"/>
          <w:color w:val="auto"/>
        </w:rPr>
        <w:instrText xml:space="preserve">= 3 \* GB3</w:instrText>
      </w:r>
      <w:r>
        <w:rPr>
          <w:color w:val="auto"/>
        </w:rPr>
        <w:instrText xml:space="preserve"> </w:instrText>
      </w:r>
      <w:r>
        <w:rPr>
          <w:color w:val="auto"/>
        </w:rPr>
        <w:fldChar w:fldCharType="separate"/>
      </w:r>
      <w:r>
        <w:rPr>
          <w:rFonts w:hint="eastAsia"/>
          <w:color w:val="auto"/>
        </w:rPr>
        <w:t>③</w:t>
      </w:r>
      <w:r>
        <w:rPr>
          <w:color w:val="auto"/>
        </w:rPr>
        <w:fldChar w:fldCharType="end"/>
      </w:r>
      <w:r>
        <w:rPr>
          <w:rFonts w:hint="eastAsia"/>
          <w:color w:val="auto"/>
        </w:rPr>
        <w:t>项目在回填区周边设置了</w:t>
      </w:r>
      <w:r>
        <w:rPr>
          <w:color w:val="auto"/>
        </w:rPr>
        <w:t>3</w:t>
      </w:r>
      <w:r>
        <w:rPr>
          <w:rFonts w:hint="eastAsia"/>
          <w:color w:val="auto"/>
        </w:rPr>
        <w:t>口地下水监测井，应加强监控措施、增加监测频次，一旦数据异常，有污染迹象时，应及时查找原因，发现渗漏位置并采取补救措施，防止污染进一步扩散。</w:t>
      </w:r>
      <w:r>
        <w:rPr>
          <w:color w:val="auto"/>
        </w:rPr>
        <w:fldChar w:fldCharType="begin"/>
      </w:r>
      <w:r>
        <w:rPr>
          <w:color w:val="auto"/>
        </w:rPr>
        <w:instrText xml:space="preserve"> </w:instrText>
      </w:r>
      <w:r>
        <w:rPr>
          <w:rFonts w:hint="eastAsia"/>
          <w:color w:val="auto"/>
        </w:rPr>
        <w:instrText xml:space="preserve">= 4 \* GB3</w:instrText>
      </w:r>
      <w:r>
        <w:rPr>
          <w:color w:val="auto"/>
        </w:rPr>
        <w:instrText xml:space="preserve"> </w:instrText>
      </w:r>
      <w:r>
        <w:rPr>
          <w:color w:val="auto"/>
        </w:rPr>
        <w:fldChar w:fldCharType="separate"/>
      </w:r>
      <w:r>
        <w:rPr>
          <w:rFonts w:hint="eastAsia"/>
          <w:color w:val="auto"/>
        </w:rPr>
        <w:t>④</w:t>
      </w:r>
      <w:r>
        <w:rPr>
          <w:color w:val="auto"/>
        </w:rPr>
        <w:fldChar w:fldCharType="end"/>
      </w:r>
      <w:r>
        <w:rPr>
          <w:rFonts w:hint="eastAsia"/>
          <w:color w:val="auto"/>
        </w:rPr>
        <w:t>本工程选用DN300和DN200的HDPE穿孔管作为淋溶水导排排水管，为保证淋溶水的及时排出，淋溶水提升井内1台设置Q=20m</w:t>
      </w:r>
      <w:r>
        <w:rPr>
          <w:rFonts w:hint="eastAsia"/>
          <w:color w:val="auto"/>
          <w:vertAlign w:val="superscript"/>
        </w:rPr>
        <w:t>3</w:t>
      </w:r>
      <w:r>
        <w:rPr>
          <w:rFonts w:hint="eastAsia"/>
          <w:color w:val="auto"/>
        </w:rPr>
        <w:t>/h，H=40m自冲搅拌型潜水提升泵，工作一台能够满足平均日淋溶水排除要求，淋溶水排污泵采用液位自动控制，自动启闭水泵，配电使用远程自动控制系统。采取上述措施后，可将淋溶水渗漏等风险降至可接受水平。</w:t>
      </w:r>
    </w:p>
    <w:p w14:paraId="2A70E577">
      <w:pPr>
        <w:pStyle w:val="59"/>
        <w:ind w:firstLine="480"/>
        <w:rPr>
          <w:color w:val="auto"/>
        </w:rPr>
      </w:pPr>
      <w:r>
        <w:rPr>
          <w:rFonts w:hint="eastAsia"/>
          <w:color w:val="auto"/>
        </w:rPr>
        <w:t>（</w:t>
      </w:r>
      <w:r>
        <w:rPr>
          <w:color w:val="auto"/>
        </w:rPr>
        <w:t>4</w:t>
      </w:r>
      <w:r>
        <w:rPr>
          <w:rFonts w:hint="eastAsia"/>
          <w:color w:val="auto"/>
        </w:rPr>
        <w:t>）环境监测：应按本报告提出的要求定期对地下水、土壤环境质量和废气排放进行监测。</w:t>
      </w:r>
    </w:p>
    <w:p w14:paraId="40123959">
      <w:pPr>
        <w:pStyle w:val="59"/>
        <w:ind w:firstLine="480"/>
        <w:rPr>
          <w:color w:val="auto"/>
        </w:rPr>
      </w:pPr>
      <w:r>
        <w:rPr>
          <w:rFonts w:hint="eastAsia"/>
          <w:color w:val="auto"/>
        </w:rPr>
        <w:t>（</w:t>
      </w:r>
      <w:r>
        <w:rPr>
          <w:color w:val="auto"/>
        </w:rPr>
        <w:t>5</w:t>
      </w:r>
      <w:r>
        <w:rPr>
          <w:rFonts w:hint="eastAsia"/>
          <w:color w:val="auto"/>
        </w:rPr>
        <w:t>）应向社会公开的信息内容：应对地下水、土壤环境质量、废气排放和污染防治设施的运行情况进行公开。</w:t>
      </w:r>
    </w:p>
    <w:p w14:paraId="58EE3894">
      <w:pPr>
        <w:pStyle w:val="59"/>
        <w:ind w:firstLine="480"/>
        <w:rPr>
          <w:color w:val="auto"/>
        </w:rPr>
        <w:sectPr>
          <w:pgSz w:w="11906" w:h="16838"/>
          <w:pgMar w:top="1440" w:right="1800" w:bottom="1440" w:left="1800" w:header="850" w:footer="992" w:gutter="0"/>
          <w:pgBorders>
            <w:top w:val="none" w:sz="0" w:space="0"/>
            <w:left w:val="none" w:sz="0" w:space="0"/>
            <w:bottom w:val="none" w:sz="0" w:space="0"/>
            <w:right w:val="none" w:sz="0" w:space="0"/>
          </w:pgBorders>
          <w:cols w:space="425" w:num="1"/>
          <w:docGrid w:type="lines" w:linePitch="312" w:charSpace="0"/>
        </w:sectPr>
      </w:pPr>
    </w:p>
    <w:p w14:paraId="0F985860">
      <w:pPr>
        <w:pStyle w:val="76"/>
        <w:rPr>
          <w:snapToGrid w:val="0"/>
          <w:color w:val="auto"/>
          <w:kern w:val="0"/>
        </w:rPr>
      </w:pPr>
      <w:bookmarkStart w:id="213" w:name="_Hlk480431254"/>
      <w:r>
        <w:rPr>
          <w:snapToGrid w:val="0"/>
          <w:color w:val="auto"/>
          <w:kern w:val="0"/>
        </w:rPr>
        <w:t>表8-1-1污染物排放管理</w:t>
      </w:r>
      <w:r>
        <w:rPr>
          <w:rFonts w:hint="eastAsia"/>
          <w:snapToGrid w:val="0"/>
          <w:color w:val="auto"/>
          <w:kern w:val="0"/>
        </w:rPr>
        <w:t>清单</w:t>
      </w:r>
      <w:r>
        <w:rPr>
          <w:snapToGrid w:val="0"/>
          <w:color w:val="auto"/>
          <w:kern w:val="0"/>
        </w:rPr>
        <w:t>一览表</w:t>
      </w:r>
    </w:p>
    <w:tbl>
      <w:tblPr>
        <w:tblStyle w:val="769"/>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8"/>
        <w:gridCol w:w="1411"/>
        <w:gridCol w:w="1456"/>
        <w:gridCol w:w="3118"/>
        <w:gridCol w:w="850"/>
        <w:gridCol w:w="1559"/>
        <w:gridCol w:w="4166"/>
      </w:tblGrid>
      <w:tr w14:paraId="7AB63B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1009C2F">
            <w:pPr>
              <w:pStyle w:val="84"/>
              <w:rPr>
                <w:snapToGrid w:val="0"/>
                <w:color w:val="auto"/>
              </w:rPr>
            </w:pPr>
            <w:r>
              <w:rPr>
                <w:snapToGrid w:val="0"/>
                <w:color w:val="auto"/>
              </w:rPr>
              <w:t>环境要素</w:t>
            </w:r>
          </w:p>
        </w:tc>
        <w:tc>
          <w:tcPr>
            <w:tcW w:w="2867" w:type="dxa"/>
            <w:gridSpan w:val="2"/>
            <w:vAlign w:val="center"/>
          </w:tcPr>
          <w:p w14:paraId="22477E62">
            <w:pPr>
              <w:pStyle w:val="84"/>
              <w:rPr>
                <w:snapToGrid w:val="0"/>
                <w:color w:val="auto"/>
              </w:rPr>
            </w:pPr>
            <w:r>
              <w:rPr>
                <w:snapToGrid w:val="0"/>
                <w:color w:val="auto"/>
              </w:rPr>
              <w:t>管理项目</w:t>
            </w:r>
          </w:p>
        </w:tc>
        <w:tc>
          <w:tcPr>
            <w:tcW w:w="3118" w:type="dxa"/>
            <w:vAlign w:val="center"/>
          </w:tcPr>
          <w:p w14:paraId="7FB56CB9">
            <w:pPr>
              <w:pStyle w:val="84"/>
              <w:rPr>
                <w:snapToGrid w:val="0"/>
                <w:color w:val="auto"/>
              </w:rPr>
            </w:pPr>
            <w:r>
              <w:rPr>
                <w:snapToGrid w:val="0"/>
                <w:color w:val="auto"/>
              </w:rPr>
              <w:t>污染防治措施</w:t>
            </w:r>
          </w:p>
        </w:tc>
        <w:tc>
          <w:tcPr>
            <w:tcW w:w="850" w:type="dxa"/>
            <w:vAlign w:val="center"/>
          </w:tcPr>
          <w:p w14:paraId="5E9295A8">
            <w:pPr>
              <w:pStyle w:val="84"/>
              <w:rPr>
                <w:snapToGrid w:val="0"/>
                <w:color w:val="auto"/>
              </w:rPr>
            </w:pPr>
            <w:r>
              <w:rPr>
                <w:snapToGrid w:val="0"/>
                <w:color w:val="auto"/>
              </w:rPr>
              <w:t>排放浓度</w:t>
            </w:r>
          </w:p>
        </w:tc>
        <w:tc>
          <w:tcPr>
            <w:tcW w:w="1559" w:type="dxa"/>
            <w:vAlign w:val="center"/>
          </w:tcPr>
          <w:p w14:paraId="7A9AFE7C">
            <w:pPr>
              <w:pStyle w:val="84"/>
              <w:rPr>
                <w:snapToGrid w:val="0"/>
                <w:color w:val="auto"/>
              </w:rPr>
            </w:pPr>
            <w:r>
              <w:rPr>
                <w:snapToGrid w:val="0"/>
                <w:color w:val="auto"/>
              </w:rPr>
              <w:t>排放量</w:t>
            </w:r>
          </w:p>
        </w:tc>
        <w:tc>
          <w:tcPr>
            <w:tcW w:w="4166" w:type="dxa"/>
            <w:vAlign w:val="center"/>
          </w:tcPr>
          <w:p w14:paraId="2A8099A5">
            <w:pPr>
              <w:pStyle w:val="84"/>
              <w:rPr>
                <w:snapToGrid w:val="0"/>
                <w:color w:val="auto"/>
              </w:rPr>
            </w:pPr>
            <w:r>
              <w:rPr>
                <w:snapToGrid w:val="0"/>
                <w:color w:val="auto"/>
              </w:rPr>
              <w:t>执行标准</w:t>
            </w:r>
          </w:p>
        </w:tc>
      </w:tr>
      <w:bookmarkEnd w:id="213"/>
      <w:tr w14:paraId="7B6E5F6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restart"/>
            <w:vAlign w:val="center"/>
          </w:tcPr>
          <w:p w14:paraId="0A6F1534">
            <w:pPr>
              <w:pStyle w:val="84"/>
              <w:jc w:val="both"/>
              <w:rPr>
                <w:snapToGrid w:val="0"/>
                <w:color w:val="auto"/>
              </w:rPr>
            </w:pPr>
            <w:r>
              <w:rPr>
                <w:snapToGrid w:val="0"/>
                <w:color w:val="auto"/>
              </w:rPr>
              <w:t>地表水环境</w:t>
            </w:r>
          </w:p>
        </w:tc>
        <w:tc>
          <w:tcPr>
            <w:tcW w:w="1411" w:type="dxa"/>
            <w:vAlign w:val="center"/>
          </w:tcPr>
          <w:p w14:paraId="144A851D">
            <w:pPr>
              <w:pStyle w:val="84"/>
              <w:rPr>
                <w:snapToGrid w:val="0"/>
                <w:color w:val="auto"/>
              </w:rPr>
            </w:pPr>
            <w:r>
              <w:rPr>
                <w:rFonts w:hint="eastAsia" w:ascii="宋体" w:hAnsi="宋体" w:cs="宋体"/>
                <w:snapToGrid w:val="0"/>
                <w:color w:val="auto"/>
                <w:kern w:val="0"/>
              </w:rPr>
              <w:t>淋溶水</w:t>
            </w:r>
          </w:p>
        </w:tc>
        <w:tc>
          <w:tcPr>
            <w:tcW w:w="1456" w:type="dxa"/>
            <w:vAlign w:val="center"/>
          </w:tcPr>
          <w:p w14:paraId="3A21FD23">
            <w:pPr>
              <w:pStyle w:val="84"/>
              <w:rPr>
                <w:snapToGrid w:val="0"/>
                <w:color w:val="auto"/>
              </w:rPr>
            </w:pPr>
            <w:r>
              <w:rPr>
                <w:snapToGrid w:val="0"/>
                <w:color w:val="auto"/>
              </w:rPr>
              <w:t>pH</w:t>
            </w:r>
          </w:p>
          <w:p w14:paraId="1A38F4D1">
            <w:pPr>
              <w:pStyle w:val="84"/>
              <w:rPr>
                <w:snapToGrid w:val="0"/>
                <w:color w:val="auto"/>
              </w:rPr>
            </w:pPr>
            <w:r>
              <w:rPr>
                <w:snapToGrid w:val="0"/>
                <w:color w:val="auto"/>
              </w:rPr>
              <w:t>CODcr</w:t>
            </w:r>
          </w:p>
          <w:p w14:paraId="4D1B76EC">
            <w:pPr>
              <w:pStyle w:val="84"/>
              <w:rPr>
                <w:snapToGrid w:val="0"/>
                <w:color w:val="auto"/>
              </w:rPr>
            </w:pPr>
            <w:r>
              <w:rPr>
                <w:snapToGrid w:val="0"/>
                <w:color w:val="auto"/>
              </w:rPr>
              <w:t>BOD</w:t>
            </w:r>
            <w:r>
              <w:rPr>
                <w:snapToGrid w:val="0"/>
                <w:color w:val="auto"/>
                <w:vertAlign w:val="subscript"/>
              </w:rPr>
              <w:t>5</w:t>
            </w:r>
          </w:p>
          <w:p w14:paraId="5D59AD94">
            <w:pPr>
              <w:pStyle w:val="84"/>
              <w:rPr>
                <w:snapToGrid w:val="0"/>
                <w:color w:val="auto"/>
              </w:rPr>
            </w:pPr>
            <w:r>
              <w:rPr>
                <w:snapToGrid w:val="0"/>
                <w:color w:val="auto"/>
              </w:rPr>
              <w:t>SS</w:t>
            </w:r>
            <w:r>
              <w:rPr>
                <w:rFonts w:hint="eastAsia"/>
                <w:snapToGrid w:val="0"/>
                <w:color w:val="auto"/>
              </w:rPr>
              <w:t>等</w:t>
            </w:r>
          </w:p>
        </w:tc>
        <w:tc>
          <w:tcPr>
            <w:tcW w:w="3118" w:type="dxa"/>
            <w:vAlign w:val="center"/>
          </w:tcPr>
          <w:p w14:paraId="30973AF2">
            <w:pPr>
              <w:pStyle w:val="84"/>
              <w:rPr>
                <w:snapToGrid w:val="0"/>
                <w:color w:val="auto"/>
              </w:rPr>
            </w:pPr>
            <w:r>
              <w:rPr>
                <w:rFonts w:hint="eastAsia" w:ascii="宋体" w:hAnsi="宋体" w:cs="宋体"/>
                <w:snapToGrid w:val="0"/>
                <w:color w:val="auto"/>
                <w:kern w:val="0"/>
              </w:rPr>
              <w:t>导排至暂存池沉淀后回用于场区洒水降尘</w:t>
            </w:r>
          </w:p>
        </w:tc>
        <w:tc>
          <w:tcPr>
            <w:tcW w:w="850" w:type="dxa"/>
            <w:vAlign w:val="center"/>
          </w:tcPr>
          <w:p w14:paraId="00FF4924">
            <w:pPr>
              <w:pStyle w:val="84"/>
              <w:rPr>
                <w:snapToGrid w:val="0"/>
                <w:color w:val="auto"/>
              </w:rPr>
            </w:pPr>
            <w:r>
              <w:rPr>
                <w:rFonts w:hint="eastAsia"/>
                <w:snapToGrid w:val="0"/>
                <w:color w:val="auto"/>
              </w:rPr>
              <w:t>/</w:t>
            </w:r>
          </w:p>
        </w:tc>
        <w:tc>
          <w:tcPr>
            <w:tcW w:w="1559" w:type="dxa"/>
            <w:vAlign w:val="center"/>
          </w:tcPr>
          <w:p w14:paraId="29EFCF9B">
            <w:pPr>
              <w:pStyle w:val="84"/>
              <w:rPr>
                <w:snapToGrid w:val="0"/>
                <w:color w:val="auto"/>
              </w:rPr>
            </w:pPr>
            <w:r>
              <w:rPr>
                <w:rFonts w:hint="eastAsia"/>
                <w:snapToGrid w:val="0"/>
                <w:color w:val="auto"/>
              </w:rPr>
              <w:t>/</w:t>
            </w:r>
          </w:p>
        </w:tc>
        <w:tc>
          <w:tcPr>
            <w:tcW w:w="4166" w:type="dxa"/>
            <w:vAlign w:val="center"/>
          </w:tcPr>
          <w:p w14:paraId="2B3EB66B">
            <w:pPr>
              <w:pStyle w:val="84"/>
              <w:rPr>
                <w:snapToGrid w:val="0"/>
                <w:color w:val="auto"/>
              </w:rPr>
            </w:pPr>
            <w:r>
              <w:rPr>
                <w:rFonts w:hint="eastAsia"/>
                <w:snapToGrid w:val="0"/>
                <w:color w:val="auto"/>
              </w:rPr>
              <w:t>/</w:t>
            </w:r>
          </w:p>
        </w:tc>
      </w:tr>
      <w:tr w14:paraId="69607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14:paraId="76D4CCCF">
            <w:pPr>
              <w:pStyle w:val="84"/>
              <w:jc w:val="both"/>
              <w:rPr>
                <w:snapToGrid w:val="0"/>
                <w:color w:val="auto"/>
              </w:rPr>
            </w:pPr>
          </w:p>
        </w:tc>
        <w:tc>
          <w:tcPr>
            <w:tcW w:w="1411" w:type="dxa"/>
            <w:vAlign w:val="center"/>
          </w:tcPr>
          <w:p w14:paraId="5507F156">
            <w:pPr>
              <w:pStyle w:val="84"/>
              <w:jc w:val="both"/>
              <w:rPr>
                <w:snapToGrid w:val="0"/>
                <w:color w:val="auto"/>
              </w:rPr>
            </w:pPr>
            <w:r>
              <w:rPr>
                <w:rFonts w:hint="eastAsia"/>
                <w:snapToGrid w:val="0"/>
                <w:color w:val="auto"/>
              </w:rPr>
              <w:t>工作人员生活污水</w:t>
            </w:r>
          </w:p>
        </w:tc>
        <w:tc>
          <w:tcPr>
            <w:tcW w:w="1456" w:type="dxa"/>
            <w:vAlign w:val="center"/>
          </w:tcPr>
          <w:p w14:paraId="7BF35CF2">
            <w:pPr>
              <w:pStyle w:val="84"/>
              <w:rPr>
                <w:snapToGrid w:val="0"/>
                <w:color w:val="auto"/>
              </w:rPr>
            </w:pPr>
            <w:r>
              <w:rPr>
                <w:snapToGrid w:val="0"/>
                <w:color w:val="auto"/>
              </w:rPr>
              <w:t>CODcr</w:t>
            </w:r>
          </w:p>
          <w:p w14:paraId="7D4A06ED">
            <w:pPr>
              <w:pStyle w:val="84"/>
              <w:rPr>
                <w:snapToGrid w:val="0"/>
                <w:color w:val="auto"/>
              </w:rPr>
            </w:pPr>
            <w:r>
              <w:rPr>
                <w:snapToGrid w:val="0"/>
                <w:color w:val="auto"/>
              </w:rPr>
              <w:t>BOD</w:t>
            </w:r>
            <w:r>
              <w:rPr>
                <w:snapToGrid w:val="0"/>
                <w:color w:val="auto"/>
                <w:vertAlign w:val="subscript"/>
              </w:rPr>
              <w:t>5</w:t>
            </w:r>
          </w:p>
          <w:p w14:paraId="5CBC5B91">
            <w:pPr>
              <w:pStyle w:val="84"/>
              <w:rPr>
                <w:snapToGrid w:val="0"/>
                <w:color w:val="auto"/>
              </w:rPr>
            </w:pPr>
            <w:r>
              <w:rPr>
                <w:snapToGrid w:val="0"/>
                <w:color w:val="auto"/>
              </w:rPr>
              <w:t>SS</w:t>
            </w:r>
          </w:p>
          <w:p w14:paraId="25E89795">
            <w:pPr>
              <w:pStyle w:val="84"/>
              <w:rPr>
                <w:snapToGrid w:val="0"/>
                <w:color w:val="auto"/>
              </w:rPr>
            </w:pPr>
            <w:r>
              <w:rPr>
                <w:rFonts w:hint="eastAsia"/>
                <w:snapToGrid w:val="0"/>
                <w:color w:val="auto"/>
              </w:rPr>
              <w:t>氨氮</w:t>
            </w:r>
          </w:p>
        </w:tc>
        <w:tc>
          <w:tcPr>
            <w:tcW w:w="3118" w:type="dxa"/>
            <w:vAlign w:val="center"/>
          </w:tcPr>
          <w:p w14:paraId="5178FB65">
            <w:pPr>
              <w:pStyle w:val="84"/>
              <w:jc w:val="both"/>
              <w:rPr>
                <w:snapToGrid w:val="0"/>
                <w:color w:val="auto"/>
              </w:rPr>
            </w:pPr>
            <w:r>
              <w:rPr>
                <w:rFonts w:hint="eastAsia"/>
                <w:snapToGrid w:val="0"/>
                <w:color w:val="auto"/>
              </w:rPr>
              <w:t>排入租用民房的防渗旱厕，定期清掏，外运积肥</w:t>
            </w:r>
          </w:p>
        </w:tc>
        <w:tc>
          <w:tcPr>
            <w:tcW w:w="850" w:type="dxa"/>
            <w:vAlign w:val="center"/>
          </w:tcPr>
          <w:p w14:paraId="351D3D48">
            <w:pPr>
              <w:pStyle w:val="84"/>
              <w:rPr>
                <w:snapToGrid w:val="0"/>
                <w:color w:val="auto"/>
              </w:rPr>
            </w:pPr>
            <w:r>
              <w:rPr>
                <w:rFonts w:hint="eastAsia"/>
                <w:snapToGrid w:val="0"/>
                <w:color w:val="auto"/>
              </w:rPr>
              <w:t>/</w:t>
            </w:r>
          </w:p>
        </w:tc>
        <w:tc>
          <w:tcPr>
            <w:tcW w:w="1559" w:type="dxa"/>
            <w:vAlign w:val="center"/>
          </w:tcPr>
          <w:p w14:paraId="72063959">
            <w:pPr>
              <w:pStyle w:val="84"/>
              <w:rPr>
                <w:snapToGrid w:val="0"/>
                <w:color w:val="auto"/>
              </w:rPr>
            </w:pPr>
            <w:r>
              <w:rPr>
                <w:snapToGrid w:val="0"/>
                <w:color w:val="auto"/>
              </w:rPr>
              <w:t>/</w:t>
            </w:r>
          </w:p>
        </w:tc>
        <w:tc>
          <w:tcPr>
            <w:tcW w:w="4166" w:type="dxa"/>
            <w:vAlign w:val="center"/>
          </w:tcPr>
          <w:p w14:paraId="1A0CF6B3">
            <w:pPr>
              <w:pStyle w:val="84"/>
              <w:rPr>
                <w:snapToGrid w:val="0"/>
                <w:color w:val="auto"/>
              </w:rPr>
            </w:pPr>
            <w:r>
              <w:rPr>
                <w:rFonts w:hint="eastAsia"/>
                <w:snapToGrid w:val="0"/>
                <w:color w:val="auto"/>
              </w:rPr>
              <w:t>/</w:t>
            </w:r>
          </w:p>
        </w:tc>
      </w:tr>
      <w:tr w14:paraId="5182E81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restart"/>
            <w:vAlign w:val="center"/>
          </w:tcPr>
          <w:p w14:paraId="45DF1FC3">
            <w:pPr>
              <w:pStyle w:val="84"/>
              <w:rPr>
                <w:snapToGrid w:val="0"/>
                <w:color w:val="auto"/>
              </w:rPr>
            </w:pPr>
            <w:r>
              <w:rPr>
                <w:snapToGrid w:val="0"/>
                <w:color w:val="auto"/>
              </w:rPr>
              <w:t>环境空气</w:t>
            </w:r>
          </w:p>
        </w:tc>
        <w:tc>
          <w:tcPr>
            <w:tcW w:w="1411" w:type="dxa"/>
            <w:vMerge w:val="restart"/>
            <w:vAlign w:val="center"/>
          </w:tcPr>
          <w:p w14:paraId="445DBA1A">
            <w:pPr>
              <w:pStyle w:val="84"/>
              <w:rPr>
                <w:snapToGrid w:val="0"/>
                <w:color w:val="auto"/>
              </w:rPr>
            </w:pPr>
            <w:r>
              <w:rPr>
                <w:rFonts w:hint="eastAsia"/>
                <w:snapToGrid w:val="0"/>
                <w:color w:val="auto"/>
              </w:rPr>
              <w:t>作业机械尾气</w:t>
            </w:r>
          </w:p>
        </w:tc>
        <w:tc>
          <w:tcPr>
            <w:tcW w:w="1456" w:type="dxa"/>
            <w:vAlign w:val="center"/>
          </w:tcPr>
          <w:p w14:paraId="6B44F067">
            <w:pPr>
              <w:pStyle w:val="84"/>
              <w:rPr>
                <w:snapToGrid w:val="0"/>
                <w:color w:val="auto"/>
              </w:rPr>
            </w:pPr>
            <w:r>
              <w:rPr>
                <w:rFonts w:hint="eastAsia"/>
                <w:snapToGrid w:val="0"/>
                <w:color w:val="auto"/>
              </w:rPr>
              <w:t>CO</w:t>
            </w:r>
          </w:p>
        </w:tc>
        <w:tc>
          <w:tcPr>
            <w:tcW w:w="3118" w:type="dxa"/>
            <w:vMerge w:val="restart"/>
            <w:vAlign w:val="center"/>
          </w:tcPr>
          <w:p w14:paraId="2C87DAC4">
            <w:pPr>
              <w:pStyle w:val="84"/>
              <w:rPr>
                <w:snapToGrid w:val="0"/>
                <w:color w:val="auto"/>
              </w:rPr>
            </w:pPr>
            <w:r>
              <w:rPr>
                <w:rFonts w:hint="eastAsia"/>
                <w:snapToGrid w:val="0"/>
                <w:color w:val="auto"/>
              </w:rPr>
              <w:t>自然扩散</w:t>
            </w:r>
          </w:p>
        </w:tc>
        <w:tc>
          <w:tcPr>
            <w:tcW w:w="850" w:type="dxa"/>
            <w:vAlign w:val="center"/>
          </w:tcPr>
          <w:p w14:paraId="145B6773">
            <w:pPr>
              <w:pStyle w:val="84"/>
              <w:rPr>
                <w:snapToGrid w:val="0"/>
                <w:color w:val="auto"/>
              </w:rPr>
            </w:pPr>
            <w:r>
              <w:rPr>
                <w:rFonts w:hint="eastAsia"/>
                <w:snapToGrid w:val="0"/>
                <w:color w:val="auto"/>
              </w:rPr>
              <w:t>/</w:t>
            </w:r>
          </w:p>
        </w:tc>
        <w:tc>
          <w:tcPr>
            <w:tcW w:w="1559" w:type="dxa"/>
            <w:vAlign w:val="center"/>
          </w:tcPr>
          <w:p w14:paraId="26AF08A6">
            <w:pPr>
              <w:pStyle w:val="84"/>
              <w:rPr>
                <w:snapToGrid w:val="0"/>
                <w:color w:val="auto"/>
              </w:rPr>
            </w:pPr>
            <w:r>
              <w:rPr>
                <w:rFonts w:hint="eastAsia"/>
                <w:snapToGrid w:val="0"/>
                <w:color w:val="auto"/>
                <w:szCs w:val="22"/>
                <w:lang w:val="en-US" w:eastAsia="zh-CN"/>
              </w:rPr>
              <w:t>0.0001</w:t>
            </w:r>
            <w:r>
              <w:rPr>
                <w:rFonts w:hint="eastAsia"/>
                <w:snapToGrid w:val="0"/>
                <w:color w:val="auto"/>
                <w:szCs w:val="22"/>
                <w:lang w:val="zh-CN"/>
              </w:rPr>
              <w:t>kg/h</w:t>
            </w:r>
          </w:p>
        </w:tc>
        <w:tc>
          <w:tcPr>
            <w:tcW w:w="4166" w:type="dxa"/>
            <w:vAlign w:val="center"/>
          </w:tcPr>
          <w:p w14:paraId="3CD3D5C7">
            <w:pPr>
              <w:pStyle w:val="84"/>
              <w:rPr>
                <w:snapToGrid w:val="0"/>
                <w:color w:val="auto"/>
              </w:rPr>
            </w:pPr>
            <w:r>
              <w:rPr>
                <w:rFonts w:hint="eastAsia"/>
                <w:snapToGrid w:val="0"/>
                <w:color w:val="auto"/>
              </w:rPr>
              <w:t>/</w:t>
            </w:r>
          </w:p>
        </w:tc>
      </w:tr>
      <w:tr w14:paraId="28E991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14:paraId="467AC523">
            <w:pPr>
              <w:pStyle w:val="84"/>
              <w:rPr>
                <w:snapToGrid w:val="0"/>
                <w:color w:val="auto"/>
              </w:rPr>
            </w:pPr>
          </w:p>
        </w:tc>
        <w:tc>
          <w:tcPr>
            <w:tcW w:w="1411" w:type="dxa"/>
            <w:vMerge w:val="continue"/>
            <w:vAlign w:val="center"/>
          </w:tcPr>
          <w:p w14:paraId="2454B7AC">
            <w:pPr>
              <w:pStyle w:val="84"/>
              <w:rPr>
                <w:snapToGrid w:val="0"/>
                <w:color w:val="auto"/>
              </w:rPr>
            </w:pPr>
          </w:p>
        </w:tc>
        <w:tc>
          <w:tcPr>
            <w:tcW w:w="1456" w:type="dxa"/>
            <w:vAlign w:val="center"/>
          </w:tcPr>
          <w:p w14:paraId="6E2EBA74">
            <w:pPr>
              <w:pStyle w:val="84"/>
              <w:rPr>
                <w:snapToGrid w:val="0"/>
                <w:color w:val="auto"/>
              </w:rPr>
            </w:pPr>
            <w:r>
              <w:rPr>
                <w:snapToGrid w:val="0"/>
                <w:color w:val="auto"/>
              </w:rPr>
              <w:t>NO</w:t>
            </w:r>
            <w:r>
              <w:rPr>
                <w:snapToGrid w:val="0"/>
                <w:color w:val="auto"/>
                <w:vertAlign w:val="subscript"/>
              </w:rPr>
              <w:t>x</w:t>
            </w:r>
          </w:p>
        </w:tc>
        <w:tc>
          <w:tcPr>
            <w:tcW w:w="3118" w:type="dxa"/>
            <w:vMerge w:val="continue"/>
            <w:vAlign w:val="center"/>
          </w:tcPr>
          <w:p w14:paraId="278595F3">
            <w:pPr>
              <w:pStyle w:val="84"/>
              <w:rPr>
                <w:snapToGrid w:val="0"/>
                <w:color w:val="auto"/>
              </w:rPr>
            </w:pPr>
          </w:p>
        </w:tc>
        <w:tc>
          <w:tcPr>
            <w:tcW w:w="850" w:type="dxa"/>
            <w:vAlign w:val="center"/>
          </w:tcPr>
          <w:p w14:paraId="68490EC3">
            <w:pPr>
              <w:pStyle w:val="84"/>
              <w:rPr>
                <w:snapToGrid w:val="0"/>
                <w:color w:val="auto"/>
              </w:rPr>
            </w:pPr>
            <w:r>
              <w:rPr>
                <w:rFonts w:hint="eastAsia"/>
                <w:snapToGrid w:val="0"/>
                <w:color w:val="auto"/>
              </w:rPr>
              <w:t>/</w:t>
            </w:r>
          </w:p>
        </w:tc>
        <w:tc>
          <w:tcPr>
            <w:tcW w:w="1559" w:type="dxa"/>
            <w:vAlign w:val="center"/>
          </w:tcPr>
          <w:p w14:paraId="67E99914">
            <w:pPr>
              <w:pStyle w:val="84"/>
              <w:rPr>
                <w:snapToGrid w:val="0"/>
                <w:color w:val="auto"/>
              </w:rPr>
            </w:pPr>
            <w:r>
              <w:rPr>
                <w:snapToGrid w:val="0"/>
                <w:color w:val="auto"/>
                <w:szCs w:val="22"/>
                <w:lang w:val="zh-CN"/>
              </w:rPr>
              <w:t>0.000</w:t>
            </w:r>
            <w:r>
              <w:rPr>
                <w:rFonts w:hint="eastAsia"/>
                <w:snapToGrid w:val="0"/>
                <w:color w:val="auto"/>
                <w:szCs w:val="22"/>
                <w:lang w:val="en-US" w:eastAsia="zh-CN"/>
              </w:rPr>
              <w:t>2</w:t>
            </w:r>
            <w:r>
              <w:rPr>
                <w:rFonts w:hint="eastAsia"/>
                <w:snapToGrid w:val="0"/>
                <w:color w:val="auto"/>
                <w:szCs w:val="22"/>
                <w:lang w:val="zh-CN"/>
              </w:rPr>
              <w:t>kg/h</w:t>
            </w:r>
          </w:p>
        </w:tc>
        <w:tc>
          <w:tcPr>
            <w:tcW w:w="4166" w:type="dxa"/>
            <w:vAlign w:val="center"/>
          </w:tcPr>
          <w:p w14:paraId="2D0D0DE4">
            <w:pPr>
              <w:pStyle w:val="84"/>
              <w:jc w:val="both"/>
              <w:rPr>
                <w:snapToGrid w:val="0"/>
                <w:color w:val="auto"/>
              </w:rPr>
            </w:pPr>
            <w:r>
              <w:rPr>
                <w:rFonts w:hint="eastAsia"/>
                <w:snapToGrid w:val="0"/>
                <w:color w:val="auto"/>
              </w:rPr>
              <w:t>《大气污染物综合排放标准》（</w:t>
            </w:r>
            <w:r>
              <w:rPr>
                <w:snapToGrid w:val="0"/>
                <w:color w:val="auto"/>
              </w:rPr>
              <w:t>GB16297-1996）中的表2无组织排放监控浓度限值</w:t>
            </w:r>
          </w:p>
        </w:tc>
      </w:tr>
      <w:tr w14:paraId="0957EE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14:paraId="5810DB8B">
            <w:pPr>
              <w:pStyle w:val="84"/>
              <w:rPr>
                <w:snapToGrid w:val="0"/>
                <w:color w:val="auto"/>
              </w:rPr>
            </w:pPr>
          </w:p>
        </w:tc>
        <w:tc>
          <w:tcPr>
            <w:tcW w:w="1411" w:type="dxa"/>
            <w:vMerge w:val="continue"/>
            <w:vAlign w:val="center"/>
          </w:tcPr>
          <w:p w14:paraId="5F606BFF">
            <w:pPr>
              <w:pStyle w:val="84"/>
              <w:rPr>
                <w:snapToGrid w:val="0"/>
                <w:color w:val="auto"/>
              </w:rPr>
            </w:pPr>
          </w:p>
        </w:tc>
        <w:tc>
          <w:tcPr>
            <w:tcW w:w="1456" w:type="dxa"/>
            <w:vAlign w:val="center"/>
          </w:tcPr>
          <w:p w14:paraId="76EB2130">
            <w:pPr>
              <w:pStyle w:val="84"/>
              <w:rPr>
                <w:snapToGrid w:val="0"/>
                <w:color w:val="auto"/>
              </w:rPr>
            </w:pPr>
            <w:r>
              <w:rPr>
                <w:snapToGrid w:val="0"/>
                <w:color w:val="auto"/>
              </w:rPr>
              <w:t>HC</w:t>
            </w:r>
          </w:p>
        </w:tc>
        <w:tc>
          <w:tcPr>
            <w:tcW w:w="3118" w:type="dxa"/>
            <w:vMerge w:val="continue"/>
            <w:vAlign w:val="center"/>
          </w:tcPr>
          <w:p w14:paraId="0D171A28">
            <w:pPr>
              <w:pStyle w:val="84"/>
              <w:rPr>
                <w:snapToGrid w:val="0"/>
                <w:color w:val="auto"/>
              </w:rPr>
            </w:pPr>
          </w:p>
        </w:tc>
        <w:tc>
          <w:tcPr>
            <w:tcW w:w="850" w:type="dxa"/>
            <w:vAlign w:val="center"/>
          </w:tcPr>
          <w:p w14:paraId="449E133B">
            <w:pPr>
              <w:pStyle w:val="84"/>
              <w:rPr>
                <w:snapToGrid w:val="0"/>
                <w:color w:val="auto"/>
              </w:rPr>
            </w:pPr>
            <w:r>
              <w:rPr>
                <w:rFonts w:hint="eastAsia"/>
                <w:snapToGrid w:val="0"/>
                <w:color w:val="auto"/>
              </w:rPr>
              <w:t>/</w:t>
            </w:r>
          </w:p>
        </w:tc>
        <w:tc>
          <w:tcPr>
            <w:tcW w:w="1559" w:type="dxa"/>
            <w:vAlign w:val="center"/>
          </w:tcPr>
          <w:p w14:paraId="10CA7BDE">
            <w:pPr>
              <w:pStyle w:val="84"/>
              <w:rPr>
                <w:snapToGrid w:val="0"/>
                <w:color w:val="auto"/>
              </w:rPr>
            </w:pPr>
            <w:r>
              <w:rPr>
                <w:snapToGrid w:val="0"/>
                <w:color w:val="auto"/>
                <w:szCs w:val="22"/>
                <w:lang w:val="zh-CN"/>
              </w:rPr>
              <w:t>0.0000</w:t>
            </w:r>
            <w:r>
              <w:rPr>
                <w:rFonts w:hint="eastAsia"/>
                <w:snapToGrid w:val="0"/>
                <w:color w:val="auto"/>
                <w:szCs w:val="22"/>
                <w:lang w:val="en-US" w:eastAsia="zh-CN"/>
              </w:rPr>
              <w:t>5</w:t>
            </w:r>
            <w:r>
              <w:rPr>
                <w:rFonts w:hint="eastAsia"/>
                <w:snapToGrid w:val="0"/>
                <w:color w:val="auto"/>
                <w:szCs w:val="22"/>
                <w:lang w:val="zh-CN"/>
              </w:rPr>
              <w:t>kg/h</w:t>
            </w:r>
          </w:p>
        </w:tc>
        <w:tc>
          <w:tcPr>
            <w:tcW w:w="4166" w:type="dxa"/>
            <w:vAlign w:val="center"/>
          </w:tcPr>
          <w:p w14:paraId="78A7FB8A">
            <w:pPr>
              <w:pStyle w:val="84"/>
              <w:rPr>
                <w:snapToGrid w:val="0"/>
                <w:color w:val="auto"/>
              </w:rPr>
            </w:pPr>
            <w:r>
              <w:rPr>
                <w:rFonts w:hint="eastAsia"/>
                <w:snapToGrid w:val="0"/>
                <w:color w:val="auto"/>
              </w:rPr>
              <w:t>/</w:t>
            </w:r>
          </w:p>
        </w:tc>
      </w:tr>
      <w:tr w14:paraId="00AB4D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14:paraId="3AAC2ABE">
            <w:pPr>
              <w:pStyle w:val="84"/>
              <w:rPr>
                <w:snapToGrid w:val="0"/>
                <w:color w:val="auto"/>
              </w:rPr>
            </w:pPr>
          </w:p>
        </w:tc>
        <w:tc>
          <w:tcPr>
            <w:tcW w:w="1411" w:type="dxa"/>
            <w:vAlign w:val="center"/>
          </w:tcPr>
          <w:p w14:paraId="25C3B697">
            <w:pPr>
              <w:pStyle w:val="84"/>
              <w:rPr>
                <w:snapToGrid w:val="0"/>
                <w:color w:val="auto"/>
              </w:rPr>
            </w:pPr>
            <w:r>
              <w:rPr>
                <w:rFonts w:hint="eastAsia"/>
                <w:snapToGrid w:val="0"/>
                <w:color w:val="auto"/>
              </w:rPr>
              <w:t>装卸、运输、堆积扬尘</w:t>
            </w:r>
          </w:p>
        </w:tc>
        <w:tc>
          <w:tcPr>
            <w:tcW w:w="1456" w:type="dxa"/>
            <w:vAlign w:val="center"/>
          </w:tcPr>
          <w:p w14:paraId="342464F0">
            <w:pPr>
              <w:pStyle w:val="84"/>
              <w:rPr>
                <w:snapToGrid w:val="0"/>
                <w:color w:val="auto"/>
              </w:rPr>
            </w:pPr>
            <w:r>
              <w:rPr>
                <w:rFonts w:hint="eastAsia"/>
                <w:snapToGrid w:val="0"/>
                <w:color w:val="auto"/>
              </w:rPr>
              <w:t>T</w:t>
            </w:r>
            <w:r>
              <w:rPr>
                <w:snapToGrid w:val="0"/>
                <w:color w:val="auto"/>
              </w:rPr>
              <w:t>SP</w:t>
            </w:r>
          </w:p>
        </w:tc>
        <w:tc>
          <w:tcPr>
            <w:tcW w:w="3118" w:type="dxa"/>
            <w:vAlign w:val="center"/>
          </w:tcPr>
          <w:p w14:paraId="5986CA9B">
            <w:pPr>
              <w:pStyle w:val="84"/>
              <w:rPr>
                <w:snapToGrid w:val="0"/>
                <w:color w:val="auto"/>
              </w:rPr>
            </w:pPr>
            <w:r>
              <w:rPr>
                <w:rFonts w:hint="eastAsia"/>
                <w:snapToGrid w:val="0"/>
                <w:color w:val="auto"/>
              </w:rPr>
              <w:t>洒水抑尘、及时苫盖、分区作业</w:t>
            </w:r>
          </w:p>
        </w:tc>
        <w:tc>
          <w:tcPr>
            <w:tcW w:w="850" w:type="dxa"/>
            <w:vAlign w:val="center"/>
          </w:tcPr>
          <w:p w14:paraId="5AEE2596">
            <w:pPr>
              <w:pStyle w:val="84"/>
              <w:rPr>
                <w:snapToGrid w:val="0"/>
                <w:color w:val="auto"/>
              </w:rPr>
            </w:pPr>
            <w:r>
              <w:rPr>
                <w:rFonts w:hint="eastAsia"/>
                <w:snapToGrid w:val="0"/>
                <w:color w:val="auto"/>
              </w:rPr>
              <w:t>/</w:t>
            </w:r>
          </w:p>
        </w:tc>
        <w:tc>
          <w:tcPr>
            <w:tcW w:w="1559" w:type="dxa"/>
            <w:vAlign w:val="center"/>
          </w:tcPr>
          <w:p w14:paraId="51CF14C5">
            <w:pPr>
              <w:pStyle w:val="84"/>
              <w:rPr>
                <w:snapToGrid w:val="0"/>
                <w:color w:val="auto"/>
              </w:rPr>
            </w:pPr>
            <w:r>
              <w:rPr>
                <w:snapToGrid w:val="0"/>
                <w:color w:val="auto"/>
              </w:rPr>
              <w:t>0.00</w:t>
            </w:r>
            <w:r>
              <w:rPr>
                <w:rFonts w:hint="eastAsia"/>
                <w:snapToGrid w:val="0"/>
                <w:color w:val="auto"/>
                <w:lang w:val="en-US" w:eastAsia="zh-CN"/>
              </w:rPr>
              <w:t>09</w:t>
            </w:r>
            <w:r>
              <w:rPr>
                <w:rFonts w:hint="eastAsia"/>
                <w:snapToGrid w:val="0"/>
                <w:color w:val="auto"/>
              </w:rPr>
              <w:t>kg/h</w:t>
            </w:r>
          </w:p>
        </w:tc>
        <w:tc>
          <w:tcPr>
            <w:tcW w:w="4166" w:type="dxa"/>
            <w:vAlign w:val="center"/>
          </w:tcPr>
          <w:p w14:paraId="70A16996">
            <w:pPr>
              <w:pStyle w:val="84"/>
              <w:jc w:val="both"/>
              <w:rPr>
                <w:snapToGrid w:val="0"/>
                <w:color w:val="auto"/>
              </w:rPr>
            </w:pPr>
            <w:r>
              <w:rPr>
                <w:rFonts w:hint="eastAsia"/>
                <w:snapToGrid w:val="0"/>
                <w:color w:val="auto"/>
              </w:rPr>
              <w:t>《大气污染物综合排放标准》（</w:t>
            </w:r>
            <w:r>
              <w:rPr>
                <w:snapToGrid w:val="0"/>
                <w:color w:val="auto"/>
              </w:rPr>
              <w:t>GB16297-1996）中的表2无组织排放监控浓度限值</w:t>
            </w:r>
          </w:p>
        </w:tc>
      </w:tr>
      <w:tr w14:paraId="5C2C45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14:paraId="13E23930">
            <w:pPr>
              <w:pStyle w:val="84"/>
              <w:rPr>
                <w:snapToGrid w:val="0"/>
                <w:color w:val="auto"/>
              </w:rPr>
            </w:pPr>
          </w:p>
        </w:tc>
        <w:tc>
          <w:tcPr>
            <w:tcW w:w="1411" w:type="dxa"/>
            <w:vAlign w:val="center"/>
          </w:tcPr>
          <w:p w14:paraId="4A6AE4F3">
            <w:pPr>
              <w:pStyle w:val="84"/>
              <w:rPr>
                <w:snapToGrid w:val="0"/>
                <w:color w:val="auto"/>
              </w:rPr>
            </w:pPr>
            <w:r>
              <w:rPr>
                <w:rFonts w:hint="eastAsia"/>
                <w:snapToGrid w:val="0"/>
                <w:color w:val="auto"/>
              </w:rPr>
              <w:t>运输道路</w:t>
            </w:r>
          </w:p>
        </w:tc>
        <w:tc>
          <w:tcPr>
            <w:tcW w:w="1456" w:type="dxa"/>
            <w:vAlign w:val="center"/>
          </w:tcPr>
          <w:p w14:paraId="5764110D">
            <w:pPr>
              <w:pStyle w:val="84"/>
              <w:rPr>
                <w:snapToGrid w:val="0"/>
                <w:color w:val="auto"/>
              </w:rPr>
            </w:pPr>
            <w:r>
              <w:rPr>
                <w:rFonts w:hint="eastAsia"/>
                <w:snapToGrid w:val="0"/>
                <w:color w:val="auto"/>
              </w:rPr>
              <w:t>T</w:t>
            </w:r>
            <w:r>
              <w:rPr>
                <w:snapToGrid w:val="0"/>
                <w:color w:val="auto"/>
              </w:rPr>
              <w:t>SP</w:t>
            </w:r>
          </w:p>
        </w:tc>
        <w:tc>
          <w:tcPr>
            <w:tcW w:w="3118" w:type="dxa"/>
            <w:vAlign w:val="center"/>
          </w:tcPr>
          <w:p w14:paraId="55BC7771">
            <w:pPr>
              <w:pStyle w:val="84"/>
              <w:rPr>
                <w:snapToGrid w:val="0"/>
                <w:color w:val="auto"/>
              </w:rPr>
            </w:pPr>
            <w:r>
              <w:rPr>
                <w:rFonts w:hint="eastAsia"/>
                <w:snapToGrid w:val="0"/>
                <w:color w:val="auto"/>
              </w:rPr>
              <w:t>密闭运输、减速慢行，洒水抑尘</w:t>
            </w:r>
          </w:p>
        </w:tc>
        <w:tc>
          <w:tcPr>
            <w:tcW w:w="850" w:type="dxa"/>
            <w:vAlign w:val="center"/>
          </w:tcPr>
          <w:p w14:paraId="12526A82">
            <w:pPr>
              <w:pStyle w:val="84"/>
              <w:rPr>
                <w:snapToGrid w:val="0"/>
                <w:color w:val="auto"/>
              </w:rPr>
            </w:pPr>
            <w:r>
              <w:rPr>
                <w:rFonts w:hint="eastAsia"/>
                <w:snapToGrid w:val="0"/>
                <w:color w:val="auto"/>
              </w:rPr>
              <w:t>/</w:t>
            </w:r>
          </w:p>
        </w:tc>
        <w:tc>
          <w:tcPr>
            <w:tcW w:w="1559" w:type="dxa"/>
            <w:vAlign w:val="center"/>
          </w:tcPr>
          <w:p w14:paraId="4CEB3CD3">
            <w:pPr>
              <w:pStyle w:val="84"/>
              <w:rPr>
                <w:snapToGrid w:val="0"/>
                <w:color w:val="auto"/>
              </w:rPr>
            </w:pPr>
            <w:r>
              <w:rPr>
                <w:rFonts w:hint="eastAsia"/>
                <w:snapToGrid w:val="0"/>
                <w:color w:val="auto"/>
                <w:lang w:val="en-US" w:eastAsia="zh-CN"/>
              </w:rPr>
              <w:t>0.041</w:t>
            </w:r>
            <w:r>
              <w:rPr>
                <w:rFonts w:hint="eastAsia"/>
                <w:snapToGrid w:val="0"/>
                <w:color w:val="auto"/>
              </w:rPr>
              <w:t>kg/h</w:t>
            </w:r>
          </w:p>
        </w:tc>
        <w:tc>
          <w:tcPr>
            <w:tcW w:w="4166" w:type="dxa"/>
            <w:vAlign w:val="center"/>
          </w:tcPr>
          <w:p w14:paraId="0BDF2236">
            <w:pPr>
              <w:pStyle w:val="84"/>
              <w:jc w:val="both"/>
              <w:rPr>
                <w:snapToGrid w:val="0"/>
                <w:color w:val="auto"/>
              </w:rPr>
            </w:pPr>
            <w:r>
              <w:rPr>
                <w:rFonts w:hint="eastAsia"/>
                <w:snapToGrid w:val="0"/>
                <w:color w:val="auto"/>
              </w:rPr>
              <w:t>《大气污染物综合排放标准》（</w:t>
            </w:r>
            <w:r>
              <w:rPr>
                <w:snapToGrid w:val="0"/>
                <w:color w:val="auto"/>
              </w:rPr>
              <w:t>GB16297-1996）中的表2无组织排放监控浓度限值</w:t>
            </w:r>
          </w:p>
        </w:tc>
      </w:tr>
      <w:tr w14:paraId="17E87D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9" w:hRule="atLeast"/>
        </w:trPr>
        <w:tc>
          <w:tcPr>
            <w:tcW w:w="678" w:type="dxa"/>
            <w:vAlign w:val="center"/>
          </w:tcPr>
          <w:p w14:paraId="4638E263">
            <w:pPr>
              <w:pStyle w:val="84"/>
              <w:rPr>
                <w:snapToGrid w:val="0"/>
                <w:color w:val="auto"/>
              </w:rPr>
            </w:pPr>
            <w:r>
              <w:rPr>
                <w:rFonts w:hint="eastAsia"/>
                <w:snapToGrid w:val="0"/>
                <w:color w:val="auto"/>
              </w:rPr>
              <w:t>声环境</w:t>
            </w:r>
          </w:p>
        </w:tc>
        <w:tc>
          <w:tcPr>
            <w:tcW w:w="2867" w:type="dxa"/>
            <w:gridSpan w:val="2"/>
            <w:vAlign w:val="center"/>
          </w:tcPr>
          <w:p w14:paraId="1F432104">
            <w:pPr>
              <w:pStyle w:val="84"/>
              <w:rPr>
                <w:snapToGrid w:val="0"/>
                <w:color w:val="auto"/>
              </w:rPr>
            </w:pPr>
            <w:r>
              <w:rPr>
                <w:rFonts w:hint="eastAsia"/>
                <w:snapToGrid w:val="0"/>
                <w:color w:val="auto"/>
              </w:rPr>
              <w:t>厂界噪声</w:t>
            </w:r>
          </w:p>
        </w:tc>
        <w:tc>
          <w:tcPr>
            <w:tcW w:w="3118" w:type="dxa"/>
            <w:vAlign w:val="center"/>
          </w:tcPr>
          <w:p w14:paraId="0904A165">
            <w:pPr>
              <w:pStyle w:val="84"/>
              <w:rPr>
                <w:snapToGrid w:val="0"/>
                <w:color w:val="auto"/>
              </w:rPr>
            </w:pPr>
            <w:r>
              <w:rPr>
                <w:rFonts w:hint="eastAsia"/>
                <w:snapToGrid w:val="0"/>
                <w:color w:val="auto"/>
              </w:rPr>
              <w:t>低噪声设备、加强管理</w:t>
            </w:r>
          </w:p>
        </w:tc>
        <w:tc>
          <w:tcPr>
            <w:tcW w:w="850" w:type="dxa"/>
            <w:vAlign w:val="center"/>
          </w:tcPr>
          <w:p w14:paraId="5E008330">
            <w:pPr>
              <w:pStyle w:val="84"/>
              <w:rPr>
                <w:snapToGrid w:val="0"/>
                <w:color w:val="auto"/>
              </w:rPr>
            </w:pPr>
            <w:r>
              <w:rPr>
                <w:rFonts w:hint="eastAsia"/>
                <w:snapToGrid w:val="0"/>
                <w:color w:val="auto"/>
              </w:rPr>
              <w:t>/</w:t>
            </w:r>
          </w:p>
        </w:tc>
        <w:tc>
          <w:tcPr>
            <w:tcW w:w="1559" w:type="dxa"/>
            <w:vAlign w:val="center"/>
          </w:tcPr>
          <w:p w14:paraId="68C618D0">
            <w:pPr>
              <w:pStyle w:val="84"/>
              <w:rPr>
                <w:snapToGrid w:val="0"/>
                <w:color w:val="auto"/>
              </w:rPr>
            </w:pPr>
            <w:r>
              <w:rPr>
                <w:rFonts w:hint="eastAsia"/>
                <w:snapToGrid w:val="0"/>
                <w:color w:val="auto"/>
              </w:rPr>
              <w:t>/</w:t>
            </w:r>
          </w:p>
        </w:tc>
        <w:tc>
          <w:tcPr>
            <w:tcW w:w="4166" w:type="dxa"/>
            <w:vAlign w:val="center"/>
          </w:tcPr>
          <w:p w14:paraId="39CD4A14">
            <w:pPr>
              <w:pStyle w:val="84"/>
              <w:jc w:val="both"/>
              <w:rPr>
                <w:snapToGrid w:val="0"/>
                <w:color w:val="auto"/>
              </w:rPr>
            </w:pPr>
            <w:r>
              <w:rPr>
                <w:snapToGrid w:val="0"/>
                <w:color w:val="auto"/>
              </w:rPr>
              <w:t>厂界满足《工业企业</w:t>
            </w:r>
            <w:r>
              <w:rPr>
                <w:rFonts w:hint="eastAsia"/>
                <w:snapToGrid w:val="0"/>
                <w:color w:val="auto"/>
              </w:rPr>
              <w:t>厂</w:t>
            </w:r>
            <w:r>
              <w:rPr>
                <w:snapToGrid w:val="0"/>
                <w:color w:val="auto"/>
              </w:rPr>
              <w:t>界环境噪声排放标准》</w:t>
            </w:r>
            <w:r>
              <w:rPr>
                <w:rFonts w:hint="eastAsia"/>
                <w:snapToGrid w:val="0"/>
                <w:color w:val="auto"/>
              </w:rPr>
              <w:t>表1中</w:t>
            </w:r>
            <w:r>
              <w:rPr>
                <w:snapToGrid w:val="0"/>
                <w:color w:val="auto"/>
              </w:rPr>
              <w:t>的</w:t>
            </w:r>
            <w:r>
              <w:rPr>
                <w:rFonts w:hint="eastAsia"/>
                <w:snapToGrid w:val="0"/>
                <w:color w:val="auto"/>
                <w:lang w:val="en-US" w:eastAsia="zh-CN"/>
              </w:rPr>
              <w:t>2</w:t>
            </w:r>
            <w:r>
              <w:rPr>
                <w:snapToGrid w:val="0"/>
                <w:color w:val="auto"/>
              </w:rPr>
              <w:t>类标准</w:t>
            </w:r>
          </w:p>
        </w:tc>
      </w:tr>
      <w:tr w14:paraId="569128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restart"/>
            <w:vAlign w:val="center"/>
          </w:tcPr>
          <w:p w14:paraId="66C36689">
            <w:pPr>
              <w:pStyle w:val="84"/>
              <w:rPr>
                <w:snapToGrid w:val="0"/>
                <w:color w:val="auto"/>
              </w:rPr>
            </w:pPr>
            <w:r>
              <w:rPr>
                <w:rFonts w:hint="eastAsia"/>
                <w:snapToGrid w:val="0"/>
                <w:color w:val="auto"/>
              </w:rPr>
              <w:t>固体废物</w:t>
            </w:r>
          </w:p>
        </w:tc>
        <w:tc>
          <w:tcPr>
            <w:tcW w:w="1411" w:type="dxa"/>
            <w:vAlign w:val="center"/>
          </w:tcPr>
          <w:p w14:paraId="30B68AE6">
            <w:pPr>
              <w:pStyle w:val="84"/>
              <w:rPr>
                <w:snapToGrid w:val="0"/>
                <w:color w:val="auto"/>
              </w:rPr>
            </w:pPr>
            <w:r>
              <w:rPr>
                <w:rFonts w:hint="eastAsia"/>
                <w:snapToGrid w:val="0"/>
                <w:color w:val="auto"/>
              </w:rPr>
              <w:t>暂存</w:t>
            </w:r>
            <w:r>
              <w:rPr>
                <w:rFonts w:hint="eastAsia"/>
                <w:snapToGrid w:val="0"/>
                <w:color w:val="auto"/>
                <w:lang w:eastAsia="zh-CN"/>
              </w:rPr>
              <w:t>池</w:t>
            </w:r>
          </w:p>
        </w:tc>
        <w:tc>
          <w:tcPr>
            <w:tcW w:w="1456" w:type="dxa"/>
            <w:vAlign w:val="center"/>
          </w:tcPr>
          <w:p w14:paraId="1861598B">
            <w:pPr>
              <w:pStyle w:val="84"/>
              <w:rPr>
                <w:snapToGrid w:val="0"/>
                <w:color w:val="auto"/>
              </w:rPr>
            </w:pPr>
            <w:r>
              <w:rPr>
                <w:rFonts w:hint="eastAsia"/>
                <w:snapToGrid w:val="0"/>
                <w:color w:val="auto"/>
              </w:rPr>
              <w:t>沉渣</w:t>
            </w:r>
          </w:p>
        </w:tc>
        <w:tc>
          <w:tcPr>
            <w:tcW w:w="3118" w:type="dxa"/>
            <w:vAlign w:val="center"/>
          </w:tcPr>
          <w:p w14:paraId="03B63372">
            <w:pPr>
              <w:pStyle w:val="84"/>
              <w:jc w:val="both"/>
              <w:rPr>
                <w:snapToGrid w:val="0"/>
                <w:color w:val="auto"/>
              </w:rPr>
            </w:pPr>
            <w:r>
              <w:rPr>
                <w:rFonts w:hint="eastAsia"/>
                <w:snapToGrid w:val="0"/>
                <w:color w:val="auto"/>
              </w:rPr>
              <w:t>定期清理后，由本回填区回填处置。</w:t>
            </w:r>
          </w:p>
        </w:tc>
        <w:tc>
          <w:tcPr>
            <w:tcW w:w="850" w:type="dxa"/>
            <w:vAlign w:val="center"/>
          </w:tcPr>
          <w:p w14:paraId="3BBC77C3">
            <w:pPr>
              <w:pStyle w:val="84"/>
              <w:rPr>
                <w:snapToGrid w:val="0"/>
                <w:color w:val="auto"/>
              </w:rPr>
            </w:pPr>
            <w:r>
              <w:rPr>
                <w:rFonts w:hint="eastAsia"/>
                <w:snapToGrid w:val="0"/>
                <w:color w:val="auto"/>
              </w:rPr>
              <w:t>/</w:t>
            </w:r>
          </w:p>
        </w:tc>
        <w:tc>
          <w:tcPr>
            <w:tcW w:w="1559" w:type="dxa"/>
            <w:vAlign w:val="center"/>
          </w:tcPr>
          <w:p w14:paraId="2E340A3E">
            <w:pPr>
              <w:pStyle w:val="84"/>
              <w:rPr>
                <w:snapToGrid w:val="0"/>
                <w:color w:val="auto"/>
              </w:rPr>
            </w:pPr>
            <w:r>
              <w:rPr>
                <w:rFonts w:hint="eastAsia"/>
                <w:snapToGrid w:val="0"/>
                <w:color w:val="auto"/>
              </w:rPr>
              <w:t>/</w:t>
            </w:r>
          </w:p>
        </w:tc>
        <w:tc>
          <w:tcPr>
            <w:tcW w:w="4166" w:type="dxa"/>
            <w:vAlign w:val="center"/>
          </w:tcPr>
          <w:p w14:paraId="7CCBCCFB">
            <w:pPr>
              <w:pStyle w:val="84"/>
              <w:rPr>
                <w:snapToGrid w:val="0"/>
                <w:color w:val="auto"/>
              </w:rPr>
            </w:pPr>
            <w:r>
              <w:rPr>
                <w:rFonts w:hint="eastAsia"/>
                <w:snapToGrid w:val="0"/>
                <w:color w:val="auto"/>
              </w:rPr>
              <w:t>固废处置率1</w:t>
            </w:r>
            <w:r>
              <w:rPr>
                <w:snapToGrid w:val="0"/>
                <w:color w:val="auto"/>
              </w:rPr>
              <w:t>00</w:t>
            </w:r>
            <w:r>
              <w:rPr>
                <w:rFonts w:hint="eastAsia"/>
                <w:snapToGrid w:val="0"/>
                <w:color w:val="auto"/>
              </w:rPr>
              <w:t>%</w:t>
            </w:r>
          </w:p>
        </w:tc>
      </w:tr>
      <w:tr w14:paraId="6829EF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678" w:type="dxa"/>
            <w:vMerge w:val="continue"/>
            <w:vAlign w:val="center"/>
          </w:tcPr>
          <w:p w14:paraId="5E305967">
            <w:pPr>
              <w:pStyle w:val="84"/>
              <w:rPr>
                <w:snapToGrid w:val="0"/>
                <w:color w:val="auto"/>
              </w:rPr>
            </w:pPr>
          </w:p>
        </w:tc>
        <w:tc>
          <w:tcPr>
            <w:tcW w:w="1411" w:type="dxa"/>
            <w:vAlign w:val="center"/>
          </w:tcPr>
          <w:p w14:paraId="0D4DDD37">
            <w:pPr>
              <w:pStyle w:val="84"/>
              <w:rPr>
                <w:snapToGrid w:val="0"/>
                <w:color w:val="auto"/>
              </w:rPr>
            </w:pPr>
            <w:r>
              <w:rPr>
                <w:rFonts w:hint="eastAsia"/>
                <w:snapToGrid w:val="0"/>
                <w:color w:val="auto"/>
              </w:rPr>
              <w:t>职工生活</w:t>
            </w:r>
          </w:p>
        </w:tc>
        <w:tc>
          <w:tcPr>
            <w:tcW w:w="1456" w:type="dxa"/>
            <w:vAlign w:val="center"/>
          </w:tcPr>
          <w:p w14:paraId="0A32C444">
            <w:pPr>
              <w:pStyle w:val="84"/>
              <w:rPr>
                <w:snapToGrid w:val="0"/>
                <w:color w:val="auto"/>
              </w:rPr>
            </w:pPr>
            <w:r>
              <w:rPr>
                <w:rFonts w:hint="eastAsia"/>
                <w:snapToGrid w:val="0"/>
                <w:color w:val="auto"/>
              </w:rPr>
              <w:t>生活垃圾</w:t>
            </w:r>
          </w:p>
        </w:tc>
        <w:tc>
          <w:tcPr>
            <w:tcW w:w="3118" w:type="dxa"/>
            <w:vAlign w:val="center"/>
          </w:tcPr>
          <w:p w14:paraId="4A274285">
            <w:pPr>
              <w:pStyle w:val="84"/>
              <w:jc w:val="both"/>
              <w:rPr>
                <w:snapToGrid w:val="0"/>
                <w:color w:val="auto"/>
              </w:rPr>
            </w:pPr>
            <w:r>
              <w:rPr>
                <w:rFonts w:hint="eastAsia"/>
                <w:snapToGrid w:val="0"/>
                <w:color w:val="auto"/>
              </w:rPr>
              <w:t>场区设置生活垃圾箱</w:t>
            </w:r>
            <w:r>
              <w:rPr>
                <w:snapToGrid w:val="0"/>
                <w:color w:val="auto"/>
              </w:rPr>
              <w:t>，</w:t>
            </w:r>
            <w:r>
              <w:rPr>
                <w:rFonts w:hint="eastAsia"/>
                <w:snapToGrid w:val="0"/>
                <w:color w:val="auto"/>
              </w:rPr>
              <w:t>生活</w:t>
            </w:r>
            <w:r>
              <w:rPr>
                <w:snapToGrid w:val="0"/>
                <w:color w:val="auto"/>
              </w:rPr>
              <w:t>垃圾经集中收集后由环卫部门统一清运。</w:t>
            </w:r>
          </w:p>
        </w:tc>
        <w:tc>
          <w:tcPr>
            <w:tcW w:w="850" w:type="dxa"/>
            <w:vAlign w:val="center"/>
          </w:tcPr>
          <w:p w14:paraId="0D4D762B">
            <w:pPr>
              <w:pStyle w:val="84"/>
              <w:rPr>
                <w:snapToGrid w:val="0"/>
                <w:color w:val="auto"/>
              </w:rPr>
            </w:pPr>
            <w:r>
              <w:rPr>
                <w:rFonts w:hint="eastAsia"/>
                <w:snapToGrid w:val="0"/>
                <w:color w:val="auto"/>
              </w:rPr>
              <w:t>/</w:t>
            </w:r>
          </w:p>
        </w:tc>
        <w:tc>
          <w:tcPr>
            <w:tcW w:w="1559" w:type="dxa"/>
            <w:vAlign w:val="center"/>
          </w:tcPr>
          <w:p w14:paraId="44786E20">
            <w:pPr>
              <w:pStyle w:val="84"/>
              <w:rPr>
                <w:snapToGrid w:val="0"/>
                <w:color w:val="auto"/>
              </w:rPr>
            </w:pPr>
            <w:r>
              <w:rPr>
                <w:rFonts w:hint="eastAsia"/>
                <w:snapToGrid w:val="0"/>
                <w:color w:val="auto"/>
              </w:rPr>
              <w:t>/</w:t>
            </w:r>
          </w:p>
        </w:tc>
        <w:tc>
          <w:tcPr>
            <w:tcW w:w="4166" w:type="dxa"/>
            <w:vAlign w:val="center"/>
          </w:tcPr>
          <w:p w14:paraId="75C9DC04">
            <w:pPr>
              <w:pStyle w:val="84"/>
              <w:rPr>
                <w:snapToGrid w:val="0"/>
                <w:color w:val="auto"/>
              </w:rPr>
            </w:pPr>
            <w:r>
              <w:rPr>
                <w:rFonts w:hint="eastAsia"/>
                <w:snapToGrid w:val="0"/>
                <w:color w:val="auto"/>
              </w:rPr>
              <w:t>固废处置率1</w:t>
            </w:r>
            <w:r>
              <w:rPr>
                <w:snapToGrid w:val="0"/>
                <w:color w:val="auto"/>
              </w:rPr>
              <w:t>00</w:t>
            </w:r>
            <w:r>
              <w:rPr>
                <w:rFonts w:hint="eastAsia"/>
                <w:snapToGrid w:val="0"/>
                <w:color w:val="auto"/>
              </w:rPr>
              <w:t>%</w:t>
            </w:r>
          </w:p>
        </w:tc>
      </w:tr>
    </w:tbl>
    <w:p w14:paraId="42BAAE97">
      <w:pPr>
        <w:pStyle w:val="59"/>
        <w:ind w:firstLine="480"/>
        <w:rPr>
          <w:color w:val="auto"/>
        </w:rPr>
      </w:pPr>
    </w:p>
    <w:p w14:paraId="318B3E0D">
      <w:pPr>
        <w:pStyle w:val="59"/>
        <w:ind w:firstLine="480"/>
        <w:rPr>
          <w:color w:val="auto"/>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1897DB9B">
      <w:pPr>
        <w:pStyle w:val="548"/>
        <w:rPr>
          <w:snapToGrid w:val="0"/>
          <w:color w:val="auto"/>
        </w:rPr>
      </w:pPr>
      <w:bookmarkStart w:id="214" w:name="_Toc119316822"/>
      <w:bookmarkStart w:id="215" w:name="_Toc149054225"/>
      <w:r>
        <w:rPr>
          <w:snapToGrid w:val="0"/>
          <w:color w:val="auto"/>
        </w:rPr>
        <w:t>8.2</w:t>
      </w:r>
      <w:r>
        <w:rPr>
          <w:rFonts w:hint="eastAsia"/>
          <w:snapToGrid w:val="0"/>
          <w:color w:val="auto"/>
        </w:rPr>
        <w:t>回填复垦期及生态恢复期</w:t>
      </w:r>
      <w:r>
        <w:rPr>
          <w:snapToGrid w:val="0"/>
          <w:color w:val="auto"/>
        </w:rPr>
        <w:t>环境监测</w:t>
      </w:r>
      <w:bookmarkEnd w:id="207"/>
      <w:bookmarkEnd w:id="208"/>
      <w:bookmarkEnd w:id="214"/>
      <w:r>
        <w:rPr>
          <w:rFonts w:hint="eastAsia"/>
          <w:snapToGrid w:val="0"/>
          <w:color w:val="auto"/>
        </w:rPr>
        <w:t>计划</w:t>
      </w:r>
      <w:bookmarkEnd w:id="215"/>
    </w:p>
    <w:p w14:paraId="2AB0D331">
      <w:pPr>
        <w:pStyle w:val="137"/>
        <w:rPr>
          <w:b/>
          <w:color w:val="auto"/>
        </w:rPr>
      </w:pPr>
      <w:r>
        <w:rPr>
          <w:color w:val="auto"/>
        </w:rPr>
        <w:t>8.2.1</w:t>
      </w:r>
      <w:r>
        <w:rPr>
          <w:rFonts w:hint="eastAsia"/>
          <w:color w:val="auto"/>
        </w:rPr>
        <w:t>环境监测机构设置及</w:t>
      </w:r>
      <w:r>
        <w:rPr>
          <w:color w:val="auto"/>
        </w:rPr>
        <w:t>职责</w:t>
      </w:r>
    </w:p>
    <w:p w14:paraId="6959E368">
      <w:pPr>
        <w:spacing w:line="500" w:lineRule="exact"/>
        <w:ind w:firstLine="480" w:firstLineChars="200"/>
        <w:rPr>
          <w:color w:val="auto"/>
          <w:sz w:val="24"/>
          <w:szCs w:val="22"/>
        </w:rPr>
      </w:pPr>
      <w:bookmarkStart w:id="216" w:name="_Toc11758577"/>
      <w:r>
        <w:rPr>
          <w:rFonts w:hint="eastAsia"/>
          <w:color w:val="auto"/>
          <w:sz w:val="24"/>
          <w:szCs w:val="22"/>
        </w:rPr>
        <w:t>（</w:t>
      </w:r>
      <w:r>
        <w:rPr>
          <w:color w:val="auto"/>
          <w:sz w:val="24"/>
          <w:szCs w:val="22"/>
        </w:rPr>
        <w:t>1）依据国家颁发的环境质量标准、污染物排放标准及地方环保主管部门的要求，制定全厂的监测计划和工作方案。</w:t>
      </w:r>
    </w:p>
    <w:p w14:paraId="121487BA">
      <w:pPr>
        <w:spacing w:line="500" w:lineRule="exact"/>
        <w:ind w:firstLine="480" w:firstLineChars="200"/>
        <w:rPr>
          <w:color w:val="auto"/>
          <w:sz w:val="24"/>
          <w:szCs w:val="22"/>
        </w:rPr>
      </w:pPr>
      <w:r>
        <w:rPr>
          <w:rFonts w:hint="eastAsia"/>
          <w:color w:val="auto"/>
          <w:sz w:val="24"/>
          <w:szCs w:val="22"/>
        </w:rPr>
        <w:t>（</w:t>
      </w:r>
      <w:r>
        <w:rPr>
          <w:color w:val="auto"/>
          <w:sz w:val="24"/>
          <w:szCs w:val="22"/>
        </w:rPr>
        <w:t>2）根据监测计划预定的监测任务，安排全厂主要排污点的监测任务，及时整理数据，建立污染源监测档案，并将监测结果和环境考核指标及时上报各级主管部门。</w:t>
      </w:r>
    </w:p>
    <w:p w14:paraId="6985ACC7">
      <w:pPr>
        <w:spacing w:line="500" w:lineRule="exact"/>
        <w:ind w:firstLine="480" w:firstLineChars="200"/>
        <w:rPr>
          <w:color w:val="auto"/>
          <w:sz w:val="24"/>
          <w:szCs w:val="22"/>
        </w:rPr>
      </w:pPr>
      <w:r>
        <w:rPr>
          <w:rFonts w:hint="eastAsia"/>
          <w:color w:val="auto"/>
          <w:sz w:val="24"/>
          <w:szCs w:val="22"/>
        </w:rPr>
        <w:t>（</w:t>
      </w:r>
      <w:r>
        <w:rPr>
          <w:color w:val="auto"/>
          <w:sz w:val="24"/>
          <w:szCs w:val="22"/>
        </w:rPr>
        <w:t>3）通过对监测结果的综合分析，摸清污染源排放情况，防止污染事故的发生，如果出现异常情况及时反馈到有关部门，以便采取应急措施。</w:t>
      </w:r>
    </w:p>
    <w:p w14:paraId="2C9EEA8E">
      <w:pPr>
        <w:keepNext/>
        <w:keepLines/>
        <w:adjustRightInd w:val="0"/>
        <w:snapToGrid w:val="0"/>
        <w:spacing w:line="500" w:lineRule="exact"/>
        <w:outlineLvl w:val="2"/>
        <w:rPr>
          <w:rFonts w:eastAsia="黑体"/>
          <w:bCs/>
          <w:color w:val="auto"/>
          <w:sz w:val="24"/>
          <w:szCs w:val="32"/>
        </w:rPr>
      </w:pPr>
      <w:r>
        <w:rPr>
          <w:rFonts w:eastAsia="黑体"/>
          <w:bCs/>
          <w:color w:val="auto"/>
          <w:sz w:val="24"/>
          <w:szCs w:val="32"/>
        </w:rPr>
        <w:t>8.2.2监测计划</w:t>
      </w:r>
    </w:p>
    <w:p w14:paraId="76202DBC">
      <w:pPr>
        <w:spacing w:line="500" w:lineRule="exact"/>
        <w:ind w:firstLine="480" w:firstLineChars="200"/>
        <w:rPr>
          <w:color w:val="auto"/>
          <w:sz w:val="24"/>
          <w:szCs w:val="22"/>
        </w:rPr>
      </w:pPr>
      <w:r>
        <w:rPr>
          <w:rFonts w:hint="eastAsia"/>
          <w:color w:val="auto"/>
          <w:sz w:val="24"/>
          <w:szCs w:val="22"/>
        </w:rPr>
        <w:t xml:space="preserve">项目建成投产后，建设单位应根据《排污单位自行监测技术指南 </w:t>
      </w:r>
      <w:r>
        <w:rPr>
          <w:color w:val="auto"/>
          <w:sz w:val="24"/>
          <w:szCs w:val="22"/>
        </w:rPr>
        <w:t>总则》（HJ819-2017）制定自行环境监测计划，满足</w:t>
      </w:r>
      <w:r>
        <w:rPr>
          <w:rFonts w:hint="eastAsia"/>
          <w:color w:val="auto"/>
          <w:sz w:val="24"/>
          <w:szCs w:val="22"/>
        </w:rPr>
        <w:t>《一般工业固体废物贮存和填埋污染控制标准》（</w:t>
      </w:r>
      <w:r>
        <w:rPr>
          <w:color w:val="auto"/>
          <w:sz w:val="24"/>
          <w:szCs w:val="22"/>
        </w:rPr>
        <w:t>GB18599-2020）中相关监测要求。</w:t>
      </w:r>
    </w:p>
    <w:p w14:paraId="363249C8">
      <w:pPr>
        <w:spacing w:line="500" w:lineRule="exact"/>
        <w:ind w:firstLine="480" w:firstLineChars="200"/>
        <w:rPr>
          <w:color w:val="auto"/>
          <w:sz w:val="24"/>
          <w:szCs w:val="22"/>
        </w:rPr>
      </w:pPr>
      <w:r>
        <w:rPr>
          <w:rFonts w:hint="eastAsia"/>
          <w:color w:val="auto"/>
          <w:sz w:val="24"/>
          <w:szCs w:val="22"/>
        </w:rPr>
        <w:t>公司可委托检测机构定期对项目污染源及场界环境状况进行例行监测，保证环境保护工作的顺利进行。</w:t>
      </w:r>
    </w:p>
    <w:p w14:paraId="1CA55A92">
      <w:pPr>
        <w:spacing w:line="500" w:lineRule="exact"/>
        <w:ind w:firstLine="480" w:firstLineChars="200"/>
        <w:rPr>
          <w:color w:val="auto"/>
          <w:sz w:val="24"/>
          <w:szCs w:val="22"/>
        </w:rPr>
      </w:pPr>
      <w:r>
        <w:rPr>
          <w:rFonts w:hint="eastAsia"/>
          <w:color w:val="auto"/>
          <w:sz w:val="24"/>
          <w:szCs w:val="22"/>
        </w:rPr>
        <w:t>根据该项目生产特点和主要污染源及污染物排放情况，提出如下监测要求：</w:t>
      </w:r>
    </w:p>
    <w:p w14:paraId="5E956056">
      <w:pPr>
        <w:pStyle w:val="59"/>
        <w:ind w:firstLine="480"/>
        <w:rPr>
          <w:color w:val="auto"/>
        </w:rPr>
      </w:pPr>
      <w:r>
        <w:rPr>
          <w:rFonts w:hint="eastAsia"/>
          <w:color w:val="auto"/>
        </w:rPr>
        <w:t>（</w:t>
      </w:r>
      <w:r>
        <w:rPr>
          <w:color w:val="auto"/>
        </w:rPr>
        <w:t>1）委托环境监测部门定期对产生的废气、废水、项目区地下水进行监测；</w:t>
      </w:r>
    </w:p>
    <w:p w14:paraId="416C67B1">
      <w:pPr>
        <w:pStyle w:val="59"/>
        <w:ind w:firstLine="480"/>
        <w:rPr>
          <w:color w:val="auto"/>
        </w:rPr>
      </w:pPr>
      <w:r>
        <w:rPr>
          <w:rFonts w:hint="eastAsia"/>
          <w:color w:val="auto"/>
        </w:rPr>
        <w:t>（</w:t>
      </w:r>
      <w:r>
        <w:rPr>
          <w:color w:val="auto"/>
        </w:rPr>
        <w:t>2）定期向环境管理部门上报监测结果；</w:t>
      </w:r>
    </w:p>
    <w:p w14:paraId="2E12FCC8">
      <w:pPr>
        <w:pStyle w:val="59"/>
        <w:ind w:firstLine="480"/>
        <w:rPr>
          <w:color w:val="auto"/>
        </w:rPr>
      </w:pPr>
      <w:r>
        <w:rPr>
          <w:rFonts w:hint="eastAsia"/>
          <w:color w:val="auto"/>
        </w:rPr>
        <w:t>（</w:t>
      </w:r>
      <w:r>
        <w:rPr>
          <w:color w:val="auto"/>
        </w:rPr>
        <w:t>3）监测中发现超标排放或其它异常情况，及时报告企业环保管理部门查找原因、解决处理，遇有特殊情况时应随时监测。</w:t>
      </w:r>
    </w:p>
    <w:p w14:paraId="4160BACC">
      <w:pPr>
        <w:spacing w:line="500" w:lineRule="exact"/>
        <w:ind w:firstLine="480" w:firstLineChars="200"/>
        <w:rPr>
          <w:color w:val="auto"/>
          <w:sz w:val="24"/>
          <w:szCs w:val="22"/>
        </w:rPr>
      </w:pPr>
      <w:r>
        <w:rPr>
          <w:rFonts w:hint="eastAsia"/>
          <w:color w:val="auto"/>
          <w:sz w:val="24"/>
          <w:szCs w:val="22"/>
        </w:rPr>
        <w:t>按照《一般工业固体废物贮存和填埋污染控制标准》（</w:t>
      </w:r>
      <w:r>
        <w:rPr>
          <w:color w:val="auto"/>
          <w:sz w:val="24"/>
          <w:szCs w:val="22"/>
        </w:rPr>
        <w:t>GB18599-2020）</w:t>
      </w:r>
      <w:r>
        <w:rPr>
          <w:rFonts w:hint="eastAsia"/>
          <w:color w:val="auto"/>
          <w:sz w:val="24"/>
          <w:szCs w:val="22"/>
        </w:rPr>
        <w:t>、《排污单位自行监测技术指南 总则》（HJ819-2017）</w:t>
      </w:r>
      <w:r>
        <w:rPr>
          <w:color w:val="auto"/>
          <w:sz w:val="24"/>
          <w:szCs w:val="22"/>
        </w:rPr>
        <w:t>相关要求</w:t>
      </w:r>
      <w:r>
        <w:rPr>
          <w:rFonts w:hint="eastAsia"/>
          <w:color w:val="auto"/>
          <w:sz w:val="24"/>
          <w:szCs w:val="22"/>
        </w:rPr>
        <w:t>，监测点位、监测项目和监测频率见下表</w:t>
      </w:r>
      <w:r>
        <w:rPr>
          <w:color w:val="auto"/>
          <w:sz w:val="24"/>
          <w:szCs w:val="22"/>
        </w:rPr>
        <w:t>。</w:t>
      </w:r>
    </w:p>
    <w:p w14:paraId="40963DED">
      <w:pPr>
        <w:adjustRightInd w:val="0"/>
        <w:snapToGrid w:val="0"/>
        <w:spacing w:line="500" w:lineRule="exact"/>
        <w:jc w:val="center"/>
        <w:rPr>
          <w:rFonts w:eastAsia="黑体"/>
          <w:color w:val="auto"/>
          <w:sz w:val="24"/>
          <w:szCs w:val="22"/>
          <w:lang w:val="zh-CN"/>
        </w:rPr>
      </w:pPr>
      <w:r>
        <w:rPr>
          <w:rFonts w:eastAsia="黑体"/>
          <w:color w:val="auto"/>
          <w:sz w:val="24"/>
          <w:szCs w:val="22"/>
          <w:lang w:val="zh-CN"/>
        </w:rPr>
        <w:t>表8</w:t>
      </w:r>
      <w:r>
        <w:rPr>
          <w:rFonts w:hint="eastAsia" w:eastAsia="黑体"/>
          <w:color w:val="auto"/>
          <w:sz w:val="24"/>
          <w:szCs w:val="22"/>
          <w:lang w:val="zh-CN"/>
        </w:rPr>
        <w:t>-</w:t>
      </w:r>
      <w:r>
        <w:rPr>
          <w:rFonts w:eastAsia="黑体"/>
          <w:color w:val="auto"/>
          <w:sz w:val="24"/>
          <w:szCs w:val="22"/>
          <w:lang w:val="zh-CN"/>
        </w:rPr>
        <w:t>2</w:t>
      </w:r>
      <w:r>
        <w:rPr>
          <w:rFonts w:hint="eastAsia" w:eastAsia="黑体"/>
          <w:color w:val="auto"/>
          <w:sz w:val="24"/>
          <w:szCs w:val="22"/>
          <w:lang w:val="zh-CN"/>
        </w:rPr>
        <w:t>-</w:t>
      </w:r>
      <w:r>
        <w:rPr>
          <w:rFonts w:eastAsia="黑体"/>
          <w:color w:val="auto"/>
          <w:sz w:val="24"/>
          <w:szCs w:val="22"/>
          <w:lang w:val="zh-CN"/>
        </w:rPr>
        <w:t>1环境监测</w:t>
      </w:r>
      <w:r>
        <w:rPr>
          <w:rFonts w:hint="eastAsia" w:eastAsia="黑体"/>
          <w:color w:val="auto"/>
          <w:sz w:val="24"/>
          <w:szCs w:val="22"/>
          <w:lang w:val="zh-CN"/>
        </w:rPr>
        <w:t>计划一览表</w:t>
      </w:r>
    </w:p>
    <w:tbl>
      <w:tblPr>
        <w:tblStyle w:val="76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2"/>
        <w:gridCol w:w="1107"/>
        <w:gridCol w:w="878"/>
        <w:gridCol w:w="811"/>
        <w:gridCol w:w="1317"/>
        <w:gridCol w:w="1277"/>
        <w:gridCol w:w="2070"/>
      </w:tblGrid>
      <w:tr w14:paraId="2EC91C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513" w:type="pct"/>
            <w:vAlign w:val="center"/>
          </w:tcPr>
          <w:p w14:paraId="3E11A43D">
            <w:pPr>
              <w:adjustRightInd w:val="0"/>
              <w:snapToGrid w:val="0"/>
              <w:jc w:val="center"/>
              <w:rPr>
                <w:snapToGrid w:val="0"/>
                <w:color w:val="auto"/>
                <w:szCs w:val="22"/>
                <w:lang w:val="zh-CN"/>
              </w:rPr>
            </w:pPr>
            <w:r>
              <w:rPr>
                <w:rFonts w:hint="eastAsia"/>
                <w:snapToGrid w:val="0"/>
                <w:color w:val="auto"/>
                <w:szCs w:val="22"/>
                <w:lang w:val="zh-CN"/>
              </w:rPr>
              <w:t>监测时段</w:t>
            </w:r>
          </w:p>
        </w:tc>
        <w:tc>
          <w:tcPr>
            <w:tcW w:w="1194" w:type="pct"/>
            <w:gridSpan w:val="2"/>
            <w:vAlign w:val="center"/>
          </w:tcPr>
          <w:p w14:paraId="4B4A8EC8">
            <w:pPr>
              <w:adjustRightInd w:val="0"/>
              <w:snapToGrid w:val="0"/>
              <w:jc w:val="right"/>
              <w:rPr>
                <w:snapToGrid w:val="0"/>
                <w:color w:val="auto"/>
                <w:szCs w:val="22"/>
                <w:lang w:val="zh-CN"/>
              </w:rPr>
            </w:pPr>
            <w:r>
              <w:rPr>
                <w:snapToGrid w:val="0"/>
                <w:color w:val="auto"/>
                <w:szCs w:val="22"/>
                <w:lang w:val="zh-CN"/>
              </w:rPr>
              <w:t>监测方案</w:t>
            </w:r>
          </w:p>
          <w:p w14:paraId="5B85EF29">
            <w:pPr>
              <w:adjustRightInd w:val="0"/>
              <w:snapToGrid w:val="0"/>
              <w:rPr>
                <w:snapToGrid w:val="0"/>
                <w:color w:val="auto"/>
                <w:szCs w:val="22"/>
                <w:lang w:val="zh-CN"/>
              </w:rPr>
            </w:pPr>
            <w:r>
              <w:rPr>
                <w:snapToGrid w:val="0"/>
                <w:color w:val="auto"/>
                <w:szCs w:val="22"/>
                <w:lang w:val="zh-CN"/>
              </w:rPr>
              <w:t>监测内容</w:t>
            </w:r>
          </w:p>
        </w:tc>
        <w:tc>
          <w:tcPr>
            <w:tcW w:w="488" w:type="pct"/>
            <w:vAlign w:val="center"/>
          </w:tcPr>
          <w:p w14:paraId="2161FC2E">
            <w:pPr>
              <w:adjustRightInd w:val="0"/>
              <w:snapToGrid w:val="0"/>
              <w:jc w:val="center"/>
              <w:rPr>
                <w:snapToGrid w:val="0"/>
                <w:color w:val="auto"/>
                <w:szCs w:val="22"/>
                <w:lang w:val="zh-CN"/>
              </w:rPr>
            </w:pPr>
            <w:r>
              <w:rPr>
                <w:snapToGrid w:val="0"/>
                <w:color w:val="auto"/>
                <w:szCs w:val="22"/>
                <w:lang w:val="zh-CN"/>
              </w:rPr>
              <w:t>监测点位</w:t>
            </w:r>
          </w:p>
        </w:tc>
        <w:tc>
          <w:tcPr>
            <w:tcW w:w="792" w:type="pct"/>
            <w:vAlign w:val="center"/>
          </w:tcPr>
          <w:p w14:paraId="690119DD">
            <w:pPr>
              <w:adjustRightInd w:val="0"/>
              <w:snapToGrid w:val="0"/>
              <w:jc w:val="center"/>
              <w:rPr>
                <w:snapToGrid w:val="0"/>
                <w:color w:val="auto"/>
                <w:szCs w:val="22"/>
                <w:lang w:val="zh-CN"/>
              </w:rPr>
            </w:pPr>
            <w:r>
              <w:rPr>
                <w:snapToGrid w:val="0"/>
                <w:color w:val="auto"/>
                <w:szCs w:val="22"/>
                <w:lang w:val="zh-CN"/>
              </w:rPr>
              <w:t>监测指标</w:t>
            </w:r>
          </w:p>
        </w:tc>
        <w:tc>
          <w:tcPr>
            <w:tcW w:w="768" w:type="pct"/>
            <w:vAlign w:val="center"/>
          </w:tcPr>
          <w:p w14:paraId="289332AD">
            <w:pPr>
              <w:adjustRightInd w:val="0"/>
              <w:snapToGrid w:val="0"/>
              <w:jc w:val="center"/>
              <w:rPr>
                <w:snapToGrid w:val="0"/>
                <w:color w:val="auto"/>
                <w:szCs w:val="22"/>
                <w:lang w:val="zh-CN"/>
              </w:rPr>
            </w:pPr>
            <w:r>
              <w:rPr>
                <w:snapToGrid w:val="0"/>
                <w:color w:val="auto"/>
                <w:szCs w:val="22"/>
                <w:lang w:val="zh-CN"/>
              </w:rPr>
              <w:t>监测频率</w:t>
            </w:r>
          </w:p>
        </w:tc>
        <w:tc>
          <w:tcPr>
            <w:tcW w:w="1245" w:type="pct"/>
            <w:vAlign w:val="center"/>
          </w:tcPr>
          <w:p w14:paraId="41E53D86">
            <w:pPr>
              <w:adjustRightInd w:val="0"/>
              <w:snapToGrid w:val="0"/>
              <w:jc w:val="center"/>
              <w:rPr>
                <w:snapToGrid w:val="0"/>
                <w:color w:val="auto"/>
                <w:szCs w:val="22"/>
                <w:lang w:val="zh-CN"/>
              </w:rPr>
            </w:pPr>
            <w:r>
              <w:rPr>
                <w:rFonts w:hint="eastAsia"/>
                <w:snapToGrid w:val="0"/>
                <w:color w:val="auto"/>
                <w:szCs w:val="22"/>
                <w:lang w:val="zh-CN"/>
              </w:rPr>
              <w:t>监测要求</w:t>
            </w:r>
          </w:p>
        </w:tc>
      </w:tr>
      <w:tr w14:paraId="4F1016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13" w:type="pct"/>
            <w:vMerge w:val="restart"/>
            <w:vAlign w:val="center"/>
          </w:tcPr>
          <w:p w14:paraId="18202012">
            <w:pPr>
              <w:adjustRightInd w:val="0"/>
              <w:snapToGrid w:val="0"/>
              <w:jc w:val="center"/>
              <w:rPr>
                <w:snapToGrid w:val="0"/>
                <w:color w:val="auto"/>
                <w:szCs w:val="22"/>
                <w:lang w:val="zh-CN"/>
              </w:rPr>
            </w:pPr>
            <w:r>
              <w:rPr>
                <w:rFonts w:hint="eastAsia"/>
                <w:snapToGrid w:val="0"/>
                <w:color w:val="auto"/>
                <w:szCs w:val="22"/>
                <w:lang w:val="zh-CN"/>
              </w:rPr>
              <w:t>回填复垦期</w:t>
            </w:r>
          </w:p>
        </w:tc>
        <w:tc>
          <w:tcPr>
            <w:tcW w:w="666" w:type="pct"/>
            <w:vMerge w:val="restart"/>
            <w:vAlign w:val="center"/>
          </w:tcPr>
          <w:p w14:paraId="45DBBF90">
            <w:pPr>
              <w:adjustRightInd w:val="0"/>
              <w:snapToGrid w:val="0"/>
              <w:jc w:val="center"/>
              <w:rPr>
                <w:snapToGrid w:val="0"/>
                <w:color w:val="auto"/>
                <w:szCs w:val="22"/>
                <w:lang w:val="zh-CN"/>
              </w:rPr>
            </w:pPr>
            <w:r>
              <w:rPr>
                <w:snapToGrid w:val="0"/>
                <w:color w:val="auto"/>
                <w:szCs w:val="22"/>
                <w:lang w:val="zh-CN"/>
              </w:rPr>
              <w:t>污染物排放监测</w:t>
            </w:r>
          </w:p>
        </w:tc>
        <w:tc>
          <w:tcPr>
            <w:tcW w:w="528" w:type="pct"/>
            <w:vAlign w:val="center"/>
          </w:tcPr>
          <w:p w14:paraId="023B7C33">
            <w:pPr>
              <w:adjustRightInd w:val="0"/>
              <w:snapToGrid w:val="0"/>
              <w:jc w:val="center"/>
              <w:rPr>
                <w:snapToGrid w:val="0"/>
                <w:color w:val="auto"/>
                <w:szCs w:val="22"/>
                <w:lang w:val="zh-CN"/>
              </w:rPr>
            </w:pPr>
            <w:r>
              <w:rPr>
                <w:snapToGrid w:val="0"/>
                <w:color w:val="auto"/>
                <w:szCs w:val="22"/>
                <w:lang w:val="zh-CN"/>
              </w:rPr>
              <w:t>废气</w:t>
            </w:r>
          </w:p>
        </w:tc>
        <w:tc>
          <w:tcPr>
            <w:tcW w:w="488" w:type="pct"/>
            <w:vAlign w:val="center"/>
          </w:tcPr>
          <w:p w14:paraId="63327ED4">
            <w:pPr>
              <w:adjustRightInd w:val="0"/>
              <w:snapToGrid w:val="0"/>
              <w:jc w:val="center"/>
              <w:rPr>
                <w:snapToGrid w:val="0"/>
                <w:color w:val="auto"/>
                <w:szCs w:val="22"/>
                <w:lang w:val="zh-CN"/>
              </w:rPr>
            </w:pPr>
            <w:r>
              <w:rPr>
                <w:rFonts w:hint="eastAsia"/>
                <w:snapToGrid w:val="0"/>
                <w:color w:val="auto"/>
                <w:szCs w:val="22"/>
                <w:lang w:val="zh-CN"/>
              </w:rPr>
              <w:t>厂界</w:t>
            </w:r>
          </w:p>
        </w:tc>
        <w:tc>
          <w:tcPr>
            <w:tcW w:w="792" w:type="pct"/>
            <w:vAlign w:val="center"/>
          </w:tcPr>
          <w:p w14:paraId="27085907">
            <w:pPr>
              <w:adjustRightInd w:val="0"/>
              <w:snapToGrid w:val="0"/>
              <w:jc w:val="center"/>
              <w:rPr>
                <w:snapToGrid w:val="0"/>
                <w:color w:val="auto"/>
                <w:szCs w:val="22"/>
                <w:lang w:val="zh-CN"/>
              </w:rPr>
            </w:pPr>
            <w:r>
              <w:rPr>
                <w:rFonts w:hint="eastAsia"/>
                <w:snapToGrid w:val="0"/>
                <w:color w:val="auto"/>
                <w:szCs w:val="22"/>
                <w:lang w:val="zh-CN"/>
              </w:rPr>
              <w:t>颗粒物</w:t>
            </w:r>
          </w:p>
        </w:tc>
        <w:tc>
          <w:tcPr>
            <w:tcW w:w="768" w:type="pct"/>
            <w:vAlign w:val="center"/>
          </w:tcPr>
          <w:p w14:paraId="25D31280">
            <w:pPr>
              <w:adjustRightInd w:val="0"/>
              <w:snapToGrid w:val="0"/>
              <w:jc w:val="center"/>
              <w:rPr>
                <w:snapToGrid w:val="0"/>
                <w:color w:val="auto"/>
                <w:szCs w:val="22"/>
                <w:lang w:val="zh-CN"/>
              </w:rPr>
            </w:pPr>
            <w:r>
              <w:rPr>
                <w:rFonts w:hint="eastAsia"/>
                <w:snapToGrid w:val="0"/>
                <w:color w:val="auto"/>
                <w:szCs w:val="22"/>
                <w:lang w:val="zh-CN"/>
              </w:rPr>
              <w:t>每季度一次</w:t>
            </w:r>
          </w:p>
        </w:tc>
        <w:tc>
          <w:tcPr>
            <w:tcW w:w="1245" w:type="pct"/>
            <w:vAlign w:val="center"/>
          </w:tcPr>
          <w:p w14:paraId="217CD4C9">
            <w:pPr>
              <w:adjustRightInd w:val="0"/>
              <w:snapToGrid w:val="0"/>
              <w:rPr>
                <w:snapToGrid w:val="0"/>
                <w:color w:val="auto"/>
                <w:szCs w:val="22"/>
                <w:lang w:val="zh-CN"/>
              </w:rPr>
            </w:pPr>
            <w:r>
              <w:rPr>
                <w:rFonts w:hint="eastAsia"/>
                <w:snapToGrid w:val="0"/>
                <w:color w:val="auto"/>
                <w:szCs w:val="22"/>
                <w:lang w:val="zh-CN"/>
              </w:rPr>
              <w:t>满足《大气污染物综合排放标准》（</w:t>
            </w:r>
            <w:r>
              <w:rPr>
                <w:snapToGrid w:val="0"/>
                <w:color w:val="auto"/>
                <w:szCs w:val="22"/>
                <w:lang w:val="zh-CN"/>
              </w:rPr>
              <w:t>GB16297-1996）表2中无组织排放监控浓度限值（周界外浓度最高点≤1.0mg/m</w:t>
            </w:r>
            <w:r>
              <w:rPr>
                <w:snapToGrid w:val="0"/>
                <w:color w:val="auto"/>
                <w:szCs w:val="22"/>
                <w:vertAlign w:val="superscript"/>
                <w:lang w:val="zh-CN"/>
              </w:rPr>
              <w:t>3</w:t>
            </w:r>
            <w:r>
              <w:rPr>
                <w:snapToGrid w:val="0"/>
                <w:color w:val="auto"/>
                <w:szCs w:val="22"/>
                <w:lang w:val="zh-CN"/>
              </w:rPr>
              <w:t>）</w:t>
            </w:r>
          </w:p>
        </w:tc>
      </w:tr>
      <w:tr w14:paraId="763611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13" w:type="pct"/>
            <w:vMerge w:val="continue"/>
            <w:vAlign w:val="center"/>
          </w:tcPr>
          <w:p w14:paraId="07E07DA5">
            <w:pPr>
              <w:adjustRightInd w:val="0"/>
              <w:snapToGrid w:val="0"/>
              <w:jc w:val="center"/>
              <w:rPr>
                <w:snapToGrid w:val="0"/>
                <w:color w:val="auto"/>
                <w:szCs w:val="22"/>
                <w:lang w:val="zh-CN"/>
              </w:rPr>
            </w:pPr>
          </w:p>
        </w:tc>
        <w:tc>
          <w:tcPr>
            <w:tcW w:w="666" w:type="pct"/>
            <w:vMerge w:val="continue"/>
            <w:vAlign w:val="center"/>
          </w:tcPr>
          <w:p w14:paraId="1B610712">
            <w:pPr>
              <w:adjustRightInd w:val="0"/>
              <w:snapToGrid w:val="0"/>
              <w:jc w:val="center"/>
              <w:rPr>
                <w:snapToGrid w:val="0"/>
                <w:color w:val="auto"/>
                <w:szCs w:val="22"/>
                <w:lang w:val="zh-CN"/>
              </w:rPr>
            </w:pPr>
          </w:p>
        </w:tc>
        <w:tc>
          <w:tcPr>
            <w:tcW w:w="528" w:type="pct"/>
            <w:vAlign w:val="center"/>
          </w:tcPr>
          <w:p w14:paraId="104679C7">
            <w:pPr>
              <w:adjustRightInd w:val="0"/>
              <w:snapToGrid w:val="0"/>
              <w:jc w:val="center"/>
              <w:rPr>
                <w:snapToGrid w:val="0"/>
                <w:color w:val="auto"/>
                <w:szCs w:val="22"/>
                <w:lang w:val="zh-CN"/>
              </w:rPr>
            </w:pPr>
            <w:r>
              <w:rPr>
                <w:rFonts w:hint="eastAsia"/>
                <w:snapToGrid w:val="0"/>
                <w:color w:val="auto"/>
                <w:szCs w:val="22"/>
                <w:lang w:val="zh-CN"/>
              </w:rPr>
              <w:t>噪声</w:t>
            </w:r>
          </w:p>
        </w:tc>
        <w:tc>
          <w:tcPr>
            <w:tcW w:w="488" w:type="pct"/>
            <w:vAlign w:val="center"/>
          </w:tcPr>
          <w:p w14:paraId="382F6A27">
            <w:pPr>
              <w:adjustRightInd w:val="0"/>
              <w:snapToGrid w:val="0"/>
              <w:jc w:val="center"/>
              <w:rPr>
                <w:snapToGrid w:val="0"/>
                <w:color w:val="auto"/>
                <w:szCs w:val="22"/>
                <w:lang w:val="zh-CN"/>
              </w:rPr>
            </w:pPr>
            <w:r>
              <w:rPr>
                <w:rFonts w:hint="eastAsia"/>
                <w:snapToGrid w:val="0"/>
                <w:color w:val="auto"/>
                <w:szCs w:val="22"/>
                <w:lang w:val="zh-CN"/>
              </w:rPr>
              <w:t>厂界</w:t>
            </w:r>
          </w:p>
        </w:tc>
        <w:tc>
          <w:tcPr>
            <w:tcW w:w="792" w:type="pct"/>
            <w:vAlign w:val="center"/>
          </w:tcPr>
          <w:p w14:paraId="50FC4D50">
            <w:pPr>
              <w:adjustRightInd w:val="0"/>
              <w:snapToGrid w:val="0"/>
              <w:jc w:val="center"/>
              <w:rPr>
                <w:snapToGrid w:val="0"/>
                <w:color w:val="auto"/>
                <w:szCs w:val="22"/>
                <w:lang w:val="zh-CN"/>
              </w:rPr>
            </w:pPr>
            <w:r>
              <w:rPr>
                <w:snapToGrid w:val="0"/>
                <w:color w:val="auto"/>
                <w:szCs w:val="22"/>
                <w:lang w:val="zh-CN"/>
              </w:rPr>
              <w:t>等效连续A声级</w:t>
            </w:r>
          </w:p>
        </w:tc>
        <w:tc>
          <w:tcPr>
            <w:tcW w:w="768" w:type="pct"/>
            <w:vAlign w:val="center"/>
          </w:tcPr>
          <w:p w14:paraId="73DFDB89">
            <w:pPr>
              <w:adjustRightInd w:val="0"/>
              <w:snapToGrid w:val="0"/>
              <w:jc w:val="center"/>
              <w:rPr>
                <w:snapToGrid w:val="0"/>
                <w:color w:val="auto"/>
                <w:szCs w:val="22"/>
                <w:lang w:val="zh-CN"/>
              </w:rPr>
            </w:pPr>
            <w:r>
              <w:rPr>
                <w:rFonts w:hint="eastAsia"/>
                <w:snapToGrid w:val="0"/>
                <w:color w:val="auto"/>
                <w:szCs w:val="22"/>
                <w:lang w:val="zh-CN"/>
              </w:rPr>
              <w:t>每季度一次</w:t>
            </w:r>
          </w:p>
        </w:tc>
        <w:tc>
          <w:tcPr>
            <w:tcW w:w="1245" w:type="pct"/>
            <w:vAlign w:val="center"/>
          </w:tcPr>
          <w:p w14:paraId="20F35A56">
            <w:pPr>
              <w:adjustRightInd w:val="0"/>
              <w:snapToGrid w:val="0"/>
              <w:rPr>
                <w:snapToGrid w:val="0"/>
                <w:color w:val="auto"/>
                <w:szCs w:val="22"/>
                <w:lang w:val="zh-CN"/>
              </w:rPr>
            </w:pPr>
            <w:r>
              <w:rPr>
                <w:rFonts w:hint="eastAsia"/>
                <w:snapToGrid w:val="0"/>
                <w:color w:val="auto"/>
                <w:szCs w:val="22"/>
                <w:lang w:val="zh-CN"/>
              </w:rPr>
              <w:t>《工业企业厂界环境噪声排放标准》（</w:t>
            </w:r>
            <w:r>
              <w:rPr>
                <w:snapToGrid w:val="0"/>
                <w:color w:val="auto"/>
                <w:szCs w:val="22"/>
                <w:lang w:val="zh-CN"/>
              </w:rPr>
              <w:t>GB12348-2008）中</w:t>
            </w:r>
            <w:r>
              <w:rPr>
                <w:rFonts w:hint="eastAsia"/>
                <w:snapToGrid w:val="0"/>
                <w:color w:val="auto"/>
                <w:szCs w:val="22"/>
                <w:lang w:val="en-US" w:eastAsia="zh-CN"/>
              </w:rPr>
              <w:t>2</w:t>
            </w:r>
            <w:r>
              <w:rPr>
                <w:snapToGrid w:val="0"/>
                <w:color w:val="auto"/>
                <w:szCs w:val="22"/>
                <w:lang w:val="zh-CN"/>
              </w:rPr>
              <w:t>类</w:t>
            </w:r>
            <w:r>
              <w:rPr>
                <w:rFonts w:hint="eastAsia"/>
                <w:snapToGrid w:val="0"/>
                <w:color w:val="auto"/>
                <w:szCs w:val="22"/>
                <w:lang w:val="zh-CN"/>
              </w:rPr>
              <w:t>标准</w:t>
            </w:r>
          </w:p>
        </w:tc>
      </w:tr>
      <w:tr w14:paraId="51488D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13" w:type="pct"/>
            <w:vMerge w:val="continue"/>
            <w:vAlign w:val="center"/>
          </w:tcPr>
          <w:p w14:paraId="065D10DA">
            <w:pPr>
              <w:adjustRightInd w:val="0"/>
              <w:snapToGrid w:val="0"/>
              <w:jc w:val="center"/>
              <w:rPr>
                <w:snapToGrid w:val="0"/>
                <w:color w:val="auto"/>
                <w:szCs w:val="22"/>
                <w:lang w:val="zh-CN"/>
              </w:rPr>
            </w:pPr>
          </w:p>
        </w:tc>
        <w:tc>
          <w:tcPr>
            <w:tcW w:w="666" w:type="pct"/>
            <w:vMerge w:val="restart"/>
            <w:vAlign w:val="center"/>
          </w:tcPr>
          <w:p w14:paraId="7931B0AB">
            <w:pPr>
              <w:adjustRightInd w:val="0"/>
              <w:snapToGrid w:val="0"/>
              <w:jc w:val="center"/>
              <w:rPr>
                <w:snapToGrid w:val="0"/>
                <w:color w:val="auto"/>
                <w:szCs w:val="22"/>
                <w:lang w:val="zh-CN"/>
              </w:rPr>
            </w:pPr>
            <w:r>
              <w:rPr>
                <w:snapToGrid w:val="0"/>
                <w:color w:val="auto"/>
                <w:szCs w:val="22"/>
                <w:lang w:val="zh-CN"/>
              </w:rPr>
              <w:t>环境质量影响监测</w:t>
            </w:r>
          </w:p>
        </w:tc>
        <w:tc>
          <w:tcPr>
            <w:tcW w:w="528" w:type="pct"/>
            <w:vAlign w:val="center"/>
          </w:tcPr>
          <w:p w14:paraId="6039057D">
            <w:pPr>
              <w:adjustRightInd w:val="0"/>
              <w:snapToGrid w:val="0"/>
              <w:jc w:val="center"/>
              <w:rPr>
                <w:snapToGrid w:val="0"/>
                <w:color w:val="auto"/>
                <w:szCs w:val="22"/>
                <w:lang w:val="zh-CN"/>
              </w:rPr>
            </w:pPr>
            <w:r>
              <w:rPr>
                <w:snapToGrid w:val="0"/>
                <w:color w:val="auto"/>
                <w:szCs w:val="22"/>
                <w:lang w:val="zh-CN"/>
              </w:rPr>
              <w:t>地下水环境质量监测</w:t>
            </w:r>
          </w:p>
        </w:tc>
        <w:tc>
          <w:tcPr>
            <w:tcW w:w="488" w:type="pct"/>
            <w:vAlign w:val="center"/>
          </w:tcPr>
          <w:p w14:paraId="2FF6E02B">
            <w:pPr>
              <w:adjustRightInd w:val="0"/>
              <w:snapToGrid w:val="0"/>
              <w:jc w:val="center"/>
              <w:rPr>
                <w:snapToGrid w:val="0"/>
                <w:color w:val="auto"/>
                <w:szCs w:val="22"/>
                <w:lang w:val="zh-CN"/>
              </w:rPr>
            </w:pPr>
            <w:r>
              <w:rPr>
                <w:rFonts w:hint="eastAsia"/>
                <w:snapToGrid w:val="0"/>
                <w:color w:val="auto"/>
                <w:szCs w:val="22"/>
                <w:lang w:val="zh-CN"/>
              </w:rPr>
              <w:t>3口地下水监控井</w:t>
            </w:r>
          </w:p>
        </w:tc>
        <w:tc>
          <w:tcPr>
            <w:tcW w:w="792" w:type="pct"/>
            <w:vAlign w:val="center"/>
          </w:tcPr>
          <w:p w14:paraId="7512C443">
            <w:pPr>
              <w:adjustRightInd w:val="0"/>
              <w:snapToGrid w:val="0"/>
              <w:rPr>
                <w:snapToGrid w:val="0"/>
                <w:color w:val="auto"/>
                <w:szCs w:val="22"/>
                <w:lang w:val="zh-CN"/>
              </w:rPr>
            </w:pPr>
            <w:r>
              <w:rPr>
                <w:rFonts w:hint="eastAsia"/>
                <w:snapToGrid w:val="0"/>
                <w:color w:val="auto"/>
                <w:kern w:val="0"/>
                <w:szCs w:val="22"/>
                <w:lang w:val="zh-CN"/>
              </w:rPr>
              <w:t>浑浊度、</w:t>
            </w:r>
            <w:r>
              <w:rPr>
                <w:snapToGrid w:val="0"/>
                <w:color w:val="auto"/>
                <w:kern w:val="0"/>
                <w:szCs w:val="22"/>
                <w:lang w:val="zh-CN"/>
              </w:rPr>
              <w:t>pH、溶解性总固体、氯化物、硝酸盐（以N计）、亚硝酸盐（以N计）</w:t>
            </w:r>
            <w:r>
              <w:rPr>
                <w:rFonts w:hint="eastAsia"/>
                <w:snapToGrid w:val="0"/>
                <w:color w:val="auto"/>
                <w:kern w:val="0"/>
                <w:szCs w:val="22"/>
                <w:lang w:val="zh-CN"/>
              </w:rPr>
              <w:t>、C</w:t>
            </w:r>
            <w:r>
              <w:rPr>
                <w:snapToGrid w:val="0"/>
                <w:color w:val="auto"/>
                <w:kern w:val="0"/>
                <w:szCs w:val="22"/>
                <w:lang w:val="zh-CN"/>
              </w:rPr>
              <w:t>OD</w:t>
            </w:r>
            <w:r>
              <w:rPr>
                <w:rFonts w:hint="eastAsia"/>
                <w:snapToGrid w:val="0"/>
                <w:color w:val="auto"/>
                <w:kern w:val="0"/>
                <w:szCs w:val="22"/>
                <w:lang w:val="zh-CN"/>
              </w:rPr>
              <w:t>、氨氮、镉、汞、砷、铅、铬、铜、镍、锌</w:t>
            </w:r>
          </w:p>
        </w:tc>
        <w:tc>
          <w:tcPr>
            <w:tcW w:w="768" w:type="pct"/>
            <w:vAlign w:val="center"/>
          </w:tcPr>
          <w:p w14:paraId="6F30E81C">
            <w:pPr>
              <w:adjustRightInd w:val="0"/>
              <w:snapToGrid w:val="0"/>
              <w:rPr>
                <w:snapToGrid w:val="0"/>
                <w:color w:val="auto"/>
                <w:szCs w:val="22"/>
                <w:lang w:val="zh-CN"/>
              </w:rPr>
            </w:pPr>
            <w:r>
              <w:rPr>
                <w:snapToGrid w:val="0"/>
                <w:color w:val="auto"/>
                <w:szCs w:val="22"/>
                <w:lang w:val="zh-CN"/>
              </w:rPr>
              <w:t>每</w:t>
            </w:r>
            <w:r>
              <w:rPr>
                <w:rFonts w:hint="eastAsia"/>
                <w:snapToGrid w:val="0"/>
                <w:color w:val="auto"/>
                <w:szCs w:val="22"/>
                <w:lang w:val="zh-CN"/>
              </w:rPr>
              <w:t>季度</w:t>
            </w:r>
            <w:r>
              <w:rPr>
                <w:snapToGrid w:val="0"/>
                <w:color w:val="auto"/>
                <w:szCs w:val="22"/>
                <w:lang w:val="zh-CN"/>
              </w:rPr>
              <w:t>一次</w:t>
            </w:r>
          </w:p>
        </w:tc>
        <w:tc>
          <w:tcPr>
            <w:tcW w:w="1245" w:type="pct"/>
            <w:vAlign w:val="center"/>
          </w:tcPr>
          <w:p w14:paraId="53186E83">
            <w:pPr>
              <w:adjustRightInd w:val="0"/>
              <w:snapToGrid w:val="0"/>
              <w:rPr>
                <w:snapToGrid w:val="0"/>
                <w:color w:val="auto"/>
                <w:szCs w:val="22"/>
                <w:lang w:val="zh-CN"/>
              </w:rPr>
            </w:pPr>
            <w:r>
              <w:rPr>
                <w:rFonts w:hint="eastAsia"/>
                <w:snapToGrid w:val="0"/>
                <w:color w:val="auto"/>
                <w:szCs w:val="22"/>
                <w:lang w:val="zh-CN"/>
              </w:rPr>
              <w:t>按照《地下水环境监测技术规范》（</w:t>
            </w:r>
            <w:r>
              <w:rPr>
                <w:snapToGrid w:val="0"/>
                <w:color w:val="auto"/>
                <w:szCs w:val="22"/>
                <w:lang w:val="zh-CN"/>
              </w:rPr>
              <w:t>HJ/T164-2020</w:t>
            </w:r>
            <w:r>
              <w:rPr>
                <w:rFonts w:hint="eastAsia"/>
                <w:snapToGrid w:val="0"/>
                <w:color w:val="auto"/>
                <w:szCs w:val="22"/>
                <w:lang w:val="zh-CN"/>
              </w:rPr>
              <w:t>）要求</w:t>
            </w:r>
          </w:p>
        </w:tc>
      </w:tr>
      <w:tr w14:paraId="1B6DCA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13" w:type="pct"/>
            <w:vMerge w:val="continue"/>
            <w:vAlign w:val="center"/>
          </w:tcPr>
          <w:p w14:paraId="0C23243E">
            <w:pPr>
              <w:adjustRightInd w:val="0"/>
              <w:snapToGrid w:val="0"/>
              <w:jc w:val="center"/>
              <w:rPr>
                <w:snapToGrid w:val="0"/>
                <w:color w:val="auto"/>
                <w:szCs w:val="22"/>
                <w:lang w:val="zh-CN"/>
              </w:rPr>
            </w:pPr>
          </w:p>
        </w:tc>
        <w:tc>
          <w:tcPr>
            <w:tcW w:w="666" w:type="pct"/>
            <w:vMerge w:val="continue"/>
            <w:vAlign w:val="center"/>
          </w:tcPr>
          <w:p w14:paraId="7966C1AC">
            <w:pPr>
              <w:adjustRightInd w:val="0"/>
              <w:snapToGrid w:val="0"/>
              <w:jc w:val="center"/>
              <w:rPr>
                <w:snapToGrid w:val="0"/>
                <w:color w:val="auto"/>
                <w:szCs w:val="22"/>
                <w:lang w:val="zh-CN"/>
              </w:rPr>
            </w:pPr>
          </w:p>
        </w:tc>
        <w:tc>
          <w:tcPr>
            <w:tcW w:w="528" w:type="pct"/>
            <w:vAlign w:val="center"/>
          </w:tcPr>
          <w:p w14:paraId="1A5ED74E">
            <w:pPr>
              <w:adjustRightInd w:val="0"/>
              <w:snapToGrid w:val="0"/>
              <w:jc w:val="center"/>
              <w:rPr>
                <w:snapToGrid w:val="0"/>
                <w:color w:val="auto"/>
                <w:szCs w:val="22"/>
                <w:lang w:val="zh-CN"/>
              </w:rPr>
            </w:pPr>
            <w:r>
              <w:rPr>
                <w:rFonts w:hint="eastAsia"/>
                <w:snapToGrid w:val="0"/>
                <w:color w:val="auto"/>
                <w:szCs w:val="22"/>
                <w:lang w:val="zh-CN"/>
              </w:rPr>
              <w:t>土壤环境质量监测</w:t>
            </w:r>
          </w:p>
        </w:tc>
        <w:tc>
          <w:tcPr>
            <w:tcW w:w="488" w:type="pct"/>
            <w:vAlign w:val="center"/>
          </w:tcPr>
          <w:p w14:paraId="0EA40D4B">
            <w:pPr>
              <w:adjustRightInd w:val="0"/>
              <w:snapToGrid w:val="0"/>
              <w:jc w:val="center"/>
              <w:rPr>
                <w:snapToGrid w:val="0"/>
                <w:color w:val="auto"/>
                <w:szCs w:val="22"/>
                <w:lang w:val="zh-CN"/>
              </w:rPr>
            </w:pPr>
            <w:r>
              <w:rPr>
                <w:rFonts w:hint="eastAsia"/>
                <w:snapToGrid w:val="0"/>
                <w:color w:val="auto"/>
                <w:szCs w:val="22"/>
                <w:lang w:val="zh-CN"/>
              </w:rPr>
              <w:t>场区东侧</w:t>
            </w:r>
          </w:p>
        </w:tc>
        <w:tc>
          <w:tcPr>
            <w:tcW w:w="792" w:type="pct"/>
            <w:vAlign w:val="center"/>
          </w:tcPr>
          <w:p w14:paraId="30941E5B">
            <w:pPr>
              <w:adjustRightInd w:val="0"/>
              <w:snapToGrid w:val="0"/>
              <w:rPr>
                <w:snapToGrid w:val="0"/>
                <w:color w:val="auto"/>
                <w:kern w:val="0"/>
                <w:szCs w:val="22"/>
                <w:lang w:val="zh-CN"/>
              </w:rPr>
            </w:pPr>
            <w:r>
              <w:rPr>
                <w:snapToGrid w:val="0"/>
                <w:color w:val="auto"/>
                <w:szCs w:val="22"/>
                <w:lang w:val="zh-CN"/>
              </w:rPr>
              <w:t>pH、砷、镉、铬、铜、铅、汞、镍、锌</w:t>
            </w:r>
          </w:p>
        </w:tc>
        <w:tc>
          <w:tcPr>
            <w:tcW w:w="768" w:type="pct"/>
            <w:vAlign w:val="center"/>
          </w:tcPr>
          <w:p w14:paraId="334F0175">
            <w:pPr>
              <w:adjustRightInd w:val="0"/>
              <w:snapToGrid w:val="0"/>
              <w:jc w:val="center"/>
              <w:rPr>
                <w:snapToGrid w:val="0"/>
                <w:color w:val="auto"/>
                <w:szCs w:val="22"/>
                <w:lang w:val="zh-CN"/>
              </w:rPr>
            </w:pPr>
            <w:r>
              <w:rPr>
                <w:rFonts w:hint="eastAsia"/>
                <w:snapToGrid w:val="0"/>
                <w:color w:val="auto"/>
                <w:szCs w:val="22"/>
                <w:lang w:val="zh-CN"/>
              </w:rPr>
              <w:t>每年一次</w:t>
            </w:r>
          </w:p>
        </w:tc>
        <w:tc>
          <w:tcPr>
            <w:tcW w:w="1245" w:type="pct"/>
            <w:vAlign w:val="center"/>
          </w:tcPr>
          <w:p w14:paraId="5136D8BC">
            <w:pPr>
              <w:adjustRightInd w:val="0"/>
              <w:snapToGrid w:val="0"/>
              <w:jc w:val="center"/>
              <w:rPr>
                <w:snapToGrid w:val="0"/>
                <w:color w:val="auto"/>
                <w:szCs w:val="22"/>
                <w:lang w:val="zh-CN"/>
              </w:rPr>
            </w:pPr>
            <w:r>
              <w:rPr>
                <w:rFonts w:hint="eastAsia"/>
                <w:snapToGrid w:val="0"/>
                <w:color w:val="auto"/>
                <w:szCs w:val="22"/>
                <w:lang w:val="zh-CN"/>
              </w:rPr>
              <w:t>监测表层土壤</w:t>
            </w:r>
          </w:p>
        </w:tc>
      </w:tr>
      <w:tr w14:paraId="73989B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13" w:type="pct"/>
            <w:vMerge w:val="restart"/>
            <w:vAlign w:val="center"/>
          </w:tcPr>
          <w:p w14:paraId="086E5AF3">
            <w:pPr>
              <w:adjustRightInd w:val="0"/>
              <w:snapToGrid w:val="0"/>
              <w:jc w:val="center"/>
              <w:rPr>
                <w:snapToGrid w:val="0"/>
                <w:color w:val="auto"/>
                <w:szCs w:val="22"/>
                <w:lang w:val="zh-CN"/>
              </w:rPr>
            </w:pPr>
            <w:r>
              <w:rPr>
                <w:rFonts w:hint="eastAsia"/>
                <w:snapToGrid w:val="0"/>
                <w:color w:val="auto"/>
                <w:szCs w:val="22"/>
                <w:lang w:val="zh-CN"/>
              </w:rPr>
              <w:t>生态恢复期</w:t>
            </w:r>
          </w:p>
        </w:tc>
        <w:tc>
          <w:tcPr>
            <w:tcW w:w="666" w:type="pct"/>
            <w:vMerge w:val="restart"/>
            <w:vAlign w:val="center"/>
          </w:tcPr>
          <w:p w14:paraId="1B9E083C">
            <w:pPr>
              <w:adjustRightInd w:val="0"/>
              <w:snapToGrid w:val="0"/>
              <w:jc w:val="center"/>
              <w:rPr>
                <w:snapToGrid w:val="0"/>
                <w:color w:val="auto"/>
                <w:szCs w:val="22"/>
                <w:lang w:val="zh-CN"/>
              </w:rPr>
            </w:pPr>
            <w:r>
              <w:rPr>
                <w:snapToGrid w:val="0"/>
                <w:color w:val="auto"/>
                <w:szCs w:val="22"/>
                <w:lang w:val="zh-CN"/>
              </w:rPr>
              <w:t>环境质量影响监测</w:t>
            </w:r>
          </w:p>
        </w:tc>
        <w:tc>
          <w:tcPr>
            <w:tcW w:w="528" w:type="pct"/>
            <w:vAlign w:val="center"/>
          </w:tcPr>
          <w:p w14:paraId="395A7E3B">
            <w:pPr>
              <w:adjustRightInd w:val="0"/>
              <w:snapToGrid w:val="0"/>
              <w:jc w:val="center"/>
              <w:rPr>
                <w:snapToGrid w:val="0"/>
                <w:color w:val="auto"/>
                <w:szCs w:val="22"/>
                <w:lang w:val="zh-CN"/>
              </w:rPr>
            </w:pPr>
            <w:r>
              <w:rPr>
                <w:rFonts w:hint="eastAsia"/>
                <w:snapToGrid w:val="0"/>
                <w:color w:val="auto"/>
                <w:szCs w:val="22"/>
                <w:lang w:val="zh-CN"/>
              </w:rPr>
              <w:t>土壤环境质量监测</w:t>
            </w:r>
          </w:p>
        </w:tc>
        <w:tc>
          <w:tcPr>
            <w:tcW w:w="488" w:type="pct"/>
            <w:vAlign w:val="center"/>
          </w:tcPr>
          <w:p w14:paraId="25C7DB78">
            <w:pPr>
              <w:adjustRightInd w:val="0"/>
              <w:snapToGrid w:val="0"/>
              <w:jc w:val="center"/>
              <w:rPr>
                <w:snapToGrid w:val="0"/>
                <w:color w:val="auto"/>
                <w:szCs w:val="22"/>
                <w:lang w:val="zh-CN"/>
              </w:rPr>
            </w:pPr>
            <w:r>
              <w:rPr>
                <w:rFonts w:hint="eastAsia"/>
                <w:snapToGrid w:val="0"/>
                <w:color w:val="auto"/>
                <w:szCs w:val="22"/>
                <w:lang w:val="zh-CN"/>
              </w:rPr>
              <w:t>场区东侧</w:t>
            </w:r>
          </w:p>
        </w:tc>
        <w:tc>
          <w:tcPr>
            <w:tcW w:w="792" w:type="pct"/>
            <w:vAlign w:val="center"/>
          </w:tcPr>
          <w:p w14:paraId="1B3D47B0">
            <w:pPr>
              <w:adjustRightInd w:val="0"/>
              <w:snapToGrid w:val="0"/>
              <w:rPr>
                <w:snapToGrid w:val="0"/>
                <w:color w:val="auto"/>
                <w:szCs w:val="22"/>
                <w:lang w:val="zh-CN"/>
              </w:rPr>
            </w:pPr>
            <w:r>
              <w:rPr>
                <w:snapToGrid w:val="0"/>
                <w:color w:val="auto"/>
                <w:szCs w:val="22"/>
                <w:lang w:val="zh-CN"/>
              </w:rPr>
              <w:t>pH、砷、镉、铬、铜、铅、汞、镍、锌</w:t>
            </w:r>
          </w:p>
        </w:tc>
        <w:tc>
          <w:tcPr>
            <w:tcW w:w="768" w:type="pct"/>
            <w:vAlign w:val="center"/>
          </w:tcPr>
          <w:p w14:paraId="2CC3D3F5">
            <w:pPr>
              <w:adjustRightInd w:val="0"/>
              <w:snapToGrid w:val="0"/>
              <w:jc w:val="center"/>
              <w:rPr>
                <w:snapToGrid w:val="0"/>
                <w:color w:val="auto"/>
                <w:szCs w:val="22"/>
                <w:lang w:val="zh-CN"/>
              </w:rPr>
            </w:pPr>
            <w:r>
              <w:rPr>
                <w:rFonts w:hint="eastAsia"/>
                <w:snapToGrid w:val="0"/>
                <w:color w:val="auto"/>
                <w:szCs w:val="22"/>
                <w:lang w:val="zh-CN"/>
              </w:rPr>
              <w:t>每年一次</w:t>
            </w:r>
          </w:p>
        </w:tc>
        <w:tc>
          <w:tcPr>
            <w:tcW w:w="1245" w:type="pct"/>
            <w:vAlign w:val="center"/>
          </w:tcPr>
          <w:p w14:paraId="7A0AE0FE">
            <w:pPr>
              <w:adjustRightInd w:val="0"/>
              <w:snapToGrid w:val="0"/>
              <w:jc w:val="center"/>
              <w:rPr>
                <w:snapToGrid w:val="0"/>
                <w:color w:val="auto"/>
                <w:szCs w:val="22"/>
                <w:lang w:val="zh-CN"/>
              </w:rPr>
            </w:pPr>
            <w:r>
              <w:rPr>
                <w:rFonts w:hint="eastAsia"/>
                <w:snapToGrid w:val="0"/>
                <w:color w:val="auto"/>
                <w:szCs w:val="22"/>
                <w:lang w:val="zh-CN"/>
              </w:rPr>
              <w:t>监测表层土壤</w:t>
            </w:r>
          </w:p>
        </w:tc>
      </w:tr>
      <w:tr w14:paraId="3ACBBD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513" w:type="pct"/>
            <w:vMerge w:val="continue"/>
            <w:vAlign w:val="center"/>
          </w:tcPr>
          <w:p w14:paraId="0882917A">
            <w:pPr>
              <w:adjustRightInd w:val="0"/>
              <w:snapToGrid w:val="0"/>
              <w:jc w:val="center"/>
              <w:rPr>
                <w:snapToGrid w:val="0"/>
                <w:color w:val="auto"/>
                <w:szCs w:val="22"/>
                <w:lang w:val="zh-CN"/>
              </w:rPr>
            </w:pPr>
          </w:p>
        </w:tc>
        <w:tc>
          <w:tcPr>
            <w:tcW w:w="666" w:type="pct"/>
            <w:vMerge w:val="continue"/>
            <w:vAlign w:val="center"/>
          </w:tcPr>
          <w:p w14:paraId="107EC0B4">
            <w:pPr>
              <w:adjustRightInd w:val="0"/>
              <w:snapToGrid w:val="0"/>
              <w:jc w:val="center"/>
              <w:rPr>
                <w:snapToGrid w:val="0"/>
                <w:color w:val="auto"/>
                <w:szCs w:val="22"/>
                <w:lang w:val="zh-CN"/>
              </w:rPr>
            </w:pPr>
          </w:p>
        </w:tc>
        <w:tc>
          <w:tcPr>
            <w:tcW w:w="528" w:type="pct"/>
            <w:vAlign w:val="center"/>
          </w:tcPr>
          <w:p w14:paraId="68BE6F7A">
            <w:pPr>
              <w:adjustRightInd w:val="0"/>
              <w:snapToGrid w:val="0"/>
              <w:jc w:val="center"/>
              <w:rPr>
                <w:snapToGrid w:val="0"/>
                <w:color w:val="auto"/>
                <w:szCs w:val="22"/>
                <w:lang w:val="zh-CN"/>
              </w:rPr>
            </w:pPr>
            <w:r>
              <w:rPr>
                <w:snapToGrid w:val="0"/>
                <w:color w:val="auto"/>
                <w:szCs w:val="22"/>
                <w:lang w:val="zh-CN"/>
              </w:rPr>
              <w:t>地下水环境质量监测</w:t>
            </w:r>
          </w:p>
        </w:tc>
        <w:tc>
          <w:tcPr>
            <w:tcW w:w="488" w:type="pct"/>
            <w:vAlign w:val="center"/>
          </w:tcPr>
          <w:p w14:paraId="35BF55A8">
            <w:pPr>
              <w:adjustRightInd w:val="0"/>
              <w:snapToGrid w:val="0"/>
              <w:jc w:val="center"/>
              <w:rPr>
                <w:snapToGrid w:val="0"/>
                <w:color w:val="auto"/>
                <w:szCs w:val="22"/>
                <w:lang w:val="zh-CN"/>
              </w:rPr>
            </w:pPr>
            <w:r>
              <w:rPr>
                <w:rFonts w:hint="eastAsia"/>
                <w:snapToGrid w:val="0"/>
                <w:color w:val="auto"/>
                <w:szCs w:val="22"/>
                <w:lang w:val="zh-CN"/>
              </w:rPr>
              <w:t>3口地下水监控井</w:t>
            </w:r>
          </w:p>
        </w:tc>
        <w:tc>
          <w:tcPr>
            <w:tcW w:w="792" w:type="pct"/>
            <w:vAlign w:val="center"/>
          </w:tcPr>
          <w:p w14:paraId="64865F42">
            <w:pPr>
              <w:adjustRightInd w:val="0"/>
              <w:snapToGrid w:val="0"/>
              <w:rPr>
                <w:snapToGrid w:val="0"/>
                <w:color w:val="auto"/>
                <w:szCs w:val="22"/>
                <w:lang w:val="zh-CN"/>
              </w:rPr>
            </w:pPr>
            <w:r>
              <w:rPr>
                <w:rFonts w:hint="eastAsia"/>
                <w:snapToGrid w:val="0"/>
                <w:color w:val="auto"/>
                <w:kern w:val="0"/>
                <w:szCs w:val="22"/>
                <w:lang w:val="zh-CN"/>
              </w:rPr>
              <w:t>浑浊度、</w:t>
            </w:r>
            <w:r>
              <w:rPr>
                <w:snapToGrid w:val="0"/>
                <w:color w:val="auto"/>
                <w:kern w:val="0"/>
                <w:szCs w:val="22"/>
                <w:lang w:val="zh-CN"/>
              </w:rPr>
              <w:t>pH、溶解性总固体、氯化物、硝酸盐（以N计）、亚硝酸盐（以N计）</w:t>
            </w:r>
            <w:r>
              <w:rPr>
                <w:rFonts w:hint="eastAsia"/>
                <w:snapToGrid w:val="0"/>
                <w:color w:val="auto"/>
                <w:kern w:val="0"/>
                <w:szCs w:val="22"/>
                <w:lang w:val="zh-CN"/>
              </w:rPr>
              <w:t>、C</w:t>
            </w:r>
            <w:r>
              <w:rPr>
                <w:snapToGrid w:val="0"/>
                <w:color w:val="auto"/>
                <w:kern w:val="0"/>
                <w:szCs w:val="22"/>
                <w:lang w:val="zh-CN"/>
              </w:rPr>
              <w:t>OD</w:t>
            </w:r>
            <w:r>
              <w:rPr>
                <w:rFonts w:hint="eastAsia"/>
                <w:snapToGrid w:val="0"/>
                <w:color w:val="auto"/>
                <w:kern w:val="0"/>
                <w:szCs w:val="22"/>
                <w:lang w:val="zh-CN"/>
              </w:rPr>
              <w:t>、氨氮、镉、汞、砷、铅、铬、铜、镍、锌</w:t>
            </w:r>
          </w:p>
        </w:tc>
        <w:tc>
          <w:tcPr>
            <w:tcW w:w="768" w:type="pct"/>
            <w:vAlign w:val="center"/>
          </w:tcPr>
          <w:p w14:paraId="1E2C5C1B">
            <w:pPr>
              <w:adjustRightInd w:val="0"/>
              <w:snapToGrid w:val="0"/>
              <w:jc w:val="center"/>
              <w:rPr>
                <w:snapToGrid w:val="0"/>
                <w:color w:val="auto"/>
                <w:szCs w:val="22"/>
                <w:lang w:val="zh-CN"/>
              </w:rPr>
            </w:pPr>
            <w:r>
              <w:rPr>
                <w:rFonts w:hint="eastAsia"/>
                <w:snapToGrid w:val="0"/>
                <w:color w:val="auto"/>
                <w:szCs w:val="22"/>
                <w:lang w:val="zh-CN"/>
              </w:rPr>
              <w:t>至少每半年一次，直到地下水水质连续</w:t>
            </w:r>
            <w:r>
              <w:rPr>
                <w:snapToGrid w:val="0"/>
                <w:color w:val="auto"/>
                <w:szCs w:val="22"/>
                <w:lang w:val="zh-CN"/>
              </w:rPr>
              <w:t>2年不超出地下水本底水平。</w:t>
            </w:r>
          </w:p>
        </w:tc>
        <w:tc>
          <w:tcPr>
            <w:tcW w:w="1245" w:type="pct"/>
            <w:vAlign w:val="center"/>
          </w:tcPr>
          <w:p w14:paraId="17EA69B0">
            <w:pPr>
              <w:adjustRightInd w:val="0"/>
              <w:snapToGrid w:val="0"/>
              <w:rPr>
                <w:snapToGrid w:val="0"/>
                <w:color w:val="auto"/>
                <w:szCs w:val="22"/>
                <w:lang w:val="zh-CN"/>
              </w:rPr>
            </w:pPr>
            <w:r>
              <w:rPr>
                <w:rFonts w:hint="eastAsia"/>
                <w:snapToGrid w:val="0"/>
                <w:color w:val="auto"/>
                <w:szCs w:val="22"/>
                <w:lang w:val="zh-CN"/>
              </w:rPr>
              <w:t>按照《地下水环境监测技术规范》（</w:t>
            </w:r>
            <w:r>
              <w:rPr>
                <w:snapToGrid w:val="0"/>
                <w:color w:val="auto"/>
                <w:szCs w:val="22"/>
                <w:lang w:val="zh-CN"/>
              </w:rPr>
              <w:t>HJ/T164-2020</w:t>
            </w:r>
            <w:r>
              <w:rPr>
                <w:rFonts w:hint="eastAsia"/>
                <w:snapToGrid w:val="0"/>
                <w:color w:val="auto"/>
                <w:szCs w:val="22"/>
                <w:lang w:val="zh-CN"/>
              </w:rPr>
              <w:t>）要求</w:t>
            </w:r>
          </w:p>
        </w:tc>
      </w:tr>
    </w:tbl>
    <w:p w14:paraId="32105F26">
      <w:pPr>
        <w:pStyle w:val="137"/>
        <w:rPr>
          <w:color w:val="auto"/>
        </w:rPr>
      </w:pPr>
      <w:r>
        <w:rPr>
          <w:rFonts w:hint="eastAsia"/>
          <w:color w:val="auto"/>
        </w:rPr>
        <w:t>8</w:t>
      </w:r>
      <w:r>
        <w:rPr>
          <w:color w:val="auto"/>
        </w:rPr>
        <w:t>.2.3</w:t>
      </w:r>
      <w:r>
        <w:rPr>
          <w:rFonts w:hint="eastAsia"/>
          <w:color w:val="auto"/>
        </w:rPr>
        <w:t>信息公开</w:t>
      </w:r>
    </w:p>
    <w:p w14:paraId="14BA0986">
      <w:pPr>
        <w:pStyle w:val="59"/>
        <w:ind w:firstLine="480"/>
        <w:rPr>
          <w:color w:val="auto"/>
        </w:rPr>
      </w:pPr>
      <w:r>
        <w:rPr>
          <w:rFonts w:hint="eastAsia"/>
          <w:color w:val="auto"/>
        </w:rPr>
        <w:t>企事业单位应按照强制公开和自愿公开相结合的原则，及时、如实地公开其环境信息。企业事业单位应当建立健全本单位环境信息公开制度，设定机构负责本单位环境信息公开日常工作。企业事业单位环境信息涉及国家秘密、商业秘密或者和个人隐私的，依法可以不公开。法律、法规另有规定的，从其规定。</w:t>
      </w:r>
    </w:p>
    <w:p w14:paraId="366E1270">
      <w:pPr>
        <w:pStyle w:val="137"/>
        <w:rPr>
          <w:b/>
          <w:color w:val="auto"/>
        </w:rPr>
      </w:pPr>
      <w:r>
        <w:rPr>
          <w:color w:val="auto"/>
        </w:rPr>
        <w:t>8.2.4设立排放口（源）标识</w:t>
      </w:r>
      <w:bookmarkEnd w:id="216"/>
    </w:p>
    <w:p w14:paraId="7BB5593E">
      <w:pPr>
        <w:spacing w:line="500" w:lineRule="exact"/>
        <w:ind w:firstLine="480" w:firstLineChars="200"/>
        <w:rPr>
          <w:snapToGrid w:val="0"/>
          <w:color w:val="auto"/>
          <w:sz w:val="24"/>
          <w:szCs w:val="22"/>
        </w:rPr>
      </w:pPr>
      <w:bookmarkStart w:id="217" w:name="_Toc11758578"/>
      <w:r>
        <w:rPr>
          <w:snapToGrid w:val="0"/>
          <w:color w:val="auto"/>
          <w:sz w:val="24"/>
          <w:szCs w:val="22"/>
        </w:rPr>
        <w:t>本项目的各排污口按照环境管理要求，必须进行规范化建设，在本项目的污水</w:t>
      </w:r>
      <w:r>
        <w:rPr>
          <w:rFonts w:hint="eastAsia"/>
          <w:snapToGrid w:val="0"/>
          <w:color w:val="auto"/>
          <w:sz w:val="24"/>
          <w:szCs w:val="22"/>
        </w:rPr>
        <w:t>处理站</w:t>
      </w:r>
      <w:r>
        <w:rPr>
          <w:snapToGrid w:val="0"/>
          <w:color w:val="auto"/>
          <w:sz w:val="24"/>
          <w:szCs w:val="22"/>
        </w:rPr>
        <w:t>排放口、大气排放源、噪声</w:t>
      </w:r>
      <w:r>
        <w:rPr>
          <w:rFonts w:hint="eastAsia"/>
          <w:snapToGrid w:val="0"/>
          <w:color w:val="auto"/>
          <w:sz w:val="24"/>
          <w:szCs w:val="22"/>
        </w:rPr>
        <w:t>、</w:t>
      </w:r>
      <w:r>
        <w:rPr>
          <w:snapToGrid w:val="0"/>
          <w:color w:val="auto"/>
          <w:sz w:val="24"/>
          <w:szCs w:val="22"/>
        </w:rPr>
        <w:t>固废排放源设立规范的环境保护图形标志，按照《环境保护图形标志―排放口（源）》（GB15562.1-1995）执行，以利于环境保护行政主管部门对各排放口的监督管理。标志牌制作由国家环境保护总局统一监制，标志牌应设置在与之功能相应的醒目处。</w:t>
      </w:r>
    </w:p>
    <w:p w14:paraId="1E42DE3C">
      <w:pPr>
        <w:spacing w:line="500" w:lineRule="exact"/>
        <w:ind w:firstLine="480" w:firstLineChars="200"/>
        <w:rPr>
          <w:snapToGrid w:val="0"/>
          <w:color w:val="auto"/>
          <w:sz w:val="24"/>
          <w:szCs w:val="22"/>
        </w:rPr>
      </w:pPr>
      <w:r>
        <w:rPr>
          <w:snapToGrid w:val="0"/>
          <w:color w:val="auto"/>
          <w:sz w:val="24"/>
          <w:szCs w:val="22"/>
        </w:rPr>
        <w:t>废气排放口</w:t>
      </w:r>
      <w:r>
        <w:rPr>
          <w:rFonts w:hint="eastAsia"/>
          <w:snapToGrid w:val="0"/>
          <w:color w:val="auto"/>
          <w:sz w:val="24"/>
          <w:szCs w:val="22"/>
        </w:rPr>
        <w:t>、固废、</w:t>
      </w:r>
      <w:r>
        <w:rPr>
          <w:snapToGrid w:val="0"/>
          <w:color w:val="auto"/>
          <w:sz w:val="24"/>
          <w:szCs w:val="22"/>
        </w:rPr>
        <w:t>噪声排放源图形符号分为提示图形符号和警告图形符号两种，图形符号与说明见下</w:t>
      </w:r>
      <w:r>
        <w:rPr>
          <w:rFonts w:hint="eastAsia"/>
          <w:snapToGrid w:val="0"/>
          <w:color w:val="auto"/>
          <w:sz w:val="24"/>
          <w:szCs w:val="22"/>
        </w:rPr>
        <w:t>表</w:t>
      </w:r>
      <w:r>
        <w:rPr>
          <w:snapToGrid w:val="0"/>
          <w:color w:val="auto"/>
          <w:sz w:val="24"/>
          <w:szCs w:val="22"/>
        </w:rPr>
        <w:t>。</w:t>
      </w:r>
    </w:p>
    <w:p w14:paraId="570D5C21">
      <w:pPr>
        <w:adjustRightInd w:val="0"/>
        <w:snapToGrid w:val="0"/>
        <w:spacing w:line="500" w:lineRule="exact"/>
        <w:jc w:val="center"/>
        <w:rPr>
          <w:color w:val="auto"/>
          <w:sz w:val="24"/>
          <w:szCs w:val="22"/>
        </w:rPr>
      </w:pPr>
      <w:r>
        <w:rPr>
          <w:rFonts w:eastAsia="黑体"/>
          <w:color w:val="auto"/>
          <w:sz w:val="24"/>
          <w:szCs w:val="22"/>
          <w:lang w:val="zh-CN"/>
        </w:rPr>
        <w:t>表8-2-2污染物排放口环境保护图形标志一览表</w:t>
      </w:r>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732"/>
        <w:gridCol w:w="2242"/>
        <w:gridCol w:w="2136"/>
        <w:gridCol w:w="1642"/>
        <w:gridCol w:w="1560"/>
      </w:tblGrid>
      <w:tr w14:paraId="4C9FA71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Align w:val="center"/>
          </w:tcPr>
          <w:p w14:paraId="6F209623">
            <w:pPr>
              <w:jc w:val="center"/>
              <w:rPr>
                <w:rFonts w:ascii="Times New Roman" w:hAnsi="Times New Roman"/>
                <w:color w:val="auto"/>
                <w:szCs w:val="22"/>
                <w:lang w:val="zh-CN"/>
              </w:rPr>
            </w:pPr>
            <w:r>
              <w:rPr>
                <w:rFonts w:ascii="Times New Roman" w:hAnsi="Times New Roman"/>
                <w:color w:val="auto"/>
                <w:szCs w:val="22"/>
                <w:lang w:val="zh-CN"/>
              </w:rPr>
              <w:t>序号</w:t>
            </w:r>
          </w:p>
        </w:tc>
        <w:tc>
          <w:tcPr>
            <w:tcW w:w="1358" w:type="pct"/>
            <w:vAlign w:val="center"/>
          </w:tcPr>
          <w:p w14:paraId="0BBD2D2C">
            <w:pPr>
              <w:jc w:val="center"/>
              <w:rPr>
                <w:rFonts w:ascii="Times New Roman" w:hAnsi="Times New Roman"/>
                <w:color w:val="auto"/>
                <w:szCs w:val="22"/>
                <w:lang w:val="zh-CN"/>
              </w:rPr>
            </w:pPr>
            <w:r>
              <w:rPr>
                <w:rFonts w:ascii="Times New Roman" w:hAnsi="Times New Roman"/>
                <w:color w:val="auto"/>
                <w:szCs w:val="22"/>
                <w:lang w:val="zh-CN"/>
              </w:rPr>
              <w:t>提示图形符号</w:t>
            </w:r>
          </w:p>
        </w:tc>
        <w:tc>
          <w:tcPr>
            <w:tcW w:w="1246" w:type="pct"/>
            <w:vAlign w:val="center"/>
          </w:tcPr>
          <w:p w14:paraId="6D52373C">
            <w:pPr>
              <w:jc w:val="center"/>
              <w:rPr>
                <w:rFonts w:ascii="Times New Roman" w:hAnsi="Times New Roman"/>
                <w:color w:val="auto"/>
                <w:szCs w:val="22"/>
                <w:lang w:val="zh-CN"/>
              </w:rPr>
            </w:pPr>
            <w:r>
              <w:rPr>
                <w:rFonts w:ascii="Times New Roman" w:hAnsi="Times New Roman"/>
                <w:color w:val="auto"/>
                <w:szCs w:val="22"/>
                <w:lang w:val="zh-CN"/>
              </w:rPr>
              <w:t>警告图形符号</w:t>
            </w:r>
          </w:p>
        </w:tc>
        <w:tc>
          <w:tcPr>
            <w:tcW w:w="997" w:type="pct"/>
            <w:vAlign w:val="center"/>
          </w:tcPr>
          <w:p w14:paraId="3C8C94DA">
            <w:pPr>
              <w:jc w:val="center"/>
              <w:rPr>
                <w:rFonts w:ascii="Times New Roman" w:hAnsi="Times New Roman"/>
                <w:color w:val="auto"/>
                <w:szCs w:val="22"/>
                <w:lang w:val="zh-CN"/>
              </w:rPr>
            </w:pPr>
            <w:r>
              <w:rPr>
                <w:rFonts w:ascii="Times New Roman" w:hAnsi="Times New Roman"/>
                <w:color w:val="auto"/>
                <w:szCs w:val="22"/>
                <w:lang w:val="zh-CN"/>
              </w:rPr>
              <w:t>名称</w:t>
            </w:r>
          </w:p>
        </w:tc>
        <w:tc>
          <w:tcPr>
            <w:tcW w:w="947" w:type="pct"/>
            <w:vAlign w:val="center"/>
          </w:tcPr>
          <w:p w14:paraId="539B3C17">
            <w:pPr>
              <w:jc w:val="center"/>
              <w:rPr>
                <w:rFonts w:ascii="Times New Roman" w:hAnsi="Times New Roman"/>
                <w:color w:val="auto"/>
                <w:szCs w:val="22"/>
                <w:lang w:val="zh-CN"/>
              </w:rPr>
            </w:pPr>
            <w:r>
              <w:rPr>
                <w:rFonts w:ascii="Times New Roman" w:hAnsi="Times New Roman"/>
                <w:color w:val="auto"/>
                <w:szCs w:val="22"/>
                <w:lang w:val="zh-CN"/>
              </w:rPr>
              <w:t>功能</w:t>
            </w:r>
          </w:p>
        </w:tc>
      </w:tr>
      <w:tr w14:paraId="1362BD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Align w:val="center"/>
          </w:tcPr>
          <w:p w14:paraId="053977E5">
            <w:pPr>
              <w:jc w:val="center"/>
              <w:rPr>
                <w:rFonts w:ascii="Times New Roman" w:hAnsi="Times New Roman"/>
                <w:color w:val="auto"/>
                <w:szCs w:val="22"/>
                <w:lang w:val="zh-CN"/>
              </w:rPr>
            </w:pPr>
            <w:r>
              <w:rPr>
                <w:rFonts w:ascii="Times New Roman" w:hAnsi="Times New Roman"/>
                <w:color w:val="auto"/>
                <w:szCs w:val="22"/>
                <w:lang w:val="zh-CN"/>
              </w:rPr>
              <w:t>1</w:t>
            </w:r>
          </w:p>
        </w:tc>
        <w:tc>
          <w:tcPr>
            <w:tcW w:w="1358" w:type="pct"/>
            <w:vAlign w:val="center"/>
          </w:tcPr>
          <w:p w14:paraId="1918C11C">
            <w:pPr>
              <w:jc w:val="center"/>
              <w:rPr>
                <w:rFonts w:ascii="Times New Roman" w:hAnsi="Times New Roman"/>
                <w:color w:val="auto"/>
                <w:szCs w:val="22"/>
                <w:lang w:val="zh-CN"/>
              </w:rPr>
            </w:pPr>
            <w:r>
              <w:rPr>
                <w:rFonts w:ascii="Calibri" w:hAnsi="Calibri"/>
                <w:color w:val="auto"/>
                <w:sz w:val="20"/>
                <w:szCs w:val="22"/>
              </w:rPr>
              <w:drawing>
                <wp:inline distT="0" distB="0" distL="0" distR="0">
                  <wp:extent cx="1000125" cy="1009650"/>
                  <wp:effectExtent l="0" t="0" r="9525" b="0"/>
                  <wp:docPr id="166463223" name="图片 6" descr="QQ截图2018030209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63223" name="图片 6" descr="QQ截图20180302091626"/>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1000125" cy="1009650"/>
                          </a:xfrm>
                          <a:prstGeom prst="rect">
                            <a:avLst/>
                          </a:prstGeom>
                          <a:noFill/>
                          <a:ln>
                            <a:noFill/>
                          </a:ln>
                        </pic:spPr>
                      </pic:pic>
                    </a:graphicData>
                  </a:graphic>
                </wp:inline>
              </w:drawing>
            </w:r>
          </w:p>
        </w:tc>
        <w:tc>
          <w:tcPr>
            <w:tcW w:w="1246" w:type="pct"/>
            <w:vAlign w:val="center"/>
          </w:tcPr>
          <w:p w14:paraId="59A809B5">
            <w:pPr>
              <w:jc w:val="center"/>
              <w:rPr>
                <w:rFonts w:ascii="Times New Roman" w:hAnsi="Times New Roman"/>
                <w:color w:val="auto"/>
                <w:szCs w:val="22"/>
                <w:lang w:val="zh-CN"/>
              </w:rPr>
            </w:pPr>
            <w:r>
              <w:rPr>
                <w:rFonts w:ascii="Calibri" w:hAnsi="Calibri"/>
                <w:color w:val="auto"/>
                <w:sz w:val="20"/>
                <w:szCs w:val="22"/>
              </w:rPr>
              <w:drawing>
                <wp:inline distT="0" distB="0" distL="0" distR="0">
                  <wp:extent cx="1209675" cy="1076325"/>
                  <wp:effectExtent l="0" t="0" r="9525" b="9525"/>
                  <wp:docPr id="1699839979" name="图片 5" descr="QQ截图20180302091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9839979" name="图片 5" descr="QQ截图20180302091638"/>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a:xfrm>
                            <a:off x="0" y="0"/>
                            <a:ext cx="1209675" cy="1076325"/>
                          </a:xfrm>
                          <a:prstGeom prst="rect">
                            <a:avLst/>
                          </a:prstGeom>
                          <a:noFill/>
                          <a:ln>
                            <a:noFill/>
                          </a:ln>
                        </pic:spPr>
                      </pic:pic>
                    </a:graphicData>
                  </a:graphic>
                </wp:inline>
              </w:drawing>
            </w:r>
          </w:p>
        </w:tc>
        <w:tc>
          <w:tcPr>
            <w:tcW w:w="997" w:type="pct"/>
            <w:vAlign w:val="center"/>
          </w:tcPr>
          <w:p w14:paraId="6F570D40">
            <w:pPr>
              <w:jc w:val="center"/>
              <w:rPr>
                <w:rFonts w:ascii="Times New Roman" w:hAnsi="Times New Roman"/>
                <w:color w:val="auto"/>
                <w:szCs w:val="22"/>
                <w:lang w:val="zh-CN"/>
              </w:rPr>
            </w:pPr>
            <w:r>
              <w:rPr>
                <w:rFonts w:ascii="Times New Roman" w:hAnsi="Times New Roman"/>
                <w:color w:val="auto"/>
                <w:szCs w:val="22"/>
                <w:lang w:val="zh-CN"/>
              </w:rPr>
              <w:t>废气排放口</w:t>
            </w:r>
          </w:p>
        </w:tc>
        <w:tc>
          <w:tcPr>
            <w:tcW w:w="947" w:type="pct"/>
            <w:vAlign w:val="center"/>
          </w:tcPr>
          <w:p w14:paraId="1DC71739">
            <w:pPr>
              <w:jc w:val="center"/>
              <w:rPr>
                <w:rFonts w:ascii="Times New Roman" w:hAnsi="Times New Roman"/>
                <w:color w:val="auto"/>
                <w:szCs w:val="22"/>
                <w:lang w:val="zh-CN"/>
              </w:rPr>
            </w:pPr>
            <w:r>
              <w:rPr>
                <w:rFonts w:ascii="Times New Roman" w:hAnsi="Times New Roman"/>
                <w:color w:val="auto"/>
                <w:szCs w:val="22"/>
                <w:lang w:val="zh-CN"/>
              </w:rPr>
              <w:t>表示废气向大气环境排放</w:t>
            </w:r>
          </w:p>
        </w:tc>
      </w:tr>
      <w:tr w14:paraId="6C13D1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Align w:val="center"/>
          </w:tcPr>
          <w:p w14:paraId="228CBF33">
            <w:pPr>
              <w:jc w:val="center"/>
              <w:rPr>
                <w:rFonts w:ascii="Times New Roman" w:hAnsi="Times New Roman"/>
                <w:color w:val="auto"/>
                <w:szCs w:val="22"/>
                <w:lang w:val="zh-CN"/>
              </w:rPr>
            </w:pPr>
            <w:r>
              <w:rPr>
                <w:rFonts w:ascii="Times New Roman" w:hAnsi="Times New Roman"/>
                <w:color w:val="auto"/>
                <w:szCs w:val="22"/>
                <w:lang w:val="zh-CN"/>
              </w:rPr>
              <w:t>2</w:t>
            </w:r>
          </w:p>
        </w:tc>
        <w:tc>
          <w:tcPr>
            <w:tcW w:w="1358" w:type="pct"/>
            <w:vAlign w:val="center"/>
          </w:tcPr>
          <w:p w14:paraId="2266925F">
            <w:pPr>
              <w:jc w:val="center"/>
              <w:rPr>
                <w:rFonts w:ascii="Times New Roman" w:hAnsi="Times New Roman"/>
                <w:color w:val="auto"/>
                <w:szCs w:val="22"/>
                <w:lang w:val="zh-CN"/>
              </w:rPr>
            </w:pPr>
            <w:r>
              <w:rPr>
                <w:rFonts w:ascii="Calibri" w:hAnsi="Calibri"/>
                <w:color w:val="auto"/>
                <w:sz w:val="20"/>
                <w:szCs w:val="22"/>
              </w:rPr>
              <w:drawing>
                <wp:inline distT="0" distB="0" distL="0" distR="0">
                  <wp:extent cx="1038225" cy="1038225"/>
                  <wp:effectExtent l="0" t="0" r="9525" b="9525"/>
                  <wp:docPr id="1303357735" name="图片 4" descr="QQ截图20180302091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357735" name="图片 4" descr="QQ截图2018030209165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a:xfrm>
                            <a:off x="0" y="0"/>
                            <a:ext cx="1038225" cy="1038225"/>
                          </a:xfrm>
                          <a:prstGeom prst="rect">
                            <a:avLst/>
                          </a:prstGeom>
                          <a:noFill/>
                          <a:ln>
                            <a:noFill/>
                          </a:ln>
                        </pic:spPr>
                      </pic:pic>
                    </a:graphicData>
                  </a:graphic>
                </wp:inline>
              </w:drawing>
            </w:r>
          </w:p>
        </w:tc>
        <w:tc>
          <w:tcPr>
            <w:tcW w:w="1246" w:type="pct"/>
            <w:vAlign w:val="center"/>
          </w:tcPr>
          <w:p w14:paraId="460209ED">
            <w:pPr>
              <w:jc w:val="center"/>
              <w:rPr>
                <w:rFonts w:ascii="Times New Roman" w:hAnsi="Times New Roman"/>
                <w:color w:val="auto"/>
                <w:szCs w:val="22"/>
                <w:lang w:val="zh-CN"/>
              </w:rPr>
            </w:pPr>
            <w:r>
              <w:rPr>
                <w:rFonts w:ascii="Calibri" w:hAnsi="Calibri"/>
                <w:color w:val="auto"/>
                <w:sz w:val="20"/>
                <w:szCs w:val="22"/>
              </w:rPr>
              <w:drawing>
                <wp:inline distT="0" distB="0" distL="0" distR="0">
                  <wp:extent cx="1209675" cy="1076325"/>
                  <wp:effectExtent l="0" t="0" r="9525" b="9525"/>
                  <wp:docPr id="1531480118" name="图片 3" descr="QQ截图201803020917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480118" name="图片 3" descr="QQ截图2018030209170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a:xfrm>
                            <a:off x="0" y="0"/>
                            <a:ext cx="1209675" cy="1076325"/>
                          </a:xfrm>
                          <a:prstGeom prst="rect">
                            <a:avLst/>
                          </a:prstGeom>
                          <a:noFill/>
                          <a:ln>
                            <a:noFill/>
                          </a:ln>
                        </pic:spPr>
                      </pic:pic>
                    </a:graphicData>
                  </a:graphic>
                </wp:inline>
              </w:drawing>
            </w:r>
          </w:p>
        </w:tc>
        <w:tc>
          <w:tcPr>
            <w:tcW w:w="997" w:type="pct"/>
            <w:vAlign w:val="center"/>
          </w:tcPr>
          <w:p w14:paraId="6695119F">
            <w:pPr>
              <w:jc w:val="center"/>
              <w:rPr>
                <w:rFonts w:ascii="Times New Roman" w:hAnsi="Times New Roman"/>
                <w:color w:val="auto"/>
                <w:szCs w:val="22"/>
                <w:lang w:val="zh-CN"/>
              </w:rPr>
            </w:pPr>
            <w:r>
              <w:rPr>
                <w:rFonts w:ascii="Times New Roman" w:hAnsi="Times New Roman"/>
                <w:color w:val="auto"/>
                <w:szCs w:val="22"/>
                <w:lang w:val="zh-CN"/>
              </w:rPr>
              <w:t>噪声排放源</w:t>
            </w:r>
          </w:p>
        </w:tc>
        <w:tc>
          <w:tcPr>
            <w:tcW w:w="947" w:type="pct"/>
            <w:vAlign w:val="center"/>
          </w:tcPr>
          <w:p w14:paraId="0D153668">
            <w:pPr>
              <w:jc w:val="center"/>
              <w:rPr>
                <w:rFonts w:ascii="Times New Roman" w:hAnsi="Times New Roman"/>
                <w:color w:val="auto"/>
                <w:szCs w:val="22"/>
                <w:lang w:val="zh-CN"/>
              </w:rPr>
            </w:pPr>
            <w:r>
              <w:rPr>
                <w:rFonts w:ascii="Times New Roman" w:hAnsi="Times New Roman"/>
                <w:color w:val="auto"/>
                <w:szCs w:val="22"/>
                <w:lang w:val="zh-CN"/>
              </w:rPr>
              <w:t>表示噪声向外环境排放</w:t>
            </w:r>
          </w:p>
        </w:tc>
      </w:tr>
      <w:tr w14:paraId="59B5BE8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450" w:type="pct"/>
            <w:vAlign w:val="center"/>
          </w:tcPr>
          <w:p w14:paraId="03692BF2">
            <w:pPr>
              <w:jc w:val="center"/>
              <w:rPr>
                <w:rFonts w:ascii="Times New Roman" w:hAnsi="Times New Roman"/>
                <w:color w:val="auto"/>
                <w:szCs w:val="22"/>
                <w:lang w:val="zh-CN"/>
              </w:rPr>
            </w:pPr>
            <w:r>
              <w:rPr>
                <w:rFonts w:ascii="Times New Roman" w:hAnsi="Times New Roman"/>
                <w:color w:val="auto"/>
                <w:szCs w:val="22"/>
                <w:lang w:val="zh-CN"/>
              </w:rPr>
              <w:t>3</w:t>
            </w:r>
          </w:p>
        </w:tc>
        <w:tc>
          <w:tcPr>
            <w:tcW w:w="1358" w:type="pct"/>
            <w:vAlign w:val="center"/>
          </w:tcPr>
          <w:p w14:paraId="79FEBE60">
            <w:pPr>
              <w:jc w:val="center"/>
              <w:rPr>
                <w:rFonts w:ascii="Times New Roman" w:hAnsi="Times New Roman"/>
                <w:color w:val="auto"/>
                <w:szCs w:val="22"/>
                <w:lang w:val="zh-CN"/>
              </w:rPr>
            </w:pPr>
            <w:r>
              <w:rPr>
                <w:rFonts w:ascii="Calibri" w:hAnsi="Calibri"/>
                <w:color w:val="auto"/>
                <w:sz w:val="20"/>
                <w:szCs w:val="22"/>
              </w:rPr>
              <w:drawing>
                <wp:inline distT="0" distB="0" distL="0" distR="0">
                  <wp:extent cx="1076325" cy="971550"/>
                  <wp:effectExtent l="0" t="0" r="9525" b="0"/>
                  <wp:docPr id="1410457452" name="图片 2" descr="5004926_200754083745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457452" name="图片 2" descr="5004926_200754083745_2"/>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a:xfrm>
                            <a:off x="0" y="0"/>
                            <a:ext cx="1076325" cy="971550"/>
                          </a:xfrm>
                          <a:prstGeom prst="rect">
                            <a:avLst/>
                          </a:prstGeom>
                          <a:noFill/>
                          <a:ln>
                            <a:noFill/>
                          </a:ln>
                        </pic:spPr>
                      </pic:pic>
                    </a:graphicData>
                  </a:graphic>
                </wp:inline>
              </w:drawing>
            </w:r>
          </w:p>
        </w:tc>
        <w:tc>
          <w:tcPr>
            <w:tcW w:w="1246" w:type="pct"/>
            <w:vAlign w:val="center"/>
          </w:tcPr>
          <w:p w14:paraId="095B3CEB">
            <w:pPr>
              <w:jc w:val="center"/>
              <w:rPr>
                <w:rFonts w:ascii="Times New Roman" w:hAnsi="Times New Roman"/>
                <w:color w:val="auto"/>
                <w:szCs w:val="22"/>
                <w:lang w:val="zh-CN"/>
              </w:rPr>
            </w:pPr>
            <w:r>
              <w:rPr>
                <w:rFonts w:ascii="Calibri" w:hAnsi="Calibri"/>
                <w:color w:val="auto"/>
                <w:szCs w:val="22"/>
              </w:rPr>
              <w:drawing>
                <wp:inline distT="0" distB="0" distL="0" distR="0">
                  <wp:extent cx="990600" cy="885825"/>
                  <wp:effectExtent l="0" t="0" r="0" b="9525"/>
                  <wp:docPr id="1134200567" name="图片 1" descr="wps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4200567" name="图片 1" descr="wps175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a:xfrm>
                            <a:off x="0" y="0"/>
                            <a:ext cx="990600" cy="885825"/>
                          </a:xfrm>
                          <a:prstGeom prst="rect">
                            <a:avLst/>
                          </a:prstGeom>
                          <a:noFill/>
                          <a:ln>
                            <a:noFill/>
                          </a:ln>
                        </pic:spPr>
                      </pic:pic>
                    </a:graphicData>
                  </a:graphic>
                </wp:inline>
              </w:drawing>
            </w:r>
          </w:p>
        </w:tc>
        <w:tc>
          <w:tcPr>
            <w:tcW w:w="997" w:type="pct"/>
            <w:vAlign w:val="center"/>
          </w:tcPr>
          <w:p w14:paraId="43BEFFBC">
            <w:pPr>
              <w:jc w:val="center"/>
              <w:rPr>
                <w:rFonts w:ascii="Times New Roman" w:hAnsi="Times New Roman"/>
                <w:color w:val="auto"/>
                <w:szCs w:val="22"/>
                <w:lang w:val="zh-CN"/>
              </w:rPr>
            </w:pPr>
            <w:r>
              <w:rPr>
                <w:rFonts w:ascii="Times New Roman" w:hAnsi="Times New Roman"/>
                <w:color w:val="auto"/>
                <w:szCs w:val="22"/>
                <w:lang w:val="zh-CN"/>
              </w:rPr>
              <w:t>固体废物堆放场</w:t>
            </w:r>
          </w:p>
        </w:tc>
        <w:tc>
          <w:tcPr>
            <w:tcW w:w="947" w:type="pct"/>
            <w:vAlign w:val="center"/>
          </w:tcPr>
          <w:p w14:paraId="23AEE88F">
            <w:pPr>
              <w:jc w:val="center"/>
              <w:rPr>
                <w:rFonts w:ascii="Times New Roman" w:hAnsi="Times New Roman"/>
                <w:color w:val="auto"/>
                <w:szCs w:val="22"/>
                <w:lang w:val="zh-CN"/>
              </w:rPr>
            </w:pPr>
            <w:r>
              <w:rPr>
                <w:rFonts w:ascii="Times New Roman" w:hAnsi="Times New Roman"/>
                <w:color w:val="auto"/>
                <w:szCs w:val="22"/>
                <w:lang w:val="zh-CN"/>
              </w:rPr>
              <w:t>表示此处为固体堆放区</w:t>
            </w:r>
          </w:p>
        </w:tc>
      </w:tr>
      <w:bookmarkEnd w:id="217"/>
    </w:tbl>
    <w:p w14:paraId="4E037154">
      <w:pPr>
        <w:pStyle w:val="548"/>
        <w:rPr>
          <w:snapToGrid w:val="0"/>
          <w:color w:val="auto"/>
        </w:rPr>
      </w:pPr>
      <w:bookmarkStart w:id="218" w:name="_Toc11758579"/>
      <w:bookmarkStart w:id="219" w:name="_Toc119316823"/>
      <w:bookmarkStart w:id="220" w:name="_Toc149054226"/>
      <w:r>
        <w:rPr>
          <w:snapToGrid w:val="0"/>
          <w:color w:val="auto"/>
        </w:rPr>
        <w:t>8.3环境保护竣工验收</w:t>
      </w:r>
      <w:bookmarkEnd w:id="218"/>
      <w:bookmarkEnd w:id="219"/>
      <w:bookmarkEnd w:id="220"/>
    </w:p>
    <w:p w14:paraId="5F829B80">
      <w:pPr>
        <w:pStyle w:val="59"/>
        <w:ind w:firstLine="480"/>
        <w:rPr>
          <w:snapToGrid w:val="0"/>
          <w:color w:val="auto"/>
        </w:rPr>
      </w:pPr>
      <w:r>
        <w:rPr>
          <w:snapToGrid w:val="0"/>
          <w:color w:val="auto"/>
        </w:rPr>
        <w:t>本项目中的污染防治措施必须与主体工程同时设计、同时施工、同时投产使用。防治污染的设施必须经原审批环境影响报告书的环境保护行政主管部门验收合格后，项目方可投入生产和使用。</w:t>
      </w:r>
    </w:p>
    <w:p w14:paraId="27119B46">
      <w:pPr>
        <w:pStyle w:val="59"/>
        <w:ind w:firstLine="480"/>
        <w:rPr>
          <w:snapToGrid w:val="0"/>
          <w:color w:val="auto"/>
        </w:rPr>
        <w:sectPr>
          <w:pgSz w:w="11906" w:h="16838"/>
          <w:pgMar w:top="1440" w:right="1797" w:bottom="1440" w:left="1797" w:header="851" w:footer="992" w:gutter="0"/>
          <w:pgBorders>
            <w:top w:val="none" w:sz="0" w:space="0"/>
            <w:left w:val="none" w:sz="0" w:space="0"/>
            <w:bottom w:val="none" w:sz="0" w:space="0"/>
            <w:right w:val="none" w:sz="0" w:space="0"/>
          </w:pgBorders>
          <w:cols w:space="425" w:num="1"/>
          <w:docGrid w:type="linesAndChars" w:linePitch="326" w:charSpace="0"/>
        </w:sectPr>
      </w:pPr>
      <w:r>
        <w:rPr>
          <w:snapToGrid w:val="0"/>
          <w:color w:val="auto"/>
        </w:rPr>
        <w:t>拟建项目建成后，环境保护措施竣工验收情况详见表8-3-1。</w:t>
      </w:r>
    </w:p>
    <w:p w14:paraId="622118BF">
      <w:pPr>
        <w:pStyle w:val="76"/>
        <w:rPr>
          <w:color w:val="auto"/>
        </w:rPr>
      </w:pPr>
      <w:r>
        <w:rPr>
          <w:color w:val="auto"/>
        </w:rPr>
        <w:t>表8-3-1建设项目竣工环境保护验收一览表</w:t>
      </w:r>
    </w:p>
    <w:tbl>
      <w:tblPr>
        <w:tblStyle w:val="45"/>
        <w:tblW w:w="13803"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905"/>
        <w:gridCol w:w="1222"/>
        <w:gridCol w:w="1559"/>
        <w:gridCol w:w="6237"/>
        <w:gridCol w:w="3821"/>
        <w:gridCol w:w="59"/>
      </w:tblGrid>
      <w:tr w14:paraId="030D11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 w:hRule="atLeast"/>
          <w:jc w:val="center"/>
        </w:trPr>
        <w:tc>
          <w:tcPr>
            <w:tcW w:w="905" w:type="dxa"/>
            <w:tcMar>
              <w:left w:w="0" w:type="dxa"/>
              <w:right w:w="0" w:type="dxa"/>
            </w:tcMar>
            <w:vAlign w:val="center"/>
          </w:tcPr>
          <w:p w14:paraId="3399EB2F">
            <w:pPr>
              <w:spacing w:line="0" w:lineRule="atLeast"/>
              <w:jc w:val="center"/>
              <w:rPr>
                <w:color w:val="auto"/>
                <w:szCs w:val="21"/>
              </w:rPr>
            </w:pPr>
            <w:r>
              <w:rPr>
                <w:rFonts w:hAnsi="宋体"/>
                <w:color w:val="auto"/>
                <w:szCs w:val="21"/>
              </w:rPr>
              <w:t>时序</w:t>
            </w:r>
          </w:p>
        </w:tc>
        <w:tc>
          <w:tcPr>
            <w:tcW w:w="1222" w:type="dxa"/>
            <w:vAlign w:val="center"/>
          </w:tcPr>
          <w:p w14:paraId="7F9AE87D">
            <w:pPr>
              <w:spacing w:line="0" w:lineRule="atLeast"/>
              <w:jc w:val="center"/>
              <w:rPr>
                <w:color w:val="auto"/>
                <w:szCs w:val="21"/>
              </w:rPr>
            </w:pPr>
            <w:r>
              <w:rPr>
                <w:rFonts w:hAnsi="宋体"/>
                <w:color w:val="auto"/>
                <w:szCs w:val="21"/>
              </w:rPr>
              <w:t>污染源</w:t>
            </w:r>
          </w:p>
        </w:tc>
        <w:tc>
          <w:tcPr>
            <w:tcW w:w="1559" w:type="dxa"/>
            <w:vAlign w:val="center"/>
          </w:tcPr>
          <w:p w14:paraId="3A2FB994">
            <w:pPr>
              <w:spacing w:line="0" w:lineRule="atLeast"/>
              <w:jc w:val="center"/>
              <w:rPr>
                <w:color w:val="auto"/>
                <w:szCs w:val="21"/>
              </w:rPr>
            </w:pPr>
            <w:r>
              <w:rPr>
                <w:rFonts w:hAnsi="宋体"/>
                <w:color w:val="auto"/>
                <w:szCs w:val="21"/>
              </w:rPr>
              <w:t>项目</w:t>
            </w:r>
          </w:p>
        </w:tc>
        <w:tc>
          <w:tcPr>
            <w:tcW w:w="6237" w:type="dxa"/>
            <w:vAlign w:val="center"/>
          </w:tcPr>
          <w:p w14:paraId="0BCCA949">
            <w:pPr>
              <w:spacing w:line="0" w:lineRule="atLeast"/>
              <w:jc w:val="center"/>
              <w:rPr>
                <w:color w:val="auto"/>
                <w:szCs w:val="21"/>
              </w:rPr>
            </w:pPr>
            <w:r>
              <w:rPr>
                <w:rFonts w:hAnsi="宋体"/>
                <w:color w:val="auto"/>
                <w:szCs w:val="21"/>
              </w:rPr>
              <w:t>治理措施</w:t>
            </w:r>
          </w:p>
        </w:tc>
        <w:tc>
          <w:tcPr>
            <w:tcW w:w="3880" w:type="dxa"/>
            <w:gridSpan w:val="2"/>
            <w:vAlign w:val="center"/>
          </w:tcPr>
          <w:p w14:paraId="0618585D">
            <w:pPr>
              <w:spacing w:line="0" w:lineRule="atLeast"/>
              <w:jc w:val="center"/>
              <w:rPr>
                <w:color w:val="auto"/>
                <w:szCs w:val="21"/>
              </w:rPr>
            </w:pPr>
            <w:r>
              <w:rPr>
                <w:rFonts w:hAnsi="宋体"/>
                <w:color w:val="auto"/>
                <w:szCs w:val="21"/>
              </w:rPr>
              <w:t>验收标准</w:t>
            </w:r>
          </w:p>
        </w:tc>
      </w:tr>
      <w:tr w14:paraId="26FE74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 w:hRule="atLeast"/>
          <w:jc w:val="center"/>
        </w:trPr>
        <w:tc>
          <w:tcPr>
            <w:tcW w:w="905" w:type="dxa"/>
            <w:vMerge w:val="restart"/>
            <w:tcMar>
              <w:left w:w="0" w:type="dxa"/>
              <w:right w:w="0" w:type="dxa"/>
            </w:tcMar>
            <w:vAlign w:val="center"/>
          </w:tcPr>
          <w:p w14:paraId="22BFA58C">
            <w:pPr>
              <w:spacing w:line="0" w:lineRule="atLeast"/>
              <w:jc w:val="center"/>
              <w:rPr>
                <w:rFonts w:hAnsi="宋体"/>
                <w:color w:val="auto"/>
                <w:szCs w:val="21"/>
              </w:rPr>
            </w:pPr>
            <w:r>
              <w:rPr>
                <w:rFonts w:hint="eastAsia" w:hAnsi="宋体"/>
                <w:color w:val="auto"/>
                <w:szCs w:val="21"/>
              </w:rPr>
              <w:t>回填复垦期</w:t>
            </w:r>
          </w:p>
        </w:tc>
        <w:tc>
          <w:tcPr>
            <w:tcW w:w="1222" w:type="dxa"/>
            <w:vAlign w:val="center"/>
          </w:tcPr>
          <w:p w14:paraId="14CDB41E">
            <w:pPr>
              <w:spacing w:line="0" w:lineRule="atLeast"/>
              <w:jc w:val="center"/>
              <w:rPr>
                <w:color w:val="auto"/>
                <w:szCs w:val="21"/>
              </w:rPr>
            </w:pPr>
            <w:r>
              <w:rPr>
                <w:rFonts w:hint="eastAsia" w:hAnsi="宋体"/>
                <w:color w:val="auto"/>
                <w:szCs w:val="21"/>
              </w:rPr>
              <w:t>生活污水</w:t>
            </w:r>
          </w:p>
        </w:tc>
        <w:tc>
          <w:tcPr>
            <w:tcW w:w="1559" w:type="dxa"/>
            <w:vAlign w:val="center"/>
          </w:tcPr>
          <w:p w14:paraId="542BAAF9">
            <w:pPr>
              <w:spacing w:line="0" w:lineRule="atLeast"/>
              <w:rPr>
                <w:color w:val="auto"/>
                <w:szCs w:val="21"/>
              </w:rPr>
            </w:pPr>
            <w:r>
              <w:rPr>
                <w:bCs/>
                <w:color w:val="auto"/>
                <w:szCs w:val="21"/>
              </w:rPr>
              <w:t>COD</w:t>
            </w:r>
            <w:r>
              <w:rPr>
                <w:rFonts w:hAnsi="宋体"/>
                <w:bCs/>
                <w:color w:val="auto"/>
                <w:szCs w:val="21"/>
              </w:rPr>
              <w:t>、氨氮、</w:t>
            </w:r>
            <w:r>
              <w:rPr>
                <w:bCs/>
                <w:color w:val="auto"/>
                <w:szCs w:val="21"/>
              </w:rPr>
              <w:t>pH</w:t>
            </w:r>
            <w:r>
              <w:rPr>
                <w:rFonts w:hAnsi="宋体"/>
                <w:bCs/>
                <w:color w:val="auto"/>
                <w:szCs w:val="21"/>
              </w:rPr>
              <w:t>、</w:t>
            </w:r>
            <w:r>
              <w:rPr>
                <w:bCs/>
                <w:color w:val="auto"/>
                <w:szCs w:val="21"/>
              </w:rPr>
              <w:t>SS</w:t>
            </w:r>
            <w:r>
              <w:rPr>
                <w:rFonts w:hAnsi="宋体"/>
                <w:bCs/>
                <w:color w:val="auto"/>
                <w:szCs w:val="21"/>
              </w:rPr>
              <w:t>、</w:t>
            </w:r>
            <w:r>
              <w:rPr>
                <w:bCs/>
                <w:color w:val="auto"/>
                <w:szCs w:val="21"/>
              </w:rPr>
              <w:t>BOD</w:t>
            </w:r>
            <w:r>
              <w:rPr>
                <w:bCs/>
                <w:color w:val="auto"/>
                <w:szCs w:val="21"/>
                <w:vertAlign w:val="subscript"/>
              </w:rPr>
              <w:t>5</w:t>
            </w:r>
          </w:p>
        </w:tc>
        <w:tc>
          <w:tcPr>
            <w:tcW w:w="6237" w:type="dxa"/>
            <w:vAlign w:val="center"/>
          </w:tcPr>
          <w:p w14:paraId="5D9ABD37">
            <w:pPr>
              <w:spacing w:line="0" w:lineRule="atLeast"/>
              <w:rPr>
                <w:color w:val="auto"/>
                <w:szCs w:val="21"/>
              </w:rPr>
            </w:pPr>
            <w:r>
              <w:rPr>
                <w:bCs/>
                <w:color w:val="auto"/>
              </w:rPr>
              <w:t>员工</w:t>
            </w:r>
            <w:r>
              <w:rPr>
                <w:rFonts w:hint="eastAsia"/>
                <w:bCs/>
                <w:color w:val="auto"/>
              </w:rPr>
              <w:t>生活污水</w:t>
            </w:r>
            <w:r>
              <w:rPr>
                <w:bCs/>
                <w:color w:val="auto"/>
              </w:rPr>
              <w:t>排入依托租赁的民房配套的防渗旱厕，定期清掏，外运堆肥，不外排</w:t>
            </w:r>
          </w:p>
        </w:tc>
        <w:tc>
          <w:tcPr>
            <w:tcW w:w="3880" w:type="dxa"/>
            <w:gridSpan w:val="2"/>
            <w:vAlign w:val="center"/>
          </w:tcPr>
          <w:p w14:paraId="58CA7831">
            <w:pPr>
              <w:spacing w:line="0" w:lineRule="atLeast"/>
              <w:jc w:val="center"/>
              <w:rPr>
                <w:color w:val="auto"/>
                <w:szCs w:val="21"/>
              </w:rPr>
            </w:pPr>
            <w:r>
              <w:rPr>
                <w:bCs/>
                <w:color w:val="auto"/>
              </w:rPr>
              <w:t>不外排</w:t>
            </w:r>
          </w:p>
        </w:tc>
      </w:tr>
      <w:tr w14:paraId="697839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 w:hRule="atLeast"/>
          <w:jc w:val="center"/>
        </w:trPr>
        <w:tc>
          <w:tcPr>
            <w:tcW w:w="905" w:type="dxa"/>
            <w:vMerge w:val="continue"/>
            <w:tcMar>
              <w:left w:w="0" w:type="dxa"/>
              <w:right w:w="0" w:type="dxa"/>
            </w:tcMar>
            <w:vAlign w:val="center"/>
          </w:tcPr>
          <w:p w14:paraId="34B42DA8">
            <w:pPr>
              <w:spacing w:line="0" w:lineRule="atLeast"/>
              <w:jc w:val="center"/>
              <w:rPr>
                <w:rFonts w:hAnsi="宋体"/>
                <w:color w:val="auto"/>
                <w:szCs w:val="21"/>
              </w:rPr>
            </w:pPr>
          </w:p>
        </w:tc>
        <w:tc>
          <w:tcPr>
            <w:tcW w:w="1222" w:type="dxa"/>
            <w:vAlign w:val="center"/>
          </w:tcPr>
          <w:p w14:paraId="5D935F72">
            <w:pPr>
              <w:spacing w:line="0" w:lineRule="atLeast"/>
              <w:jc w:val="center"/>
              <w:rPr>
                <w:color w:val="auto"/>
                <w:szCs w:val="21"/>
              </w:rPr>
            </w:pPr>
            <w:r>
              <w:rPr>
                <w:rFonts w:hint="eastAsia"/>
                <w:snapToGrid w:val="0"/>
                <w:color w:val="auto"/>
              </w:rPr>
              <w:t>淋溶水</w:t>
            </w:r>
          </w:p>
        </w:tc>
        <w:tc>
          <w:tcPr>
            <w:tcW w:w="1559" w:type="dxa"/>
            <w:vAlign w:val="center"/>
          </w:tcPr>
          <w:p w14:paraId="1BCE86ED">
            <w:pPr>
              <w:spacing w:line="0" w:lineRule="atLeast"/>
              <w:rPr>
                <w:color w:val="auto"/>
                <w:szCs w:val="21"/>
              </w:rPr>
            </w:pPr>
            <w:r>
              <w:rPr>
                <w:rFonts w:hint="eastAsia"/>
                <w:color w:val="auto"/>
              </w:rPr>
              <w:t>COD、氨氮、pH、SS、BOD</w:t>
            </w:r>
            <w:r>
              <w:rPr>
                <w:rFonts w:hint="eastAsia"/>
                <w:color w:val="auto"/>
                <w:vertAlign w:val="subscript"/>
              </w:rPr>
              <w:t>5</w:t>
            </w:r>
            <w:r>
              <w:rPr>
                <w:rFonts w:hint="eastAsia"/>
                <w:color w:val="auto"/>
              </w:rPr>
              <w:t>等</w:t>
            </w:r>
          </w:p>
        </w:tc>
        <w:tc>
          <w:tcPr>
            <w:tcW w:w="6237" w:type="dxa"/>
            <w:vAlign w:val="center"/>
          </w:tcPr>
          <w:p w14:paraId="2379542B">
            <w:pPr>
              <w:spacing w:line="0" w:lineRule="atLeast"/>
              <w:rPr>
                <w:color w:val="auto"/>
                <w:szCs w:val="21"/>
              </w:rPr>
            </w:pPr>
            <w:r>
              <w:rPr>
                <w:rFonts w:hint="eastAsia"/>
                <w:color w:val="auto"/>
                <w:szCs w:val="21"/>
              </w:rPr>
              <w:t>淋溶水</w:t>
            </w:r>
            <w:r>
              <w:rPr>
                <w:color w:val="auto"/>
                <w:szCs w:val="21"/>
              </w:rPr>
              <w:t>经导排系统输送至</w:t>
            </w:r>
            <w:r>
              <w:rPr>
                <w:rFonts w:hint="eastAsia"/>
                <w:color w:val="auto"/>
                <w:szCs w:val="21"/>
              </w:rPr>
              <w:t>淋溶水</w:t>
            </w:r>
            <w:r>
              <w:rPr>
                <w:color w:val="auto"/>
                <w:szCs w:val="21"/>
              </w:rPr>
              <w:t>暂存池，</w:t>
            </w:r>
            <w:r>
              <w:rPr>
                <w:rFonts w:hint="eastAsia"/>
                <w:color w:val="auto"/>
                <w:szCs w:val="21"/>
              </w:rPr>
              <w:t>沉淀后回用于项目区洒水抑尘使用，不外排</w:t>
            </w:r>
          </w:p>
        </w:tc>
        <w:tc>
          <w:tcPr>
            <w:tcW w:w="3880" w:type="dxa"/>
            <w:gridSpan w:val="2"/>
            <w:vAlign w:val="center"/>
          </w:tcPr>
          <w:p w14:paraId="206ACE59">
            <w:pPr>
              <w:spacing w:line="0" w:lineRule="atLeast"/>
              <w:jc w:val="center"/>
              <w:rPr>
                <w:color w:val="auto"/>
                <w:szCs w:val="21"/>
              </w:rPr>
            </w:pPr>
            <w:r>
              <w:rPr>
                <w:bCs/>
                <w:color w:val="auto"/>
              </w:rPr>
              <w:t>不外排</w:t>
            </w:r>
          </w:p>
        </w:tc>
      </w:tr>
      <w:tr w14:paraId="1B186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 w:hRule="atLeast"/>
          <w:jc w:val="center"/>
        </w:trPr>
        <w:tc>
          <w:tcPr>
            <w:tcW w:w="905" w:type="dxa"/>
            <w:vMerge w:val="continue"/>
            <w:tcMar>
              <w:left w:w="0" w:type="dxa"/>
              <w:right w:w="0" w:type="dxa"/>
            </w:tcMar>
            <w:vAlign w:val="center"/>
          </w:tcPr>
          <w:p w14:paraId="167A7C28">
            <w:pPr>
              <w:spacing w:line="0" w:lineRule="atLeast"/>
              <w:jc w:val="center"/>
              <w:rPr>
                <w:rFonts w:hAnsi="宋体"/>
                <w:color w:val="auto"/>
                <w:szCs w:val="21"/>
              </w:rPr>
            </w:pPr>
          </w:p>
        </w:tc>
        <w:tc>
          <w:tcPr>
            <w:tcW w:w="1222" w:type="dxa"/>
            <w:vAlign w:val="center"/>
          </w:tcPr>
          <w:p w14:paraId="7339BEDF">
            <w:pPr>
              <w:spacing w:line="0" w:lineRule="atLeast"/>
              <w:jc w:val="center"/>
              <w:rPr>
                <w:color w:val="auto"/>
                <w:szCs w:val="21"/>
              </w:rPr>
            </w:pPr>
            <w:r>
              <w:rPr>
                <w:rFonts w:hAnsi="宋体"/>
                <w:color w:val="auto"/>
                <w:szCs w:val="21"/>
              </w:rPr>
              <w:t>径流</w:t>
            </w:r>
            <w:r>
              <w:rPr>
                <w:rFonts w:hint="eastAsia" w:hAnsi="宋体"/>
                <w:color w:val="auto"/>
                <w:szCs w:val="21"/>
              </w:rPr>
              <w:t>雨</w:t>
            </w:r>
            <w:r>
              <w:rPr>
                <w:rFonts w:hAnsi="宋体"/>
                <w:color w:val="auto"/>
                <w:szCs w:val="21"/>
              </w:rPr>
              <w:t>水</w:t>
            </w:r>
          </w:p>
        </w:tc>
        <w:tc>
          <w:tcPr>
            <w:tcW w:w="1559" w:type="dxa"/>
            <w:vAlign w:val="center"/>
          </w:tcPr>
          <w:p w14:paraId="2E02CD70">
            <w:pPr>
              <w:spacing w:line="0" w:lineRule="atLeast"/>
              <w:jc w:val="center"/>
              <w:rPr>
                <w:bCs/>
                <w:color w:val="auto"/>
                <w:szCs w:val="21"/>
              </w:rPr>
            </w:pPr>
            <w:r>
              <w:rPr>
                <w:bCs/>
                <w:color w:val="auto"/>
                <w:szCs w:val="21"/>
              </w:rPr>
              <w:t>SS</w:t>
            </w:r>
          </w:p>
        </w:tc>
        <w:tc>
          <w:tcPr>
            <w:tcW w:w="6237" w:type="dxa"/>
            <w:vAlign w:val="center"/>
          </w:tcPr>
          <w:p w14:paraId="67EB8A47">
            <w:pPr>
              <w:spacing w:line="0" w:lineRule="atLeast"/>
              <w:rPr>
                <w:color w:val="auto"/>
                <w:szCs w:val="21"/>
              </w:rPr>
            </w:pPr>
            <w:r>
              <w:rPr>
                <w:rFonts w:hint="eastAsia"/>
                <w:color w:val="auto"/>
              </w:rPr>
              <w:t>在回填区四周</w:t>
            </w:r>
            <w:r>
              <w:rPr>
                <w:color w:val="auto"/>
              </w:rPr>
              <w:t>设置排水沟，未受污染的雨水沿</w:t>
            </w:r>
            <w:r>
              <w:rPr>
                <w:rFonts w:hint="eastAsia"/>
                <w:color w:val="auto"/>
              </w:rPr>
              <w:t>苫布</w:t>
            </w:r>
            <w:r>
              <w:rPr>
                <w:color w:val="auto"/>
              </w:rPr>
              <w:t>上的坡面流进排水沟，最终排入厂区东</w:t>
            </w:r>
            <w:r>
              <w:rPr>
                <w:rFonts w:hint="eastAsia"/>
                <w:color w:val="auto"/>
              </w:rPr>
              <w:t>北</w:t>
            </w:r>
            <w:r>
              <w:rPr>
                <w:color w:val="auto"/>
              </w:rPr>
              <w:t>侧自然冲沟</w:t>
            </w:r>
          </w:p>
        </w:tc>
        <w:tc>
          <w:tcPr>
            <w:tcW w:w="3880" w:type="dxa"/>
            <w:gridSpan w:val="2"/>
            <w:vAlign w:val="center"/>
          </w:tcPr>
          <w:p w14:paraId="37D904C1">
            <w:pPr>
              <w:spacing w:line="0" w:lineRule="atLeast"/>
              <w:jc w:val="center"/>
              <w:rPr>
                <w:color w:val="auto"/>
                <w:szCs w:val="21"/>
              </w:rPr>
            </w:pPr>
            <w:r>
              <w:rPr>
                <w:color w:val="auto"/>
                <w:szCs w:val="21"/>
              </w:rPr>
              <w:t>/</w:t>
            </w:r>
          </w:p>
        </w:tc>
      </w:tr>
      <w:tr w14:paraId="37AF2B2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 w:hRule="atLeast"/>
          <w:jc w:val="center"/>
        </w:trPr>
        <w:tc>
          <w:tcPr>
            <w:tcW w:w="905" w:type="dxa"/>
            <w:vMerge w:val="continue"/>
            <w:tcMar>
              <w:left w:w="0" w:type="dxa"/>
              <w:right w:w="0" w:type="dxa"/>
            </w:tcMar>
            <w:vAlign w:val="center"/>
          </w:tcPr>
          <w:p w14:paraId="30494F43">
            <w:pPr>
              <w:spacing w:line="0" w:lineRule="atLeast"/>
              <w:jc w:val="center"/>
              <w:rPr>
                <w:color w:val="auto"/>
                <w:szCs w:val="21"/>
              </w:rPr>
            </w:pPr>
          </w:p>
        </w:tc>
        <w:tc>
          <w:tcPr>
            <w:tcW w:w="1222" w:type="dxa"/>
            <w:vAlign w:val="center"/>
          </w:tcPr>
          <w:p w14:paraId="5824559B">
            <w:pPr>
              <w:pStyle w:val="84"/>
              <w:jc w:val="both"/>
              <w:rPr>
                <w:color w:val="auto"/>
              </w:rPr>
            </w:pPr>
            <w:r>
              <w:rPr>
                <w:snapToGrid w:val="0"/>
                <w:color w:val="auto"/>
              </w:rPr>
              <w:t>作业扬尘、堆场、运输扬尘</w:t>
            </w:r>
          </w:p>
        </w:tc>
        <w:tc>
          <w:tcPr>
            <w:tcW w:w="1559" w:type="dxa"/>
            <w:vAlign w:val="center"/>
          </w:tcPr>
          <w:p w14:paraId="15421032">
            <w:pPr>
              <w:pStyle w:val="84"/>
              <w:rPr>
                <w:color w:val="auto"/>
              </w:rPr>
            </w:pPr>
            <w:r>
              <w:rPr>
                <w:snapToGrid w:val="0"/>
                <w:color w:val="auto"/>
              </w:rPr>
              <w:t>颗粒物</w:t>
            </w:r>
          </w:p>
        </w:tc>
        <w:tc>
          <w:tcPr>
            <w:tcW w:w="6237" w:type="dxa"/>
            <w:vAlign w:val="center"/>
          </w:tcPr>
          <w:p w14:paraId="02674171">
            <w:pPr>
              <w:pStyle w:val="84"/>
              <w:jc w:val="both"/>
              <w:rPr>
                <w:color w:val="auto"/>
              </w:rPr>
            </w:pPr>
            <w:r>
              <w:rPr>
                <w:rFonts w:hint="eastAsia"/>
                <w:color w:val="auto"/>
              </w:rPr>
              <w:t>作业区：</w:t>
            </w:r>
          </w:p>
          <w:p w14:paraId="17B41725">
            <w:pPr>
              <w:pStyle w:val="84"/>
              <w:numPr>
                <w:ilvl w:val="0"/>
                <w:numId w:val="7"/>
              </w:numPr>
              <w:jc w:val="both"/>
              <w:rPr>
                <w:color w:val="auto"/>
              </w:rPr>
            </w:pPr>
            <w:r>
              <w:rPr>
                <w:rFonts w:hint="eastAsia"/>
                <w:color w:val="auto"/>
              </w:rPr>
              <w:t>运到回填场的</w:t>
            </w:r>
            <w:r>
              <w:rPr>
                <w:rFonts w:hint="eastAsia"/>
                <w:color w:val="auto"/>
                <w:lang w:eastAsia="zh-CN"/>
              </w:rPr>
              <w:t>灰渣</w:t>
            </w:r>
            <w:r>
              <w:rPr>
                <w:rFonts w:hint="eastAsia"/>
                <w:color w:val="auto"/>
              </w:rPr>
              <w:t>分区分块摊铺并及时碾压通过洒水车进行洒水抑尘；</w:t>
            </w:r>
          </w:p>
          <w:p w14:paraId="24981642">
            <w:pPr>
              <w:pStyle w:val="84"/>
              <w:jc w:val="both"/>
              <w:rPr>
                <w:color w:val="auto"/>
              </w:rPr>
            </w:pPr>
            <w:r>
              <w:rPr>
                <w:rFonts w:hint="eastAsia"/>
                <w:color w:val="auto"/>
              </w:rPr>
              <w:t>②控制自卸汽车卸料高度，在卸料过程中通过洒水车进行洒水抑尘；</w:t>
            </w:r>
          </w:p>
          <w:p w14:paraId="017E405C">
            <w:pPr>
              <w:pStyle w:val="84"/>
              <w:jc w:val="both"/>
              <w:rPr>
                <w:color w:val="auto"/>
              </w:rPr>
            </w:pPr>
            <w:r>
              <w:rPr>
                <w:rFonts w:hint="eastAsia"/>
                <w:color w:val="auto"/>
              </w:rPr>
              <w:t>③作业面四周加装围挡，高度不低于1.8m。</w:t>
            </w:r>
          </w:p>
          <w:p w14:paraId="020BBE4A">
            <w:pPr>
              <w:pStyle w:val="84"/>
              <w:jc w:val="both"/>
              <w:rPr>
                <w:color w:val="auto"/>
              </w:rPr>
            </w:pPr>
            <w:r>
              <w:rPr>
                <w:rFonts w:hint="eastAsia"/>
                <w:color w:val="auto"/>
              </w:rPr>
              <w:t>非作业面扬尘：</w:t>
            </w:r>
          </w:p>
          <w:p w14:paraId="19ACD091">
            <w:pPr>
              <w:pStyle w:val="84"/>
              <w:jc w:val="both"/>
              <w:rPr>
                <w:color w:val="auto"/>
              </w:rPr>
            </w:pPr>
            <w:r>
              <w:rPr>
                <w:rFonts w:hint="eastAsia"/>
                <w:color w:val="auto"/>
              </w:rPr>
              <w:t>非作业面以及已碾实的</w:t>
            </w:r>
            <w:r>
              <w:rPr>
                <w:rFonts w:hint="eastAsia"/>
                <w:color w:val="auto"/>
                <w:lang w:eastAsia="zh-CN"/>
              </w:rPr>
              <w:t>灰渣</w:t>
            </w:r>
            <w:r>
              <w:rPr>
                <w:rFonts w:hint="eastAsia"/>
                <w:color w:val="auto"/>
              </w:rPr>
              <w:t>表面采用密目网或苫布覆盖。</w:t>
            </w:r>
          </w:p>
          <w:p w14:paraId="28ABDF64">
            <w:pPr>
              <w:pStyle w:val="84"/>
              <w:jc w:val="both"/>
              <w:rPr>
                <w:color w:val="auto"/>
              </w:rPr>
            </w:pPr>
            <w:r>
              <w:rPr>
                <w:rFonts w:hint="eastAsia"/>
                <w:color w:val="auto"/>
              </w:rPr>
              <w:t>道路运输：</w:t>
            </w:r>
          </w:p>
          <w:p w14:paraId="496CFAD4">
            <w:pPr>
              <w:pStyle w:val="84"/>
              <w:jc w:val="both"/>
              <w:rPr>
                <w:color w:val="auto"/>
              </w:rPr>
            </w:pPr>
            <w:r>
              <w:rPr>
                <w:rFonts w:hint="eastAsia"/>
                <w:color w:val="auto"/>
              </w:rPr>
              <w:t>①车辆运输过程中严格限制超载、超速；</w:t>
            </w:r>
          </w:p>
          <w:p w14:paraId="18697823">
            <w:pPr>
              <w:pStyle w:val="84"/>
              <w:jc w:val="both"/>
              <w:rPr>
                <w:color w:val="auto"/>
              </w:rPr>
            </w:pPr>
            <w:r>
              <w:rPr>
                <w:rFonts w:hint="eastAsia"/>
                <w:color w:val="auto"/>
              </w:rPr>
              <w:t>②自卸汽车密闭运输，减速慢行；</w:t>
            </w:r>
          </w:p>
          <w:p w14:paraId="5A38C46E">
            <w:pPr>
              <w:pStyle w:val="84"/>
              <w:jc w:val="both"/>
              <w:rPr>
                <w:color w:val="auto"/>
              </w:rPr>
            </w:pPr>
            <w:r>
              <w:rPr>
                <w:rFonts w:hint="eastAsia"/>
                <w:color w:val="auto"/>
              </w:rPr>
              <w:t>③进场道路定期清扫及路面定期洒水抑尘。</w:t>
            </w:r>
          </w:p>
        </w:tc>
        <w:tc>
          <w:tcPr>
            <w:tcW w:w="3880" w:type="dxa"/>
            <w:gridSpan w:val="2"/>
            <w:vAlign w:val="center"/>
          </w:tcPr>
          <w:p w14:paraId="14EF36BE">
            <w:pPr>
              <w:spacing w:line="0" w:lineRule="atLeast"/>
              <w:rPr>
                <w:color w:val="auto"/>
                <w:szCs w:val="21"/>
              </w:rPr>
            </w:pPr>
            <w:r>
              <w:rPr>
                <w:color w:val="auto"/>
              </w:rPr>
              <w:t>《大气污染物综合排放标准》（GB16297-1996）表2中无组织排放监控浓度限值</w:t>
            </w:r>
          </w:p>
        </w:tc>
      </w:tr>
      <w:tr w14:paraId="4E71D1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38" w:hRule="atLeast"/>
          <w:jc w:val="center"/>
        </w:trPr>
        <w:tc>
          <w:tcPr>
            <w:tcW w:w="905" w:type="dxa"/>
            <w:vMerge w:val="continue"/>
            <w:tcMar>
              <w:left w:w="0" w:type="dxa"/>
              <w:right w:w="0" w:type="dxa"/>
            </w:tcMar>
            <w:vAlign w:val="center"/>
          </w:tcPr>
          <w:p w14:paraId="7B54863E">
            <w:pPr>
              <w:spacing w:line="0" w:lineRule="atLeast"/>
              <w:jc w:val="center"/>
              <w:rPr>
                <w:color w:val="auto"/>
                <w:szCs w:val="21"/>
              </w:rPr>
            </w:pPr>
          </w:p>
        </w:tc>
        <w:tc>
          <w:tcPr>
            <w:tcW w:w="1222" w:type="dxa"/>
            <w:vMerge w:val="restart"/>
            <w:vAlign w:val="center"/>
          </w:tcPr>
          <w:p w14:paraId="290B2026">
            <w:pPr>
              <w:pStyle w:val="84"/>
              <w:rPr>
                <w:snapToGrid w:val="0"/>
                <w:color w:val="auto"/>
              </w:rPr>
            </w:pPr>
            <w:r>
              <w:rPr>
                <w:snapToGrid w:val="0"/>
                <w:color w:val="auto"/>
              </w:rPr>
              <w:t>噪声</w:t>
            </w:r>
          </w:p>
        </w:tc>
        <w:tc>
          <w:tcPr>
            <w:tcW w:w="1559" w:type="dxa"/>
            <w:vAlign w:val="center"/>
          </w:tcPr>
          <w:p w14:paraId="16568265">
            <w:pPr>
              <w:spacing w:line="0" w:lineRule="atLeast"/>
              <w:jc w:val="center"/>
              <w:rPr>
                <w:color w:val="auto"/>
                <w:szCs w:val="21"/>
              </w:rPr>
            </w:pPr>
            <w:r>
              <w:rPr>
                <w:rFonts w:hAnsi="宋体"/>
                <w:color w:val="auto"/>
                <w:szCs w:val="21"/>
              </w:rPr>
              <w:t>设备噪声</w:t>
            </w:r>
          </w:p>
        </w:tc>
        <w:tc>
          <w:tcPr>
            <w:tcW w:w="6237" w:type="dxa"/>
            <w:vAlign w:val="center"/>
          </w:tcPr>
          <w:p w14:paraId="56BADC9A">
            <w:pPr>
              <w:pStyle w:val="84"/>
              <w:jc w:val="both"/>
              <w:rPr>
                <w:color w:val="auto"/>
              </w:rPr>
            </w:pPr>
            <w:r>
              <w:rPr>
                <w:rFonts w:hint="eastAsia"/>
                <w:color w:val="auto"/>
              </w:rPr>
              <w:t>作业面四周设置围挡</w:t>
            </w:r>
            <w:r>
              <w:rPr>
                <w:snapToGrid w:val="0"/>
                <w:color w:val="auto"/>
              </w:rPr>
              <w:t>、</w:t>
            </w:r>
            <w:r>
              <w:rPr>
                <w:rFonts w:hint="eastAsia"/>
                <w:snapToGrid w:val="0"/>
                <w:color w:val="auto"/>
              </w:rPr>
              <w:t>采用</w:t>
            </w:r>
            <w:r>
              <w:rPr>
                <w:snapToGrid w:val="0"/>
                <w:color w:val="auto"/>
              </w:rPr>
              <w:t>低噪声设备，</w:t>
            </w:r>
            <w:r>
              <w:rPr>
                <w:rFonts w:hint="eastAsia"/>
                <w:snapToGrid w:val="0"/>
                <w:color w:val="auto"/>
              </w:rPr>
              <w:t>加强维修和保养</w:t>
            </w:r>
            <w:r>
              <w:rPr>
                <w:snapToGrid w:val="0"/>
                <w:color w:val="auto"/>
              </w:rPr>
              <w:t>，减少</w:t>
            </w:r>
            <w:r>
              <w:rPr>
                <w:rFonts w:hAnsi="宋体"/>
                <w:color w:val="auto"/>
              </w:rPr>
              <w:t>设备噪声影响</w:t>
            </w:r>
          </w:p>
        </w:tc>
        <w:tc>
          <w:tcPr>
            <w:tcW w:w="3821" w:type="dxa"/>
            <w:vAlign w:val="center"/>
          </w:tcPr>
          <w:p w14:paraId="4BA42F50">
            <w:pPr>
              <w:spacing w:line="0" w:lineRule="atLeast"/>
              <w:rPr>
                <w:color w:val="auto"/>
              </w:rPr>
            </w:pPr>
            <w:r>
              <w:rPr>
                <w:bCs/>
                <w:color w:val="auto"/>
              </w:rPr>
              <w:t>厂界执行《工业企业厂界环境噪声排放标准》(GB12348-2008)表1中</w:t>
            </w:r>
            <w:r>
              <w:rPr>
                <w:rFonts w:hint="eastAsia"/>
                <w:bCs/>
                <w:color w:val="auto"/>
                <w:lang w:val="en-US" w:eastAsia="zh-CN"/>
              </w:rPr>
              <w:t>2</w:t>
            </w:r>
            <w:r>
              <w:rPr>
                <w:bCs/>
                <w:color w:val="auto"/>
              </w:rPr>
              <w:t>类标准</w:t>
            </w:r>
          </w:p>
        </w:tc>
      </w:tr>
      <w:tr w14:paraId="39E9186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38" w:hRule="atLeast"/>
          <w:jc w:val="center"/>
        </w:trPr>
        <w:tc>
          <w:tcPr>
            <w:tcW w:w="905" w:type="dxa"/>
            <w:vMerge w:val="continue"/>
            <w:tcMar>
              <w:left w:w="0" w:type="dxa"/>
              <w:right w:w="0" w:type="dxa"/>
            </w:tcMar>
            <w:vAlign w:val="center"/>
          </w:tcPr>
          <w:p w14:paraId="57500479">
            <w:pPr>
              <w:spacing w:line="0" w:lineRule="atLeast"/>
              <w:jc w:val="center"/>
              <w:rPr>
                <w:color w:val="auto"/>
                <w:szCs w:val="21"/>
              </w:rPr>
            </w:pPr>
          </w:p>
        </w:tc>
        <w:tc>
          <w:tcPr>
            <w:tcW w:w="1222" w:type="dxa"/>
            <w:vMerge w:val="continue"/>
            <w:vAlign w:val="center"/>
          </w:tcPr>
          <w:p w14:paraId="5D41FC74">
            <w:pPr>
              <w:pStyle w:val="84"/>
              <w:rPr>
                <w:snapToGrid w:val="0"/>
                <w:color w:val="auto"/>
              </w:rPr>
            </w:pPr>
          </w:p>
        </w:tc>
        <w:tc>
          <w:tcPr>
            <w:tcW w:w="1559" w:type="dxa"/>
            <w:vAlign w:val="center"/>
          </w:tcPr>
          <w:p w14:paraId="6911BDF2">
            <w:pPr>
              <w:spacing w:line="0" w:lineRule="atLeast"/>
              <w:jc w:val="center"/>
              <w:rPr>
                <w:color w:val="auto"/>
                <w:szCs w:val="21"/>
              </w:rPr>
            </w:pPr>
            <w:r>
              <w:rPr>
                <w:rFonts w:hAnsi="宋体"/>
                <w:color w:val="auto"/>
                <w:szCs w:val="21"/>
              </w:rPr>
              <w:t>交通噪声</w:t>
            </w:r>
          </w:p>
        </w:tc>
        <w:tc>
          <w:tcPr>
            <w:tcW w:w="6237" w:type="dxa"/>
            <w:vAlign w:val="center"/>
          </w:tcPr>
          <w:p w14:paraId="033585A9">
            <w:pPr>
              <w:pStyle w:val="84"/>
              <w:jc w:val="both"/>
              <w:rPr>
                <w:color w:val="auto"/>
              </w:rPr>
            </w:pPr>
            <w:r>
              <w:rPr>
                <w:color w:val="auto"/>
              </w:rPr>
              <w:t>机动车辆必须加强维修和保养，保持技术性能良好，运输车辆经过沿线村庄时将车速控制在20km/h以下、禁止鸣笛，夜间禁止运输，</w:t>
            </w:r>
            <w:r>
              <w:rPr>
                <w:snapToGrid w:val="0"/>
                <w:color w:val="auto"/>
              </w:rPr>
              <w:t>减少</w:t>
            </w:r>
            <w:r>
              <w:rPr>
                <w:rFonts w:hint="eastAsia" w:hAnsi="宋体"/>
                <w:color w:val="auto"/>
              </w:rPr>
              <w:t>交通</w:t>
            </w:r>
            <w:r>
              <w:rPr>
                <w:rFonts w:hAnsi="宋体"/>
                <w:color w:val="auto"/>
              </w:rPr>
              <w:t>噪声影响</w:t>
            </w:r>
          </w:p>
        </w:tc>
        <w:tc>
          <w:tcPr>
            <w:tcW w:w="3821" w:type="dxa"/>
            <w:vAlign w:val="center"/>
          </w:tcPr>
          <w:p w14:paraId="2526BE88">
            <w:pPr>
              <w:spacing w:line="0" w:lineRule="atLeast"/>
              <w:rPr>
                <w:color w:val="auto"/>
              </w:rPr>
            </w:pPr>
            <w:r>
              <w:rPr>
                <w:rFonts w:hint="eastAsia" w:hAnsi="宋体"/>
                <w:color w:val="auto"/>
                <w:szCs w:val="21"/>
              </w:rPr>
              <w:t>运输道路两侧</w:t>
            </w:r>
            <w:r>
              <w:rPr>
                <w:rFonts w:hAnsi="宋体"/>
                <w:color w:val="auto"/>
                <w:szCs w:val="21"/>
              </w:rPr>
              <w:t>敏感点处噪声满足《声环境质量标准》（GB3096-2008）中1类</w:t>
            </w:r>
            <w:r>
              <w:rPr>
                <w:rFonts w:hint="eastAsia" w:hAnsi="宋体"/>
                <w:color w:val="auto"/>
                <w:szCs w:val="21"/>
              </w:rPr>
              <w:t>、2类</w:t>
            </w:r>
            <w:r>
              <w:rPr>
                <w:rFonts w:hAnsi="宋体"/>
                <w:color w:val="auto"/>
                <w:szCs w:val="21"/>
              </w:rPr>
              <w:t>标准要求</w:t>
            </w:r>
          </w:p>
        </w:tc>
      </w:tr>
      <w:tr w14:paraId="2B0878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38" w:hRule="atLeast"/>
          <w:jc w:val="center"/>
        </w:trPr>
        <w:tc>
          <w:tcPr>
            <w:tcW w:w="905" w:type="dxa"/>
            <w:vMerge w:val="continue"/>
            <w:tcMar>
              <w:left w:w="0" w:type="dxa"/>
              <w:right w:w="0" w:type="dxa"/>
            </w:tcMar>
            <w:vAlign w:val="center"/>
          </w:tcPr>
          <w:p w14:paraId="5167F138">
            <w:pPr>
              <w:spacing w:line="0" w:lineRule="atLeast"/>
              <w:jc w:val="center"/>
              <w:rPr>
                <w:color w:val="auto"/>
                <w:szCs w:val="21"/>
              </w:rPr>
            </w:pPr>
          </w:p>
        </w:tc>
        <w:tc>
          <w:tcPr>
            <w:tcW w:w="1222" w:type="dxa"/>
            <w:vAlign w:val="center"/>
          </w:tcPr>
          <w:p w14:paraId="669F7CB7">
            <w:pPr>
              <w:pStyle w:val="84"/>
              <w:rPr>
                <w:snapToGrid w:val="0"/>
                <w:color w:val="auto"/>
              </w:rPr>
            </w:pPr>
            <w:r>
              <w:rPr>
                <w:rFonts w:hint="eastAsia"/>
                <w:snapToGrid w:val="0"/>
                <w:color w:val="auto"/>
              </w:rPr>
              <w:t>固体废物</w:t>
            </w:r>
          </w:p>
        </w:tc>
        <w:tc>
          <w:tcPr>
            <w:tcW w:w="1559" w:type="dxa"/>
            <w:vAlign w:val="center"/>
          </w:tcPr>
          <w:p w14:paraId="43255DA0">
            <w:pPr>
              <w:pStyle w:val="84"/>
              <w:rPr>
                <w:snapToGrid w:val="0"/>
                <w:color w:val="auto"/>
              </w:rPr>
            </w:pPr>
            <w:r>
              <w:rPr>
                <w:rFonts w:hint="eastAsia"/>
                <w:color w:val="auto"/>
              </w:rPr>
              <w:t>暂存池沉渣</w:t>
            </w:r>
          </w:p>
        </w:tc>
        <w:tc>
          <w:tcPr>
            <w:tcW w:w="6237" w:type="dxa"/>
            <w:vAlign w:val="center"/>
          </w:tcPr>
          <w:p w14:paraId="18E30D31">
            <w:pPr>
              <w:pStyle w:val="84"/>
              <w:rPr>
                <w:color w:val="auto"/>
              </w:rPr>
            </w:pPr>
            <w:r>
              <w:rPr>
                <w:rFonts w:hint="eastAsia"/>
                <w:color w:val="auto"/>
              </w:rPr>
              <w:t>直接回填矿坑</w:t>
            </w:r>
          </w:p>
        </w:tc>
        <w:tc>
          <w:tcPr>
            <w:tcW w:w="3821" w:type="dxa"/>
            <w:vAlign w:val="center"/>
          </w:tcPr>
          <w:p w14:paraId="0C5A7249">
            <w:pPr>
              <w:spacing w:line="0" w:lineRule="atLeast"/>
              <w:jc w:val="center"/>
              <w:rPr>
                <w:color w:val="auto"/>
              </w:rPr>
            </w:pPr>
            <w:r>
              <w:rPr>
                <w:color w:val="auto"/>
                <w:szCs w:val="21"/>
              </w:rPr>
              <w:t>100%</w:t>
            </w:r>
            <w:r>
              <w:rPr>
                <w:rFonts w:hAnsi="宋体"/>
                <w:color w:val="auto"/>
                <w:szCs w:val="21"/>
              </w:rPr>
              <w:t>处置</w:t>
            </w:r>
          </w:p>
        </w:tc>
      </w:tr>
      <w:tr w14:paraId="0C9ADF9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59" w:type="dxa"/>
          <w:trHeight w:val="38" w:hRule="atLeast"/>
          <w:jc w:val="center"/>
        </w:trPr>
        <w:tc>
          <w:tcPr>
            <w:tcW w:w="905" w:type="dxa"/>
            <w:vMerge w:val="continue"/>
            <w:tcMar>
              <w:left w:w="0" w:type="dxa"/>
              <w:right w:w="0" w:type="dxa"/>
            </w:tcMar>
            <w:vAlign w:val="center"/>
          </w:tcPr>
          <w:p w14:paraId="782AFA4F">
            <w:pPr>
              <w:spacing w:line="0" w:lineRule="atLeast"/>
              <w:jc w:val="center"/>
              <w:rPr>
                <w:color w:val="auto"/>
                <w:szCs w:val="21"/>
              </w:rPr>
            </w:pPr>
          </w:p>
        </w:tc>
        <w:tc>
          <w:tcPr>
            <w:tcW w:w="1222" w:type="dxa"/>
            <w:vAlign w:val="center"/>
          </w:tcPr>
          <w:p w14:paraId="75AEB21D">
            <w:pPr>
              <w:spacing w:line="0" w:lineRule="atLeast"/>
              <w:jc w:val="center"/>
              <w:rPr>
                <w:color w:val="auto"/>
                <w:szCs w:val="21"/>
              </w:rPr>
            </w:pPr>
            <w:r>
              <w:rPr>
                <w:rFonts w:hAnsi="宋体"/>
                <w:color w:val="auto"/>
                <w:szCs w:val="21"/>
              </w:rPr>
              <w:t>生态</w:t>
            </w:r>
          </w:p>
        </w:tc>
        <w:tc>
          <w:tcPr>
            <w:tcW w:w="1559" w:type="dxa"/>
            <w:vAlign w:val="center"/>
          </w:tcPr>
          <w:p w14:paraId="30D69522">
            <w:pPr>
              <w:spacing w:line="0" w:lineRule="atLeast"/>
              <w:jc w:val="center"/>
              <w:rPr>
                <w:color w:val="auto"/>
                <w:szCs w:val="21"/>
              </w:rPr>
            </w:pPr>
            <w:r>
              <w:rPr>
                <w:rFonts w:hAnsi="宋体"/>
                <w:color w:val="auto"/>
                <w:kern w:val="32"/>
                <w:szCs w:val="21"/>
              </w:rPr>
              <w:t>生态恢复</w:t>
            </w:r>
          </w:p>
        </w:tc>
        <w:tc>
          <w:tcPr>
            <w:tcW w:w="6237" w:type="dxa"/>
            <w:vAlign w:val="center"/>
          </w:tcPr>
          <w:p w14:paraId="2BD681AF">
            <w:pPr>
              <w:pStyle w:val="84"/>
              <w:rPr>
                <w:color w:val="auto"/>
              </w:rPr>
            </w:pPr>
            <w:r>
              <w:rPr>
                <w:rFonts w:hint="eastAsia"/>
                <w:color w:val="auto"/>
              </w:rPr>
              <w:t>回填</w:t>
            </w:r>
            <w:r>
              <w:rPr>
                <w:color w:val="auto"/>
              </w:rPr>
              <w:t>完成后对</w:t>
            </w:r>
            <w:r>
              <w:rPr>
                <w:rFonts w:hint="eastAsia"/>
                <w:color w:val="auto"/>
              </w:rPr>
              <w:t>回填复垦区进行</w:t>
            </w:r>
            <w:r>
              <w:rPr>
                <w:color w:val="auto"/>
              </w:rPr>
              <w:t>复垦</w:t>
            </w:r>
          </w:p>
        </w:tc>
        <w:tc>
          <w:tcPr>
            <w:tcW w:w="3821" w:type="dxa"/>
            <w:vAlign w:val="center"/>
          </w:tcPr>
          <w:p w14:paraId="46B6C5DE">
            <w:pPr>
              <w:spacing w:line="0" w:lineRule="atLeast"/>
              <w:rPr>
                <w:color w:val="auto"/>
              </w:rPr>
            </w:pPr>
            <w:r>
              <w:rPr>
                <w:rFonts w:hint="eastAsia" w:hAnsi="宋体"/>
                <w:color w:val="auto"/>
                <w:szCs w:val="21"/>
              </w:rPr>
              <w:t>实施过程应满足《土地复垦质量控制标准》（TD/T1036-2013）规定的相关土地复垦质量控制要求。</w:t>
            </w:r>
          </w:p>
        </w:tc>
      </w:tr>
    </w:tbl>
    <w:p w14:paraId="17EE4998">
      <w:pPr>
        <w:spacing w:line="360" w:lineRule="auto"/>
        <w:jc w:val="center"/>
        <w:rPr>
          <w:b/>
          <w:snapToGrid w:val="0"/>
          <w:color w:val="auto"/>
          <w:kern w:val="0"/>
          <w:sz w:val="24"/>
          <w:lang w:val="zh-CN"/>
        </w:rPr>
      </w:pPr>
    </w:p>
    <w:p w14:paraId="40D7007E">
      <w:pPr>
        <w:widowControl/>
        <w:jc w:val="left"/>
        <w:rPr>
          <w:color w:val="auto"/>
          <w:kern w:val="0"/>
          <w:sz w:val="24"/>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720" w:num="1"/>
          <w:docGrid w:type="lines" w:linePitch="326" w:charSpace="0"/>
        </w:sectPr>
      </w:pPr>
    </w:p>
    <w:p w14:paraId="1501322C">
      <w:pPr>
        <w:pStyle w:val="548"/>
        <w:rPr>
          <w:rFonts w:hint="eastAsia" w:ascii="黑体" w:hAnsi="黑体" w:eastAsia="黑体" w:cs="黑体"/>
          <w:snapToGrid w:val="0"/>
          <w:color w:val="auto"/>
        </w:rPr>
      </w:pPr>
      <w:bookmarkStart w:id="221" w:name="_Toc149054227"/>
      <w:bookmarkStart w:id="222" w:name="_Toc15991728"/>
      <w:bookmarkStart w:id="223" w:name="_Toc119316824"/>
      <w:bookmarkStart w:id="224" w:name="_Toc477954592"/>
      <w:bookmarkStart w:id="225" w:name="_Toc454962811"/>
      <w:r>
        <w:rPr>
          <w:rFonts w:hint="eastAsia" w:ascii="黑体" w:hAnsi="黑体" w:eastAsia="黑体" w:cs="黑体"/>
          <w:snapToGrid w:val="0"/>
          <w:color w:val="auto"/>
        </w:rPr>
        <w:t>8.4</w:t>
      </w:r>
      <w:bookmarkEnd w:id="221"/>
      <w:bookmarkEnd w:id="222"/>
      <w:bookmarkEnd w:id="223"/>
      <w:r>
        <w:rPr>
          <w:rFonts w:hint="eastAsia" w:ascii="黑体" w:hAnsi="黑体" w:eastAsia="黑体" w:cs="黑体"/>
          <w:snapToGrid w:val="0"/>
          <w:color w:val="auto"/>
          <w:lang w:val="en-US" w:eastAsia="zh-CN"/>
        </w:rPr>
        <w:t>与排污许可证制度衔接</w:t>
      </w:r>
    </w:p>
    <w:p w14:paraId="5EC0B97B">
      <w:pPr>
        <w:spacing w:line="500" w:lineRule="exact"/>
        <w:ind w:firstLine="480" w:firstLineChars="200"/>
        <w:rPr>
          <w:rFonts w:hint="eastAsia"/>
          <w:snapToGrid w:val="0"/>
          <w:color w:val="auto"/>
          <w:sz w:val="24"/>
          <w:szCs w:val="22"/>
          <w:lang w:val="en-US" w:eastAsia="zh-CN"/>
        </w:rPr>
      </w:pPr>
      <w:r>
        <w:rPr>
          <w:rFonts w:hint="eastAsia"/>
          <w:snapToGrid w:val="0"/>
          <w:color w:val="auto"/>
          <w:sz w:val="24"/>
          <w:szCs w:val="22"/>
          <w:lang w:val="en-US" w:eastAsia="zh-CN"/>
        </w:rPr>
        <w:t>目前我国正在推进排污许可制度改革工作。环保部也大力推进排污许可证制度，《国务院办公厅关于印发控制污染物排放许可制实施方案的通知》（国办发</w:t>
      </w:r>
      <w:r>
        <w:rPr>
          <w:rFonts w:hint="default"/>
          <w:snapToGrid w:val="0"/>
          <w:color w:val="auto"/>
          <w:sz w:val="24"/>
          <w:szCs w:val="22"/>
          <w:lang w:val="en-US" w:eastAsia="zh-CN"/>
        </w:rPr>
        <w:t>[2016]81</w:t>
      </w:r>
      <w:r>
        <w:rPr>
          <w:rFonts w:hint="eastAsia"/>
          <w:snapToGrid w:val="0"/>
          <w:color w:val="auto"/>
          <w:sz w:val="24"/>
          <w:szCs w:val="22"/>
          <w:lang w:val="en-US" w:eastAsia="zh-CN"/>
        </w:rPr>
        <w:t>号）明确将排污许可制度建设成为固定污染源环境管理的核心制度，作为企业守法、部门执法、社会监督的依据，为提高环境管理效能和改善环境质量奠定坚实基础。</w:t>
      </w:r>
    </w:p>
    <w:p w14:paraId="297DA397">
      <w:pPr>
        <w:spacing w:line="500" w:lineRule="exact"/>
        <w:ind w:firstLine="480" w:firstLineChars="200"/>
        <w:rPr>
          <w:rFonts w:hint="eastAsia"/>
          <w:snapToGrid w:val="0"/>
          <w:color w:val="auto"/>
          <w:sz w:val="24"/>
          <w:szCs w:val="22"/>
          <w:lang w:val="en-US" w:eastAsia="zh-CN"/>
        </w:rPr>
      </w:pPr>
      <w:r>
        <w:rPr>
          <w:rFonts w:hint="eastAsia"/>
          <w:snapToGrid w:val="0"/>
          <w:color w:val="auto"/>
          <w:sz w:val="24"/>
          <w:szCs w:val="22"/>
          <w:lang w:val="en-US" w:eastAsia="zh-CN"/>
        </w:rPr>
        <w:t>本项目应严格按照国家排污许可证改革的要求，推进排污及污染源“一证式”管理工作，并作为建设单位在生产回填期接受环境监管和环境保护部门实施监管的主要法律文书，单位依法申领排污许可证，按证排污，自证守法。环境保护部门基于企事业单位守法承诺，依法发放排污许可证，依证强化事中事后监管，对违法排污行为实施严厉打击。</w:t>
      </w:r>
    </w:p>
    <w:p w14:paraId="1C15A19C">
      <w:pPr>
        <w:spacing w:line="500" w:lineRule="exact"/>
        <w:ind w:firstLine="480" w:firstLineChars="200"/>
        <w:rPr>
          <w:rFonts w:hint="eastAsia"/>
          <w:snapToGrid w:val="0"/>
          <w:color w:val="auto"/>
          <w:sz w:val="24"/>
          <w:szCs w:val="22"/>
          <w:lang w:val="en-US" w:eastAsia="zh-CN"/>
        </w:rPr>
      </w:pPr>
      <w:r>
        <w:rPr>
          <w:rFonts w:hint="eastAsia"/>
          <w:snapToGrid w:val="0"/>
          <w:color w:val="auto"/>
          <w:sz w:val="24"/>
          <w:szCs w:val="22"/>
          <w:lang w:val="en-US" w:eastAsia="zh-CN"/>
        </w:rPr>
        <w:t>根据《关于做好环境影响评价制度与排污许可制衔接相关工作的通知》（环办环评</w:t>
      </w:r>
      <w:r>
        <w:rPr>
          <w:rFonts w:hint="default"/>
          <w:snapToGrid w:val="0"/>
          <w:color w:val="auto"/>
          <w:sz w:val="24"/>
          <w:szCs w:val="22"/>
          <w:lang w:val="en-US" w:eastAsia="zh-CN"/>
        </w:rPr>
        <w:t>[2017]84</w:t>
      </w:r>
      <w:r>
        <w:rPr>
          <w:rFonts w:hint="eastAsia"/>
          <w:snapToGrid w:val="0"/>
          <w:color w:val="auto"/>
          <w:sz w:val="24"/>
          <w:szCs w:val="22"/>
          <w:lang w:val="en-US" w:eastAsia="zh-CN"/>
        </w:rPr>
        <w:t>号），建设项目发生实际排污行为之前，排污单位应当按照国家环境保护相关法律法规以及排污许可证申请与核发技术规范要求申请排污许可证，不得无证排污或不按证排污。环境影响报告书（表）</w:t>
      </w:r>
      <w:r>
        <w:rPr>
          <w:rFonts w:hint="default"/>
          <w:snapToGrid w:val="0"/>
          <w:color w:val="auto"/>
          <w:sz w:val="24"/>
          <w:szCs w:val="22"/>
          <w:lang w:val="en-US" w:eastAsia="zh-CN"/>
        </w:rPr>
        <w:t>2015</w:t>
      </w:r>
      <w:r>
        <w:rPr>
          <w:rFonts w:hint="eastAsia"/>
          <w:snapToGrid w:val="0"/>
          <w:color w:val="auto"/>
          <w:sz w:val="24"/>
          <w:szCs w:val="22"/>
          <w:lang w:val="en-US" w:eastAsia="zh-CN"/>
        </w:rPr>
        <w:t>年</w:t>
      </w:r>
      <w:r>
        <w:rPr>
          <w:rFonts w:hint="default"/>
          <w:snapToGrid w:val="0"/>
          <w:color w:val="auto"/>
          <w:sz w:val="24"/>
          <w:szCs w:val="22"/>
          <w:lang w:val="en-US" w:eastAsia="zh-CN"/>
        </w:rPr>
        <w:t>1</w:t>
      </w:r>
      <w:r>
        <w:rPr>
          <w:rFonts w:hint="eastAsia"/>
          <w:snapToGrid w:val="0"/>
          <w:color w:val="auto"/>
          <w:sz w:val="24"/>
          <w:szCs w:val="22"/>
          <w:lang w:val="en-US" w:eastAsia="zh-CN"/>
        </w:rPr>
        <w:t>月</w:t>
      </w:r>
      <w:r>
        <w:rPr>
          <w:rFonts w:hint="default"/>
          <w:snapToGrid w:val="0"/>
          <w:color w:val="auto"/>
          <w:sz w:val="24"/>
          <w:szCs w:val="22"/>
          <w:lang w:val="en-US" w:eastAsia="zh-CN"/>
        </w:rPr>
        <w:t>1</w:t>
      </w:r>
      <w:r>
        <w:rPr>
          <w:rFonts w:hint="eastAsia"/>
          <w:snapToGrid w:val="0"/>
          <w:color w:val="auto"/>
          <w:sz w:val="24"/>
          <w:szCs w:val="22"/>
          <w:lang w:val="en-US" w:eastAsia="zh-CN"/>
        </w:rPr>
        <w:t>日（含）后获得批准的建设项目，其环境影响报告书（表）以及审批文件中与污染物排放相关的主要内容应当纳入排污许可证。为此，下阶段应将项目建设内容、产品方案、建设规模，采用的工艺流程、工艺技术方案，污染预防和清洁生产措施，环保设施和治理措施，各类污染物排放总量，在线监测和自主监测要求，环境安全防范措施，环境应急体系和应急设施等，全部按装置、设施载入排污许可证。企业在设计，建设和运营过程中，需按照许可证管理要求进行监测和申报，自证守法；许可证内容发生变更应进行申报，重大变更应重新环评和申请许可证变更。环保管理部门对许可证内容进行定期和不定期的监督核查。</w:t>
      </w:r>
    </w:p>
    <w:p w14:paraId="04A7827B">
      <w:pPr>
        <w:spacing w:line="500" w:lineRule="exact"/>
        <w:ind w:firstLine="480" w:firstLineChars="200"/>
        <w:rPr>
          <w:rFonts w:hint="eastAsia"/>
          <w:snapToGrid w:val="0"/>
          <w:color w:val="auto"/>
          <w:sz w:val="24"/>
          <w:szCs w:val="22"/>
          <w:lang w:val="en-US" w:eastAsia="zh-CN"/>
        </w:rPr>
      </w:pPr>
      <w:r>
        <w:rPr>
          <w:rFonts w:hint="eastAsia"/>
          <w:snapToGrid w:val="0"/>
          <w:color w:val="auto"/>
          <w:sz w:val="24"/>
          <w:szCs w:val="22"/>
          <w:lang w:val="en-US" w:eastAsia="zh-CN"/>
        </w:rPr>
        <w:t>本项目为废弃采石场回填复垦项目，核心目标是对采矿损毁的土地进行生态修复，利用灰渣作为回填填充材料，最终恢复土地利用功能、实现植被重建，不属于专门的一般工业固体废物填埋场，也不具备贮存场、填埋场的设施特征与功能定位。</w:t>
      </w:r>
    </w:p>
    <w:p w14:paraId="44149F45">
      <w:pPr>
        <w:spacing w:line="500" w:lineRule="exact"/>
        <w:ind w:firstLine="480" w:firstLineChars="200"/>
        <w:rPr>
          <w:snapToGrid w:val="0"/>
          <w:color w:val="auto"/>
          <w:sz w:val="24"/>
          <w:szCs w:val="22"/>
        </w:rPr>
      </w:pPr>
      <w:r>
        <w:rPr>
          <w:rFonts w:hint="eastAsia"/>
          <w:snapToGrid w:val="0"/>
          <w:color w:val="auto"/>
          <w:sz w:val="24"/>
          <w:szCs w:val="22"/>
          <w:lang w:val="en-US" w:eastAsia="zh-CN"/>
        </w:rPr>
        <w:t>本项目为废弃采石场回填复垦项目，核心目标为生态修复，利用一般工业固体废物作为回填填充材料，因此项目本身性质不属于《固定污染源排污许可分类管理名录（</w:t>
      </w:r>
      <w:r>
        <w:rPr>
          <w:rFonts w:hint="default"/>
          <w:snapToGrid w:val="0"/>
          <w:color w:val="auto"/>
          <w:sz w:val="24"/>
          <w:szCs w:val="22"/>
          <w:lang w:val="en-US" w:eastAsia="zh-CN"/>
        </w:rPr>
        <w:t>2019</w:t>
      </w:r>
      <w:r>
        <w:rPr>
          <w:rFonts w:hint="eastAsia"/>
          <w:snapToGrid w:val="0"/>
          <w:color w:val="auto"/>
          <w:sz w:val="24"/>
          <w:szCs w:val="22"/>
          <w:lang w:val="en-US" w:eastAsia="zh-CN"/>
        </w:rPr>
        <w:t>年版）》规定的“一般工业固体废物填埋场”范畴，无持续、稳定的污染物排放行为，因此可不纳入排污许可管理，无需申领排污许可证。项目应严格按照环评及批复要求，落实施工期扬尘、噪声、废水污染防治措施，回填期回填物应落实分区管控、渗滤液收集全回用措施，以及复垦期生态恢复措施，确保环境风险可控，符合环保管理要求。</w:t>
      </w:r>
    </w:p>
    <w:bookmarkEnd w:id="224"/>
    <w:bookmarkEnd w:id="225"/>
    <w:p w14:paraId="6C10D3B2">
      <w:pPr>
        <w:spacing w:line="360" w:lineRule="auto"/>
        <w:jc w:val="center"/>
        <w:rPr>
          <w:b/>
          <w:color w:val="auto"/>
          <w:szCs w:val="22"/>
        </w:rPr>
      </w:pPr>
    </w:p>
    <w:p w14:paraId="457A65A8">
      <w:pPr>
        <w:widowControl/>
        <w:spacing w:line="360" w:lineRule="auto"/>
        <w:jc w:val="left"/>
        <w:rPr>
          <w:b/>
          <w:color w:val="auto"/>
          <w:szCs w:val="22"/>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5150AFB7">
      <w:pPr>
        <w:pStyle w:val="759"/>
        <w:rPr>
          <w:color w:val="auto"/>
        </w:rPr>
      </w:pPr>
      <w:bookmarkStart w:id="226" w:name="_Toc149054228"/>
      <w:bookmarkStart w:id="227" w:name="_Toc477954594"/>
      <w:bookmarkStart w:id="228" w:name="_Toc484077219"/>
      <w:bookmarkStart w:id="229" w:name="_Toc119316825"/>
      <w:r>
        <w:rPr>
          <w:color w:val="auto"/>
        </w:rPr>
        <w:t>9环境影响评价结论</w:t>
      </w:r>
      <w:bookmarkEnd w:id="226"/>
      <w:bookmarkEnd w:id="227"/>
      <w:bookmarkEnd w:id="228"/>
      <w:bookmarkEnd w:id="229"/>
    </w:p>
    <w:p w14:paraId="6701F557">
      <w:pPr>
        <w:pStyle w:val="548"/>
        <w:rPr>
          <w:snapToGrid w:val="0"/>
          <w:color w:val="auto"/>
        </w:rPr>
      </w:pPr>
      <w:bookmarkStart w:id="230" w:name="_Toc15991734"/>
      <w:bookmarkStart w:id="231" w:name="_Toc149054229"/>
      <w:bookmarkStart w:id="232" w:name="_Toc477368706"/>
      <w:bookmarkStart w:id="233" w:name="_Toc119316826"/>
      <w:bookmarkStart w:id="234" w:name="_Toc457030108"/>
      <w:r>
        <w:rPr>
          <w:snapToGrid w:val="0"/>
          <w:color w:val="auto"/>
        </w:rPr>
        <w:t>9.1评价结论</w:t>
      </w:r>
      <w:bookmarkEnd w:id="230"/>
      <w:bookmarkEnd w:id="231"/>
      <w:bookmarkEnd w:id="232"/>
      <w:bookmarkEnd w:id="233"/>
      <w:bookmarkEnd w:id="234"/>
    </w:p>
    <w:p w14:paraId="08193608">
      <w:pPr>
        <w:pStyle w:val="137"/>
        <w:rPr>
          <w:rFonts w:eastAsia="宋体" w:cs="Times New Roman"/>
          <w:b/>
          <w:color w:val="auto"/>
          <w:szCs w:val="24"/>
        </w:rPr>
      </w:pPr>
      <w:bookmarkStart w:id="235" w:name="_Toc15991735"/>
      <w:r>
        <w:rPr>
          <w:rFonts w:eastAsia="宋体" w:cs="Times New Roman"/>
          <w:color w:val="auto"/>
          <w:szCs w:val="24"/>
        </w:rPr>
        <w:t>9.1.1建设概况</w:t>
      </w:r>
      <w:bookmarkEnd w:id="235"/>
    </w:p>
    <w:p w14:paraId="313A8037">
      <w:pPr>
        <w:pStyle w:val="59"/>
        <w:ind w:firstLine="480"/>
        <w:rPr>
          <w:rFonts w:hint="eastAsia" w:eastAsia="宋体"/>
          <w:color w:val="auto"/>
          <w:lang w:eastAsia="zh-CN"/>
        </w:rPr>
      </w:pPr>
      <w:bookmarkStart w:id="236" w:name="_Toc15991736"/>
      <w:r>
        <w:rPr>
          <w:color w:val="auto"/>
        </w:rPr>
        <w:t>项目名称：</w:t>
      </w:r>
      <w:r>
        <w:rPr>
          <w:rFonts w:hint="eastAsia"/>
          <w:color w:val="auto"/>
          <w:lang w:eastAsia="zh-CN"/>
        </w:rPr>
        <w:t>鸡东县新泉采石场土地复垦项目</w:t>
      </w:r>
    </w:p>
    <w:p w14:paraId="20DE19F0">
      <w:pPr>
        <w:pStyle w:val="59"/>
        <w:ind w:firstLine="480"/>
        <w:rPr>
          <w:color w:val="auto"/>
        </w:rPr>
      </w:pPr>
      <w:r>
        <w:rPr>
          <w:color w:val="auto"/>
        </w:rPr>
        <w:t>项目建设单位：</w:t>
      </w:r>
      <w:r>
        <w:rPr>
          <w:rFonts w:hint="eastAsia"/>
          <w:color w:val="auto"/>
          <w:lang w:eastAsia="zh-CN"/>
        </w:rPr>
        <w:t>鸡东县新泉采石场</w:t>
      </w:r>
    </w:p>
    <w:p w14:paraId="0F6FCC55">
      <w:pPr>
        <w:pStyle w:val="59"/>
        <w:ind w:firstLine="480"/>
        <w:rPr>
          <w:color w:val="auto"/>
        </w:rPr>
      </w:pPr>
      <w:r>
        <w:rPr>
          <w:color w:val="auto"/>
        </w:rPr>
        <w:t>项目性质：新建</w:t>
      </w:r>
    </w:p>
    <w:p w14:paraId="0484ECFF">
      <w:pPr>
        <w:pStyle w:val="59"/>
        <w:ind w:firstLine="480"/>
        <w:rPr>
          <w:rFonts w:cs="Times New Roman"/>
          <w:color w:val="auto"/>
        </w:rPr>
      </w:pPr>
      <w:r>
        <w:rPr>
          <w:rFonts w:cs="Times New Roman"/>
          <w:color w:val="auto"/>
        </w:rPr>
        <w:t>建设地点：</w:t>
      </w:r>
      <w:r>
        <w:rPr>
          <w:bCs/>
          <w:color w:val="auto"/>
        </w:rPr>
        <w:t>鸡西市</w:t>
      </w:r>
      <w:r>
        <w:rPr>
          <w:rFonts w:cs="Times New Roman"/>
          <w:snapToGrid w:val="0"/>
          <w:color w:val="auto"/>
        </w:rPr>
        <w:t>鸡东县</w:t>
      </w:r>
      <w:r>
        <w:rPr>
          <w:rFonts w:hint="eastAsia" w:cs="Times New Roman"/>
          <w:snapToGrid w:val="0"/>
          <w:color w:val="auto"/>
          <w:lang w:eastAsia="zh-CN"/>
        </w:rPr>
        <w:t>东海镇</w:t>
      </w:r>
      <w:r>
        <w:rPr>
          <w:rFonts w:cs="Times New Roman"/>
          <w:color w:val="auto"/>
        </w:rPr>
        <w:t>（</w:t>
      </w:r>
      <w:r>
        <w:rPr>
          <w:rFonts w:hint="eastAsia" w:cs="Times New Roman"/>
          <w:color w:val="auto"/>
        </w:rPr>
        <w:t>项目</w:t>
      </w:r>
      <w:r>
        <w:rPr>
          <w:rFonts w:cs="Times New Roman"/>
          <w:color w:val="auto"/>
        </w:rPr>
        <w:t>中心坐标：E13</w:t>
      </w:r>
      <w:r>
        <w:rPr>
          <w:rFonts w:hint="eastAsia" w:cs="Times New Roman"/>
          <w:color w:val="auto"/>
        </w:rPr>
        <w:t>1</w:t>
      </w:r>
      <w:r>
        <w:rPr>
          <w:rFonts w:cs="Times New Roman"/>
          <w:color w:val="auto"/>
        </w:rPr>
        <w:t>°</w:t>
      </w:r>
      <w:r>
        <w:rPr>
          <w:rFonts w:hint="eastAsia" w:cs="Times New Roman"/>
          <w:color w:val="auto"/>
          <w:lang w:val="en-US" w:eastAsia="zh-CN"/>
        </w:rPr>
        <w:t>16</w:t>
      </w:r>
      <w:r>
        <w:rPr>
          <w:rFonts w:cs="Times New Roman"/>
          <w:color w:val="auto"/>
        </w:rPr>
        <w:t>′</w:t>
      </w:r>
      <w:r>
        <w:rPr>
          <w:rFonts w:hint="eastAsia" w:cs="Times New Roman"/>
          <w:color w:val="auto"/>
          <w:lang w:val="en-US" w:eastAsia="zh-CN"/>
        </w:rPr>
        <w:t>4</w:t>
      </w:r>
      <w:r>
        <w:rPr>
          <w:rFonts w:hint="eastAsia" w:cs="Times New Roman"/>
          <w:color w:val="auto"/>
        </w:rPr>
        <w:t>.</w:t>
      </w:r>
      <w:r>
        <w:rPr>
          <w:rFonts w:hint="eastAsia" w:cs="Times New Roman"/>
          <w:color w:val="auto"/>
          <w:lang w:val="en-US" w:eastAsia="zh-CN"/>
        </w:rPr>
        <w:t>93</w:t>
      </w:r>
      <w:r>
        <w:rPr>
          <w:rFonts w:cs="Times New Roman"/>
          <w:color w:val="auto"/>
        </w:rPr>
        <w:t>″，</w:t>
      </w:r>
      <w:r>
        <w:rPr>
          <w:rFonts w:cs="Times New Roman"/>
          <w:color w:val="auto"/>
          <w:highlight w:val="none"/>
        </w:rPr>
        <w:t>N45°2</w:t>
      </w:r>
      <w:r>
        <w:rPr>
          <w:rFonts w:hint="eastAsia" w:cs="Times New Roman"/>
          <w:color w:val="auto"/>
          <w:highlight w:val="none"/>
          <w:lang w:val="en-US" w:eastAsia="zh-CN"/>
        </w:rPr>
        <w:t>0</w:t>
      </w:r>
      <w:r>
        <w:rPr>
          <w:rFonts w:cs="Times New Roman"/>
          <w:color w:val="auto"/>
          <w:highlight w:val="none"/>
        </w:rPr>
        <w:t>′</w:t>
      </w:r>
      <w:r>
        <w:rPr>
          <w:rFonts w:hint="eastAsia" w:cs="Times New Roman"/>
          <w:color w:val="auto"/>
          <w:highlight w:val="none"/>
        </w:rPr>
        <w:t>4</w:t>
      </w:r>
      <w:r>
        <w:rPr>
          <w:rFonts w:hint="eastAsia" w:cs="Times New Roman"/>
          <w:color w:val="auto"/>
          <w:highlight w:val="none"/>
          <w:lang w:val="en-US" w:eastAsia="zh-CN"/>
        </w:rPr>
        <w:t>7</w:t>
      </w:r>
      <w:r>
        <w:rPr>
          <w:rFonts w:hint="eastAsia" w:cs="Times New Roman"/>
          <w:color w:val="auto"/>
          <w:highlight w:val="none"/>
        </w:rPr>
        <w:t>.</w:t>
      </w:r>
      <w:r>
        <w:rPr>
          <w:rFonts w:hint="eastAsia" w:cs="Times New Roman"/>
          <w:color w:val="auto"/>
          <w:highlight w:val="none"/>
          <w:lang w:val="en-US" w:eastAsia="zh-CN"/>
        </w:rPr>
        <w:t>14</w:t>
      </w:r>
      <w:r>
        <w:rPr>
          <w:rFonts w:cs="Times New Roman"/>
          <w:color w:val="auto"/>
          <w:highlight w:val="none"/>
        </w:rPr>
        <w:t>″）。</w:t>
      </w:r>
    </w:p>
    <w:p w14:paraId="2F972E4B">
      <w:pPr>
        <w:pStyle w:val="59"/>
        <w:ind w:firstLine="480"/>
        <w:rPr>
          <w:rFonts w:hint="eastAsia" w:eastAsia="宋体"/>
          <w:snapToGrid w:val="0"/>
          <w:color w:val="auto"/>
          <w:lang w:eastAsia="zh-CN"/>
        </w:rPr>
      </w:pPr>
      <w:r>
        <w:rPr>
          <w:snapToGrid w:val="0"/>
          <w:color w:val="auto"/>
        </w:rPr>
        <w:t>工程投资：</w:t>
      </w:r>
      <w:r>
        <w:rPr>
          <w:rFonts w:hint="eastAsia"/>
          <w:snapToGrid w:val="0"/>
          <w:color w:val="auto"/>
          <w:lang w:eastAsia="zh-CN"/>
        </w:rPr>
        <w:t>766.81万元</w:t>
      </w:r>
    </w:p>
    <w:p w14:paraId="5C40EBFD">
      <w:pPr>
        <w:pStyle w:val="59"/>
        <w:ind w:firstLine="480"/>
        <w:rPr>
          <w:rFonts w:hint="eastAsia" w:eastAsia="宋体"/>
          <w:snapToGrid w:val="0"/>
          <w:color w:val="auto"/>
          <w:highlight w:val="none"/>
          <w:lang w:eastAsia="zh-CN"/>
        </w:rPr>
      </w:pPr>
      <w:r>
        <w:rPr>
          <w:snapToGrid w:val="0"/>
          <w:color w:val="auto"/>
        </w:rPr>
        <w:t>占地面积：</w:t>
      </w:r>
      <w:r>
        <w:rPr>
          <w:rFonts w:hint="eastAsia"/>
          <w:snapToGrid w:val="0"/>
          <w:color w:val="auto"/>
          <w:highlight w:val="none"/>
          <w:lang w:val="en-US" w:eastAsia="zh-CN"/>
        </w:rPr>
        <w:t>78594m</w:t>
      </w:r>
      <w:r>
        <w:rPr>
          <w:rFonts w:hint="eastAsia"/>
          <w:snapToGrid w:val="0"/>
          <w:color w:val="auto"/>
          <w:highlight w:val="none"/>
          <w:vertAlign w:val="superscript"/>
          <w:lang w:val="en-US" w:eastAsia="zh-CN"/>
        </w:rPr>
        <w:t>2</w:t>
      </w:r>
    </w:p>
    <w:p w14:paraId="592F3BEF">
      <w:pPr>
        <w:pStyle w:val="59"/>
        <w:ind w:firstLine="480"/>
        <w:rPr>
          <w:snapToGrid w:val="0"/>
          <w:color w:val="auto"/>
        </w:rPr>
      </w:pPr>
      <w:r>
        <w:rPr>
          <w:snapToGrid w:val="0"/>
          <w:color w:val="auto"/>
        </w:rPr>
        <w:t>占地类型：</w:t>
      </w:r>
      <w:r>
        <w:rPr>
          <w:rFonts w:hint="eastAsia"/>
          <w:bCs/>
          <w:color w:val="auto"/>
          <w:highlight w:val="none"/>
        </w:rPr>
        <w:t>采矿用地</w:t>
      </w:r>
      <w:r>
        <w:rPr>
          <w:rFonts w:hint="eastAsia"/>
          <w:bCs/>
          <w:color w:val="auto"/>
          <w:highlight w:val="none"/>
          <w:lang w:eastAsia="zh-CN"/>
        </w:rPr>
        <w:t>、</w:t>
      </w:r>
      <w:r>
        <w:rPr>
          <w:rFonts w:hint="eastAsia"/>
          <w:bCs/>
          <w:color w:val="auto"/>
          <w:highlight w:val="none"/>
          <w:lang w:val="en-US" w:eastAsia="zh-CN"/>
        </w:rPr>
        <w:t>旱地、乔木林地、农村道路</w:t>
      </w:r>
    </w:p>
    <w:p w14:paraId="4C010DBF">
      <w:pPr>
        <w:pStyle w:val="59"/>
        <w:ind w:firstLine="480"/>
        <w:rPr>
          <w:snapToGrid w:val="0"/>
          <w:color w:val="auto"/>
        </w:rPr>
      </w:pPr>
      <w:r>
        <w:rPr>
          <w:snapToGrid w:val="0"/>
          <w:color w:val="auto"/>
        </w:rPr>
        <w:t>劳动定员及工作制度：</w:t>
      </w:r>
      <w:r>
        <w:rPr>
          <w:rFonts w:hint="eastAsia"/>
          <w:snapToGrid w:val="0"/>
          <w:color w:val="auto"/>
          <w:highlight w:val="none"/>
          <w:lang w:val="en-US" w:eastAsia="zh-CN"/>
        </w:rPr>
        <w:t>15</w:t>
      </w:r>
      <w:r>
        <w:rPr>
          <w:snapToGrid w:val="0"/>
          <w:color w:val="auto"/>
          <w:highlight w:val="none"/>
        </w:rPr>
        <w:t>人，</w:t>
      </w:r>
      <w:r>
        <w:rPr>
          <w:color w:val="auto"/>
          <w:highlight w:val="none"/>
        </w:rPr>
        <w:t>食宿均在</w:t>
      </w:r>
      <w:r>
        <w:rPr>
          <w:rFonts w:hint="eastAsia"/>
          <w:color w:val="auto"/>
          <w:highlight w:val="none"/>
          <w:lang w:val="en-US" w:eastAsia="zh-CN"/>
        </w:rPr>
        <w:t>新泉村五队</w:t>
      </w:r>
      <w:r>
        <w:rPr>
          <w:color w:val="auto"/>
          <w:highlight w:val="none"/>
        </w:rPr>
        <w:t>内</w:t>
      </w:r>
      <w:r>
        <w:rPr>
          <w:bCs/>
          <w:color w:val="auto"/>
          <w:highlight w:val="none"/>
        </w:rPr>
        <w:t>，</w:t>
      </w:r>
      <w:r>
        <w:rPr>
          <w:color w:val="auto"/>
          <w:highlight w:val="none"/>
        </w:rPr>
        <w:t>不设生活区。</w:t>
      </w:r>
      <w:r>
        <w:rPr>
          <w:bCs/>
          <w:color w:val="auto"/>
          <w:highlight w:val="none"/>
        </w:rPr>
        <w:t>回填区每年工作</w:t>
      </w:r>
      <w:r>
        <w:rPr>
          <w:rFonts w:hint="eastAsia"/>
          <w:bCs/>
          <w:color w:val="auto"/>
          <w:highlight w:val="none"/>
          <w:lang w:val="en-US" w:eastAsia="zh-CN"/>
        </w:rPr>
        <w:t>363</w:t>
      </w:r>
      <w:r>
        <w:rPr>
          <w:bCs/>
          <w:color w:val="auto"/>
          <w:highlight w:val="none"/>
        </w:rPr>
        <w:t>天，</w:t>
      </w:r>
      <w:r>
        <w:rPr>
          <w:rStyle w:val="60"/>
          <w:rFonts w:hint="eastAsia"/>
          <w:color w:val="auto"/>
          <w:highlight w:val="none"/>
        </w:rPr>
        <w:t>每班</w:t>
      </w:r>
      <w:r>
        <w:rPr>
          <w:rStyle w:val="60"/>
          <w:rFonts w:hint="eastAsia"/>
          <w:color w:val="auto"/>
          <w:highlight w:val="none"/>
          <w:lang w:val="en-US" w:eastAsia="zh-CN"/>
        </w:rPr>
        <w:t>12</w:t>
      </w:r>
      <w:r>
        <w:rPr>
          <w:rStyle w:val="60"/>
          <w:color w:val="auto"/>
          <w:highlight w:val="none"/>
        </w:rPr>
        <w:t>小时</w:t>
      </w:r>
      <w:r>
        <w:rPr>
          <w:rStyle w:val="60"/>
          <w:rFonts w:hint="eastAsia"/>
          <w:color w:val="auto"/>
          <w:highlight w:val="none"/>
        </w:rPr>
        <w:t>。</w:t>
      </w:r>
    </w:p>
    <w:p w14:paraId="29C1CD63">
      <w:pPr>
        <w:pStyle w:val="59"/>
        <w:ind w:firstLine="480"/>
        <w:rPr>
          <w:snapToGrid w:val="0"/>
          <w:color w:val="auto"/>
        </w:rPr>
      </w:pPr>
      <w:r>
        <w:rPr>
          <w:snapToGrid w:val="0"/>
          <w:color w:val="auto"/>
        </w:rPr>
        <w:t>建设周期：</w:t>
      </w:r>
      <w:r>
        <w:rPr>
          <w:rFonts w:hint="eastAsia"/>
          <w:snapToGrid w:val="0"/>
          <w:color w:val="auto"/>
          <w:highlight w:val="none"/>
          <w:lang w:val="en-US" w:eastAsia="zh-CN"/>
        </w:rPr>
        <w:t xml:space="preserve">修复治理共需 3年 </w:t>
      </w:r>
      <w:r>
        <w:rPr>
          <w:rFonts w:hint="default"/>
          <w:snapToGrid w:val="0"/>
          <w:color w:val="auto"/>
          <w:highlight w:val="none"/>
          <w:lang w:val="en-US" w:eastAsia="zh-CN"/>
        </w:rPr>
        <w:t xml:space="preserve">1 </w:t>
      </w:r>
      <w:r>
        <w:rPr>
          <w:rFonts w:hint="eastAsia"/>
          <w:snapToGrid w:val="0"/>
          <w:color w:val="auto"/>
          <w:highlight w:val="none"/>
          <w:lang w:val="en-US" w:eastAsia="zh-CN"/>
        </w:rPr>
        <w:t xml:space="preserve">个月，其中施工期 </w:t>
      </w:r>
      <w:r>
        <w:rPr>
          <w:rFonts w:hint="default"/>
          <w:snapToGrid w:val="0"/>
          <w:color w:val="auto"/>
          <w:highlight w:val="none"/>
          <w:lang w:val="en-US" w:eastAsia="zh-CN"/>
        </w:rPr>
        <w:t xml:space="preserve">1 </w:t>
      </w:r>
      <w:r>
        <w:rPr>
          <w:rFonts w:hint="eastAsia"/>
          <w:snapToGrid w:val="0"/>
          <w:color w:val="auto"/>
          <w:highlight w:val="none"/>
          <w:lang w:val="en-US" w:eastAsia="zh-CN"/>
        </w:rPr>
        <w:t>个月，回填复垦期3年。</w:t>
      </w:r>
    </w:p>
    <w:p w14:paraId="4EB461CC">
      <w:pPr>
        <w:pStyle w:val="137"/>
        <w:rPr>
          <w:b/>
          <w:color w:val="auto"/>
        </w:rPr>
      </w:pPr>
      <w:r>
        <w:rPr>
          <w:color w:val="auto"/>
        </w:rPr>
        <w:t>9.1.2项目符合性结论</w:t>
      </w:r>
      <w:bookmarkEnd w:id="236"/>
    </w:p>
    <w:p w14:paraId="24457257">
      <w:pPr>
        <w:pStyle w:val="135"/>
        <w:rPr>
          <w:color w:val="auto"/>
        </w:rPr>
      </w:pPr>
      <w:r>
        <w:rPr>
          <w:color w:val="auto"/>
        </w:rPr>
        <w:t>9.1.2.1产业政策符合性结论</w:t>
      </w:r>
    </w:p>
    <w:p w14:paraId="41648381">
      <w:pPr>
        <w:pStyle w:val="59"/>
        <w:ind w:firstLine="480"/>
        <w:rPr>
          <w:bCs/>
          <w:color w:val="auto"/>
        </w:rPr>
      </w:pPr>
      <w:r>
        <w:rPr>
          <w:rFonts w:hint="eastAsia"/>
          <w:bCs/>
          <w:color w:val="auto"/>
        </w:rPr>
        <w:t>本项目属于</w:t>
      </w:r>
      <w:r>
        <w:rPr>
          <w:rFonts w:hint="eastAsia"/>
          <w:bCs/>
          <w:color w:val="auto"/>
          <w:lang w:eastAsia="zh-CN"/>
        </w:rPr>
        <w:t>《产业结构调整指导目录（2024年本）》</w:t>
      </w:r>
      <w:r>
        <w:rPr>
          <w:rFonts w:hint="eastAsia"/>
          <w:bCs/>
          <w:color w:val="auto"/>
          <w:lang w:val="en-US" w:eastAsia="zh-CN"/>
        </w:rPr>
        <w:t>中</w:t>
      </w:r>
      <w:r>
        <w:rPr>
          <w:rFonts w:hint="default"/>
          <w:bCs/>
          <w:color w:val="auto"/>
          <w:lang w:val="en-US" w:eastAsia="zh-CN"/>
        </w:rPr>
        <w:t>“</w:t>
      </w:r>
      <w:r>
        <w:rPr>
          <w:rFonts w:hint="eastAsia"/>
          <w:bCs/>
          <w:color w:val="auto"/>
          <w:lang w:val="en-US" w:eastAsia="zh-CN"/>
        </w:rPr>
        <w:t>第一类鼓励类</w:t>
      </w:r>
      <w:r>
        <w:rPr>
          <w:rFonts w:hint="default"/>
          <w:bCs/>
          <w:color w:val="auto"/>
          <w:lang w:val="en-US" w:eastAsia="zh-CN"/>
        </w:rPr>
        <w:t>——</w:t>
      </w:r>
      <w:r>
        <w:rPr>
          <w:rFonts w:hint="eastAsia"/>
          <w:bCs/>
          <w:color w:val="auto"/>
          <w:lang w:val="en-US" w:eastAsia="zh-CN"/>
        </w:rPr>
        <w:t>四十二、环境保护与资源节约综合利用</w:t>
      </w:r>
      <w:r>
        <w:rPr>
          <w:rFonts w:hint="default"/>
          <w:bCs/>
          <w:color w:val="auto"/>
          <w:lang w:val="en-US" w:eastAsia="zh-CN"/>
        </w:rPr>
        <w:t>——2</w:t>
      </w:r>
      <w:r>
        <w:rPr>
          <w:rFonts w:hint="eastAsia"/>
          <w:bCs/>
          <w:color w:val="auto"/>
          <w:lang w:val="en-US" w:eastAsia="zh-CN"/>
        </w:rPr>
        <w:t>、生态环境修复和资源利用：矿山生态环境恢复工程以及</w:t>
      </w:r>
      <w:r>
        <w:rPr>
          <w:rFonts w:hint="default"/>
          <w:bCs/>
          <w:color w:val="auto"/>
          <w:lang w:val="en-US" w:eastAsia="zh-CN"/>
        </w:rPr>
        <w:t>10</w:t>
      </w:r>
      <w:r>
        <w:rPr>
          <w:rFonts w:hint="eastAsia"/>
          <w:bCs/>
          <w:color w:val="auto"/>
          <w:lang w:val="en-US" w:eastAsia="zh-CN"/>
        </w:rPr>
        <w:t>、工</w:t>
      </w:r>
      <w:r>
        <w:rPr>
          <w:rFonts w:hint="eastAsia" w:ascii="宋体" w:hAnsi="宋体" w:eastAsia="宋体" w:cs="宋体"/>
          <w:bCs/>
          <w:color w:val="auto"/>
          <w:lang w:val="en-US" w:eastAsia="zh-CN"/>
        </w:rPr>
        <w:t>业“三废”循环利用：“三废”综合</w:t>
      </w:r>
      <w:r>
        <w:rPr>
          <w:rFonts w:hint="eastAsia"/>
          <w:bCs/>
          <w:color w:val="auto"/>
          <w:lang w:val="en-US" w:eastAsia="zh-CN"/>
        </w:rPr>
        <w:t>利用与治理技术、装备和工程</w:t>
      </w:r>
      <w:r>
        <w:rPr>
          <w:rFonts w:hint="default"/>
          <w:bCs/>
          <w:color w:val="auto"/>
          <w:lang w:val="en-US" w:eastAsia="zh-CN"/>
        </w:rPr>
        <w:t>”</w:t>
      </w:r>
      <w:r>
        <w:rPr>
          <w:rFonts w:hint="eastAsia"/>
          <w:bCs/>
          <w:color w:val="auto"/>
          <w:lang w:val="en-US" w:eastAsia="zh-CN"/>
        </w:rPr>
        <w:t>，本项目符合国家产业政策的要求。</w:t>
      </w:r>
    </w:p>
    <w:p w14:paraId="384409BB">
      <w:pPr>
        <w:pStyle w:val="135"/>
        <w:rPr>
          <w:color w:val="auto"/>
        </w:rPr>
      </w:pPr>
      <w:r>
        <w:rPr>
          <w:color w:val="auto"/>
        </w:rPr>
        <w:t>9.1.2.2</w:t>
      </w:r>
      <w:r>
        <w:rPr>
          <w:rFonts w:hint="eastAsia"/>
          <w:color w:val="auto"/>
        </w:rPr>
        <w:t>选址</w:t>
      </w:r>
      <w:r>
        <w:rPr>
          <w:color w:val="auto"/>
        </w:rPr>
        <w:t>合理性结论</w:t>
      </w:r>
    </w:p>
    <w:p w14:paraId="69E4DAE4">
      <w:pPr>
        <w:pStyle w:val="59"/>
        <w:ind w:firstLine="480"/>
        <w:rPr>
          <w:color w:val="auto"/>
        </w:rPr>
      </w:pPr>
      <w:bookmarkStart w:id="237" w:name="_Toc15991737"/>
      <w:r>
        <w:rPr>
          <w:rFonts w:hint="eastAsia"/>
          <w:color w:val="auto"/>
          <w:highlight w:val="none"/>
        </w:rPr>
        <w:t>项目东侧为农田</w:t>
      </w:r>
      <w:r>
        <w:rPr>
          <w:rFonts w:hint="eastAsia"/>
          <w:color w:val="auto"/>
          <w:highlight w:val="none"/>
          <w:lang w:eastAsia="zh-CN"/>
        </w:rPr>
        <w:t>、</w:t>
      </w:r>
      <w:r>
        <w:rPr>
          <w:rFonts w:hint="eastAsia"/>
          <w:color w:val="auto"/>
          <w:highlight w:val="none"/>
          <w:lang w:val="en-US" w:eastAsia="zh-CN"/>
        </w:rPr>
        <w:t>林地和道路，</w:t>
      </w:r>
      <w:r>
        <w:rPr>
          <w:rFonts w:hint="eastAsia"/>
          <w:color w:val="auto"/>
          <w:highlight w:val="none"/>
        </w:rPr>
        <w:t>西侧为</w:t>
      </w:r>
      <w:r>
        <w:rPr>
          <w:rFonts w:hint="eastAsia"/>
          <w:color w:val="auto"/>
          <w:highlight w:val="none"/>
          <w:lang w:val="en-US" w:eastAsia="zh-CN"/>
        </w:rPr>
        <w:t>农田、林地</w:t>
      </w:r>
      <w:r>
        <w:rPr>
          <w:rFonts w:hint="eastAsia"/>
          <w:color w:val="auto"/>
          <w:highlight w:val="none"/>
        </w:rPr>
        <w:t>；南侧</w:t>
      </w:r>
      <w:r>
        <w:rPr>
          <w:rFonts w:hint="eastAsia"/>
          <w:color w:val="auto"/>
          <w:highlight w:val="none"/>
          <w:lang w:eastAsia="zh-CN"/>
        </w:rPr>
        <w:t>、</w:t>
      </w:r>
      <w:r>
        <w:rPr>
          <w:rFonts w:hint="eastAsia"/>
          <w:color w:val="auto"/>
          <w:highlight w:val="none"/>
          <w:lang w:val="en-US" w:eastAsia="zh-CN"/>
        </w:rPr>
        <w:t>北侧</w:t>
      </w:r>
      <w:r>
        <w:rPr>
          <w:rFonts w:hint="eastAsia"/>
          <w:color w:val="auto"/>
          <w:highlight w:val="none"/>
        </w:rPr>
        <w:t>为农田；本项目评价范围内无自然保护区、风景名胜区、森林公园、地质公园、重要湿地、饮用水源保护区等环境敏感区，不占用生态保护红线。</w:t>
      </w:r>
      <w:r>
        <w:rPr>
          <w:rFonts w:hint="eastAsia"/>
          <w:color w:val="auto"/>
        </w:rPr>
        <w:t>根据项目周边自然环境的踏查，项目选址周边最近敏感点为</w:t>
      </w:r>
      <w:r>
        <w:rPr>
          <w:rFonts w:hint="eastAsia"/>
          <w:color w:val="auto"/>
          <w:lang w:eastAsia="zh-CN"/>
        </w:rPr>
        <w:t>东</w:t>
      </w:r>
      <w:r>
        <w:rPr>
          <w:rFonts w:hint="eastAsia"/>
          <w:color w:val="auto"/>
        </w:rPr>
        <w:t>侧</w:t>
      </w:r>
      <w:r>
        <w:rPr>
          <w:rFonts w:hint="eastAsia"/>
          <w:color w:val="auto"/>
          <w:lang w:val="en-US" w:eastAsia="zh-CN"/>
        </w:rPr>
        <w:t>53</w:t>
      </w:r>
      <w:r>
        <w:rPr>
          <w:color w:val="auto"/>
        </w:rPr>
        <w:t>0</w:t>
      </w:r>
      <w:r>
        <w:rPr>
          <w:rFonts w:hint="eastAsia"/>
          <w:color w:val="auto"/>
        </w:rPr>
        <w:t>m处</w:t>
      </w:r>
      <w:r>
        <w:rPr>
          <w:rFonts w:hint="eastAsia"/>
          <w:color w:val="auto"/>
          <w:lang w:eastAsia="zh-CN"/>
        </w:rPr>
        <w:t>新泉村五队</w:t>
      </w:r>
      <w:r>
        <w:rPr>
          <w:rFonts w:hint="eastAsia"/>
          <w:color w:val="auto"/>
        </w:rPr>
        <w:t>，位于常年主导风向</w:t>
      </w:r>
      <w:r>
        <w:rPr>
          <w:rFonts w:hint="eastAsia"/>
          <w:color w:val="auto"/>
          <w:lang w:eastAsia="zh-CN"/>
        </w:rPr>
        <w:t>下</w:t>
      </w:r>
      <w:r>
        <w:rPr>
          <w:rFonts w:hint="eastAsia"/>
          <w:color w:val="auto"/>
        </w:rPr>
        <w:t>风向。经预测计算，本项目厂界外大气污染物短期贡献浓度无超标点，因此本项目不需要设置大气环境防护距离</w:t>
      </w:r>
      <w:r>
        <w:rPr>
          <w:color w:val="auto"/>
        </w:rPr>
        <w:t>，</w:t>
      </w:r>
      <w:r>
        <w:rPr>
          <w:rFonts w:hint="eastAsia"/>
          <w:color w:val="auto"/>
        </w:rPr>
        <w:t>对敏感点的影响很小</w:t>
      </w:r>
      <w:r>
        <w:rPr>
          <w:color w:val="auto"/>
        </w:rPr>
        <w:t>。</w:t>
      </w:r>
      <w:r>
        <w:rPr>
          <w:rFonts w:hint="eastAsia"/>
          <w:color w:val="auto"/>
        </w:rPr>
        <w:t>项目边界最近的地表水体为</w:t>
      </w:r>
      <w:r>
        <w:rPr>
          <w:rFonts w:hint="eastAsia"/>
          <w:color w:val="auto"/>
          <w:lang w:eastAsia="zh-CN"/>
        </w:rPr>
        <w:t>三新沟</w:t>
      </w:r>
      <w:r>
        <w:rPr>
          <w:rFonts w:hint="eastAsia"/>
          <w:color w:val="auto"/>
        </w:rPr>
        <w:t>，位于项目东侧</w:t>
      </w:r>
      <w:r>
        <w:rPr>
          <w:rFonts w:hint="eastAsia"/>
          <w:color w:val="auto"/>
          <w:lang w:val="en-US" w:eastAsia="zh-CN"/>
        </w:rPr>
        <w:t>4</w:t>
      </w:r>
      <w:r>
        <w:rPr>
          <w:rFonts w:hint="eastAsia"/>
          <w:color w:val="auto"/>
        </w:rPr>
        <w:t>km。本项目在回填活动前已开展环境本底调查，并按照《建设用地土壤污染风险评估技术导则》（HJ25.3-2019）等相关标准开展环境风险评估，形成了环境风险评估报告并通过专家评审，风险评估报告重点评估项目对地下水、地表水及周边土壤的环境污染风险，评估结论为环境风险可以接受。因此，选址合理。</w:t>
      </w:r>
    </w:p>
    <w:p w14:paraId="0A9D0F4E">
      <w:pPr>
        <w:pStyle w:val="137"/>
        <w:rPr>
          <w:b/>
          <w:color w:val="auto"/>
        </w:rPr>
      </w:pPr>
      <w:r>
        <w:rPr>
          <w:color w:val="auto"/>
        </w:rPr>
        <w:t>9.1.3环境质量现状评价结论</w:t>
      </w:r>
      <w:bookmarkEnd w:id="237"/>
    </w:p>
    <w:p w14:paraId="7CCFF9BB">
      <w:pPr>
        <w:pStyle w:val="59"/>
        <w:ind w:firstLine="480"/>
        <w:rPr>
          <w:color w:val="auto"/>
        </w:rPr>
      </w:pPr>
      <w:r>
        <w:rPr>
          <w:color w:val="auto"/>
        </w:rPr>
        <w:t>（</w:t>
      </w:r>
      <w:r>
        <w:rPr>
          <w:rFonts w:hint="eastAsia"/>
          <w:color w:val="auto"/>
        </w:rPr>
        <w:t>1</w:t>
      </w:r>
      <w:r>
        <w:rPr>
          <w:color w:val="auto"/>
        </w:rPr>
        <w:t>）大气环境质量现状评价结论</w:t>
      </w:r>
    </w:p>
    <w:p w14:paraId="096B67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sz w:val="24"/>
          <w:szCs w:val="24"/>
          <w:highlight w:val="none"/>
        </w:rPr>
        <w:t>根据</w:t>
      </w:r>
      <w:r>
        <w:rPr>
          <w:rFonts w:hint="eastAsia" w:cs="Times New Roman"/>
          <w:color w:val="auto"/>
          <w:sz w:val="24"/>
          <w:szCs w:val="24"/>
          <w:highlight w:val="none"/>
          <w:lang w:eastAsia="zh-CN"/>
        </w:rPr>
        <w:t>《2025年黑龙江省生态环境质量状况》（2026年1月）</w:t>
      </w: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鸡西市空气质量级别达二级标准，</w:t>
      </w:r>
      <w:r>
        <w:rPr>
          <w:rFonts w:hint="eastAsia" w:cs="Times New Roman"/>
          <w:color w:val="auto"/>
          <w:sz w:val="24"/>
          <w:szCs w:val="24"/>
          <w:highlight w:val="none"/>
          <w:lang w:val="en-US" w:eastAsia="zh-CN"/>
        </w:rPr>
        <w:t>达标天数为350天</w:t>
      </w:r>
      <w:r>
        <w:rPr>
          <w:rFonts w:hint="default" w:ascii="Times New Roman" w:hAnsi="Times New Roman" w:cs="Times New Roman"/>
          <w:color w:val="auto"/>
          <w:sz w:val="24"/>
          <w:szCs w:val="24"/>
          <w:highlight w:val="none"/>
          <w:lang w:val="en-US" w:eastAsia="zh-CN"/>
        </w:rPr>
        <w:t>（95.9%）</w:t>
      </w:r>
      <w:r>
        <w:rPr>
          <w:rFonts w:hint="eastAsia"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PM</w:t>
      </w:r>
      <w:r>
        <w:rPr>
          <w:rFonts w:hint="default" w:ascii="Times New Roman" w:hAnsi="Times New Roman" w:cs="Times New Roman"/>
          <w:color w:val="auto"/>
          <w:sz w:val="24"/>
          <w:szCs w:val="24"/>
          <w:highlight w:val="none"/>
          <w:vertAlign w:val="subscript"/>
          <w:lang w:val="en-US" w:eastAsia="zh-CN"/>
        </w:rPr>
        <w:t>2.5</w:t>
      </w:r>
      <w:r>
        <w:rPr>
          <w:rFonts w:hint="default" w:ascii="Times New Roman" w:hAnsi="Times New Roman" w:cs="Times New Roman"/>
          <w:color w:val="auto"/>
          <w:sz w:val="24"/>
          <w:szCs w:val="24"/>
          <w:highlight w:val="none"/>
          <w:lang w:val="en-US" w:eastAsia="zh-CN"/>
        </w:rPr>
        <w:t>、PM</w:t>
      </w:r>
      <w:r>
        <w:rPr>
          <w:rFonts w:hint="default" w:ascii="Times New Roman" w:hAnsi="Times New Roman" w:cs="Times New Roman"/>
          <w:color w:val="auto"/>
          <w:sz w:val="24"/>
          <w:szCs w:val="24"/>
          <w:highlight w:val="none"/>
          <w:vertAlign w:val="subscript"/>
          <w:lang w:val="en-US" w:eastAsia="zh-CN"/>
        </w:rPr>
        <w:t>10</w:t>
      </w:r>
      <w:r>
        <w:rPr>
          <w:rFonts w:hint="default" w:ascii="Times New Roman" w:hAnsi="Times New Roman" w:cs="Times New Roman"/>
          <w:color w:val="auto"/>
          <w:sz w:val="24"/>
          <w:szCs w:val="24"/>
          <w:highlight w:val="none"/>
          <w:lang w:val="en-US" w:eastAsia="zh-CN"/>
        </w:rPr>
        <w:t>、SO</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、NO</w:t>
      </w:r>
      <w:r>
        <w:rPr>
          <w:rFonts w:hint="default" w:ascii="Times New Roman" w:hAnsi="Times New Roman" w:cs="Times New Roman"/>
          <w:color w:val="auto"/>
          <w:sz w:val="24"/>
          <w:szCs w:val="24"/>
          <w:highlight w:val="none"/>
          <w:vertAlign w:val="subscript"/>
          <w:lang w:val="en-US" w:eastAsia="zh-CN"/>
        </w:rPr>
        <w:t>2</w:t>
      </w:r>
      <w:r>
        <w:rPr>
          <w:rFonts w:hint="default" w:ascii="Times New Roman" w:hAnsi="Times New Roman" w:cs="Times New Roman"/>
          <w:color w:val="auto"/>
          <w:sz w:val="24"/>
          <w:szCs w:val="24"/>
          <w:highlight w:val="none"/>
          <w:lang w:val="en-US" w:eastAsia="zh-CN"/>
        </w:rPr>
        <w:t>、CO-95per、O</w:t>
      </w:r>
      <w:r>
        <w:rPr>
          <w:rFonts w:hint="default" w:ascii="Times New Roman" w:hAnsi="Times New Roman" w:cs="Times New Roman"/>
          <w:color w:val="auto"/>
          <w:sz w:val="24"/>
          <w:szCs w:val="24"/>
          <w:highlight w:val="none"/>
          <w:vertAlign w:val="subscript"/>
          <w:lang w:val="en-US" w:eastAsia="zh-CN"/>
        </w:rPr>
        <w:t>3</w:t>
      </w:r>
      <w:r>
        <w:rPr>
          <w:rFonts w:hint="default" w:ascii="Times New Roman" w:hAnsi="Times New Roman" w:cs="Times New Roman"/>
          <w:color w:val="auto"/>
          <w:sz w:val="24"/>
          <w:szCs w:val="24"/>
          <w:highlight w:val="none"/>
          <w:lang w:val="en-US" w:eastAsia="zh-CN"/>
        </w:rPr>
        <w:t>-8h-90per年均浓度分别为2</w:t>
      </w:r>
      <w:r>
        <w:rPr>
          <w:rFonts w:hint="eastAsia" w:cs="Times New Roman"/>
          <w:color w:val="auto"/>
          <w:sz w:val="24"/>
          <w:szCs w:val="24"/>
          <w:highlight w:val="none"/>
          <w:lang w:val="en-US" w:eastAsia="zh-CN"/>
        </w:rPr>
        <w:t>6</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default" w:ascii="Times New Roman" w:hAnsi="Times New Roman" w:cs="Times New Roman"/>
          <w:color w:val="auto"/>
          <w:sz w:val="24"/>
          <w:szCs w:val="24"/>
          <w:highlight w:val="none"/>
          <w:lang w:val="en-US" w:eastAsia="zh-CN"/>
        </w:rPr>
        <w:t>4</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、8</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、1</w:t>
      </w:r>
      <w:r>
        <w:rPr>
          <w:rFonts w:hint="default" w:ascii="Times New Roman" w:hAnsi="Times New Roman" w:cs="Times New Roman"/>
          <w:color w:val="auto"/>
          <w:sz w:val="24"/>
          <w:szCs w:val="24"/>
          <w:highlight w:val="none"/>
          <w:lang w:val="en-US" w:eastAsia="zh-CN"/>
        </w:rPr>
        <w:t>7</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eastAsia" w:cs="Times New Roman"/>
          <w:color w:val="auto"/>
          <w:sz w:val="24"/>
          <w:szCs w:val="24"/>
          <w:highlight w:val="none"/>
          <w:vertAlign w:val="baseline"/>
          <w:lang w:val="en-US" w:eastAsia="zh-CN"/>
        </w:rPr>
        <w:t>0.9</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、和</w:t>
      </w:r>
      <w:r>
        <w:rPr>
          <w:rFonts w:hint="eastAsia" w:cs="Times New Roman"/>
          <w:color w:val="auto"/>
          <w:sz w:val="24"/>
          <w:szCs w:val="24"/>
          <w:highlight w:val="none"/>
          <w:vertAlign w:val="baseline"/>
          <w:lang w:val="en-US" w:eastAsia="zh-CN"/>
        </w:rPr>
        <w:t>115</w:t>
      </w:r>
      <w:r>
        <w:rPr>
          <w:rFonts w:hint="default" w:ascii="Times New Roman" w:hAnsi="Times New Roman" w:eastAsia="宋体" w:cs="Times New Roman"/>
          <w:color w:val="auto"/>
          <w:sz w:val="24"/>
          <w:szCs w:val="24"/>
          <w:highlight w:val="none"/>
          <w:lang w:val="en-US" w:eastAsia="zh-CN"/>
        </w:rPr>
        <w:t>μg/m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cs="Times New Roman"/>
          <w:color w:val="auto"/>
          <w:sz w:val="24"/>
          <w:szCs w:val="24"/>
          <w:highlight w:val="none"/>
          <w:vertAlign w:val="baseline"/>
          <w:lang w:val="en-US" w:eastAsia="zh-CN"/>
        </w:rPr>
        <w:t>，</w:t>
      </w:r>
      <w:r>
        <w:rPr>
          <w:rFonts w:hint="default" w:ascii="Times New Roman" w:hAnsi="Times New Roman" w:eastAsia="宋体" w:cs="Times New Roman"/>
          <w:color w:val="auto"/>
          <w:kern w:val="21"/>
          <w:sz w:val="24"/>
          <w:szCs w:val="24"/>
          <w:highlight w:val="none"/>
          <w:lang w:val="en-US" w:eastAsia="zh-CN"/>
        </w:rPr>
        <w:t>均满足</w:t>
      </w:r>
      <w:r>
        <w:rPr>
          <w:rFonts w:hint="default" w:ascii="Times New Roman" w:hAnsi="Times New Roman" w:eastAsia="宋体" w:cs="Times New Roman"/>
          <w:color w:val="auto"/>
          <w:kern w:val="21"/>
          <w:sz w:val="24"/>
          <w:szCs w:val="24"/>
          <w:highlight w:val="none"/>
        </w:rPr>
        <w:t>《环境空气质量标准》（GB3095-20</w:t>
      </w:r>
      <w:r>
        <w:rPr>
          <w:rFonts w:hint="eastAsia" w:cs="Times New Roman"/>
          <w:color w:val="auto"/>
          <w:kern w:val="21"/>
          <w:sz w:val="24"/>
          <w:szCs w:val="24"/>
          <w:highlight w:val="none"/>
          <w:lang w:val="en-US" w:eastAsia="zh-CN"/>
        </w:rPr>
        <w:t>26</w:t>
      </w:r>
      <w:r>
        <w:rPr>
          <w:rFonts w:hint="default" w:ascii="Times New Roman" w:hAnsi="Times New Roman" w:eastAsia="宋体" w:cs="Times New Roman"/>
          <w:color w:val="auto"/>
          <w:kern w:val="21"/>
          <w:sz w:val="24"/>
          <w:szCs w:val="24"/>
          <w:highlight w:val="none"/>
        </w:rPr>
        <w:t>）中</w:t>
      </w:r>
      <w:r>
        <w:rPr>
          <w:rFonts w:hint="eastAsia" w:cs="Times New Roman"/>
          <w:color w:val="auto"/>
          <w:kern w:val="21"/>
          <w:sz w:val="24"/>
          <w:szCs w:val="24"/>
          <w:highlight w:val="none"/>
          <w:lang w:eastAsia="zh-CN"/>
        </w:rPr>
        <w:t>过渡阶段</w:t>
      </w:r>
      <w:r>
        <w:rPr>
          <w:rFonts w:hint="default" w:ascii="Times New Roman" w:hAnsi="Times New Roman" w:eastAsia="宋体" w:cs="Times New Roman"/>
          <w:color w:val="auto"/>
          <w:kern w:val="21"/>
          <w:sz w:val="24"/>
          <w:szCs w:val="24"/>
          <w:highlight w:val="none"/>
        </w:rPr>
        <w:t>二级标准</w:t>
      </w:r>
      <w:r>
        <w:rPr>
          <w:rFonts w:hint="default" w:ascii="Times New Roman" w:hAnsi="Times New Roman" w:eastAsia="宋体" w:cs="Times New Roman"/>
          <w:color w:val="auto"/>
          <w:kern w:val="21"/>
          <w:sz w:val="24"/>
          <w:szCs w:val="24"/>
          <w:highlight w:val="none"/>
          <w:lang w:eastAsia="zh-CN"/>
        </w:rPr>
        <w:t>，</w:t>
      </w:r>
      <w:r>
        <w:rPr>
          <w:rFonts w:hint="default" w:ascii="Times New Roman" w:hAnsi="Times New Roman" w:eastAsia="宋体" w:cs="Times New Roman"/>
          <w:color w:val="auto"/>
          <w:kern w:val="21"/>
          <w:sz w:val="24"/>
          <w:szCs w:val="24"/>
          <w:highlight w:val="none"/>
        </w:rPr>
        <w:t>项目所在区域为达标区。</w:t>
      </w:r>
    </w:p>
    <w:p w14:paraId="6B695FF6">
      <w:pPr>
        <w:pStyle w:val="59"/>
        <w:ind w:firstLine="480"/>
        <w:rPr>
          <w:color w:val="auto"/>
        </w:rPr>
      </w:pPr>
      <w:r>
        <w:rPr>
          <w:color w:val="auto"/>
        </w:rPr>
        <w:t>（</w:t>
      </w:r>
      <w:r>
        <w:rPr>
          <w:rFonts w:hint="eastAsia"/>
          <w:color w:val="auto"/>
        </w:rPr>
        <w:t>2</w:t>
      </w:r>
      <w:r>
        <w:rPr>
          <w:color w:val="auto"/>
        </w:rPr>
        <w:t>）地表水环境质量现状评价结论</w:t>
      </w:r>
    </w:p>
    <w:p w14:paraId="05B36927">
      <w:pPr>
        <w:pStyle w:val="59"/>
        <w:ind w:firstLine="480"/>
        <w:rPr>
          <w:color w:val="auto"/>
        </w:rPr>
      </w:pPr>
      <w:r>
        <w:rPr>
          <w:color w:val="auto"/>
        </w:rPr>
        <w:t>本项目</w:t>
      </w:r>
      <w:r>
        <w:rPr>
          <w:rFonts w:hint="eastAsia"/>
          <w:color w:val="auto"/>
          <w:lang w:eastAsia="zh-CN"/>
        </w:rPr>
        <w:t>最近的</w:t>
      </w:r>
      <w:r>
        <w:rPr>
          <w:color w:val="auto"/>
        </w:rPr>
        <w:t>地表水体为</w:t>
      </w:r>
      <w:r>
        <w:rPr>
          <w:rFonts w:hint="eastAsia"/>
          <w:color w:val="auto"/>
          <w:lang w:eastAsia="zh-CN"/>
        </w:rPr>
        <w:t>三新沟</w:t>
      </w:r>
      <w:r>
        <w:rPr>
          <w:rFonts w:hint="eastAsia"/>
          <w:color w:val="auto"/>
        </w:rPr>
        <w:t>，无水体功能类别，</w:t>
      </w:r>
      <w:r>
        <w:rPr>
          <w:rFonts w:hint="eastAsia"/>
          <w:color w:val="auto"/>
          <w:lang w:eastAsia="zh-CN"/>
        </w:rPr>
        <w:t>三新沟最终</w:t>
      </w:r>
      <w:r>
        <w:rPr>
          <w:rFonts w:hint="eastAsia"/>
          <w:color w:val="auto"/>
        </w:rPr>
        <w:t>汇入穆棱河。</w:t>
      </w:r>
      <w:r>
        <w:rPr>
          <w:color w:val="auto"/>
        </w:rPr>
        <w:t>根据《全国重要江河湖泊水功能区划（2011-2030年）》，本项目</w:t>
      </w:r>
      <w:r>
        <w:rPr>
          <w:rFonts w:hint="eastAsia"/>
          <w:color w:val="auto"/>
        </w:rPr>
        <w:t>所在穆棱河一级水功能区名称为穆棱河鸡西市开发利用区，二级水功能区名称为穆棱河鸡东县、密山市农业用水区，起始断面为</w:t>
      </w:r>
      <w:r>
        <w:rPr>
          <w:color w:val="auto"/>
        </w:rPr>
        <w:t>鸡古路西100m</w:t>
      </w:r>
      <w:r>
        <w:rPr>
          <w:rFonts w:hint="eastAsia"/>
          <w:color w:val="auto"/>
        </w:rPr>
        <w:t>，终止断面为</w:t>
      </w:r>
      <w:r>
        <w:rPr>
          <w:color w:val="auto"/>
        </w:rPr>
        <w:t>凯北站，水质类别为Ⅲ类，根据《202</w:t>
      </w:r>
      <w:r>
        <w:rPr>
          <w:rFonts w:hint="eastAsia"/>
          <w:color w:val="auto"/>
          <w:lang w:val="en-US" w:eastAsia="zh-CN"/>
        </w:rPr>
        <w:t>5</w:t>
      </w:r>
      <w:r>
        <w:rPr>
          <w:color w:val="auto"/>
        </w:rPr>
        <w:t>年黑龙江省生态环境质量状况》</w:t>
      </w:r>
      <w:r>
        <w:rPr>
          <w:rFonts w:hint="eastAsia" w:cs="Times New Roman"/>
          <w:color w:val="auto"/>
          <w:sz w:val="24"/>
          <w:szCs w:val="24"/>
          <w:highlight w:val="none"/>
          <w:lang w:eastAsia="zh-CN"/>
        </w:rPr>
        <w:t>（2026年1月）</w:t>
      </w:r>
      <w:r>
        <w:rPr>
          <w:color w:val="auto"/>
        </w:rPr>
        <w:t>全省</w:t>
      </w:r>
      <w:r>
        <w:rPr>
          <w:rFonts w:hint="eastAsia"/>
          <w:color w:val="auto"/>
        </w:rPr>
        <w:t>地表水水质状况示意图</w:t>
      </w:r>
      <w:r>
        <w:rPr>
          <w:color w:val="auto"/>
        </w:rPr>
        <w:t>可知，</w:t>
      </w:r>
      <w:r>
        <w:rPr>
          <w:rFonts w:hint="eastAsia"/>
          <w:color w:val="auto"/>
        </w:rPr>
        <w:t>项目区所在穆棱河</w:t>
      </w:r>
      <w:r>
        <w:rPr>
          <w:color w:val="auto"/>
        </w:rPr>
        <w:t>水质满足《地表水环境质量标准》（GB3838-2002）中的Ⅲ类水质标准。</w:t>
      </w:r>
    </w:p>
    <w:p w14:paraId="22C3CFCF">
      <w:pPr>
        <w:pStyle w:val="59"/>
        <w:adjustRightInd/>
        <w:snapToGrid/>
        <w:ind w:firstLine="480"/>
        <w:contextualSpacing/>
        <w:rPr>
          <w:rFonts w:cs="Times New Roman"/>
          <w:color w:val="auto"/>
        </w:rPr>
      </w:pPr>
      <w:r>
        <w:rPr>
          <w:rFonts w:cs="Times New Roman"/>
          <w:color w:val="auto"/>
        </w:rPr>
        <w:t>（</w:t>
      </w:r>
      <w:r>
        <w:rPr>
          <w:rFonts w:hint="eastAsia" w:cs="Times New Roman"/>
          <w:color w:val="auto"/>
        </w:rPr>
        <w:t>3</w:t>
      </w:r>
      <w:r>
        <w:rPr>
          <w:rFonts w:cs="Times New Roman"/>
          <w:color w:val="auto"/>
        </w:rPr>
        <w:t>）地下水环境质量现状评价结论</w:t>
      </w:r>
    </w:p>
    <w:p w14:paraId="3210F7D3">
      <w:pPr>
        <w:pStyle w:val="59"/>
        <w:ind w:firstLine="480"/>
        <w:rPr>
          <w:color w:val="auto"/>
        </w:rPr>
      </w:pPr>
      <w:r>
        <w:rPr>
          <w:rFonts w:hint="eastAsia"/>
          <w:color w:val="auto"/>
          <w:lang w:val="en-US" w:eastAsia="zh-CN"/>
        </w:rPr>
        <w:t xml:space="preserve">根据监测统计结果可知，地下水各监测指标均符合《地下水质量标准》 </w:t>
      </w:r>
    </w:p>
    <w:p w14:paraId="4CFCD516">
      <w:pPr>
        <w:pStyle w:val="59"/>
        <w:ind w:left="0" w:leftChars="0" w:firstLine="0" w:firstLineChars="0"/>
        <w:rPr>
          <w:color w:val="auto"/>
        </w:rPr>
      </w:pPr>
      <w:r>
        <w:rPr>
          <w:rFonts w:hint="eastAsia"/>
          <w:color w:val="auto"/>
          <w:lang w:val="en-US" w:eastAsia="zh-CN"/>
        </w:rPr>
        <w:t>（</w:t>
      </w:r>
      <w:r>
        <w:rPr>
          <w:rFonts w:hint="default"/>
          <w:color w:val="auto"/>
          <w:lang w:val="en-US" w:eastAsia="zh-CN"/>
        </w:rPr>
        <w:t>GB/T14848-2017</w:t>
      </w:r>
      <w:r>
        <w:rPr>
          <w:rFonts w:hint="eastAsia"/>
          <w:color w:val="auto"/>
          <w:lang w:val="en-US" w:eastAsia="zh-CN"/>
        </w:rPr>
        <w:t xml:space="preserve">）中 </w:t>
      </w:r>
      <w:r>
        <w:rPr>
          <w:rFonts w:hint="default"/>
          <w:color w:val="auto"/>
          <w:lang w:val="en-US" w:eastAsia="zh-CN"/>
        </w:rPr>
        <w:t xml:space="preserve">III </w:t>
      </w:r>
      <w:r>
        <w:rPr>
          <w:rFonts w:hint="eastAsia"/>
          <w:color w:val="auto"/>
          <w:lang w:val="en-US" w:eastAsia="zh-CN"/>
        </w:rPr>
        <w:t>类标准。</w:t>
      </w:r>
    </w:p>
    <w:p w14:paraId="238FCA51">
      <w:pPr>
        <w:pStyle w:val="59"/>
        <w:ind w:firstLine="480"/>
        <w:rPr>
          <w:color w:val="auto"/>
        </w:rPr>
      </w:pPr>
      <w:r>
        <w:rPr>
          <w:color w:val="auto"/>
        </w:rPr>
        <w:t>（4）声环境质量现状评价结论</w:t>
      </w:r>
    </w:p>
    <w:p w14:paraId="77C56517">
      <w:pPr>
        <w:pStyle w:val="59"/>
        <w:ind w:firstLine="480"/>
        <w:rPr>
          <w:rFonts w:hint="eastAsia"/>
          <w:color w:val="auto"/>
          <w:lang w:val="en-US" w:eastAsia="zh-CN"/>
        </w:rPr>
      </w:pPr>
      <w:r>
        <w:rPr>
          <w:rFonts w:hint="eastAsia"/>
          <w:color w:val="auto"/>
          <w:lang w:val="en-US" w:eastAsia="zh-CN"/>
        </w:rPr>
        <w:t>根据监测统计结果可知，项目区评价范围内各监测点昼间及夜间等效连续</w:t>
      </w:r>
      <w:r>
        <w:rPr>
          <w:rFonts w:hint="default"/>
          <w:color w:val="auto"/>
          <w:lang w:val="en-US" w:eastAsia="zh-CN"/>
        </w:rPr>
        <w:t>A</w:t>
      </w:r>
      <w:r>
        <w:rPr>
          <w:rFonts w:hint="eastAsia"/>
          <w:color w:val="auto"/>
          <w:lang w:val="en-US" w:eastAsia="zh-CN"/>
        </w:rPr>
        <w:t>声级均无超标现象，达标率</w:t>
      </w:r>
      <w:r>
        <w:rPr>
          <w:rFonts w:hint="default"/>
          <w:color w:val="auto"/>
          <w:lang w:val="en-US" w:eastAsia="zh-CN"/>
        </w:rPr>
        <w:t>100%</w:t>
      </w:r>
      <w:r>
        <w:rPr>
          <w:rFonts w:hint="eastAsia"/>
          <w:color w:val="auto"/>
          <w:lang w:val="en-US" w:eastAsia="zh-CN"/>
        </w:rPr>
        <w:t>，评价区噪声背景值满足《声环境质量标准》（</w:t>
      </w:r>
      <w:r>
        <w:rPr>
          <w:rFonts w:hint="default"/>
          <w:color w:val="auto"/>
          <w:lang w:val="en-US" w:eastAsia="zh-CN"/>
        </w:rPr>
        <w:t>GB3096-2008</w:t>
      </w:r>
      <w:r>
        <w:rPr>
          <w:rFonts w:hint="eastAsia"/>
          <w:color w:val="auto"/>
          <w:lang w:val="en-US" w:eastAsia="zh-CN"/>
        </w:rPr>
        <w:t>）</w:t>
      </w:r>
      <w:r>
        <w:rPr>
          <w:rFonts w:hint="default"/>
          <w:color w:val="auto"/>
          <w:lang w:val="en-US" w:eastAsia="zh-CN"/>
        </w:rPr>
        <w:t>2</w:t>
      </w:r>
      <w:r>
        <w:rPr>
          <w:rFonts w:hint="eastAsia"/>
          <w:color w:val="auto"/>
          <w:lang w:val="en-US" w:eastAsia="zh-CN"/>
        </w:rPr>
        <w:t>类声环境功能区标准限值。</w:t>
      </w:r>
    </w:p>
    <w:p w14:paraId="00579A32">
      <w:pPr>
        <w:pStyle w:val="59"/>
        <w:ind w:firstLine="480"/>
        <w:rPr>
          <w:color w:val="auto"/>
          <w:highlight w:val="none"/>
        </w:rPr>
      </w:pPr>
      <w:r>
        <w:rPr>
          <w:color w:val="auto"/>
          <w:highlight w:val="none"/>
        </w:rPr>
        <w:t>（5）土壤现状评价结论</w:t>
      </w:r>
    </w:p>
    <w:p w14:paraId="14083E55">
      <w:pPr>
        <w:pStyle w:val="59"/>
        <w:ind w:firstLine="480"/>
        <w:rPr>
          <w:rFonts w:hint="eastAsia"/>
          <w:color w:val="auto"/>
          <w:lang w:val="en-US" w:eastAsia="zh-CN"/>
        </w:rPr>
      </w:pPr>
      <w:bookmarkStart w:id="238" w:name="_Toc15991738"/>
      <w:r>
        <w:rPr>
          <w:rFonts w:hint="eastAsia"/>
          <w:color w:val="auto"/>
          <w:lang w:val="en-US" w:eastAsia="zh-CN"/>
        </w:rPr>
        <w:t>根据土壤环境现状监测结果可知，本次现状监测各监测点的各项监测因子均可满足《土壤环境质量建设用地土壤污染风险管控标准（试行）》（</w:t>
      </w:r>
      <w:r>
        <w:rPr>
          <w:rFonts w:hint="default"/>
          <w:color w:val="auto"/>
          <w:lang w:val="en-US" w:eastAsia="zh-CN"/>
        </w:rPr>
        <w:t>GB36600-2018</w:t>
      </w:r>
      <w:r>
        <w:rPr>
          <w:rFonts w:hint="eastAsia"/>
          <w:color w:val="auto"/>
          <w:lang w:val="en-US" w:eastAsia="zh-CN"/>
        </w:rPr>
        <w:t>）中第二类用地筛选值、《土壤环境质量农用地土壤污染风险管控标准（试行）》（</w:t>
      </w:r>
      <w:r>
        <w:rPr>
          <w:rFonts w:hint="default"/>
          <w:color w:val="auto"/>
          <w:lang w:val="en-US" w:eastAsia="zh-CN"/>
        </w:rPr>
        <w:t>GB 15618-2018</w:t>
      </w:r>
      <w:r>
        <w:rPr>
          <w:rFonts w:hint="eastAsia"/>
          <w:color w:val="auto"/>
          <w:lang w:val="en-US" w:eastAsia="zh-CN"/>
        </w:rPr>
        <w:t>）表</w:t>
      </w:r>
      <w:r>
        <w:rPr>
          <w:rFonts w:hint="default"/>
          <w:color w:val="auto"/>
          <w:lang w:val="en-US" w:eastAsia="zh-CN"/>
        </w:rPr>
        <w:t>1</w:t>
      </w:r>
      <w:r>
        <w:rPr>
          <w:rFonts w:hint="eastAsia"/>
          <w:color w:val="auto"/>
          <w:lang w:val="en-US" w:eastAsia="zh-CN"/>
        </w:rPr>
        <w:t>中其他土壤污染风险筛选值。</w:t>
      </w:r>
    </w:p>
    <w:p w14:paraId="5E6EF70D">
      <w:pPr>
        <w:pStyle w:val="137"/>
        <w:rPr>
          <w:color w:val="auto"/>
          <w:highlight w:val="none"/>
        </w:rPr>
      </w:pPr>
      <w:r>
        <w:rPr>
          <w:color w:val="auto"/>
          <w:highlight w:val="none"/>
        </w:rPr>
        <w:t>9.1.4污染防治措施可行性结论</w:t>
      </w:r>
      <w:bookmarkEnd w:id="238"/>
    </w:p>
    <w:p w14:paraId="53CD7192">
      <w:pPr>
        <w:pStyle w:val="135"/>
        <w:rPr>
          <w:color w:val="auto"/>
        </w:rPr>
      </w:pPr>
      <w:r>
        <w:rPr>
          <w:rFonts w:hint="eastAsia"/>
          <w:color w:val="auto"/>
        </w:rPr>
        <w:t>9</w:t>
      </w:r>
      <w:r>
        <w:rPr>
          <w:color w:val="auto"/>
        </w:rPr>
        <w:t>.1.4.1</w:t>
      </w:r>
      <w:r>
        <w:rPr>
          <w:rFonts w:hint="eastAsia"/>
          <w:color w:val="auto"/>
        </w:rPr>
        <w:t>施工期</w:t>
      </w:r>
    </w:p>
    <w:p w14:paraId="64F7712A">
      <w:pPr>
        <w:pStyle w:val="59"/>
        <w:ind w:firstLine="480"/>
        <w:rPr>
          <w:color w:val="auto"/>
        </w:rPr>
      </w:pPr>
      <w:r>
        <w:rPr>
          <w:color w:val="auto"/>
        </w:rPr>
        <w:t>1、大气</w:t>
      </w:r>
    </w:p>
    <w:p w14:paraId="1FFB4D36">
      <w:pPr>
        <w:pStyle w:val="59"/>
        <w:ind w:firstLine="480"/>
        <w:rPr>
          <w:color w:val="auto"/>
        </w:rPr>
      </w:pPr>
      <w:r>
        <w:rPr>
          <w:rFonts w:hint="eastAsia"/>
          <w:color w:val="auto"/>
        </w:rPr>
        <w:t>本项目施工期产生废气为施工扬尘、燃油废气。施工场地、道路采取洒水和清扫措施抑尘，土方采用苫布苫盖，运输车加盖篷布；定期对车辆设备进行维护保养，禁止以柴油为燃料的施工机械超负荷工作，减小燃油废气影响</w:t>
      </w:r>
      <w:r>
        <w:rPr>
          <w:color w:val="auto"/>
        </w:rPr>
        <w:t>。</w:t>
      </w:r>
    </w:p>
    <w:p w14:paraId="082A5558">
      <w:pPr>
        <w:pStyle w:val="59"/>
        <w:ind w:firstLine="480"/>
        <w:rPr>
          <w:rFonts w:cs="Times New Roman"/>
          <w:color w:val="auto"/>
        </w:rPr>
      </w:pPr>
      <w:r>
        <w:rPr>
          <w:rFonts w:cs="Times New Roman"/>
          <w:color w:val="auto"/>
        </w:rPr>
        <w:t>2、废水</w:t>
      </w:r>
    </w:p>
    <w:p w14:paraId="39058C83">
      <w:pPr>
        <w:pStyle w:val="59"/>
        <w:ind w:firstLine="480"/>
        <w:rPr>
          <w:color w:val="auto"/>
        </w:rPr>
      </w:pPr>
      <w:r>
        <w:rPr>
          <w:rFonts w:hint="eastAsia"/>
          <w:color w:val="auto"/>
        </w:rPr>
        <w:t>本项目施工期产生废水为生活污水、施工废水。本项目员工生活污水排入依托租赁的民房配套的防渗旱厕，定期清掏，外运堆肥；本项目不设预制场和拌合场，施工废水经沉淀池收集后用于厂区内洒水降尘，不外排</w:t>
      </w:r>
      <w:r>
        <w:rPr>
          <w:color w:val="auto"/>
        </w:rPr>
        <w:t>。</w:t>
      </w:r>
    </w:p>
    <w:p w14:paraId="2FB116BC">
      <w:pPr>
        <w:pStyle w:val="59"/>
        <w:ind w:firstLine="480"/>
        <w:rPr>
          <w:color w:val="auto"/>
        </w:rPr>
      </w:pPr>
      <w:r>
        <w:rPr>
          <w:rFonts w:hint="eastAsia"/>
          <w:color w:val="auto"/>
        </w:rPr>
        <w:t>3、</w:t>
      </w:r>
      <w:r>
        <w:rPr>
          <w:color w:val="auto"/>
        </w:rPr>
        <w:t>噪声</w:t>
      </w:r>
    </w:p>
    <w:p w14:paraId="598F0730">
      <w:pPr>
        <w:pStyle w:val="59"/>
        <w:ind w:firstLine="480"/>
        <w:rPr>
          <w:rFonts w:cs="Times New Roman"/>
          <w:color w:val="auto"/>
        </w:rPr>
      </w:pPr>
      <w:r>
        <w:rPr>
          <w:rFonts w:hint="eastAsia"/>
          <w:color w:val="auto"/>
        </w:rPr>
        <w:t>本项目施工期产生施工机械噪声、运输噪声。合理安排施工时间（晚间22:00-6:00）严禁高噪声设备施工，尽量避免高噪声设备同时运行。优先选用低噪声设备，做好施工机械的维护和保养，减小施工机械噪声影响。加强运输车辆管理，严禁超速超载，减小运输噪声影响</w:t>
      </w:r>
      <w:r>
        <w:rPr>
          <w:rFonts w:cs="Times New Roman"/>
          <w:color w:val="auto"/>
        </w:rPr>
        <w:t>。</w:t>
      </w:r>
    </w:p>
    <w:p w14:paraId="67D2ADC9">
      <w:pPr>
        <w:pStyle w:val="59"/>
        <w:ind w:firstLine="480"/>
        <w:rPr>
          <w:rFonts w:cs="Times New Roman"/>
          <w:color w:val="auto"/>
        </w:rPr>
      </w:pPr>
      <w:r>
        <w:rPr>
          <w:rFonts w:hint="eastAsia" w:cs="Times New Roman"/>
          <w:color w:val="auto"/>
        </w:rPr>
        <w:t>4、</w:t>
      </w:r>
      <w:r>
        <w:rPr>
          <w:rFonts w:cs="Times New Roman"/>
          <w:color w:val="auto"/>
        </w:rPr>
        <w:t>固废</w:t>
      </w:r>
    </w:p>
    <w:p w14:paraId="05D3D380">
      <w:pPr>
        <w:pStyle w:val="59"/>
        <w:ind w:firstLine="480"/>
        <w:rPr>
          <w:color w:val="auto"/>
        </w:rPr>
      </w:pPr>
      <w:bookmarkStart w:id="239" w:name="_Toc15991739"/>
      <w:r>
        <w:rPr>
          <w:rFonts w:hint="eastAsia"/>
          <w:color w:val="auto"/>
        </w:rPr>
        <w:t>本项目施工期产生固废为建筑垃圾、生活垃圾、场地清理废物。建筑材料下脚料、包装袋等建筑废弃物，外售废品回收部门；生活垃圾集中收集后定期就近交由当地村屯生活垃圾收集系统进行分类处置；场地清理废物包含杂草、草木根茎、杂物等，集中收集后交由市政部门统一处理</w:t>
      </w:r>
      <w:r>
        <w:rPr>
          <w:color w:val="auto"/>
        </w:rPr>
        <w:t>。</w:t>
      </w:r>
    </w:p>
    <w:p w14:paraId="63505A2E">
      <w:pPr>
        <w:pStyle w:val="59"/>
        <w:ind w:firstLine="480"/>
        <w:rPr>
          <w:color w:val="auto"/>
        </w:rPr>
      </w:pPr>
      <w:r>
        <w:rPr>
          <w:rFonts w:hint="eastAsia"/>
          <w:color w:val="auto"/>
        </w:rPr>
        <w:t>5、生态</w:t>
      </w:r>
    </w:p>
    <w:p w14:paraId="0AD69CD1">
      <w:pPr>
        <w:pStyle w:val="59"/>
        <w:ind w:firstLine="480"/>
        <w:rPr>
          <w:color w:val="auto"/>
        </w:rPr>
      </w:pPr>
      <w:r>
        <w:rPr>
          <w:rFonts w:hint="eastAsia"/>
          <w:color w:val="auto"/>
        </w:rPr>
        <w:t>本项目施工期会对自然景观、水土流失、土地利用功能等产生影响。严格控制施工范围，严禁捕杀野生动物，加强对施工人员的教育，土方开挖后及时回填，减少水土流失</w:t>
      </w:r>
      <w:r>
        <w:rPr>
          <w:color w:val="auto"/>
        </w:rPr>
        <w:t>。</w:t>
      </w:r>
    </w:p>
    <w:p w14:paraId="2B904B2F">
      <w:pPr>
        <w:pStyle w:val="135"/>
        <w:rPr>
          <w:color w:val="auto"/>
        </w:rPr>
      </w:pPr>
      <w:r>
        <w:rPr>
          <w:rFonts w:hint="eastAsia"/>
          <w:color w:val="auto"/>
        </w:rPr>
        <w:t>9</w:t>
      </w:r>
      <w:r>
        <w:rPr>
          <w:color w:val="auto"/>
        </w:rPr>
        <w:t>.1.4.2</w:t>
      </w:r>
      <w:r>
        <w:rPr>
          <w:rFonts w:hint="eastAsia"/>
          <w:color w:val="auto"/>
        </w:rPr>
        <w:t>回填复垦期</w:t>
      </w:r>
    </w:p>
    <w:p w14:paraId="0DFFA0D7">
      <w:pPr>
        <w:pStyle w:val="59"/>
        <w:ind w:firstLine="480"/>
        <w:rPr>
          <w:color w:val="auto"/>
        </w:rPr>
      </w:pPr>
      <w:r>
        <w:rPr>
          <w:rFonts w:hint="eastAsia"/>
          <w:color w:val="auto"/>
        </w:rPr>
        <w:t>1、废气</w:t>
      </w:r>
    </w:p>
    <w:p w14:paraId="50708493">
      <w:pPr>
        <w:pStyle w:val="59"/>
        <w:ind w:firstLine="480"/>
        <w:rPr>
          <w:color w:val="auto"/>
        </w:rPr>
      </w:pPr>
      <w:r>
        <w:rPr>
          <w:rFonts w:hint="eastAsia"/>
          <w:color w:val="auto"/>
        </w:rPr>
        <w:t>运输车辆采取加盖篷布、密封仓等措施，运输道路及时洒水降尘，</w:t>
      </w:r>
      <w:r>
        <w:rPr>
          <w:rFonts w:hint="eastAsia"/>
          <w:color w:val="auto"/>
          <w:lang w:eastAsia="zh-CN"/>
        </w:rPr>
        <w:t>灰渣</w:t>
      </w:r>
      <w:r>
        <w:rPr>
          <w:rFonts w:hint="eastAsia"/>
          <w:color w:val="auto"/>
        </w:rPr>
        <w:t>到场后按照指定点卸车，且做到随卸随填，控制自卸汽车卸料高度；根据项目地区实际天气情况制定合理的洒水制度，并严格执行；分区分单元作业，作业时周边设置1.8m围挡，每日作业后对表面及时采用苫布覆盖，非作业面以及已碾实的</w:t>
      </w:r>
      <w:r>
        <w:rPr>
          <w:rFonts w:hint="eastAsia"/>
          <w:color w:val="auto"/>
          <w:lang w:eastAsia="zh-CN"/>
        </w:rPr>
        <w:t>灰渣</w:t>
      </w:r>
      <w:r>
        <w:rPr>
          <w:rFonts w:hint="eastAsia"/>
          <w:color w:val="auto"/>
        </w:rPr>
        <w:t>表面采用苫布覆盖；对大风等特殊气象条件，停止作业，并加大洒水强度。在采取上述措施后，场界颗粒物浓度可达到《大气污染物综合排放标准》（GB16297-1996）中的表2无组织排放监控浓度限值。</w:t>
      </w:r>
    </w:p>
    <w:p w14:paraId="6338432C">
      <w:pPr>
        <w:pStyle w:val="59"/>
        <w:ind w:firstLine="480"/>
        <w:rPr>
          <w:color w:val="auto"/>
        </w:rPr>
      </w:pPr>
      <w:r>
        <w:rPr>
          <w:rFonts w:hint="eastAsia"/>
          <w:color w:val="auto"/>
        </w:rPr>
        <w:t>2、废水</w:t>
      </w:r>
    </w:p>
    <w:p w14:paraId="4337A5F7">
      <w:pPr>
        <w:pStyle w:val="59"/>
        <w:ind w:firstLine="480"/>
        <w:rPr>
          <w:color w:val="auto"/>
        </w:rPr>
      </w:pPr>
      <w:r>
        <w:rPr>
          <w:rFonts w:hint="eastAsia"/>
          <w:color w:val="auto"/>
        </w:rPr>
        <w:t>产生废水为生活污水、淋溶水。当有持续强降雨的情况下，才会有部分的淋溶水渗漏到底部，在正常工况条件下，不会产生淋溶水。</w:t>
      </w:r>
    </w:p>
    <w:p w14:paraId="1DB46787">
      <w:pPr>
        <w:pStyle w:val="59"/>
        <w:ind w:firstLine="480"/>
        <w:rPr>
          <w:color w:val="auto"/>
        </w:rPr>
      </w:pPr>
      <w:r>
        <w:rPr>
          <w:rFonts w:hint="eastAsia"/>
          <w:color w:val="auto"/>
        </w:rPr>
        <w:t>（1）生活污水排入依托租赁的民房配套的防渗旱厕，定期清掏，外运堆肥；</w:t>
      </w:r>
    </w:p>
    <w:p w14:paraId="6E967280">
      <w:pPr>
        <w:pStyle w:val="59"/>
        <w:ind w:firstLine="480"/>
        <w:rPr>
          <w:color w:val="auto"/>
        </w:rPr>
      </w:pPr>
      <w:r>
        <w:rPr>
          <w:rFonts w:hint="eastAsia"/>
          <w:color w:val="auto"/>
        </w:rPr>
        <w:t>（2）</w:t>
      </w:r>
      <w:r>
        <w:rPr>
          <w:rFonts w:hint="eastAsia"/>
          <w:color w:val="auto"/>
          <w:highlight w:val="none"/>
          <w:lang w:eastAsia="zh-CN"/>
        </w:rPr>
        <w:t>东侧回填区在东南侧</w:t>
      </w:r>
      <w:r>
        <w:rPr>
          <w:rFonts w:hint="eastAsia"/>
          <w:color w:val="auto"/>
          <w:highlight w:val="none"/>
        </w:rPr>
        <w:t>低洼处建设1座容积为</w:t>
      </w:r>
      <w:r>
        <w:rPr>
          <w:rFonts w:hint="eastAsia"/>
          <w:color w:val="auto"/>
          <w:highlight w:val="none"/>
          <w:lang w:val="en-US" w:eastAsia="zh-CN"/>
        </w:rPr>
        <w:t>80</w:t>
      </w:r>
      <w:r>
        <w:rPr>
          <w:rFonts w:hint="eastAsia"/>
          <w:color w:val="auto"/>
          <w:highlight w:val="none"/>
        </w:rPr>
        <w:t>m</w:t>
      </w:r>
      <w:r>
        <w:rPr>
          <w:rFonts w:hint="eastAsia"/>
          <w:color w:val="auto"/>
          <w:highlight w:val="none"/>
          <w:vertAlign w:val="superscript"/>
        </w:rPr>
        <w:t>3</w:t>
      </w:r>
      <w:r>
        <w:rPr>
          <w:rFonts w:hint="eastAsia"/>
          <w:color w:val="auto"/>
          <w:highlight w:val="none"/>
        </w:rPr>
        <w:t>的淋溶水暂存池</w:t>
      </w:r>
      <w:r>
        <w:rPr>
          <w:rFonts w:hint="eastAsia"/>
          <w:color w:val="auto"/>
          <w:highlight w:val="none"/>
          <w:lang w:eastAsia="zh-CN"/>
        </w:rPr>
        <w:t>，西侧回填区在南侧低洼处建设</w:t>
      </w:r>
      <w:r>
        <w:rPr>
          <w:rFonts w:hint="eastAsia"/>
          <w:color w:val="auto"/>
          <w:highlight w:val="none"/>
          <w:lang w:val="en-US" w:eastAsia="zh-CN"/>
        </w:rPr>
        <w:t>1座容积为150m</w:t>
      </w:r>
      <w:r>
        <w:rPr>
          <w:rFonts w:hint="eastAsia"/>
          <w:color w:val="auto"/>
          <w:highlight w:val="none"/>
          <w:vertAlign w:val="superscript"/>
          <w:lang w:val="en-US" w:eastAsia="zh-CN"/>
        </w:rPr>
        <w:t>3</w:t>
      </w:r>
      <w:r>
        <w:rPr>
          <w:rFonts w:hint="eastAsia"/>
          <w:color w:val="auto"/>
          <w:highlight w:val="none"/>
          <w:lang w:val="en-US" w:eastAsia="zh-CN"/>
        </w:rPr>
        <w:t>的淋溶水暂存池</w:t>
      </w:r>
      <w:r>
        <w:rPr>
          <w:rFonts w:hint="eastAsia"/>
          <w:color w:val="auto"/>
          <w:highlight w:val="none"/>
        </w:rPr>
        <w:t>，</w:t>
      </w:r>
      <w:r>
        <w:rPr>
          <w:rFonts w:hint="eastAsia"/>
          <w:color w:val="auto"/>
        </w:rPr>
        <w:t>项目极端天气强降雨时期产生的淋溶水经矿坑底部粘土层阻隔，经淋溶水导排系统收集后排入暂存池，沉淀后回用于项目区洒水抑尘使用，不外排。</w:t>
      </w:r>
    </w:p>
    <w:p w14:paraId="1AB0A1F9">
      <w:pPr>
        <w:pStyle w:val="59"/>
        <w:ind w:firstLine="480"/>
        <w:rPr>
          <w:color w:val="auto"/>
        </w:rPr>
      </w:pPr>
      <w:r>
        <w:rPr>
          <w:rFonts w:hint="eastAsia"/>
          <w:color w:val="auto"/>
        </w:rPr>
        <w:t>3、噪声</w:t>
      </w:r>
    </w:p>
    <w:p w14:paraId="71312FC9">
      <w:pPr>
        <w:pStyle w:val="59"/>
        <w:ind w:firstLine="480"/>
        <w:rPr>
          <w:color w:val="auto"/>
        </w:rPr>
      </w:pPr>
      <w:r>
        <w:rPr>
          <w:rFonts w:hint="eastAsia"/>
          <w:color w:val="auto"/>
        </w:rPr>
        <w:t>本项目噪声源主要为机械设备、运输车辆。选用低噪声的运输车辆、作业设备，将噪声设备尽量布置在场区中间或远离周边敏感点的区域，加强生产管理，在严格履行上述措施后，本项目厂界噪声能够满足《工业企业厂界环境噪声排放标准》（GB12348-2008）中表1的</w:t>
      </w:r>
      <w:r>
        <w:rPr>
          <w:rFonts w:hint="eastAsia"/>
          <w:color w:val="auto"/>
          <w:lang w:val="en-US" w:eastAsia="zh-CN"/>
        </w:rPr>
        <w:t>2</w:t>
      </w:r>
      <w:r>
        <w:rPr>
          <w:rFonts w:hint="eastAsia"/>
          <w:color w:val="auto"/>
        </w:rPr>
        <w:t>类标准。机动车辆必须加强维修和保养，保持技术性能良好，运输车辆经过沿线村庄时将车速控制在20km/h以下、禁止鸣笛，减少交通噪声影响。</w:t>
      </w:r>
    </w:p>
    <w:p w14:paraId="3C1F2851">
      <w:pPr>
        <w:pStyle w:val="59"/>
        <w:ind w:firstLine="480"/>
        <w:rPr>
          <w:color w:val="auto"/>
        </w:rPr>
      </w:pPr>
      <w:r>
        <w:rPr>
          <w:rFonts w:hint="eastAsia"/>
          <w:color w:val="auto"/>
        </w:rPr>
        <w:t>4、固废</w:t>
      </w:r>
    </w:p>
    <w:p w14:paraId="7326AE93">
      <w:pPr>
        <w:pStyle w:val="59"/>
        <w:ind w:firstLine="480"/>
        <w:rPr>
          <w:color w:val="auto"/>
        </w:rPr>
      </w:pPr>
      <w:r>
        <w:rPr>
          <w:rFonts w:hint="eastAsia"/>
          <w:color w:val="auto"/>
        </w:rPr>
        <w:t>本项目固体废物为淋溶水暂存池沉渣、生活垃圾。回填区设置生活垃圾箱，生活垃圾集中收集，交由市政部门统一处理；淋溶水暂存池沉渣成分与淋溶水相同，低于《危险废物鉴别标准 浸出毒性鉴别》（GB5085.3-2007）中表1浸出液污染物浓度限值，不属于危险废物，淋溶水暂存池污泥直接回填至项目区。</w:t>
      </w:r>
    </w:p>
    <w:p w14:paraId="5C8AD2D4">
      <w:pPr>
        <w:pStyle w:val="59"/>
        <w:ind w:firstLine="480"/>
        <w:rPr>
          <w:color w:val="auto"/>
        </w:rPr>
      </w:pPr>
      <w:r>
        <w:rPr>
          <w:rFonts w:hint="eastAsia"/>
          <w:color w:val="auto"/>
        </w:rPr>
        <w:t>5、生态</w:t>
      </w:r>
    </w:p>
    <w:p w14:paraId="2C937187">
      <w:pPr>
        <w:pStyle w:val="59"/>
        <w:ind w:firstLine="480"/>
        <w:rPr>
          <w:color w:val="auto"/>
        </w:rPr>
      </w:pPr>
      <w:r>
        <w:rPr>
          <w:rFonts w:hint="eastAsia"/>
          <w:color w:val="auto"/>
        </w:rPr>
        <w:t>回填区四周设置排水沟，减少水土流失；分区回填，分区覆盖，采取阶段性生态恢复措施；严格控制回填范围，避免对用地周围的植被产生破坏。</w:t>
      </w:r>
    </w:p>
    <w:p w14:paraId="16CD5A5A">
      <w:pPr>
        <w:pStyle w:val="59"/>
        <w:ind w:firstLine="480"/>
        <w:rPr>
          <w:color w:val="auto"/>
        </w:rPr>
      </w:pPr>
      <w:r>
        <w:rPr>
          <w:rFonts w:hint="eastAsia"/>
          <w:color w:val="auto"/>
        </w:rPr>
        <w:t>6、土地复垦</w:t>
      </w:r>
    </w:p>
    <w:p w14:paraId="0D6D8B49">
      <w:pPr>
        <w:pStyle w:val="59"/>
        <w:ind w:firstLine="480"/>
        <w:rPr>
          <w:color w:val="auto"/>
          <w:highlight w:val="none"/>
        </w:rPr>
      </w:pPr>
      <w:r>
        <w:rPr>
          <w:rFonts w:hint="eastAsia"/>
          <w:color w:val="auto"/>
          <w:highlight w:val="none"/>
        </w:rPr>
        <w:t>在回填至设计标高后统一进行覆土，</w:t>
      </w:r>
      <w:r>
        <w:rPr>
          <w:rFonts w:hint="eastAsia"/>
          <w:color w:val="auto"/>
          <w:highlight w:val="none"/>
          <w:lang w:val="en-US" w:eastAsia="zh-CN"/>
        </w:rPr>
        <w:t>回填复垦旱地有效土层厚度不低于80cm，回填复垦乔木林地有效土层厚度不低于30cm，</w:t>
      </w:r>
      <w:r>
        <w:rPr>
          <w:rFonts w:hint="eastAsia"/>
          <w:color w:val="auto"/>
          <w:highlight w:val="none"/>
        </w:rPr>
        <w:t>，土壤质量应满足《土壤环境质量 农用地土壤污染风险管控标准（试行）》（GB15618-2018）要求，复垦成耕地。土地复垦实施过程应满足《土地复垦质量控制标准》（TD/T1036-2013）规定的相关土地复垦质量控制要求。</w:t>
      </w:r>
    </w:p>
    <w:p w14:paraId="7E8900FF">
      <w:pPr>
        <w:pStyle w:val="135"/>
        <w:rPr>
          <w:color w:val="auto"/>
        </w:rPr>
      </w:pPr>
      <w:r>
        <w:rPr>
          <w:color w:val="auto"/>
        </w:rPr>
        <w:t>9.1.4</w:t>
      </w:r>
      <w:r>
        <w:rPr>
          <w:rFonts w:hint="eastAsia"/>
          <w:color w:val="auto"/>
        </w:rPr>
        <w:t>.3生态恢复期</w:t>
      </w:r>
    </w:p>
    <w:p w14:paraId="3D93F9BF">
      <w:pPr>
        <w:pStyle w:val="59"/>
        <w:ind w:firstLine="480"/>
        <w:rPr>
          <w:color w:val="auto"/>
        </w:rPr>
      </w:pPr>
      <w:r>
        <w:rPr>
          <w:rFonts w:hint="eastAsia"/>
          <w:color w:val="auto"/>
        </w:rPr>
        <w:t>1、废水</w:t>
      </w:r>
    </w:p>
    <w:p w14:paraId="3AB4F94D">
      <w:pPr>
        <w:pStyle w:val="59"/>
        <w:ind w:firstLine="480"/>
        <w:rPr>
          <w:color w:val="auto"/>
        </w:rPr>
      </w:pPr>
      <w:r>
        <w:rPr>
          <w:rFonts w:hint="eastAsia"/>
          <w:color w:val="auto"/>
        </w:rPr>
        <w:t>回填结束后雨水不再进入厂区，淋溶水量将随时间而逐步减少，水质与回填复垦期水质相近，但随着时间的增加，水质会慢慢趋于良好，此后在低浓度水平上保持稳定。因此在生态恢复期淋溶水处理系统仍保持运行。</w:t>
      </w:r>
    </w:p>
    <w:p w14:paraId="728B93C7">
      <w:pPr>
        <w:pStyle w:val="59"/>
        <w:ind w:firstLine="480"/>
        <w:rPr>
          <w:color w:val="auto"/>
        </w:rPr>
      </w:pPr>
      <w:r>
        <w:rPr>
          <w:rFonts w:hint="eastAsia"/>
          <w:color w:val="auto"/>
        </w:rPr>
        <w:t>2、噪声</w:t>
      </w:r>
    </w:p>
    <w:p w14:paraId="1C75E9C0">
      <w:pPr>
        <w:pStyle w:val="59"/>
        <w:ind w:firstLine="480"/>
        <w:rPr>
          <w:color w:val="auto"/>
        </w:rPr>
      </w:pPr>
      <w:r>
        <w:rPr>
          <w:rFonts w:hint="eastAsia"/>
          <w:color w:val="auto"/>
        </w:rPr>
        <w:t>主要为淋溶水提升泵噪声，选用低噪声设备，定期维护保养，不会对周边声环境产生较大影响。</w:t>
      </w:r>
    </w:p>
    <w:p w14:paraId="4AB7044A">
      <w:pPr>
        <w:pStyle w:val="137"/>
        <w:rPr>
          <w:b/>
          <w:color w:val="auto"/>
        </w:rPr>
      </w:pPr>
      <w:r>
        <w:rPr>
          <w:color w:val="auto"/>
        </w:rPr>
        <w:t>9.1.5经济损益分析结论</w:t>
      </w:r>
      <w:bookmarkEnd w:id="239"/>
    </w:p>
    <w:p w14:paraId="6C6179AA">
      <w:pPr>
        <w:pStyle w:val="59"/>
        <w:adjustRightInd/>
        <w:snapToGrid/>
        <w:ind w:firstLine="480"/>
        <w:rPr>
          <w:rFonts w:cs="Times New Roman"/>
          <w:color w:val="auto"/>
        </w:rPr>
      </w:pPr>
      <w:r>
        <w:rPr>
          <w:rFonts w:cs="Times New Roman"/>
          <w:color w:val="auto"/>
        </w:rPr>
        <w:t>本项目的建设具有良好的社会效益和经济效益，不会对当地环境产生明显不利影响，因此该项目的实施做到了社会效益、经济效益和环境效益的同步发展。</w:t>
      </w:r>
    </w:p>
    <w:p w14:paraId="11912B0E">
      <w:pPr>
        <w:pStyle w:val="137"/>
        <w:rPr>
          <w:b/>
          <w:color w:val="auto"/>
        </w:rPr>
      </w:pPr>
      <w:bookmarkStart w:id="240" w:name="_Toc486255152"/>
      <w:bookmarkStart w:id="241" w:name="_Toc15991740"/>
      <w:r>
        <w:rPr>
          <w:color w:val="auto"/>
        </w:rPr>
        <w:t>9.1.6环境管理与监测结论</w:t>
      </w:r>
      <w:bookmarkEnd w:id="240"/>
      <w:bookmarkEnd w:id="241"/>
    </w:p>
    <w:p w14:paraId="3823FFEE">
      <w:pPr>
        <w:pStyle w:val="59"/>
        <w:ind w:firstLine="480"/>
        <w:rPr>
          <w:snapToGrid w:val="0"/>
          <w:color w:val="auto"/>
        </w:rPr>
      </w:pPr>
      <w:r>
        <w:rPr>
          <w:snapToGrid w:val="0"/>
          <w:color w:val="auto"/>
        </w:rPr>
        <w:t>项目</w:t>
      </w:r>
      <w:r>
        <w:rPr>
          <w:rFonts w:hint="eastAsia"/>
          <w:snapToGrid w:val="0"/>
          <w:color w:val="auto"/>
        </w:rPr>
        <w:t>回填复垦期</w:t>
      </w:r>
      <w:r>
        <w:rPr>
          <w:snapToGrid w:val="0"/>
          <w:color w:val="auto"/>
        </w:rPr>
        <w:t>通过加强建设和运行的环境管理与监控，建立健全安全生产管理制度，制订科学严谨的操作规程，通过职工操作技能培训，提高危险识辨、防护和保护能力，落实责任到人。同时加强厂内各类设备包括污染治理设施的日常运行管理和维护，对生产设备进行定期检测，对关键设备进行不定期探伤测试。增强岗位职责和环保、安全意识，保证生产设施和环保治理设施运行的可靠性、稳定性。</w:t>
      </w:r>
    </w:p>
    <w:p w14:paraId="54721F0D">
      <w:pPr>
        <w:pStyle w:val="137"/>
        <w:rPr>
          <w:b/>
          <w:color w:val="auto"/>
        </w:rPr>
      </w:pPr>
      <w:bookmarkStart w:id="242" w:name="_Toc486255150"/>
      <w:bookmarkStart w:id="243" w:name="_Toc15991741"/>
      <w:r>
        <w:rPr>
          <w:color w:val="auto"/>
        </w:rPr>
        <w:t>9.1.7公众意见采纳情况</w:t>
      </w:r>
      <w:bookmarkEnd w:id="242"/>
      <w:bookmarkEnd w:id="243"/>
    </w:p>
    <w:p w14:paraId="4F5E5723">
      <w:pPr>
        <w:pStyle w:val="59"/>
        <w:ind w:firstLine="480"/>
        <w:rPr>
          <w:snapToGrid w:val="0"/>
          <w:color w:val="auto"/>
        </w:rPr>
      </w:pPr>
      <w:bookmarkStart w:id="244" w:name="_Toc285188950"/>
      <w:bookmarkStart w:id="245" w:name="_Toc15991742"/>
      <w:bookmarkStart w:id="246" w:name="_Toc342462538"/>
      <w:r>
        <w:rPr>
          <w:rFonts w:hint="eastAsia"/>
          <w:snapToGrid w:val="0"/>
          <w:color w:val="auto"/>
          <w:lang w:val="en-US" w:eastAsia="zh-CN"/>
        </w:rPr>
        <w:t>在报告书编制过程中，建设单位鸡东县新泉采石场按照《环境影响评价公众参与办法》（生态环境部第</w:t>
      </w:r>
      <w:r>
        <w:rPr>
          <w:rFonts w:hint="default"/>
          <w:snapToGrid w:val="0"/>
          <w:color w:val="auto"/>
          <w:lang w:val="en-US" w:eastAsia="zh-CN"/>
        </w:rPr>
        <w:t>4</w:t>
      </w:r>
      <w:r>
        <w:rPr>
          <w:rFonts w:hint="eastAsia"/>
          <w:snapToGrid w:val="0"/>
          <w:color w:val="auto"/>
          <w:lang w:val="en-US" w:eastAsia="zh-CN"/>
        </w:rPr>
        <w:t>号令）有关规定开展公众参与工作，通过网络公示、报纸公示、张贴公告等进行了信息公示，并在报告编制完成时进行了全本公示，在公示期间内未收到公众反映与建设项目环境影响有关的意见和建议。</w:t>
      </w:r>
    </w:p>
    <w:p w14:paraId="609E4158">
      <w:pPr>
        <w:pStyle w:val="137"/>
        <w:rPr>
          <w:b/>
          <w:color w:val="auto"/>
        </w:rPr>
      </w:pPr>
      <w:r>
        <w:rPr>
          <w:color w:val="auto"/>
        </w:rPr>
        <w:t>9.1.8总结论</w:t>
      </w:r>
      <w:bookmarkEnd w:id="244"/>
      <w:bookmarkEnd w:id="245"/>
      <w:bookmarkEnd w:id="246"/>
    </w:p>
    <w:p w14:paraId="12367B25">
      <w:pPr>
        <w:pStyle w:val="59"/>
        <w:ind w:firstLine="480"/>
        <w:rPr>
          <w:snapToGrid w:val="0"/>
          <w:color w:val="auto"/>
        </w:rPr>
      </w:pPr>
      <w:bookmarkStart w:id="247" w:name="_Toc477368707"/>
      <w:bookmarkStart w:id="248" w:name="_Toc15991743"/>
      <w:bookmarkStart w:id="249" w:name="_Toc119316827"/>
      <w:r>
        <w:rPr>
          <w:rFonts w:hint="eastAsia"/>
          <w:snapToGrid w:val="0"/>
          <w:color w:val="auto"/>
        </w:rPr>
        <w:t>本项目拟将</w:t>
      </w:r>
      <w:r>
        <w:rPr>
          <w:rFonts w:hint="eastAsia"/>
          <w:snapToGrid w:val="0"/>
          <w:color w:val="auto"/>
          <w:lang w:eastAsia="zh-CN"/>
        </w:rPr>
        <w:t>黑龙江醇能热电有限公司</w:t>
      </w:r>
      <w:r>
        <w:rPr>
          <w:rFonts w:hint="eastAsia"/>
          <w:snapToGrid w:val="0"/>
          <w:color w:val="auto"/>
        </w:rPr>
        <w:t>的</w:t>
      </w:r>
      <w:r>
        <w:rPr>
          <w:rFonts w:hint="eastAsia"/>
          <w:snapToGrid w:val="0"/>
          <w:color w:val="auto"/>
          <w:lang w:eastAsia="zh-CN"/>
        </w:rPr>
        <w:t>灰渣</w:t>
      </w:r>
      <w:r>
        <w:rPr>
          <w:rFonts w:hint="eastAsia"/>
          <w:snapToGrid w:val="0"/>
          <w:color w:val="auto"/>
        </w:rPr>
        <w:t>回填至废弃采坑，不但将</w:t>
      </w:r>
      <w:r>
        <w:rPr>
          <w:rFonts w:hint="eastAsia"/>
          <w:snapToGrid w:val="0"/>
          <w:color w:val="auto"/>
          <w:lang w:eastAsia="zh-CN"/>
        </w:rPr>
        <w:t>灰渣</w:t>
      </w:r>
      <w:r>
        <w:rPr>
          <w:rFonts w:hint="eastAsia"/>
          <w:snapToGrid w:val="0"/>
          <w:color w:val="auto"/>
        </w:rPr>
        <w:t>资源化利用，又降低了生态恢复成本，同时可以恢复废弃采坑的土地使用功能，充分利用土地资源。</w:t>
      </w:r>
    </w:p>
    <w:p w14:paraId="177834BE">
      <w:pPr>
        <w:spacing w:line="500" w:lineRule="exact"/>
        <w:ind w:firstLine="480" w:firstLineChars="200"/>
        <w:rPr>
          <w:snapToGrid w:val="0"/>
          <w:color w:val="auto"/>
          <w:kern w:val="0"/>
          <w:sz w:val="24"/>
        </w:rPr>
      </w:pPr>
      <w:r>
        <w:rPr>
          <w:rFonts w:hint="eastAsia"/>
          <w:snapToGrid w:val="0"/>
          <w:color w:val="auto"/>
          <w:kern w:val="0"/>
          <w:sz w:val="24"/>
        </w:rPr>
        <w:t>本项目符合国家产业政策要求，在坚持“三同时”原则、采取相应的环保措施并严格执行各种污染物排放标准的情况下，可实现污染物稳定达标排放，通过加强环境管理和环境监测，杜绝事故发生，本项目建设可被周围环境所接受。</w:t>
      </w:r>
    </w:p>
    <w:p w14:paraId="6671C70E">
      <w:pPr>
        <w:spacing w:line="500" w:lineRule="exact"/>
        <w:ind w:firstLine="480" w:firstLineChars="200"/>
        <w:rPr>
          <w:snapToGrid w:val="0"/>
          <w:color w:val="auto"/>
          <w:kern w:val="0"/>
          <w:sz w:val="24"/>
        </w:rPr>
      </w:pPr>
      <w:r>
        <w:rPr>
          <w:rFonts w:hint="eastAsia"/>
          <w:snapToGrid w:val="0"/>
          <w:color w:val="auto"/>
          <w:kern w:val="0"/>
          <w:sz w:val="24"/>
        </w:rPr>
        <w:t>因此，从环境保护角度分析，本项目具有可行性。</w:t>
      </w:r>
    </w:p>
    <w:p w14:paraId="04B47FB0">
      <w:pPr>
        <w:pStyle w:val="548"/>
        <w:rPr>
          <w:snapToGrid w:val="0"/>
          <w:color w:val="auto"/>
        </w:rPr>
      </w:pPr>
      <w:bookmarkStart w:id="250" w:name="_Toc149054230"/>
      <w:r>
        <w:rPr>
          <w:snapToGrid w:val="0"/>
          <w:color w:val="auto"/>
        </w:rPr>
        <w:t>9.2建议</w:t>
      </w:r>
      <w:bookmarkEnd w:id="247"/>
      <w:bookmarkEnd w:id="248"/>
      <w:bookmarkEnd w:id="249"/>
      <w:bookmarkEnd w:id="250"/>
    </w:p>
    <w:p w14:paraId="4B5DDF17">
      <w:pPr>
        <w:pStyle w:val="59"/>
        <w:ind w:firstLine="480"/>
        <w:contextualSpacing/>
        <w:rPr>
          <w:rFonts w:cs="Times New Roman"/>
          <w:color w:val="auto"/>
        </w:rPr>
      </w:pPr>
      <w:r>
        <w:rPr>
          <w:rFonts w:hint="eastAsia" w:cs="Times New Roman"/>
          <w:color w:val="auto"/>
        </w:rPr>
        <w:t>关心并积极听取可能受项目环境影响的附近居民的反映，定期向项目管理者和当地环保部门汇报项目环境保护工作的情况。遵守有关环境法律、法规，树立良好的企业形象，实现经济效益与社会效益、环境效益相统一。</w:t>
      </w:r>
    </w:p>
    <w:p w14:paraId="6D164E7A">
      <w:pPr>
        <w:pStyle w:val="59"/>
        <w:ind w:firstLine="480"/>
        <w:contextualSpacing/>
        <w:rPr>
          <w:rFonts w:cs="Times New Roman"/>
          <w:color w:val="auto"/>
        </w:rPr>
      </w:pPr>
      <w:r>
        <w:rPr>
          <w:rFonts w:hint="eastAsia" w:cs="Times New Roman"/>
          <w:color w:val="auto"/>
        </w:rPr>
        <w:t>（1）在生产运营过程中严格按照设计要求进行，加强设备运行维护，保证环保设备性能保持在最佳状态，效果最好。</w:t>
      </w:r>
    </w:p>
    <w:p w14:paraId="090A546C">
      <w:pPr>
        <w:pStyle w:val="59"/>
        <w:adjustRightInd/>
        <w:snapToGrid/>
        <w:ind w:firstLine="480"/>
        <w:contextualSpacing/>
        <w:rPr>
          <w:rFonts w:cs="Times New Roman"/>
          <w:color w:val="auto"/>
        </w:rPr>
        <w:sectPr>
          <w:headerReference r:id="rId11" w:type="first"/>
          <w:footerReference r:id="rId14" w:type="first"/>
          <w:headerReference r:id="rId9" w:type="default"/>
          <w:footerReference r:id="rId12" w:type="default"/>
          <w:headerReference r:id="rId10" w:type="even"/>
          <w:footerReference r:id="rId13" w:type="even"/>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rPr>
          <w:rFonts w:hint="eastAsia" w:cs="Times New Roman"/>
          <w:color w:val="auto"/>
        </w:rPr>
        <w:t>（2）对地下水及土壤环境质量进行定期监测</w:t>
      </w:r>
      <w:r>
        <w:rPr>
          <w:rFonts w:cs="Times New Roman"/>
          <w:color w:val="auto"/>
        </w:rPr>
        <w:t>。</w:t>
      </w:r>
    </w:p>
    <w:p w14:paraId="371046C5">
      <w:pPr>
        <w:adjustRightInd w:val="0"/>
        <w:snapToGrid w:val="0"/>
        <w:spacing w:line="500" w:lineRule="exact"/>
        <w:outlineLvl w:val="0"/>
        <w:rPr>
          <w:rFonts w:eastAsia="黑体"/>
          <w:bCs/>
          <w:color w:val="auto"/>
          <w:sz w:val="28"/>
          <w:szCs w:val="32"/>
        </w:rPr>
      </w:pPr>
      <w:bookmarkStart w:id="251" w:name="_Toc149054231"/>
      <w:bookmarkStart w:id="252" w:name="_Toc140149465"/>
      <w:r>
        <w:rPr>
          <w:rFonts w:hint="eastAsia" w:eastAsia="黑体"/>
          <w:bCs/>
          <w:color w:val="auto"/>
          <w:sz w:val="28"/>
          <w:szCs w:val="32"/>
        </w:rPr>
        <w:t>附图</w:t>
      </w:r>
      <w:bookmarkEnd w:id="251"/>
    </w:p>
    <w:p w14:paraId="3DE88A39">
      <w:pPr>
        <w:pStyle w:val="548"/>
        <w:rPr>
          <w:color w:val="auto"/>
        </w:rPr>
      </w:pPr>
      <w:bookmarkStart w:id="253" w:name="_Toc149054232"/>
      <w:r>
        <w:rPr>
          <w:color w:val="auto"/>
        </w:rPr>
        <w:t>附图</w:t>
      </w:r>
      <w:r>
        <w:rPr>
          <w:rFonts w:hint="eastAsia"/>
          <w:color w:val="auto"/>
        </w:rPr>
        <w:t>1</w:t>
      </w:r>
      <w:r>
        <w:rPr>
          <w:color w:val="auto"/>
        </w:rPr>
        <w:t>地理位置图</w:t>
      </w:r>
      <w:bookmarkEnd w:id="253"/>
    </w:p>
    <w:p w14:paraId="4C32C27F">
      <w:pPr>
        <w:jc w:val="center"/>
        <w:rPr>
          <w:color w:val="auto"/>
        </w:rPr>
      </w:pPr>
      <w:r>
        <w:rPr>
          <w:rFonts w:hint="default" w:ascii="Times New Roman" w:hAnsi="Times New Roman" w:cs="Times New Roman"/>
          <w:color w:val="auto"/>
          <w:highlight w:val="none"/>
        </w:rPr>
        <w:drawing>
          <wp:anchor distT="0" distB="0" distL="114300" distR="114300" simplePos="0" relativeHeight="251679744" behindDoc="0" locked="0" layoutInCell="1" allowOverlap="1">
            <wp:simplePos x="0" y="0"/>
            <wp:positionH relativeFrom="column">
              <wp:posOffset>7459345</wp:posOffset>
            </wp:positionH>
            <wp:positionV relativeFrom="paragraph">
              <wp:posOffset>28575</wp:posOffset>
            </wp:positionV>
            <wp:extent cx="721360" cy="711835"/>
            <wp:effectExtent l="0" t="0" r="2540" b="12065"/>
            <wp:wrapNone/>
            <wp:docPr id="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6"/>
                    <pic:cNvPicPr>
                      <a:picLocks noChangeAspect="1"/>
                    </pic:cNvPicPr>
                  </pic:nvPicPr>
                  <pic:blipFill>
                    <a:blip r:embed="rId73"/>
                    <a:stretch>
                      <a:fillRect/>
                    </a:stretch>
                  </pic:blipFill>
                  <pic:spPr>
                    <a:xfrm>
                      <a:off x="0" y="0"/>
                      <a:ext cx="721360" cy="711835"/>
                    </a:xfrm>
                    <a:prstGeom prst="rect">
                      <a:avLst/>
                    </a:prstGeom>
                    <a:noFill/>
                    <a:ln>
                      <a:noFill/>
                    </a:ln>
                  </pic:spPr>
                </pic:pic>
              </a:graphicData>
            </a:graphic>
          </wp:anchor>
        </w:drawing>
      </w:r>
      <w:r>
        <w:rPr>
          <w:color w:val="auto"/>
        </w:rPr>
        <w:drawing>
          <wp:inline distT="0" distB="0" distL="114300" distR="114300">
            <wp:extent cx="8006715" cy="4950460"/>
            <wp:effectExtent l="0" t="0" r="13335" b="2540"/>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74"/>
                    <a:stretch>
                      <a:fillRect/>
                    </a:stretch>
                  </pic:blipFill>
                  <pic:spPr>
                    <a:xfrm>
                      <a:off x="0" y="0"/>
                      <a:ext cx="8006715" cy="4950460"/>
                    </a:xfrm>
                    <a:prstGeom prst="rect">
                      <a:avLst/>
                    </a:prstGeom>
                    <a:noFill/>
                    <a:ln>
                      <a:noFill/>
                    </a:ln>
                  </pic:spPr>
                </pic:pic>
              </a:graphicData>
            </a:graphic>
          </wp:inline>
        </w:drawing>
      </w:r>
      <w:r>
        <w:rPr>
          <w:color w:val="auto"/>
          <w:sz w:val="21"/>
        </w:rPr>
        <mc:AlternateContent>
          <mc:Choice Requires="wps">
            <w:drawing>
              <wp:anchor distT="0" distB="0" distL="114300" distR="114300" simplePos="0" relativeHeight="251677696" behindDoc="0" locked="0" layoutInCell="1" allowOverlap="1">
                <wp:simplePos x="0" y="0"/>
                <wp:positionH relativeFrom="column">
                  <wp:posOffset>3950970</wp:posOffset>
                </wp:positionH>
                <wp:positionV relativeFrom="paragraph">
                  <wp:posOffset>2679065</wp:posOffset>
                </wp:positionV>
                <wp:extent cx="180975" cy="180975"/>
                <wp:effectExtent l="12700" t="12700" r="15875" b="15875"/>
                <wp:wrapNone/>
                <wp:docPr id="13" name="五角星 13"/>
                <wp:cNvGraphicFramePr/>
                <a:graphic xmlns:a="http://schemas.openxmlformats.org/drawingml/2006/main">
                  <a:graphicData uri="http://schemas.microsoft.com/office/word/2010/wordprocessingShape">
                    <wps:wsp>
                      <wps:cNvSpPr/>
                      <wps:spPr>
                        <a:xfrm>
                          <a:off x="4760595" y="3618865"/>
                          <a:ext cx="180975" cy="180975"/>
                        </a:xfrm>
                        <a:prstGeom prst="star5">
                          <a:avLst/>
                        </a:prstGeom>
                        <a:solidFill>
                          <a:srgbClr val="FF0000"/>
                        </a:solid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1.1pt;margin-top:210.95pt;height:14.25pt;width:14.25pt;z-index:251677696;v-text-anchor:middle;mso-width-relative:page;mso-height-relative:page;" fillcolor="#FF0000" filled="t" stroked="t" coordsize="180975,180975" o:gfxdata="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B0bbTm2AAAAAsBAAAPAAAAAAAAAAEAIAAAACIAAABkcnMvZG93&#10;bnJldi54bWxQSwECFAAUAAAACACHTuJA0YmvsHICAADuBAAADgAAAAAAAAABACAAAAAnAQAAZHJz&#10;L2Uyb0RvYy54bWxQSwUGAAAAAAYABgBZAQAACwYAAAAA&#10;" path="m0,69126l69126,69126,90487,0,111848,69126,180974,69126,125050,111848,146411,180974,90487,138251,34563,180974,55924,111848xe">
                <v:path o:connectlocs="90487,0;0,69126;34563,180974;146411,180974;180974,69126" o:connectangles="247,164,82,82,0"/>
                <v:fill on="t" focussize="0,0"/>
                <v:stroke weight="2pt" color="#FF0000 [2404]" joinstyle="round"/>
                <v:imagedata o:title=""/>
                <o:lock v:ext="edit" aspectratio="f"/>
              </v:shape>
            </w:pict>
          </mc:Fallback>
        </mc:AlternateContent>
      </w:r>
    </w:p>
    <w:p w14:paraId="78B7DA0D">
      <w:pPr>
        <w:pStyle w:val="18"/>
        <w:rPr>
          <w:color w:val="auto"/>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29D55421">
      <w:pPr>
        <w:pStyle w:val="548"/>
        <w:rPr>
          <w:color w:val="auto"/>
        </w:rPr>
      </w:pPr>
      <w:bookmarkStart w:id="254" w:name="_Toc149054233"/>
      <w:r>
        <w:rPr>
          <w:rFonts w:hint="eastAsia"/>
          <w:color w:val="auto"/>
        </w:rPr>
        <w:t>附图2平面布置图</w:t>
      </w:r>
      <w:bookmarkEnd w:id="254"/>
    </w:p>
    <w:p w14:paraId="1854A40C">
      <w:pPr>
        <w:pStyle w:val="18"/>
        <w:jc w:val="center"/>
        <w:rPr>
          <w:color w:val="auto"/>
        </w:rPr>
      </w:pPr>
      <w:r>
        <w:rPr>
          <w:color w:val="auto"/>
          <w:sz w:val="21"/>
        </w:rPr>
        <mc:AlternateContent>
          <mc:Choice Requires="wps">
            <w:drawing>
              <wp:anchor distT="0" distB="0" distL="114300" distR="114300" simplePos="0" relativeHeight="251716608" behindDoc="0" locked="0" layoutInCell="1" allowOverlap="1">
                <wp:simplePos x="0" y="0"/>
                <wp:positionH relativeFrom="column">
                  <wp:posOffset>7256780</wp:posOffset>
                </wp:positionH>
                <wp:positionV relativeFrom="paragraph">
                  <wp:posOffset>4387850</wp:posOffset>
                </wp:positionV>
                <wp:extent cx="183515" cy="102870"/>
                <wp:effectExtent l="12700" t="12700" r="13335" b="17780"/>
                <wp:wrapNone/>
                <wp:docPr id="168" name="矩形 168"/>
                <wp:cNvGraphicFramePr/>
                <a:graphic xmlns:a="http://schemas.openxmlformats.org/drawingml/2006/main">
                  <a:graphicData uri="http://schemas.microsoft.com/office/word/2010/wordprocessingShape">
                    <wps:wsp>
                      <wps:cNvSpPr/>
                      <wps:spPr>
                        <a:xfrm>
                          <a:off x="0" y="0"/>
                          <a:ext cx="183515" cy="102870"/>
                        </a:xfrm>
                        <a:prstGeom prst="rect">
                          <a:avLst/>
                        </a:prstGeom>
                        <a:solidFill>
                          <a:srgbClr val="0070C0"/>
                        </a:solidFill>
                        <a:ln>
                          <a:solidFill>
                            <a:srgbClr val="0070C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1.4pt;margin-top:345.5pt;height:8.1pt;width:14.45pt;z-index:251716608;v-text-anchor:middle;mso-width-relative:page;mso-height-relative:page;" fillcolor="#0070C0" filled="t" stroked="t" coordsize="21600,21600" o:gfxdata="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jPD+B2QAAAA0BAAAPAAAAAAAAAAEAIAAAACIAAABkcnMvZG93bnJldi54bWxQSwECFAAU&#10;AAAACACHTuJASswzpWICAADgBAAADgAAAAAAAAABACAAAAAoAQAAZHJzL2Uyb0RvYy54bWxQSwUG&#10;AAAAAAYABgBZAQAA/AUAAAAA&#10;">
                <v:fill on="t" focussize="0,0"/>
                <v:stroke weight="2pt" color="#0070C0 [2404]" joinstyle="round"/>
                <v:imagedata o:title=""/>
                <o:lock v:ext="edit" aspectratio="f"/>
              </v:rect>
            </w:pict>
          </mc:Fallback>
        </mc:AlternateContent>
      </w:r>
      <w:r>
        <w:rPr>
          <w:color w:val="auto"/>
          <w:sz w:val="21"/>
        </w:rPr>
        <mc:AlternateContent>
          <mc:Choice Requires="wps">
            <w:drawing>
              <wp:anchor distT="0" distB="0" distL="114300" distR="114300" simplePos="0" relativeHeight="251715584" behindDoc="0" locked="0" layoutInCell="1" allowOverlap="1">
                <wp:simplePos x="0" y="0"/>
                <wp:positionH relativeFrom="column">
                  <wp:posOffset>7256780</wp:posOffset>
                </wp:positionH>
                <wp:positionV relativeFrom="paragraph">
                  <wp:posOffset>4171950</wp:posOffset>
                </wp:positionV>
                <wp:extent cx="183515" cy="102870"/>
                <wp:effectExtent l="12700" t="12700" r="13335" b="17780"/>
                <wp:wrapNone/>
                <wp:docPr id="169" name="矩形 169"/>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0070C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1.4pt;margin-top:328.5pt;height:8.1pt;width:14.45pt;z-index:251715584;v-text-anchor:middle;mso-width-relative:page;mso-height-relative:page;" filled="f" stroked="t" coordsize="21600,21600" o:gfxdata="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YGWG+1wAAAA0BAAAPAAAAAAAAAAEAIAAAACIAAABkcnMvZG93bnJldi54bWxQSwECFAAUAAAA&#10;CACHTuJAMHaL8mECAAC3BAAADgAAAAAAAAABACAAAAAmAQAAZHJzL2Uyb0RvYy54bWxQSwUGAAAA&#10;AAYABgBZAQAA+QUAAAAA&#10;">
                <v:fill on="f" focussize="0,0"/>
                <v:stroke weight="2pt" color="#0070C0 [2404]" joinstyle="round"/>
                <v:imagedata o:title=""/>
                <o:lock v:ext="edit" aspectratio="f"/>
              </v:rect>
            </w:pict>
          </mc:Fallback>
        </mc:AlternateContent>
      </w:r>
      <w:r>
        <w:rPr>
          <w:color w:val="auto"/>
          <w:sz w:val="21"/>
        </w:rPr>
        <mc:AlternateContent>
          <mc:Choice Requires="wps">
            <w:drawing>
              <wp:anchor distT="0" distB="0" distL="114300" distR="114300" simplePos="0" relativeHeight="251714560" behindDoc="0" locked="0" layoutInCell="1" allowOverlap="1">
                <wp:simplePos x="0" y="0"/>
                <wp:positionH relativeFrom="column">
                  <wp:posOffset>7256780</wp:posOffset>
                </wp:positionH>
                <wp:positionV relativeFrom="paragraph">
                  <wp:posOffset>3956050</wp:posOffset>
                </wp:positionV>
                <wp:extent cx="183515" cy="102870"/>
                <wp:effectExtent l="12700" t="12700" r="13335" b="17780"/>
                <wp:wrapNone/>
                <wp:docPr id="170" name="矩形 170"/>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1.4pt;margin-top:311.5pt;height:8.1pt;width:14.45pt;z-index:251714560;v-text-anchor:middle;mso-width-relative:page;mso-height-relative:page;" filled="f" stroked="t" coordsize="21600,21600" o:gfxdata="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olH892gAAAA0BAAAPAAAAAAAAAAEAIAAAACIAAABkcnMvZG93bnJldi54bWxQSwECFAAUAAAA&#10;CACHTuJANjWuL14CAAC3BAAADgAAAAAAAAABACAAAAApAQAAZHJzL2Uyb0RvYy54bWxQSwUGAAAA&#10;AAYABgBZAQAA+QUAAAAA&#10;">
                <v:fill on="f" focussize="0,0"/>
                <v:stroke weight="2pt" color="#FFC000 [2404]" joinstyle="round"/>
                <v:imagedata o:title=""/>
                <o:lock v:ext="edit" aspectratio="f"/>
              </v:rect>
            </w:pict>
          </mc:Fallback>
        </mc:AlternateContent>
      </w:r>
      <w:r>
        <w:rPr>
          <w:color w:val="auto"/>
          <w:sz w:val="21"/>
        </w:rPr>
        <mc:AlternateContent>
          <mc:Choice Requires="wps">
            <w:drawing>
              <wp:anchor distT="0" distB="0" distL="114300" distR="114300" simplePos="0" relativeHeight="251717632" behindDoc="0" locked="0" layoutInCell="1" allowOverlap="1">
                <wp:simplePos x="0" y="0"/>
                <wp:positionH relativeFrom="column">
                  <wp:posOffset>7256780</wp:posOffset>
                </wp:positionH>
                <wp:positionV relativeFrom="paragraph">
                  <wp:posOffset>4603750</wp:posOffset>
                </wp:positionV>
                <wp:extent cx="183515" cy="102870"/>
                <wp:effectExtent l="12700" t="12700" r="13335" b="17780"/>
                <wp:wrapNone/>
                <wp:docPr id="172" name="矩形 172"/>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08B4EC"/>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1.4pt;margin-top:362.5pt;height:8.1pt;width:14.45pt;z-index:251717632;v-text-anchor:middle;mso-width-relative:page;mso-height-relative:page;" filled="f" stroked="t" coordsize="21600,21600" o:gfxdata="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Nc4xOrbAAAADQEAAA8AAAAAAAAAAQAgAAAAIgAAAGRycy9kb3ducmV2LnhtbFBLAQIU&#10;ABQAAAAIAIdO4kCCwBxsYgIAALcEAAAOAAAAAAAAAAEAIAAAACoBAABkcnMvZTJvRG9jLnhtbFBL&#10;BQYAAAAABgAGAFkBAAD+BQAAAAA=&#10;">
                <v:fill on="f" focussize="0,0"/>
                <v:stroke weight="2pt" color="#08B4EC [2404]" joinstyle="round"/>
                <v:imagedata o:title=""/>
                <o:lock v:ext="edit" aspectratio="f"/>
              </v:rect>
            </w:pict>
          </mc:Fallback>
        </mc:AlternateContent>
      </w:r>
      <w:r>
        <w:rPr>
          <w:color w:val="auto"/>
          <w:sz w:val="21"/>
        </w:rPr>
        <mc:AlternateContent>
          <mc:Choice Requires="wps">
            <w:drawing>
              <wp:anchor distT="0" distB="0" distL="114300" distR="114300" simplePos="0" relativeHeight="251727872" behindDoc="0" locked="0" layoutInCell="1" allowOverlap="1">
                <wp:simplePos x="0" y="0"/>
                <wp:positionH relativeFrom="column">
                  <wp:posOffset>7256780</wp:posOffset>
                </wp:positionH>
                <wp:positionV relativeFrom="paragraph">
                  <wp:posOffset>3740150</wp:posOffset>
                </wp:positionV>
                <wp:extent cx="183515" cy="102870"/>
                <wp:effectExtent l="12700" t="12700" r="13335" b="17780"/>
                <wp:wrapNone/>
                <wp:docPr id="122" name="矩形 122"/>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71.4pt;margin-top:294.5pt;height:8.1pt;width:14.45pt;z-index:251727872;v-text-anchor:middle;mso-width-relative:page;mso-height-relative:page;" filled="f" stroked="t" coordsize="21600,21600" o:gfxdata="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cNKbX2wAAAA0BAAAPAAAAAAAAAAEAIAAAACIAAABkcnMvZG93bnJldi54bWxQSwECFAAU&#10;AAAACACHTuJAp9g4c2ACAAC3BAAADgAAAAAAAAABACAAAAAqAQAAZHJzL2Uyb0RvYy54bWxQSwUG&#10;AAAAAAYABgBZAQAA/AUAAAAA&#10;">
                <v:fill on="f" focussize="0,0"/>
                <v:stroke weight="2pt" color="#FF0000 [2404]" joinstyle="round"/>
                <v:imagedata o:title=""/>
                <o:lock v:ext="edit" aspectratio="f"/>
              </v:rect>
            </w:pict>
          </mc:Fallback>
        </mc:AlternateContent>
      </w:r>
      <w:r>
        <w:rPr>
          <w:color w:val="auto"/>
          <w:sz w:val="21"/>
        </w:rPr>
        <mc:AlternateContent>
          <mc:Choice Requires="wps">
            <w:drawing>
              <wp:anchor distT="0" distB="0" distL="114300" distR="114300" simplePos="0" relativeHeight="251713536" behindDoc="0" locked="0" layoutInCell="1" allowOverlap="1">
                <wp:simplePos x="0" y="0"/>
                <wp:positionH relativeFrom="column">
                  <wp:posOffset>7145020</wp:posOffset>
                </wp:positionH>
                <wp:positionV relativeFrom="paragraph">
                  <wp:posOffset>3437890</wp:posOffset>
                </wp:positionV>
                <wp:extent cx="1233805" cy="1615440"/>
                <wp:effectExtent l="5080" t="4445" r="18415" b="18415"/>
                <wp:wrapNone/>
                <wp:docPr id="171" name="文本框 171"/>
                <wp:cNvGraphicFramePr/>
                <a:graphic xmlns:a="http://schemas.openxmlformats.org/drawingml/2006/main">
                  <a:graphicData uri="http://schemas.microsoft.com/office/word/2010/wordprocessingShape">
                    <wps:wsp>
                      <wps:cNvSpPr txBox="1"/>
                      <wps:spPr>
                        <a:xfrm>
                          <a:off x="0" y="0"/>
                          <a:ext cx="1233805" cy="16154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648F203">
                            <w:pPr>
                              <w:keepNext w:val="0"/>
                              <w:keepLines w:val="0"/>
                              <w:pageBreakBefore w:val="0"/>
                              <w:widowControl w:val="0"/>
                              <w:kinsoku/>
                              <w:wordWrap/>
                              <w:overflowPunct/>
                              <w:topLinePunct w:val="0"/>
                              <w:bidi w:val="0"/>
                              <w:adjustRightInd w:val="0"/>
                              <w:snapToGrid w:val="0"/>
                              <w:spacing w:line="360" w:lineRule="auto"/>
                              <w:jc w:val="center"/>
                              <w:rPr>
                                <w:rFonts w:hint="eastAsia"/>
                                <w:sz w:val="18"/>
                                <w:szCs w:val="18"/>
                                <w:lang w:val="en-US" w:eastAsia="zh-CN"/>
                              </w:rPr>
                            </w:pPr>
                            <w:r>
                              <w:rPr>
                                <w:rFonts w:hint="eastAsia"/>
                                <w:sz w:val="18"/>
                                <w:szCs w:val="18"/>
                                <w:lang w:val="en-US" w:eastAsia="zh-CN"/>
                              </w:rPr>
                              <w:t>图例</w:t>
                            </w:r>
                          </w:p>
                          <w:p w14:paraId="6F083B4A">
                            <w:pPr>
                              <w:pStyle w:val="58"/>
                              <w:keepNext w:val="0"/>
                              <w:keepLines w:val="0"/>
                              <w:pageBreakBefore w:val="0"/>
                              <w:widowControl w:val="0"/>
                              <w:kinsoku/>
                              <w:wordWrap/>
                              <w:overflowPunct/>
                              <w:topLinePunct w:val="0"/>
                              <w:bidi w:val="0"/>
                              <w:adjustRightInd w:val="0"/>
                              <w:snapToGrid w:val="0"/>
                              <w:spacing w:line="360" w:lineRule="auto"/>
                              <w:rPr>
                                <w:rFonts w:hint="default"/>
                                <w:sz w:val="18"/>
                                <w:szCs w:val="18"/>
                                <w:lang w:val="en-US" w:eastAsia="zh-CN"/>
                              </w:rPr>
                            </w:pPr>
                            <w:r>
                              <w:rPr>
                                <w:rFonts w:hint="eastAsia"/>
                                <w:sz w:val="18"/>
                                <w:szCs w:val="18"/>
                                <w:lang w:val="en-US" w:eastAsia="zh-CN"/>
                              </w:rPr>
                              <w:t>矿区范围</w:t>
                            </w:r>
                          </w:p>
                          <w:p w14:paraId="66045946">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淋溶水导排沟</w:t>
                            </w:r>
                          </w:p>
                          <w:p w14:paraId="1FF275E5">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排水沟</w:t>
                            </w:r>
                          </w:p>
                          <w:p w14:paraId="23CD07C6">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收集池</w:t>
                            </w:r>
                          </w:p>
                          <w:p w14:paraId="7E256514">
                            <w:pPr>
                              <w:pStyle w:val="58"/>
                              <w:keepNext w:val="0"/>
                              <w:keepLines w:val="0"/>
                              <w:pageBreakBefore w:val="0"/>
                              <w:widowControl w:val="0"/>
                              <w:kinsoku/>
                              <w:wordWrap/>
                              <w:overflowPunct/>
                              <w:topLinePunct w:val="0"/>
                              <w:bidi w:val="0"/>
                              <w:adjustRightInd w:val="0"/>
                              <w:snapToGrid w:val="0"/>
                              <w:spacing w:line="360" w:lineRule="auto"/>
                              <w:jc w:val="both"/>
                              <w:rPr>
                                <w:rFonts w:hint="eastAsia"/>
                                <w:sz w:val="18"/>
                                <w:szCs w:val="18"/>
                                <w:lang w:val="en-US" w:eastAsia="zh-CN"/>
                              </w:rPr>
                            </w:pPr>
                            <w:r>
                              <w:rPr>
                                <w:rFonts w:hint="eastAsia"/>
                                <w:sz w:val="18"/>
                                <w:szCs w:val="18"/>
                                <w:lang w:val="en-US" w:eastAsia="zh-CN"/>
                              </w:rPr>
                              <w:t>回填区</w:t>
                            </w:r>
                          </w:p>
                          <w:p w14:paraId="2ED8314D">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9027</w:t>
                            </w:r>
                          </w:p>
                          <w:p w14:paraId="491C8D33">
                            <w:pPr>
                              <w:pStyle w:val="58"/>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62.6pt;margin-top:270.7pt;height:127.2pt;width:97.15pt;z-index:251713536;mso-width-relative:page;mso-height-relative:page;" fillcolor="#FFFFFF [3201]" filled="t" stroked="t" coordsize="21600,21600" o:gfxdata="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F&#10;nJTH2QAAAA0BAAAPAAAAAAAAAAEAIAAAACIAAABkcnMvZG93bnJldi54bWxQSwECFAAUAAAACACH&#10;TuJAFei1d1wCAAC8BAAADgAAAAAAAAABACAAAAAoAQAAZHJzL2Uyb0RvYy54bWxQSwUGAAAAAAYA&#10;BgBZAQAA9gUAAAAA&#10;">
                <v:fill on="t" focussize="0,0"/>
                <v:stroke weight="0.5pt" color="#000000 [3204]" joinstyle="round"/>
                <v:imagedata o:title=""/>
                <o:lock v:ext="edit" aspectratio="f"/>
                <v:textbox>
                  <w:txbxContent>
                    <w:p w14:paraId="2648F203">
                      <w:pPr>
                        <w:keepNext w:val="0"/>
                        <w:keepLines w:val="0"/>
                        <w:pageBreakBefore w:val="0"/>
                        <w:widowControl w:val="0"/>
                        <w:kinsoku/>
                        <w:wordWrap/>
                        <w:overflowPunct/>
                        <w:topLinePunct w:val="0"/>
                        <w:bidi w:val="0"/>
                        <w:adjustRightInd w:val="0"/>
                        <w:snapToGrid w:val="0"/>
                        <w:spacing w:line="360" w:lineRule="auto"/>
                        <w:jc w:val="center"/>
                        <w:rPr>
                          <w:rFonts w:hint="eastAsia"/>
                          <w:sz w:val="18"/>
                          <w:szCs w:val="18"/>
                          <w:lang w:val="en-US" w:eastAsia="zh-CN"/>
                        </w:rPr>
                      </w:pPr>
                      <w:r>
                        <w:rPr>
                          <w:rFonts w:hint="eastAsia"/>
                          <w:sz w:val="18"/>
                          <w:szCs w:val="18"/>
                          <w:lang w:val="en-US" w:eastAsia="zh-CN"/>
                        </w:rPr>
                        <w:t>图例</w:t>
                      </w:r>
                    </w:p>
                    <w:p w14:paraId="6F083B4A">
                      <w:pPr>
                        <w:pStyle w:val="58"/>
                        <w:keepNext w:val="0"/>
                        <w:keepLines w:val="0"/>
                        <w:pageBreakBefore w:val="0"/>
                        <w:widowControl w:val="0"/>
                        <w:kinsoku/>
                        <w:wordWrap/>
                        <w:overflowPunct/>
                        <w:topLinePunct w:val="0"/>
                        <w:bidi w:val="0"/>
                        <w:adjustRightInd w:val="0"/>
                        <w:snapToGrid w:val="0"/>
                        <w:spacing w:line="360" w:lineRule="auto"/>
                        <w:rPr>
                          <w:rFonts w:hint="default"/>
                          <w:sz w:val="18"/>
                          <w:szCs w:val="18"/>
                          <w:lang w:val="en-US" w:eastAsia="zh-CN"/>
                        </w:rPr>
                      </w:pPr>
                      <w:r>
                        <w:rPr>
                          <w:rFonts w:hint="eastAsia"/>
                          <w:sz w:val="18"/>
                          <w:szCs w:val="18"/>
                          <w:lang w:val="en-US" w:eastAsia="zh-CN"/>
                        </w:rPr>
                        <w:t>矿区范围</w:t>
                      </w:r>
                    </w:p>
                    <w:p w14:paraId="66045946">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淋溶水导排沟</w:t>
                      </w:r>
                    </w:p>
                    <w:p w14:paraId="1FF275E5">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排水沟</w:t>
                      </w:r>
                    </w:p>
                    <w:p w14:paraId="23CD07C6">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收集池</w:t>
                      </w:r>
                    </w:p>
                    <w:p w14:paraId="7E256514">
                      <w:pPr>
                        <w:pStyle w:val="58"/>
                        <w:keepNext w:val="0"/>
                        <w:keepLines w:val="0"/>
                        <w:pageBreakBefore w:val="0"/>
                        <w:widowControl w:val="0"/>
                        <w:kinsoku/>
                        <w:wordWrap/>
                        <w:overflowPunct/>
                        <w:topLinePunct w:val="0"/>
                        <w:bidi w:val="0"/>
                        <w:adjustRightInd w:val="0"/>
                        <w:snapToGrid w:val="0"/>
                        <w:spacing w:line="360" w:lineRule="auto"/>
                        <w:jc w:val="both"/>
                        <w:rPr>
                          <w:rFonts w:hint="eastAsia"/>
                          <w:sz w:val="18"/>
                          <w:szCs w:val="18"/>
                          <w:lang w:val="en-US" w:eastAsia="zh-CN"/>
                        </w:rPr>
                      </w:pPr>
                      <w:r>
                        <w:rPr>
                          <w:rFonts w:hint="eastAsia"/>
                          <w:sz w:val="18"/>
                          <w:szCs w:val="18"/>
                          <w:lang w:val="en-US" w:eastAsia="zh-CN"/>
                        </w:rPr>
                        <w:t>回填区</w:t>
                      </w:r>
                    </w:p>
                    <w:p w14:paraId="2ED8314D">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w:t>
                      </w:r>
                      <w:r>
                        <w:rPr>
                          <w:rFonts w:hint="eastAsia" w:ascii="Times New Roman" w:hAnsi="Times New Roman" w:cs="Times New Roman"/>
                          <w:sz w:val="18"/>
                          <w:szCs w:val="18"/>
                          <w:lang w:val="en-US" w:eastAsia="zh-CN"/>
                        </w:rPr>
                        <w:t>9027</w:t>
                      </w:r>
                    </w:p>
                    <w:p w14:paraId="491C8D33">
                      <w:pPr>
                        <w:pStyle w:val="58"/>
                        <w:rPr>
                          <w:rFonts w:hint="default"/>
                          <w:lang w:val="en-US" w:eastAsia="zh-CN"/>
                        </w:rPr>
                      </w:pPr>
                    </w:p>
                  </w:txbxContent>
                </v:textbox>
              </v:shape>
            </w:pict>
          </mc:Fallback>
        </mc:AlternateContent>
      </w:r>
      <w:r>
        <w:rPr>
          <w:rFonts w:hint="default" w:ascii="Times New Roman" w:hAnsi="Times New Roman" w:cs="Times New Roman"/>
          <w:color w:val="auto"/>
          <w:highlight w:val="none"/>
        </w:rPr>
        <w:drawing>
          <wp:anchor distT="0" distB="0" distL="114300" distR="114300" simplePos="0" relativeHeight="251680768" behindDoc="0" locked="0" layoutInCell="1" allowOverlap="1">
            <wp:simplePos x="0" y="0"/>
            <wp:positionH relativeFrom="column">
              <wp:posOffset>7668895</wp:posOffset>
            </wp:positionH>
            <wp:positionV relativeFrom="paragraph">
              <wp:posOffset>83185</wp:posOffset>
            </wp:positionV>
            <wp:extent cx="721360" cy="711835"/>
            <wp:effectExtent l="0" t="0" r="2540" b="12065"/>
            <wp:wrapNone/>
            <wp:docPr id="1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6"/>
                    <pic:cNvPicPr>
                      <a:picLocks noChangeAspect="1"/>
                    </pic:cNvPicPr>
                  </pic:nvPicPr>
                  <pic:blipFill>
                    <a:blip r:embed="rId73"/>
                    <a:stretch>
                      <a:fillRect/>
                    </a:stretch>
                  </pic:blipFill>
                  <pic:spPr>
                    <a:xfrm>
                      <a:off x="0" y="0"/>
                      <a:ext cx="721360" cy="711835"/>
                    </a:xfrm>
                    <a:prstGeom prst="rect">
                      <a:avLst/>
                    </a:prstGeom>
                    <a:noFill/>
                    <a:ln>
                      <a:noFill/>
                    </a:ln>
                  </pic:spPr>
                </pic:pic>
              </a:graphicData>
            </a:graphic>
          </wp:anchor>
        </w:drawing>
      </w:r>
      <w:r>
        <w:rPr>
          <w:color w:val="auto"/>
        </w:rPr>
        <w:drawing>
          <wp:inline distT="0" distB="0" distL="114300" distR="114300">
            <wp:extent cx="8404860" cy="5008880"/>
            <wp:effectExtent l="0" t="0" r="15240" b="127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75"/>
                    <a:stretch>
                      <a:fillRect/>
                    </a:stretch>
                  </pic:blipFill>
                  <pic:spPr>
                    <a:xfrm>
                      <a:off x="0" y="0"/>
                      <a:ext cx="8404860" cy="5008880"/>
                    </a:xfrm>
                    <a:prstGeom prst="rect">
                      <a:avLst/>
                    </a:prstGeom>
                    <a:noFill/>
                    <a:ln>
                      <a:noFill/>
                    </a:ln>
                  </pic:spPr>
                </pic:pic>
              </a:graphicData>
            </a:graphic>
          </wp:inline>
        </w:drawing>
      </w:r>
    </w:p>
    <w:p w14:paraId="586D6C9E">
      <w:pPr>
        <w:rPr>
          <w:color w:val="auto"/>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2F516172">
      <w:pPr>
        <w:pStyle w:val="548"/>
        <w:rPr>
          <w:rFonts w:hint="default" w:eastAsia="黑体"/>
          <w:color w:val="auto"/>
          <w:lang w:val="en-US" w:eastAsia="zh-CN"/>
        </w:rPr>
      </w:pPr>
      <w:bookmarkStart w:id="255" w:name="_Toc149054234"/>
      <w:r>
        <w:rPr>
          <w:rFonts w:hint="eastAsia"/>
          <w:color w:val="auto"/>
        </w:rPr>
        <w:t>附图3</w:t>
      </w:r>
      <w:bookmarkEnd w:id="255"/>
      <w:r>
        <w:rPr>
          <w:rFonts w:hint="eastAsia"/>
          <w:color w:val="auto"/>
          <w:lang w:val="en-US" w:eastAsia="zh-CN"/>
        </w:rPr>
        <w:t>监测点位示意图</w:t>
      </w:r>
    </w:p>
    <w:p w14:paraId="122F0D65">
      <w:pPr>
        <w:pStyle w:val="18"/>
        <w:jc w:val="center"/>
        <w:rPr>
          <w:color w:val="auto"/>
        </w:rPr>
      </w:pPr>
      <w:r>
        <w:rPr>
          <w:color w:val="auto"/>
          <w:sz w:val="21"/>
        </w:rPr>
        <mc:AlternateContent>
          <mc:Choice Requires="wps">
            <w:drawing>
              <wp:anchor distT="0" distB="0" distL="114300" distR="114300" simplePos="0" relativeHeight="251712512" behindDoc="0" locked="0" layoutInCell="1" allowOverlap="1">
                <wp:simplePos x="0" y="0"/>
                <wp:positionH relativeFrom="column">
                  <wp:posOffset>6795135</wp:posOffset>
                </wp:positionH>
                <wp:positionV relativeFrom="paragraph">
                  <wp:posOffset>4665980</wp:posOffset>
                </wp:positionV>
                <wp:extent cx="107950" cy="107950"/>
                <wp:effectExtent l="4445" t="4445" r="20955" b="20955"/>
                <wp:wrapNone/>
                <wp:docPr id="162" name="五角星 162"/>
                <wp:cNvGraphicFramePr/>
                <a:graphic xmlns:a="http://schemas.openxmlformats.org/drawingml/2006/main">
                  <a:graphicData uri="http://schemas.microsoft.com/office/word/2010/wordprocessingShape">
                    <wps:wsp>
                      <wps:cNvSpPr/>
                      <wps:spPr>
                        <a:xfrm>
                          <a:off x="0" y="0"/>
                          <a:ext cx="107950" cy="107950"/>
                        </a:xfrm>
                        <a:prstGeom prst="star5">
                          <a:avLst/>
                        </a:prstGeom>
                        <a:solidFill>
                          <a:srgbClr val="FFC000"/>
                        </a:solidFill>
                        <a:ln w="317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35.05pt;margin-top:367.4pt;height:8.5pt;width:8.5pt;z-index:251712512;v-text-anchor:middle;mso-width-relative:page;mso-height-relative:page;" fillcolor="#FFC000" filled="t" stroked="t" coordsize="107950,107950" o:gfxdata="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QxZJZ2AAAAA0BAAAPAAAAAAAAAAEAIAAAACIAAABkcnMvZG93bnJldi54bWxQSwEC&#10;FAAUAAAACACHTuJAdIDlLGYCAADjBAAADgAAAAAAAAABACAAAAAnAQAAZHJzL2Uyb0RvYy54bWxQ&#10;SwUGAAAAAAYABgBZAQAA/wUAAAAA&#10;" path="m0,41233l41233,41233,53975,0,66716,41233,107949,41233,74591,66716,87333,107949,53975,82465,20616,107949,33358,66716xe">
                <v:path o:connectlocs="53975,0;0,41233;20616,107949;87333,107949;107949,41233" o:connectangles="247,164,82,82,0"/>
                <v:fill on="t" focussize="0,0"/>
                <v:stroke weight="0.25pt" color="#FFC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12512" behindDoc="0" locked="0" layoutInCell="1" allowOverlap="1">
                <wp:simplePos x="0" y="0"/>
                <wp:positionH relativeFrom="column">
                  <wp:posOffset>4011295</wp:posOffset>
                </wp:positionH>
                <wp:positionV relativeFrom="paragraph">
                  <wp:posOffset>2360295</wp:posOffset>
                </wp:positionV>
                <wp:extent cx="36195" cy="36195"/>
                <wp:effectExtent l="4445" t="4445" r="16510" b="16510"/>
                <wp:wrapNone/>
                <wp:docPr id="161" name="五角星 161"/>
                <wp:cNvGraphicFramePr/>
                <a:graphic xmlns:a="http://schemas.openxmlformats.org/drawingml/2006/main">
                  <a:graphicData uri="http://schemas.microsoft.com/office/word/2010/wordprocessingShape">
                    <wps:wsp>
                      <wps:cNvSpPr/>
                      <wps:spPr>
                        <a:xfrm>
                          <a:off x="0" y="0"/>
                          <a:ext cx="36195" cy="36195"/>
                        </a:xfrm>
                        <a:prstGeom prst="star5">
                          <a:avLst/>
                        </a:prstGeom>
                        <a:solidFill>
                          <a:srgbClr val="FFC000"/>
                        </a:solidFill>
                        <a:ln w="317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5.85pt;margin-top:185.85pt;height:2.85pt;width:2.85pt;z-index:251712512;v-text-anchor:middle;mso-width-relative:page;mso-height-relative:page;" fillcolor="#FFC000" filled="t" stroked="t" coordsize="36195,36195" o:gfxdata="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N62vltgAAAALAQAADwAAAAAAAAABACAAAAAiAAAAZHJzL2Rvd25yZXYueG1sUEsBAhQA&#10;FAAAAAgAh07iQJJr8rdkAgAA4QQAAA4AAAAAAAAAAQAgAAAAJwEAAGRycy9lMm9Eb2MueG1sUEsF&#10;BgAAAAAGAAYAWQEAAP0FAAAAAA==&#10;" path="m0,13825l13825,13825,18097,0,22369,13825,36194,13825,25010,22369,29282,36194,18097,27650,6912,36194,11184,22369xe">
                <v:path o:connectlocs="18097,0;0,13825;6912,36194;29282,36194;36194,13825" o:connectangles="247,164,82,82,0"/>
                <v:fill on="t" focussize="0,0"/>
                <v:stroke weight="0.25pt" color="#FFC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21728" behindDoc="0" locked="0" layoutInCell="1" allowOverlap="1">
                <wp:simplePos x="0" y="0"/>
                <wp:positionH relativeFrom="column">
                  <wp:posOffset>3731895</wp:posOffset>
                </wp:positionH>
                <wp:positionV relativeFrom="paragraph">
                  <wp:posOffset>2220595</wp:posOffset>
                </wp:positionV>
                <wp:extent cx="36195" cy="36195"/>
                <wp:effectExtent l="4445" t="4445" r="16510" b="16510"/>
                <wp:wrapNone/>
                <wp:docPr id="160" name="五角星 160"/>
                <wp:cNvGraphicFramePr/>
                <a:graphic xmlns:a="http://schemas.openxmlformats.org/drawingml/2006/main">
                  <a:graphicData uri="http://schemas.microsoft.com/office/word/2010/wordprocessingShape">
                    <wps:wsp>
                      <wps:cNvSpPr/>
                      <wps:spPr>
                        <a:xfrm>
                          <a:off x="0" y="0"/>
                          <a:ext cx="36195" cy="36195"/>
                        </a:xfrm>
                        <a:prstGeom prst="star5">
                          <a:avLst/>
                        </a:prstGeom>
                        <a:solidFill>
                          <a:srgbClr val="FFC000"/>
                        </a:solidFill>
                        <a:ln w="317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3.85pt;margin-top:174.85pt;height:2.85pt;width:2.85pt;z-index:251721728;v-text-anchor:middle;mso-width-relative:page;mso-height-relative:page;" fillcolor="#FFC000" filled="t" stroked="t" coordsize="36195,36195" o:gfxdata="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C2oHxO2gAAAAsBAAAPAAAAAAAAAAEAIAAAACIAAABkcnMvZG93bnJldi54bWxQSwEC&#10;FAAUAAAACACHTuJAxmWVIWQCAADhBAAADgAAAAAAAAABACAAAAApAQAAZHJzL2Uyb0RvYy54bWxQ&#10;SwUGAAAAAAYABgBZAQAA/wUAAAAA&#10;" path="m0,13825l13825,13825,18097,0,22369,13825,36194,13825,25010,22369,29282,36194,18097,27650,6912,36194,11184,22369xe">
                <v:path o:connectlocs="18097,0;0,13825;6912,36194;29282,36194;36194,13825" o:connectangles="247,164,82,82,0"/>
                <v:fill on="t" focussize="0,0"/>
                <v:stroke weight="0.25pt" color="#FFC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10464" behindDoc="0" locked="0" layoutInCell="1" allowOverlap="1">
                <wp:simplePos x="0" y="0"/>
                <wp:positionH relativeFrom="column">
                  <wp:posOffset>3589020</wp:posOffset>
                </wp:positionH>
                <wp:positionV relativeFrom="paragraph">
                  <wp:posOffset>2430145</wp:posOffset>
                </wp:positionV>
                <wp:extent cx="36195" cy="36195"/>
                <wp:effectExtent l="4445" t="4445" r="16510" b="16510"/>
                <wp:wrapNone/>
                <wp:docPr id="159" name="五角星 159"/>
                <wp:cNvGraphicFramePr/>
                <a:graphic xmlns:a="http://schemas.openxmlformats.org/drawingml/2006/main">
                  <a:graphicData uri="http://schemas.microsoft.com/office/word/2010/wordprocessingShape">
                    <wps:wsp>
                      <wps:cNvSpPr/>
                      <wps:spPr>
                        <a:xfrm>
                          <a:off x="0" y="0"/>
                          <a:ext cx="36195" cy="36195"/>
                        </a:xfrm>
                        <a:prstGeom prst="star5">
                          <a:avLst/>
                        </a:prstGeom>
                        <a:solidFill>
                          <a:srgbClr val="FFC000"/>
                        </a:solidFill>
                        <a:ln w="317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82.6pt;margin-top:191.35pt;height:2.85pt;width:2.85pt;z-index:251710464;v-text-anchor:middle;mso-width-relative:page;mso-height-relative:page;" fillcolor="#FFC000" filled="t" stroked="t" coordsize="36195,36195" o:gfxdata="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A2nDx+2gAAAAsBAAAPAAAAAAAAAAEAIAAAACIAAABkcnMvZG93bnJldi54bWxQSwEC&#10;FAAUAAAACACHTuJAkRtdamQCAADhBAAADgAAAAAAAAABACAAAAApAQAAZHJzL2Uyb0RvYy54bWxQ&#10;SwUGAAAAAAYABgBZAQAA/wUAAAAA&#10;" path="m0,13825l13825,13825,18097,0,22369,13825,36194,13825,25010,22369,29282,36194,18097,27650,6912,36194,11184,22369xe">
                <v:path o:connectlocs="18097,0;0,13825;6912,36194;29282,36194;36194,13825" o:connectangles="247,164,82,82,0"/>
                <v:fill on="t" focussize="0,0"/>
                <v:stroke weight="0.25pt" color="#FFC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20704" behindDoc="0" locked="0" layoutInCell="1" allowOverlap="1">
                <wp:simplePos x="0" y="0"/>
                <wp:positionH relativeFrom="column">
                  <wp:posOffset>3747770</wp:posOffset>
                </wp:positionH>
                <wp:positionV relativeFrom="paragraph">
                  <wp:posOffset>2839720</wp:posOffset>
                </wp:positionV>
                <wp:extent cx="36195" cy="36195"/>
                <wp:effectExtent l="4445" t="4445" r="16510" b="16510"/>
                <wp:wrapNone/>
                <wp:docPr id="158" name="五角星 158"/>
                <wp:cNvGraphicFramePr/>
                <a:graphic xmlns:a="http://schemas.openxmlformats.org/drawingml/2006/main">
                  <a:graphicData uri="http://schemas.microsoft.com/office/word/2010/wordprocessingShape">
                    <wps:wsp>
                      <wps:cNvSpPr/>
                      <wps:spPr>
                        <a:xfrm>
                          <a:off x="5941695" y="3430270"/>
                          <a:ext cx="36195" cy="36195"/>
                        </a:xfrm>
                        <a:prstGeom prst="star5">
                          <a:avLst/>
                        </a:prstGeom>
                        <a:solidFill>
                          <a:srgbClr val="FFC000"/>
                        </a:solidFill>
                        <a:ln w="3175">
                          <a:solidFill>
                            <a:srgbClr val="FFC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95.1pt;margin-top:223.6pt;height:2.85pt;width:2.85pt;z-index:251720704;v-text-anchor:middle;mso-width-relative:page;mso-height-relative:page;" fillcolor="#FFC000" filled="t" stroked="t" coordsize="36195,36195" o:gfxdata="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DV+Hj92QAAAAsBAAAPAAAAAAAAAAEAIAAAACIAAABkcnMvZG93&#10;bnJldi54bWxQSwECFAAUAAAACACHTuJAZd5QWnECAADtBAAADgAAAAAAAAABACAAAAAoAQAAZHJz&#10;L2Uyb0RvYy54bWxQSwUGAAAAAAYABgBZAQAACwYAAAAA&#10;" path="m0,13825l13825,13825,18097,0,22369,13825,36194,13825,25010,22369,29282,36194,18097,27650,6912,36194,11184,22369xe">
                <v:path o:connectlocs="18097,0;0,13825;6912,36194;29282,36194;36194,13825" o:connectangles="247,164,82,82,0"/>
                <v:fill on="t" focussize="0,0"/>
                <v:stroke weight="0.25pt" color="#FFC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19680" behindDoc="0" locked="0" layoutInCell="1" allowOverlap="1">
                <wp:simplePos x="0" y="0"/>
                <wp:positionH relativeFrom="column">
                  <wp:posOffset>6795135</wp:posOffset>
                </wp:positionH>
                <wp:positionV relativeFrom="paragraph">
                  <wp:posOffset>4446270</wp:posOffset>
                </wp:positionV>
                <wp:extent cx="107950" cy="107950"/>
                <wp:effectExtent l="12700" t="12700" r="12700" b="12700"/>
                <wp:wrapNone/>
                <wp:docPr id="157" name="椭圆 157"/>
                <wp:cNvGraphicFramePr/>
                <a:graphic xmlns:a="http://schemas.openxmlformats.org/drawingml/2006/main">
                  <a:graphicData uri="http://schemas.microsoft.com/office/word/2010/wordprocessingShape">
                    <wps:wsp>
                      <wps:cNvSpPr/>
                      <wps:spPr>
                        <a:xfrm>
                          <a:off x="0" y="0"/>
                          <a:ext cx="107950" cy="10795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535.05pt;margin-top:350.1pt;height:8.5pt;width:8.5pt;z-index:251719680;v-text-anchor:middle;mso-width-relative:page;mso-height-relative:page;" fillcolor="#FFFF00" filled="t" stroked="t" coordsize="21600,21600" o:gfxdata="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7wNfjtoAAAANAQAADwAAAAAAAAABACAAAAAiAAAAZHJzL2Rvd25yZXYueG1sUEsBAhQAFAAA&#10;AAgAh07iQCeoEGNfAgAA4wQAAA4AAAAAAAAAAQAgAAAAKQEAAGRycy9lMm9Eb2MueG1sUEsFBgAA&#10;AAAGAAYAWQEAAPoFA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9440" behindDoc="0" locked="0" layoutInCell="1" allowOverlap="1">
                <wp:simplePos x="0" y="0"/>
                <wp:positionH relativeFrom="column">
                  <wp:posOffset>3477895</wp:posOffset>
                </wp:positionH>
                <wp:positionV relativeFrom="paragraph">
                  <wp:posOffset>2332990</wp:posOffset>
                </wp:positionV>
                <wp:extent cx="17780" cy="17780"/>
                <wp:effectExtent l="12700" t="12700" r="26670" b="26670"/>
                <wp:wrapNone/>
                <wp:docPr id="156" name="椭圆 156"/>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73.85pt;margin-top:183.7pt;height:1.4pt;width:1.4pt;z-index:251709440;v-text-anchor:middle;mso-width-relative:page;mso-height-relative:page;" fillcolor="#FFFF00" filled="t" stroked="t" coordsize="21600,21600" o:gfxdata="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nXm1w3AAAAAsBAAAPAAAAAAAAAAEAIAAAACIAAABkcnMvZG93bnJldi54bWxQSwECFAAU&#10;AAAACACHTuJAuoM87l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18656" behindDoc="0" locked="0" layoutInCell="1" allowOverlap="1">
                <wp:simplePos x="0" y="0"/>
                <wp:positionH relativeFrom="column">
                  <wp:posOffset>3602355</wp:posOffset>
                </wp:positionH>
                <wp:positionV relativeFrom="paragraph">
                  <wp:posOffset>2518410</wp:posOffset>
                </wp:positionV>
                <wp:extent cx="17780" cy="17780"/>
                <wp:effectExtent l="12700" t="12700" r="26670" b="26670"/>
                <wp:wrapNone/>
                <wp:docPr id="155" name="椭圆 155"/>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3.65pt;margin-top:198.3pt;height:1.4pt;width:1.4pt;z-index:251718656;v-text-anchor:middle;mso-width-relative:page;mso-height-relative:page;" fillcolor="#FFFF00" filled="t" stroked="t" coordsize="21600,21600" o:gfxdata="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CmB7JvcAAAACwEAAA8AAAAAAAAAAQAgAAAAIgAAAGRycy9kb3ducmV2LnhtbFBLAQIUABQA&#10;AAAIAIdO4kBShke6XgIAAOEEAAAOAAAAAAAAAAEAIAAAACsBAABkcnMvZTJvRG9jLnhtbFBLBQYA&#10;AAAABgAGAFkBAAD7BQ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11488" behindDoc="0" locked="0" layoutInCell="1" allowOverlap="1">
                <wp:simplePos x="0" y="0"/>
                <wp:positionH relativeFrom="column">
                  <wp:posOffset>3615055</wp:posOffset>
                </wp:positionH>
                <wp:positionV relativeFrom="paragraph">
                  <wp:posOffset>2781300</wp:posOffset>
                </wp:positionV>
                <wp:extent cx="17780" cy="17780"/>
                <wp:effectExtent l="12700" t="12700" r="26670" b="26670"/>
                <wp:wrapNone/>
                <wp:docPr id="154" name="椭圆 154"/>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4.65pt;margin-top:219pt;height:1.4pt;width:1.4pt;z-index:251711488;v-text-anchor:middle;mso-width-relative:page;mso-height-relative:page;" fillcolor="#FFFF00" filled="t" stroked="t" coordsize="21600,21600" o:gfxdata="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CI1Q/3AAAAAsBAAAPAAAAAAAAAAEAIAAAACIAAABkcnMvZG93bnJldi54bWxQSwECFAAU&#10;AAAACACHTuJANYdBP1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6368" behindDoc="0" locked="0" layoutInCell="1" allowOverlap="1">
                <wp:simplePos x="0" y="0"/>
                <wp:positionH relativeFrom="column">
                  <wp:posOffset>3709670</wp:posOffset>
                </wp:positionH>
                <wp:positionV relativeFrom="paragraph">
                  <wp:posOffset>2849245</wp:posOffset>
                </wp:positionV>
                <wp:extent cx="17780" cy="17780"/>
                <wp:effectExtent l="12700" t="12700" r="26670" b="26670"/>
                <wp:wrapNone/>
                <wp:docPr id="153" name="椭圆 153"/>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2.1pt;margin-top:224.35pt;height:1.4pt;width:1.4pt;z-index:251706368;v-text-anchor:middle;mso-width-relative:page;mso-height-relative:page;" fillcolor="#FFFF00" filled="t" stroked="t" coordsize="21600,21600" o:gfxdata="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VQeNi3AAAAAsBAAAPAAAAAAAAAAEAIAAAACIAAABkcnMvZG93bnJldi54bWxQSwECFAAU&#10;AAAACACHTuJAgo2xEl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7392" behindDoc="0" locked="0" layoutInCell="1" allowOverlap="1">
                <wp:simplePos x="0" y="0"/>
                <wp:positionH relativeFrom="column">
                  <wp:posOffset>3804285</wp:posOffset>
                </wp:positionH>
                <wp:positionV relativeFrom="paragraph">
                  <wp:posOffset>2687955</wp:posOffset>
                </wp:positionV>
                <wp:extent cx="17780" cy="17780"/>
                <wp:effectExtent l="12700" t="12700" r="26670" b="26670"/>
                <wp:wrapNone/>
                <wp:docPr id="152" name="椭圆 152"/>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9.55pt;margin-top:211.65pt;height:1.4pt;width:1.4pt;z-index:251707392;v-text-anchor:middle;mso-width-relative:page;mso-height-relative:page;" fillcolor="#FFFF00" filled="t" stroked="t" coordsize="21600,21600" o:gfxdata="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oKr0K3AAAAAsBAAAPAAAAAAAAAAEAIAAAACIAAABkcnMvZG93bnJldi54bWxQSwECFAAU&#10;AAAACACHTuJA5Yy3l1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8416" behindDoc="0" locked="0" layoutInCell="1" allowOverlap="1">
                <wp:simplePos x="0" y="0"/>
                <wp:positionH relativeFrom="column">
                  <wp:posOffset>3695065</wp:posOffset>
                </wp:positionH>
                <wp:positionV relativeFrom="paragraph">
                  <wp:posOffset>2626360</wp:posOffset>
                </wp:positionV>
                <wp:extent cx="17780" cy="17780"/>
                <wp:effectExtent l="12700" t="12700" r="26670" b="26670"/>
                <wp:wrapNone/>
                <wp:docPr id="151" name="椭圆 151"/>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0.95pt;margin-top:206.8pt;height:1.4pt;width:1.4pt;z-index:251708416;v-text-anchor:middle;mso-width-relative:page;mso-height-relative:page;" fillcolor="#FFFF00" filled="t" stroked="t" coordsize="21600,21600" o:gfxdata="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naQDt3AAAAAsBAAAPAAAAAAAAAAEAIAAAACIAAABkcnMvZG93bnJldi54bWxQSwECFAAU&#10;AAAACACHTuJADYnMw1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5344" behindDoc="0" locked="0" layoutInCell="1" allowOverlap="1">
                <wp:simplePos x="0" y="0"/>
                <wp:positionH relativeFrom="column">
                  <wp:posOffset>3716020</wp:posOffset>
                </wp:positionH>
                <wp:positionV relativeFrom="paragraph">
                  <wp:posOffset>2729230</wp:posOffset>
                </wp:positionV>
                <wp:extent cx="17780" cy="17780"/>
                <wp:effectExtent l="12700" t="12700" r="26670" b="26670"/>
                <wp:wrapNone/>
                <wp:docPr id="150" name="椭圆 150"/>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92.6pt;margin-top:214.9pt;height:1.4pt;width:1.4pt;z-index:251705344;v-text-anchor:middle;mso-width-relative:page;mso-height-relative:page;" fillcolor="#FFFF00" filled="t" stroked="t" coordsize="21600,21600" o:gfxdata="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fk65tNsAAAALAQAADwAAAAAAAAABACAAAAAiAAAAZHJzL2Rvd25yZXYueG1sUEsBAhQAFAAA&#10;AAgAh07iQGqIykZeAgAA4QQAAA4AAAAAAAAAAQAgAAAAKgEAAGRycy9lMm9Eb2MueG1sUEsFBgAA&#10;AAAGAAYAWQEAAPoFA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4320" behindDoc="0" locked="0" layoutInCell="1" allowOverlap="1">
                <wp:simplePos x="0" y="0"/>
                <wp:positionH relativeFrom="column">
                  <wp:posOffset>3680460</wp:posOffset>
                </wp:positionH>
                <wp:positionV relativeFrom="paragraph">
                  <wp:posOffset>2473325</wp:posOffset>
                </wp:positionV>
                <wp:extent cx="17780" cy="17780"/>
                <wp:effectExtent l="12700" t="12700" r="26670" b="26670"/>
                <wp:wrapNone/>
                <wp:docPr id="149" name="椭圆 149"/>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9.8pt;margin-top:194.75pt;height:1.4pt;width:1.4pt;z-index:251704320;v-text-anchor:middle;mso-width-relative:page;mso-height-relative:page;" fillcolor="#FFFF00" filled="t" stroked="t" coordsize="21600,21600" o:gfxdata="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CG2yot3AAAAAsBAAAPAAAAAAAAAAEAIAAAACIAAABkcnMvZG93bnJldi54bWxQSwECFAAU&#10;AAAACACHTuJASWWJ41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3296" behindDoc="0" locked="0" layoutInCell="1" allowOverlap="1">
                <wp:simplePos x="0" y="0"/>
                <wp:positionH relativeFrom="column">
                  <wp:posOffset>3627755</wp:posOffset>
                </wp:positionH>
                <wp:positionV relativeFrom="paragraph">
                  <wp:posOffset>2360295</wp:posOffset>
                </wp:positionV>
                <wp:extent cx="17780" cy="17780"/>
                <wp:effectExtent l="12700" t="12700" r="26670" b="26670"/>
                <wp:wrapNone/>
                <wp:docPr id="148" name="椭圆 148"/>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5.65pt;margin-top:185.85pt;height:1.4pt;width:1.4pt;z-index:251703296;v-text-anchor:middle;mso-width-relative:page;mso-height-relative:page;" fillcolor="#FFFF00" filled="t" stroked="t" coordsize="21600,21600" o:gfxdata="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BxOhwc3AAAAAsBAAAPAAAAAAAAAAEAIAAAACIAAABkcnMvZG93bnJldi54bWxQSwECFAAU&#10;AAAACACHTuJALmSPZl8CAADhBAAADgAAAAAAAAABACAAAAArAQAAZHJzL2Uyb0RvYy54bWxQSwUG&#10;AAAAAAYABgBZAQAA/AU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2272" behindDoc="0" locked="0" layoutInCell="1" allowOverlap="1">
                <wp:simplePos x="0" y="0"/>
                <wp:positionH relativeFrom="column">
                  <wp:posOffset>3656965</wp:posOffset>
                </wp:positionH>
                <wp:positionV relativeFrom="paragraph">
                  <wp:posOffset>2272665</wp:posOffset>
                </wp:positionV>
                <wp:extent cx="17780" cy="17780"/>
                <wp:effectExtent l="12700" t="12700" r="26670" b="26670"/>
                <wp:wrapNone/>
                <wp:docPr id="147" name="椭圆 147"/>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287.95pt;margin-top:178.95pt;height:1.4pt;width:1.4pt;z-index:251702272;v-text-anchor:middle;mso-width-relative:page;mso-height-relative:page;" fillcolor="#FFFF00" filled="t" stroked="t" coordsize="21600,21600" o:gfxdata="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sfWf4tsAAAALAQAADwAAAAAAAAABACAAAAAiAAAAZHJzL2Rvd25yZXYueG1sUEsBAhQAFAAA&#10;AAgAh07iQCdwabheAgAA4QQAAA4AAAAAAAAAAQAgAAAAKgEAAGRycy9lMm9Eb2MueG1sUEsFBgAA&#10;AAAGAAYAWQEAAPoFA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1248" behindDoc="0" locked="0" layoutInCell="1" allowOverlap="1">
                <wp:simplePos x="0" y="0"/>
                <wp:positionH relativeFrom="column">
                  <wp:posOffset>3907790</wp:posOffset>
                </wp:positionH>
                <wp:positionV relativeFrom="paragraph">
                  <wp:posOffset>2349500</wp:posOffset>
                </wp:positionV>
                <wp:extent cx="17780" cy="17780"/>
                <wp:effectExtent l="12700" t="12700" r="26670" b="26670"/>
                <wp:wrapNone/>
                <wp:docPr id="146" name="椭圆 146"/>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07.7pt;margin-top:185pt;height:1.4pt;width:1.4pt;z-index:251701248;v-text-anchor:middle;mso-width-relative:page;mso-height-relative:page;" fillcolor="#FFFF00" filled="t" stroked="t" coordsize="21600,21600" o:gfxdata="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GCCDWrbAAAACwEAAA8AAAAAAAAAAQAgAAAAIgAAAGRycy9kb3ducmV2LnhtbFBLAQIUABQA&#10;AAAIAIdO4kBAcW89XwIAAOEEAAAOAAAAAAAAAAEAIAAAACoBAABkcnMvZTJvRG9jLnhtbFBLBQYA&#10;AAAABgAGAFkBAAD7BQ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700224" behindDoc="0" locked="0" layoutInCell="1" allowOverlap="1">
                <wp:simplePos x="0" y="0"/>
                <wp:positionH relativeFrom="column">
                  <wp:posOffset>4041140</wp:posOffset>
                </wp:positionH>
                <wp:positionV relativeFrom="paragraph">
                  <wp:posOffset>2326640</wp:posOffset>
                </wp:positionV>
                <wp:extent cx="17780" cy="17780"/>
                <wp:effectExtent l="12700" t="12700" r="26670" b="26670"/>
                <wp:wrapNone/>
                <wp:docPr id="145" name="椭圆 145"/>
                <wp:cNvGraphicFramePr/>
                <a:graphic xmlns:a="http://schemas.openxmlformats.org/drawingml/2006/main">
                  <a:graphicData uri="http://schemas.microsoft.com/office/word/2010/wordprocessingShape">
                    <wps:wsp>
                      <wps:cNvSpPr/>
                      <wps:spPr>
                        <a:xfrm>
                          <a:off x="0" y="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18.2pt;margin-top:183.2pt;height:1.4pt;width:1.4pt;z-index:251700224;v-text-anchor:middle;mso-width-relative:page;mso-height-relative:page;" fillcolor="#FFFF00" filled="t" stroked="t" coordsize="21600,21600" o:gfxdata="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9200" behindDoc="0" locked="0" layoutInCell="1" allowOverlap="1">
                <wp:simplePos x="0" y="0"/>
                <wp:positionH relativeFrom="column">
                  <wp:posOffset>3901440</wp:posOffset>
                </wp:positionH>
                <wp:positionV relativeFrom="paragraph">
                  <wp:posOffset>2204720</wp:posOffset>
                </wp:positionV>
                <wp:extent cx="17780" cy="17780"/>
                <wp:effectExtent l="12700" t="12700" r="26670" b="26670"/>
                <wp:wrapNone/>
                <wp:docPr id="143" name="椭圆 143"/>
                <wp:cNvGraphicFramePr/>
                <a:graphic xmlns:a="http://schemas.openxmlformats.org/drawingml/2006/main">
                  <a:graphicData uri="http://schemas.microsoft.com/office/word/2010/wordprocessingShape">
                    <wps:wsp>
                      <wps:cNvSpPr/>
                      <wps:spPr>
                        <a:xfrm>
                          <a:off x="5032375" y="3412490"/>
                          <a:ext cx="17780" cy="17780"/>
                        </a:xfrm>
                        <a:prstGeom prst="ellipse">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3" type="#_x0000_t3" style="position:absolute;left:0pt;margin-left:307.2pt;margin-top:173.6pt;height:1.4pt;width:1.4pt;z-index:251699200;v-text-anchor:middle;mso-width-relative:page;mso-height-relative:page;" fillcolor="#FFFF00" filled="t" stroked="t" coordsize="21600,21600" o:gfxdata="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DG5jdn2wAAAAsBAAAPAAAAAAAAAAEAIAAAACIAAABkcnMvZG93bnJl&#10;di54bWxQSwECFAAUAAAACACHTuJA0wuWcWwCAADtBAAADgAAAAAAAAABACAAAAAqAQAAZHJzL2Uy&#10;b0RvYy54bWxQSwUGAAAAAAYABgBZAQAACAYAAAAA&#10;">
                <v:fill on="t" focussize="0,0"/>
                <v:stroke weight="2pt" color="#FFFF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8176" behindDoc="0" locked="0" layoutInCell="1" allowOverlap="1">
                <wp:simplePos x="0" y="0"/>
                <wp:positionH relativeFrom="column">
                  <wp:posOffset>6804025</wp:posOffset>
                </wp:positionH>
                <wp:positionV relativeFrom="paragraph">
                  <wp:posOffset>4024630</wp:posOffset>
                </wp:positionV>
                <wp:extent cx="90170" cy="90170"/>
                <wp:effectExtent l="4445" t="4445" r="19685" b="19685"/>
                <wp:wrapNone/>
                <wp:docPr id="142" name="等腰三角形 142"/>
                <wp:cNvGraphicFramePr/>
                <a:graphic xmlns:a="http://schemas.openxmlformats.org/drawingml/2006/main">
                  <a:graphicData uri="http://schemas.microsoft.com/office/word/2010/wordprocessingShape">
                    <wps:wsp>
                      <wps:cNvSpPr/>
                      <wps:spPr>
                        <a:xfrm>
                          <a:off x="0" y="0"/>
                          <a:ext cx="90170" cy="90170"/>
                        </a:xfrm>
                        <a:prstGeom prst="triangle">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535.75pt;margin-top:316.9pt;height:7.1pt;width:7.1pt;z-index:251698176;v-text-anchor:middle;mso-width-relative:page;mso-height-relative:page;" fillcolor="#FF0000" filled="t" stroked="t" coordsize="21600,21600" o:gfxdata="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A7iwu23AAAAA0BAAAPAAAAAAAAAAEAIAAAACIAAABkcnMv&#10;ZG93bnJldi54bWxQSwECFAAUAAAACACHTuJAPYQj+3ECAADqBAAADgAAAAAAAAABACAAAAArAQAA&#10;ZHJzL2Uyb0RvYy54bWxQSwUGAAAAAAYABgBZAQAADgYAAAAA&#10;" adj="10800">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7152" behindDoc="0" locked="0" layoutInCell="1" allowOverlap="1">
                <wp:simplePos x="0" y="0"/>
                <wp:positionH relativeFrom="column">
                  <wp:posOffset>4686300</wp:posOffset>
                </wp:positionH>
                <wp:positionV relativeFrom="paragraph">
                  <wp:posOffset>2326640</wp:posOffset>
                </wp:positionV>
                <wp:extent cx="90170" cy="90170"/>
                <wp:effectExtent l="4445" t="4445" r="19685" b="19685"/>
                <wp:wrapNone/>
                <wp:docPr id="141" name="等腰三角形 141"/>
                <wp:cNvGraphicFramePr/>
                <a:graphic xmlns:a="http://schemas.openxmlformats.org/drawingml/2006/main">
                  <a:graphicData uri="http://schemas.microsoft.com/office/word/2010/wordprocessingShape">
                    <wps:wsp>
                      <wps:cNvSpPr/>
                      <wps:spPr>
                        <a:xfrm>
                          <a:off x="5695315" y="3502660"/>
                          <a:ext cx="90170" cy="90170"/>
                        </a:xfrm>
                        <a:prstGeom prst="triangle">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5" type="#_x0000_t5" style="position:absolute;left:0pt;margin-left:369pt;margin-top:183.2pt;height:7.1pt;width:7.1pt;z-index:251697152;v-text-anchor:middle;mso-width-relative:page;mso-height-relative:page;" fillcolor="#FF0000" filled="t" stroked="t" coordsize="21600,21600" o:gfxdata="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" adj="10800">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3056" behindDoc="0" locked="0" layoutInCell="1" allowOverlap="1">
                <wp:simplePos x="0" y="0"/>
                <wp:positionH relativeFrom="column">
                  <wp:posOffset>4564380</wp:posOffset>
                </wp:positionH>
                <wp:positionV relativeFrom="paragraph">
                  <wp:posOffset>2409825</wp:posOffset>
                </wp:positionV>
                <wp:extent cx="90170" cy="90170"/>
                <wp:effectExtent l="4445" t="4445" r="19685" b="19685"/>
                <wp:wrapNone/>
                <wp:docPr id="136" name="六角星 136"/>
                <wp:cNvGraphicFramePr/>
                <a:graphic xmlns:a="http://schemas.openxmlformats.org/drawingml/2006/main">
                  <a:graphicData uri="http://schemas.microsoft.com/office/word/2010/wordprocessingShape">
                    <wps:wsp>
                      <wps:cNvSpPr/>
                      <wps:spPr>
                        <a:xfrm>
                          <a:off x="0" y="0"/>
                          <a:ext cx="90170" cy="9017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59.4pt;margin-top:189.75pt;height:7.1pt;width:7.1pt;z-index:251693056;v-text-anchor:middle;mso-width-relative:page;mso-height-relative:page;" fillcolor="#FF0000" filled="t" stroked="t" coordsize="90170,90170" o:gfxdata="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" path="m0,22542l30056,22542,45085,0,60113,22542,90169,22542,75142,45085,90169,67627,60113,67627,45085,90170,30056,67627,0,67627,15027,45085xe">
                <v:path o:connectlocs="90169,22542;90169,67627;45085,90170;0,67627;0,22542;4508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6128" behindDoc="0" locked="0" layoutInCell="1" allowOverlap="1">
                <wp:simplePos x="0" y="0"/>
                <wp:positionH relativeFrom="column">
                  <wp:posOffset>6795135</wp:posOffset>
                </wp:positionH>
                <wp:positionV relativeFrom="paragraph">
                  <wp:posOffset>4226560</wp:posOffset>
                </wp:positionV>
                <wp:extent cx="107950" cy="107950"/>
                <wp:effectExtent l="4445" t="4445" r="20955" b="20955"/>
                <wp:wrapNone/>
                <wp:docPr id="140" name="六角星 140"/>
                <wp:cNvGraphicFramePr/>
                <a:graphic xmlns:a="http://schemas.openxmlformats.org/drawingml/2006/main">
                  <a:graphicData uri="http://schemas.microsoft.com/office/word/2010/wordprocessingShape">
                    <wps:wsp>
                      <wps:cNvSpPr/>
                      <wps:spPr>
                        <a:xfrm>
                          <a:off x="0" y="0"/>
                          <a:ext cx="107950" cy="10795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535.05pt;margin-top:332.8pt;height:8.5pt;width:8.5pt;z-index:251696128;v-text-anchor:middle;mso-width-relative:page;mso-height-relative:page;" fillcolor="#FF0000" filled="t" stroked="t" coordsize="107950,107950" o:gfxdata="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" path="m0,26987l35983,26987,53975,0,71966,26987,107949,26987,89958,53975,107949,80962,71966,80962,53975,107950,35983,80962,0,80962,17991,53975xe">
                <v:path o:connectlocs="107949,26987;107949,80962;53975,107950;0,80962;0,26987;5397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5104" behindDoc="0" locked="0" layoutInCell="1" allowOverlap="1">
                <wp:simplePos x="0" y="0"/>
                <wp:positionH relativeFrom="column">
                  <wp:posOffset>2620645</wp:posOffset>
                </wp:positionH>
                <wp:positionV relativeFrom="paragraph">
                  <wp:posOffset>3805555</wp:posOffset>
                </wp:positionV>
                <wp:extent cx="90170" cy="90170"/>
                <wp:effectExtent l="4445" t="4445" r="19685" b="19685"/>
                <wp:wrapNone/>
                <wp:docPr id="138" name="六角星 138"/>
                <wp:cNvGraphicFramePr/>
                <a:graphic xmlns:a="http://schemas.openxmlformats.org/drawingml/2006/main">
                  <a:graphicData uri="http://schemas.microsoft.com/office/word/2010/wordprocessingShape">
                    <wps:wsp>
                      <wps:cNvSpPr/>
                      <wps:spPr>
                        <a:xfrm>
                          <a:off x="0" y="0"/>
                          <a:ext cx="90170" cy="9017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06.35pt;margin-top:299.65pt;height:7.1pt;width:7.1pt;z-index:251695104;v-text-anchor:middle;mso-width-relative:page;mso-height-relative:page;" fillcolor="#FF0000" filled="t" stroked="t" coordsize="90170,90170" o:gfxdata="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k9fzy3AAAAAsBAAAPAAAAAAAAAAEAIAAAACIAAABkcnMvZG93bnJldi54bWxQSwEC&#10;FAAUAAAACACHTuJAvY/PcGICAADhBAAADgAAAAAAAAABACAAAAArAQAAZHJzL2Uyb0RvYy54bWxQ&#10;SwUGAAAAAAYABgBZAQAA/wUAAAAA&#10;" path="m0,22542l30056,22542,45085,0,60113,22542,90169,22542,75142,45085,90169,67627,60113,67627,45085,90170,30056,67627,0,67627,15027,45085xe">
                <v:path o:connectlocs="90169,22542;90169,67627;45085,90170;0,67627;0,22542;4508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4080" behindDoc="0" locked="0" layoutInCell="1" allowOverlap="1">
                <wp:simplePos x="0" y="0"/>
                <wp:positionH relativeFrom="column">
                  <wp:posOffset>2388870</wp:posOffset>
                </wp:positionH>
                <wp:positionV relativeFrom="paragraph">
                  <wp:posOffset>3108325</wp:posOffset>
                </wp:positionV>
                <wp:extent cx="90170" cy="90170"/>
                <wp:effectExtent l="4445" t="4445" r="19685" b="19685"/>
                <wp:wrapNone/>
                <wp:docPr id="137" name="六角星 137"/>
                <wp:cNvGraphicFramePr/>
                <a:graphic xmlns:a="http://schemas.openxmlformats.org/drawingml/2006/main">
                  <a:graphicData uri="http://schemas.microsoft.com/office/word/2010/wordprocessingShape">
                    <wps:wsp>
                      <wps:cNvSpPr/>
                      <wps:spPr>
                        <a:xfrm>
                          <a:off x="0" y="0"/>
                          <a:ext cx="90170" cy="9017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8.1pt;margin-top:244.75pt;height:7.1pt;width:7.1pt;z-index:251694080;v-text-anchor:middle;mso-width-relative:page;mso-height-relative:page;" fillcolor="#FF0000" filled="t" stroked="t" coordsize="90170,90170" o:gfxdata="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" path="m0,22542l30056,22542,45085,0,60113,22542,90169,22542,75142,45085,90169,67627,60113,67627,45085,90170,30056,67627,0,67627,15027,45085xe">
                <v:path o:connectlocs="90169,22542;90169,67627;45085,90170;0,67627;0,22542;4508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2032" behindDoc="0" locked="0" layoutInCell="1" allowOverlap="1">
                <wp:simplePos x="0" y="0"/>
                <wp:positionH relativeFrom="column">
                  <wp:posOffset>3950970</wp:posOffset>
                </wp:positionH>
                <wp:positionV relativeFrom="paragraph">
                  <wp:posOffset>2262505</wp:posOffset>
                </wp:positionV>
                <wp:extent cx="90170" cy="90170"/>
                <wp:effectExtent l="4445" t="4445" r="19685" b="19685"/>
                <wp:wrapNone/>
                <wp:docPr id="135" name="六角星 135"/>
                <wp:cNvGraphicFramePr/>
                <a:graphic xmlns:a="http://schemas.openxmlformats.org/drawingml/2006/main">
                  <a:graphicData uri="http://schemas.microsoft.com/office/word/2010/wordprocessingShape">
                    <wps:wsp>
                      <wps:cNvSpPr/>
                      <wps:spPr>
                        <a:xfrm>
                          <a:off x="0" y="0"/>
                          <a:ext cx="90170" cy="9017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11.1pt;margin-top:178.15pt;height:7.1pt;width:7.1pt;z-index:251692032;v-text-anchor:middle;mso-width-relative:page;mso-height-relative:page;" fillcolor="#FF0000" filled="t" stroked="t" coordsize="90170,90170" o:gfxdata="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BaHsAf3AAAAAsBAAAPAAAAAAAAAAEAIAAAACIAAABkcnMvZG93bnJldi54bWxQSwEC&#10;FAAUAAAACACHTuJAXNW5umICAADhBAAADgAAAAAAAAABACAAAAArAQAAZHJzL2Uyb0RvYy54bWxQ&#10;SwUGAAAAAAYABgBZAQAA/wUAAAAA&#10;" path="m0,22542l30056,22542,45085,0,60113,22542,90169,22542,75142,45085,90169,67627,60113,67627,45085,90170,30056,67627,0,67627,15027,45085xe">
                <v:path o:connectlocs="90169,22542;90169,67627;45085,90170;0,67627;0,22542;4508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91008" behindDoc="0" locked="0" layoutInCell="1" allowOverlap="1">
                <wp:simplePos x="0" y="0"/>
                <wp:positionH relativeFrom="column">
                  <wp:posOffset>3491865</wp:posOffset>
                </wp:positionH>
                <wp:positionV relativeFrom="paragraph">
                  <wp:posOffset>1311275</wp:posOffset>
                </wp:positionV>
                <wp:extent cx="90170" cy="90170"/>
                <wp:effectExtent l="4445" t="4445" r="19685" b="19685"/>
                <wp:wrapNone/>
                <wp:docPr id="134" name="六角星 134"/>
                <wp:cNvGraphicFramePr/>
                <a:graphic xmlns:a="http://schemas.openxmlformats.org/drawingml/2006/main">
                  <a:graphicData uri="http://schemas.microsoft.com/office/word/2010/wordprocessingShape">
                    <wps:wsp>
                      <wps:cNvSpPr/>
                      <wps:spPr>
                        <a:xfrm>
                          <a:off x="0" y="0"/>
                          <a:ext cx="90170" cy="9017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274.95pt;margin-top:103.25pt;height:7.1pt;width:7.1pt;z-index:251691008;v-text-anchor:middle;mso-width-relative:page;mso-height-relative:page;" fillcolor="#FF0000" filled="t" stroked="t" coordsize="90170,90170" o:gfxdata="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" path="m0,22542l30056,22542,45085,0,60113,22542,90169,22542,75142,45085,90169,67627,60113,67627,45085,90170,30056,67627,0,67627,15027,45085xe">
                <v:path o:connectlocs="90169,22542;90169,67627;45085,90170;0,67627;0,22542;4508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89984" behindDoc="0" locked="0" layoutInCell="1" allowOverlap="1">
                <wp:simplePos x="0" y="0"/>
                <wp:positionH relativeFrom="column">
                  <wp:posOffset>4276090</wp:posOffset>
                </wp:positionH>
                <wp:positionV relativeFrom="paragraph">
                  <wp:posOffset>1746250</wp:posOffset>
                </wp:positionV>
                <wp:extent cx="90170" cy="90170"/>
                <wp:effectExtent l="4445" t="4445" r="19685" b="19685"/>
                <wp:wrapNone/>
                <wp:docPr id="133" name="六角星 133"/>
                <wp:cNvGraphicFramePr/>
                <a:graphic xmlns:a="http://schemas.openxmlformats.org/drawingml/2006/main">
                  <a:graphicData uri="http://schemas.microsoft.com/office/word/2010/wordprocessingShape">
                    <wps:wsp>
                      <wps:cNvSpPr/>
                      <wps:spPr>
                        <a:xfrm>
                          <a:off x="5471795" y="3014980"/>
                          <a:ext cx="90170" cy="90170"/>
                        </a:xfrm>
                        <a:prstGeom prst="star6">
                          <a:avLst/>
                        </a:prstGeom>
                        <a:solidFill>
                          <a:srgbClr val="FF0000"/>
                        </a:solidFill>
                        <a:ln w="317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336.7pt;margin-top:137.5pt;height:7.1pt;width:7.1pt;z-index:251689984;v-text-anchor:middle;mso-width-relative:page;mso-height-relative:page;" fillcolor="#FF0000" filled="t" stroked="t" coordsize="90170,90170" o:gfxdata="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" path="m0,22542l30056,22542,45085,0,60113,22542,90169,22542,75142,45085,90169,67627,60113,67627,45085,90170,30056,67627,0,67627,15027,45085xe">
                <v:path o:connectlocs="90169,22542;90169,67627;45085,90170;0,67627;0,22542;45085,0" o:connectangles="0,0,82,164,164,247"/>
                <v:fill on="t" focussize="0,0"/>
                <v:stroke weight="0.25pt" color="#FF0000 [2404]" joinstyle="round"/>
                <v:imagedata o:title=""/>
                <o:lock v:ext="edit" aspectratio="f"/>
              </v:shape>
            </w:pict>
          </mc:Fallback>
        </mc:AlternateContent>
      </w:r>
      <w:r>
        <w:rPr>
          <w:color w:val="auto"/>
          <w:sz w:val="21"/>
        </w:rPr>
        <mc:AlternateContent>
          <mc:Choice Requires="wps">
            <w:drawing>
              <wp:anchor distT="0" distB="0" distL="114300" distR="114300" simplePos="0" relativeHeight="251688960" behindDoc="0" locked="0" layoutInCell="1" allowOverlap="1">
                <wp:simplePos x="0" y="0"/>
                <wp:positionH relativeFrom="column">
                  <wp:posOffset>6619240</wp:posOffset>
                </wp:positionH>
                <wp:positionV relativeFrom="paragraph">
                  <wp:posOffset>3726180</wp:posOffset>
                </wp:positionV>
                <wp:extent cx="1416685" cy="1370965"/>
                <wp:effectExtent l="4445" t="4445" r="7620" b="15240"/>
                <wp:wrapNone/>
                <wp:docPr id="58" name="文本框 58"/>
                <wp:cNvGraphicFramePr/>
                <a:graphic xmlns:a="http://schemas.openxmlformats.org/drawingml/2006/main">
                  <a:graphicData uri="http://schemas.microsoft.com/office/word/2010/wordprocessingShape">
                    <wps:wsp>
                      <wps:cNvSpPr txBox="1"/>
                      <wps:spPr>
                        <a:xfrm>
                          <a:off x="0" y="0"/>
                          <a:ext cx="1416685" cy="13709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F65B6B">
                            <w:pPr>
                              <w:keepNext w:val="0"/>
                              <w:keepLines w:val="0"/>
                              <w:pageBreakBefore w:val="0"/>
                              <w:widowControl w:val="0"/>
                              <w:kinsoku/>
                              <w:wordWrap/>
                              <w:overflowPunct/>
                              <w:topLinePunct w:val="0"/>
                              <w:bidi w:val="0"/>
                              <w:adjustRightInd w:val="0"/>
                              <w:snapToGrid w:val="0"/>
                              <w:spacing w:line="360" w:lineRule="auto"/>
                              <w:jc w:val="center"/>
                              <w:rPr>
                                <w:rFonts w:hint="eastAsia"/>
                                <w:b/>
                                <w:bCs/>
                                <w:sz w:val="18"/>
                                <w:szCs w:val="18"/>
                                <w:lang w:val="en-US" w:eastAsia="zh-CN"/>
                              </w:rPr>
                            </w:pPr>
                            <w:r>
                              <w:rPr>
                                <w:rFonts w:hint="eastAsia"/>
                                <w:b/>
                                <w:bCs/>
                                <w:sz w:val="18"/>
                                <w:szCs w:val="18"/>
                                <w:lang w:val="en-US" w:eastAsia="zh-CN"/>
                              </w:rPr>
                              <w:t>图例</w:t>
                            </w:r>
                          </w:p>
                          <w:p w14:paraId="4F2987CB">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环境空气监测点位</w:t>
                            </w:r>
                          </w:p>
                          <w:p w14:paraId="1603AB71">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地下水监测点位</w:t>
                            </w:r>
                          </w:p>
                          <w:p w14:paraId="0807F890">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土壤监测点位</w:t>
                            </w:r>
                          </w:p>
                          <w:p w14:paraId="21D39CCD">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噪声监测点位</w:t>
                            </w:r>
                          </w:p>
                          <w:p w14:paraId="0A51C8D0">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1：72223</w:t>
                            </w:r>
                          </w:p>
                          <w:p w14:paraId="2CF0A1E3">
                            <w:pPr>
                              <w:pStyle w:val="58"/>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21.2pt;margin-top:293.4pt;height:107.95pt;width:111.55pt;z-index:251688960;mso-width-relative:page;mso-height-relative:page;" fillcolor="#FFFFFF [3201]" filled="t" stroked="t" coordsize="21600,21600" o:gfxdata="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m2UW&#10;ONgAAAANAQAADwAAAAAAAAABACAAAAAiAAAAZHJzL2Rvd25yZXYueG1sUEsBAhQAFAAAAAgAh07i&#10;QA61tiJbAgAAugQAAA4AAAAAAAAAAQAgAAAAJwEAAGRycy9lMm9Eb2MueG1sUEsFBgAAAAAGAAYA&#10;WQEAAPQFAAAAAA==&#10;">
                <v:fill on="t" focussize="0,0"/>
                <v:stroke weight="0.5pt" color="#000000 [3204]" joinstyle="round"/>
                <v:imagedata o:title=""/>
                <o:lock v:ext="edit" aspectratio="f"/>
                <v:textbox>
                  <w:txbxContent>
                    <w:p w14:paraId="14F65B6B">
                      <w:pPr>
                        <w:keepNext w:val="0"/>
                        <w:keepLines w:val="0"/>
                        <w:pageBreakBefore w:val="0"/>
                        <w:widowControl w:val="0"/>
                        <w:kinsoku/>
                        <w:wordWrap/>
                        <w:overflowPunct/>
                        <w:topLinePunct w:val="0"/>
                        <w:bidi w:val="0"/>
                        <w:adjustRightInd w:val="0"/>
                        <w:snapToGrid w:val="0"/>
                        <w:spacing w:line="360" w:lineRule="auto"/>
                        <w:jc w:val="center"/>
                        <w:rPr>
                          <w:rFonts w:hint="eastAsia"/>
                          <w:b/>
                          <w:bCs/>
                          <w:sz w:val="18"/>
                          <w:szCs w:val="18"/>
                          <w:lang w:val="en-US" w:eastAsia="zh-CN"/>
                        </w:rPr>
                      </w:pPr>
                      <w:r>
                        <w:rPr>
                          <w:rFonts w:hint="eastAsia"/>
                          <w:b/>
                          <w:bCs/>
                          <w:sz w:val="18"/>
                          <w:szCs w:val="18"/>
                          <w:lang w:val="en-US" w:eastAsia="zh-CN"/>
                        </w:rPr>
                        <w:t>图例</w:t>
                      </w:r>
                    </w:p>
                    <w:p w14:paraId="4F2987CB">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环境空气监测点位</w:t>
                      </w:r>
                    </w:p>
                    <w:p w14:paraId="1603AB71">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地下水监测点位</w:t>
                      </w:r>
                    </w:p>
                    <w:p w14:paraId="0807F890">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土壤监测点位</w:t>
                      </w:r>
                    </w:p>
                    <w:p w14:paraId="21D39CCD">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噪声监测点位</w:t>
                      </w:r>
                    </w:p>
                    <w:p w14:paraId="0A51C8D0">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1：72223</w:t>
                      </w:r>
                    </w:p>
                    <w:p w14:paraId="2CF0A1E3">
                      <w:pPr>
                        <w:pStyle w:val="58"/>
                        <w:rPr>
                          <w:rFonts w:hint="default"/>
                          <w:lang w:val="en-US" w:eastAsia="zh-CN"/>
                        </w:rPr>
                      </w:pPr>
                    </w:p>
                  </w:txbxContent>
                </v:textbox>
              </v:shape>
            </w:pict>
          </mc:Fallback>
        </mc:AlternateContent>
      </w:r>
      <w:r>
        <w:rPr>
          <w:rFonts w:hint="default" w:ascii="Times New Roman" w:hAnsi="Times New Roman" w:cs="Times New Roman"/>
          <w:color w:val="auto"/>
          <w:highlight w:val="none"/>
        </w:rPr>
        <w:drawing>
          <wp:anchor distT="0" distB="0" distL="114300" distR="114300" simplePos="0" relativeHeight="251681792" behindDoc="0" locked="0" layoutInCell="1" allowOverlap="1">
            <wp:simplePos x="0" y="0"/>
            <wp:positionH relativeFrom="column">
              <wp:posOffset>7306945</wp:posOffset>
            </wp:positionH>
            <wp:positionV relativeFrom="paragraph">
              <wp:posOffset>29845</wp:posOffset>
            </wp:positionV>
            <wp:extent cx="721360" cy="711835"/>
            <wp:effectExtent l="0" t="0" r="2540" b="12065"/>
            <wp:wrapNone/>
            <wp:docPr id="2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6"/>
                    <pic:cNvPicPr>
                      <a:picLocks noChangeAspect="1"/>
                    </pic:cNvPicPr>
                  </pic:nvPicPr>
                  <pic:blipFill>
                    <a:blip r:embed="rId73"/>
                    <a:stretch>
                      <a:fillRect/>
                    </a:stretch>
                  </pic:blipFill>
                  <pic:spPr>
                    <a:xfrm>
                      <a:off x="0" y="0"/>
                      <a:ext cx="721360" cy="711835"/>
                    </a:xfrm>
                    <a:prstGeom prst="rect">
                      <a:avLst/>
                    </a:prstGeom>
                    <a:noFill/>
                    <a:ln>
                      <a:noFill/>
                    </a:ln>
                  </pic:spPr>
                </pic:pic>
              </a:graphicData>
            </a:graphic>
          </wp:anchor>
        </w:drawing>
      </w:r>
      <w:r>
        <w:rPr>
          <w:color w:val="auto"/>
        </w:rPr>
        <w:drawing>
          <wp:inline distT="0" distB="0" distL="114300" distR="114300">
            <wp:extent cx="7694295" cy="5109210"/>
            <wp:effectExtent l="0" t="0" r="1905" b="152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6"/>
                    <a:stretch>
                      <a:fillRect/>
                    </a:stretch>
                  </pic:blipFill>
                  <pic:spPr>
                    <a:xfrm>
                      <a:off x="0" y="0"/>
                      <a:ext cx="7694295" cy="5109210"/>
                    </a:xfrm>
                    <a:prstGeom prst="rect">
                      <a:avLst/>
                    </a:prstGeom>
                    <a:noFill/>
                    <a:ln>
                      <a:noFill/>
                    </a:ln>
                  </pic:spPr>
                </pic:pic>
              </a:graphicData>
            </a:graphic>
          </wp:inline>
        </w:drawing>
      </w:r>
    </w:p>
    <w:p w14:paraId="05971903">
      <w:pPr>
        <w:pStyle w:val="548"/>
        <w:rPr>
          <w:rFonts w:hint="eastAsia"/>
          <w:color w:val="auto"/>
          <w:lang w:val="en-US" w:eastAsia="zh-CN"/>
        </w:rPr>
      </w:pPr>
      <w:r>
        <w:rPr>
          <w:rFonts w:hint="eastAsia"/>
          <w:color w:val="auto"/>
        </w:rPr>
        <w:t>附图</w:t>
      </w:r>
      <w:r>
        <w:rPr>
          <w:rFonts w:hint="eastAsia"/>
          <w:color w:val="auto"/>
          <w:lang w:val="en-US" w:eastAsia="zh-CN"/>
        </w:rPr>
        <w:t>4评价范围示意图</w:t>
      </w:r>
    </w:p>
    <w:p w14:paraId="7DD1BA8F">
      <w:pPr>
        <w:rPr>
          <w:rFonts w:hint="eastAsia"/>
          <w:color w:val="auto"/>
          <w:lang w:val="en-US" w:eastAsia="zh-CN"/>
        </w:rPr>
      </w:pPr>
      <w:r>
        <w:rPr>
          <w:color w:val="auto"/>
          <w:sz w:val="21"/>
        </w:rPr>
        <mc:AlternateContent>
          <mc:Choice Requires="wps">
            <w:drawing>
              <wp:anchor distT="0" distB="0" distL="114300" distR="114300" simplePos="0" relativeHeight="251686912" behindDoc="0" locked="0" layoutInCell="1" allowOverlap="1">
                <wp:simplePos x="0" y="0"/>
                <wp:positionH relativeFrom="column">
                  <wp:posOffset>6931660</wp:posOffset>
                </wp:positionH>
                <wp:positionV relativeFrom="paragraph">
                  <wp:posOffset>4422775</wp:posOffset>
                </wp:positionV>
                <wp:extent cx="183515" cy="102870"/>
                <wp:effectExtent l="12700" t="12700" r="13335" b="17780"/>
                <wp:wrapNone/>
                <wp:docPr id="129" name="矩形 129"/>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0070C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48.25pt;height:8.1pt;width:14.45pt;z-index:251686912;v-text-anchor:middle;mso-width-relative:page;mso-height-relative:page;" filled="f" stroked="t" coordsize="21600,21600" o:gfxdata="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b5t3bXAAAADQEAAA8AAAAAAAAAAQAgAAAAIgAAAGRycy9kb3ducmV2LnhtbFBLAQIUABQAAAAI&#10;AIdO4kA3kzeLYAIAALcEAAAOAAAAAAAAAAEAIAAAACYBAABkcnMvZTJvRG9jLnhtbFBLBQYAAAAA&#10;BgAGAFkBAAD4BQAAAAA=&#10;">
                <v:fill on="f" focussize="0,0"/>
                <v:stroke weight="2pt" color="#0070C0 [2404]" joinstyle="round"/>
                <v:imagedata o:title=""/>
                <o:lock v:ext="edit" aspectratio="f"/>
              </v:rect>
            </w:pict>
          </mc:Fallback>
        </mc:AlternateContent>
      </w:r>
      <w:r>
        <w:rPr>
          <w:color w:val="auto"/>
          <w:sz w:val="21"/>
        </w:rPr>
        <mc:AlternateContent>
          <mc:Choice Requires="wps">
            <w:drawing>
              <wp:anchor distT="0" distB="0" distL="114300" distR="114300" simplePos="0" relativeHeight="251685888" behindDoc="0" locked="0" layoutInCell="1" allowOverlap="1">
                <wp:simplePos x="0" y="0"/>
                <wp:positionH relativeFrom="column">
                  <wp:posOffset>6931660</wp:posOffset>
                </wp:positionH>
                <wp:positionV relativeFrom="paragraph">
                  <wp:posOffset>4201795</wp:posOffset>
                </wp:positionV>
                <wp:extent cx="183515" cy="102870"/>
                <wp:effectExtent l="12700" t="12700" r="13335" b="17780"/>
                <wp:wrapNone/>
                <wp:docPr id="128" name="矩形 128"/>
                <wp:cNvGraphicFramePr/>
                <a:graphic xmlns:a="http://schemas.openxmlformats.org/drawingml/2006/main">
                  <a:graphicData uri="http://schemas.microsoft.com/office/word/2010/wordprocessingShape">
                    <wps:wsp>
                      <wps:cNvSpPr/>
                      <wps:spPr>
                        <a:xfrm>
                          <a:off x="0" y="0"/>
                          <a:ext cx="183515" cy="102870"/>
                        </a:xfrm>
                        <a:prstGeom prst="rect">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30.85pt;height:8.1pt;width:14.45pt;z-index:251685888;v-text-anchor:middle;mso-width-relative:page;mso-height-relative:page;" fillcolor="#FFFF00" filled="t" stroked="t" coordsize="21600,21600" o:gfxdata="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2tufhNsAAAANAQAADwAAAAAAAAABACAAAAAiAAAAZHJzL2Rvd25yZXYueG1sUEsBAhQA&#10;FAAAAAgAh07iQHTyQVBhAgAA4AQAAA4AAAAAAAAAAQAgAAAAKgEAAGRycy9lMm9Eb2MueG1sUEsF&#10;BgAAAAAGAAYAWQEAAP0FAAAAAA==&#10;">
                <v:fill on="t" focussize="0,0"/>
                <v:stroke weight="2pt" color="#FFFF00 [2404]" joinstyle="round"/>
                <v:imagedata o:title=""/>
                <o:lock v:ext="edit" aspectratio="f"/>
              </v:rect>
            </w:pict>
          </mc:Fallback>
        </mc:AlternateContent>
      </w:r>
      <w:r>
        <w:rPr>
          <w:color w:val="auto"/>
          <w:sz w:val="21"/>
        </w:rPr>
        <mc:AlternateContent>
          <mc:Choice Requires="wps">
            <w:drawing>
              <wp:anchor distT="0" distB="0" distL="114300" distR="114300" simplePos="0" relativeHeight="251684864" behindDoc="0" locked="0" layoutInCell="1" allowOverlap="1">
                <wp:simplePos x="0" y="0"/>
                <wp:positionH relativeFrom="column">
                  <wp:posOffset>6931660</wp:posOffset>
                </wp:positionH>
                <wp:positionV relativeFrom="paragraph">
                  <wp:posOffset>3980815</wp:posOffset>
                </wp:positionV>
                <wp:extent cx="183515" cy="102870"/>
                <wp:effectExtent l="12700" t="12700" r="13335" b="17780"/>
                <wp:wrapNone/>
                <wp:docPr id="127" name="矩形 127"/>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13.45pt;height:8.1pt;width:14.45pt;z-index:251684864;v-text-anchor:middle;mso-width-relative:page;mso-height-relative:page;" filled="f" stroked="t" coordsize="21600,21600" o:gfxdata="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Yqv4p2QAAAA0BAAAPAAAAAAAAAAEAIAAAACIAAABkcnMvZG93bnJldi54bWxQSwECFAAUAAAA&#10;CACHTuJAjpNIxF8CAAC3BAAADgAAAAAAAAABACAAAAAoAQAAZHJzL2Uyb0RvYy54bWxQSwUGAAAA&#10;AAYABgBZAQAA+QUAAAAA&#10;">
                <v:fill on="f" focussize="0,0"/>
                <v:stroke weight="2pt" color="#FFFF00 [2404]" joinstyle="round"/>
                <v:imagedata o:title=""/>
                <o:lock v:ext="edit" aspectratio="f"/>
              </v:rect>
            </w:pict>
          </mc:Fallback>
        </mc:AlternateContent>
      </w:r>
      <w:r>
        <w:rPr>
          <w:color w:val="auto"/>
          <w:sz w:val="21"/>
        </w:rPr>
        <mc:AlternateContent>
          <mc:Choice Requires="wps">
            <w:drawing>
              <wp:anchor distT="0" distB="0" distL="114300" distR="114300" simplePos="0" relativeHeight="251683840" behindDoc="0" locked="0" layoutInCell="1" allowOverlap="1">
                <wp:simplePos x="0" y="0"/>
                <wp:positionH relativeFrom="column">
                  <wp:posOffset>6807835</wp:posOffset>
                </wp:positionH>
                <wp:positionV relativeFrom="paragraph">
                  <wp:posOffset>3673475</wp:posOffset>
                </wp:positionV>
                <wp:extent cx="1323340" cy="1637030"/>
                <wp:effectExtent l="4445" t="4445" r="5715" b="15875"/>
                <wp:wrapNone/>
                <wp:docPr id="125" name="文本框 125"/>
                <wp:cNvGraphicFramePr/>
                <a:graphic xmlns:a="http://schemas.openxmlformats.org/drawingml/2006/main">
                  <a:graphicData uri="http://schemas.microsoft.com/office/word/2010/wordprocessingShape">
                    <wps:wsp>
                      <wps:cNvSpPr txBox="1"/>
                      <wps:spPr>
                        <a:xfrm>
                          <a:off x="0" y="0"/>
                          <a:ext cx="1323340" cy="16370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C904AD0">
                            <w:pPr>
                              <w:keepNext w:val="0"/>
                              <w:keepLines w:val="0"/>
                              <w:pageBreakBefore w:val="0"/>
                              <w:widowControl w:val="0"/>
                              <w:kinsoku/>
                              <w:wordWrap/>
                              <w:overflowPunct/>
                              <w:topLinePunct w:val="0"/>
                              <w:bidi w:val="0"/>
                              <w:adjustRightInd w:val="0"/>
                              <w:snapToGrid w:val="0"/>
                              <w:spacing w:line="360" w:lineRule="auto"/>
                              <w:jc w:val="center"/>
                              <w:rPr>
                                <w:rFonts w:hint="eastAsia"/>
                                <w:sz w:val="18"/>
                                <w:szCs w:val="18"/>
                                <w:lang w:val="en-US" w:eastAsia="zh-CN"/>
                              </w:rPr>
                            </w:pPr>
                            <w:r>
                              <w:rPr>
                                <w:rFonts w:hint="eastAsia"/>
                                <w:sz w:val="18"/>
                                <w:szCs w:val="18"/>
                                <w:lang w:val="en-US" w:eastAsia="zh-CN"/>
                              </w:rPr>
                              <w:t>图例</w:t>
                            </w:r>
                          </w:p>
                          <w:p w14:paraId="2405E768">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大气评价范围</w:t>
                            </w:r>
                          </w:p>
                          <w:p w14:paraId="03C0C541">
                            <w:pPr>
                              <w:pStyle w:val="58"/>
                              <w:keepNext w:val="0"/>
                              <w:keepLines w:val="0"/>
                              <w:pageBreakBefore w:val="0"/>
                              <w:widowControl w:val="0"/>
                              <w:kinsoku/>
                              <w:wordWrap/>
                              <w:overflowPunct/>
                              <w:topLinePunct w:val="0"/>
                              <w:bidi w:val="0"/>
                              <w:adjustRightInd w:val="0"/>
                              <w:snapToGrid w:val="0"/>
                              <w:spacing w:line="360" w:lineRule="auto"/>
                              <w:rPr>
                                <w:rFonts w:hint="default"/>
                                <w:sz w:val="18"/>
                                <w:szCs w:val="18"/>
                                <w:lang w:val="en-US" w:eastAsia="zh-CN"/>
                              </w:rPr>
                            </w:pPr>
                            <w:r>
                              <w:rPr>
                                <w:rFonts w:hint="eastAsia"/>
                                <w:sz w:val="18"/>
                                <w:szCs w:val="18"/>
                                <w:lang w:val="en-US" w:eastAsia="zh-CN"/>
                              </w:rPr>
                              <w:t>大气保护目标</w:t>
                            </w:r>
                          </w:p>
                          <w:p w14:paraId="7CA99719">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地下水评价范围</w:t>
                            </w:r>
                          </w:p>
                          <w:p w14:paraId="0FF770EA">
                            <w:pPr>
                              <w:pStyle w:val="58"/>
                              <w:keepNext w:val="0"/>
                              <w:keepLines w:val="0"/>
                              <w:pageBreakBefore w:val="0"/>
                              <w:widowControl w:val="0"/>
                              <w:kinsoku/>
                              <w:wordWrap/>
                              <w:overflowPunct/>
                              <w:topLinePunct w:val="0"/>
                              <w:bidi w:val="0"/>
                              <w:adjustRightInd w:val="0"/>
                              <w:snapToGrid w:val="0"/>
                              <w:spacing w:line="360" w:lineRule="auto"/>
                              <w:ind w:left="479" w:leftChars="228" w:firstLine="0" w:firstLineChars="0"/>
                              <w:rPr>
                                <w:rFonts w:hint="default"/>
                                <w:sz w:val="18"/>
                                <w:szCs w:val="18"/>
                                <w:lang w:val="en-US" w:eastAsia="zh-CN"/>
                              </w:rPr>
                            </w:pPr>
                            <w:r>
                              <w:rPr>
                                <w:rFonts w:hint="eastAsia"/>
                                <w:sz w:val="18"/>
                                <w:szCs w:val="18"/>
                                <w:lang w:val="en-US" w:eastAsia="zh-CN"/>
                              </w:rPr>
                              <w:t>土壤、噪声、生态评价范围</w:t>
                            </w:r>
                          </w:p>
                          <w:p w14:paraId="69459340">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1：72223</w:t>
                            </w:r>
                          </w:p>
                          <w:p w14:paraId="27771A47">
                            <w:pPr>
                              <w:pStyle w:val="58"/>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6.05pt;margin-top:289.25pt;height:128.9pt;width:104.2pt;z-index:251683840;mso-width-relative:page;mso-height-relative:page;" fillcolor="#FFFFFF [3201]" filled="t" stroked="t" coordsize="21600,21600" o:gfxdata="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aFku&#10;uNgAAAANAQAADwAAAAAAAAABACAAAAAiAAAAZHJzL2Rvd25yZXYueG1sUEsBAhQAFAAAAAgAh07i&#10;QJwdmOpbAgAAvAQAAA4AAAAAAAAAAQAgAAAAJwEAAGRycy9lMm9Eb2MueG1sUEsFBgAAAAAGAAYA&#10;WQEAAPQFAAAAAA==&#10;">
                <v:fill on="t" focussize="0,0"/>
                <v:stroke weight="0.5pt" color="#000000 [3204]" joinstyle="round"/>
                <v:imagedata o:title=""/>
                <o:lock v:ext="edit" aspectratio="f"/>
                <v:textbox>
                  <w:txbxContent>
                    <w:p w14:paraId="1C904AD0">
                      <w:pPr>
                        <w:keepNext w:val="0"/>
                        <w:keepLines w:val="0"/>
                        <w:pageBreakBefore w:val="0"/>
                        <w:widowControl w:val="0"/>
                        <w:kinsoku/>
                        <w:wordWrap/>
                        <w:overflowPunct/>
                        <w:topLinePunct w:val="0"/>
                        <w:bidi w:val="0"/>
                        <w:adjustRightInd w:val="0"/>
                        <w:snapToGrid w:val="0"/>
                        <w:spacing w:line="360" w:lineRule="auto"/>
                        <w:jc w:val="center"/>
                        <w:rPr>
                          <w:rFonts w:hint="eastAsia"/>
                          <w:sz w:val="18"/>
                          <w:szCs w:val="18"/>
                          <w:lang w:val="en-US" w:eastAsia="zh-CN"/>
                        </w:rPr>
                      </w:pPr>
                      <w:r>
                        <w:rPr>
                          <w:rFonts w:hint="eastAsia"/>
                          <w:sz w:val="18"/>
                          <w:szCs w:val="18"/>
                          <w:lang w:val="en-US" w:eastAsia="zh-CN"/>
                        </w:rPr>
                        <w:t>图例</w:t>
                      </w:r>
                    </w:p>
                    <w:p w14:paraId="2405E768">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大气评价范围</w:t>
                      </w:r>
                    </w:p>
                    <w:p w14:paraId="03C0C541">
                      <w:pPr>
                        <w:pStyle w:val="58"/>
                        <w:keepNext w:val="0"/>
                        <w:keepLines w:val="0"/>
                        <w:pageBreakBefore w:val="0"/>
                        <w:widowControl w:val="0"/>
                        <w:kinsoku/>
                        <w:wordWrap/>
                        <w:overflowPunct/>
                        <w:topLinePunct w:val="0"/>
                        <w:bidi w:val="0"/>
                        <w:adjustRightInd w:val="0"/>
                        <w:snapToGrid w:val="0"/>
                        <w:spacing w:line="360" w:lineRule="auto"/>
                        <w:rPr>
                          <w:rFonts w:hint="default"/>
                          <w:sz w:val="18"/>
                          <w:szCs w:val="18"/>
                          <w:lang w:val="en-US" w:eastAsia="zh-CN"/>
                        </w:rPr>
                      </w:pPr>
                      <w:r>
                        <w:rPr>
                          <w:rFonts w:hint="eastAsia"/>
                          <w:sz w:val="18"/>
                          <w:szCs w:val="18"/>
                          <w:lang w:val="en-US" w:eastAsia="zh-CN"/>
                        </w:rPr>
                        <w:t>大气保护目标</w:t>
                      </w:r>
                    </w:p>
                    <w:p w14:paraId="7CA99719">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地下水评价范围</w:t>
                      </w:r>
                    </w:p>
                    <w:p w14:paraId="0FF770EA">
                      <w:pPr>
                        <w:pStyle w:val="58"/>
                        <w:keepNext w:val="0"/>
                        <w:keepLines w:val="0"/>
                        <w:pageBreakBefore w:val="0"/>
                        <w:widowControl w:val="0"/>
                        <w:kinsoku/>
                        <w:wordWrap/>
                        <w:overflowPunct/>
                        <w:topLinePunct w:val="0"/>
                        <w:bidi w:val="0"/>
                        <w:adjustRightInd w:val="0"/>
                        <w:snapToGrid w:val="0"/>
                        <w:spacing w:line="360" w:lineRule="auto"/>
                        <w:ind w:left="479" w:leftChars="228" w:firstLine="0" w:firstLineChars="0"/>
                        <w:rPr>
                          <w:rFonts w:hint="default"/>
                          <w:sz w:val="18"/>
                          <w:szCs w:val="18"/>
                          <w:lang w:val="en-US" w:eastAsia="zh-CN"/>
                        </w:rPr>
                      </w:pPr>
                      <w:r>
                        <w:rPr>
                          <w:rFonts w:hint="eastAsia"/>
                          <w:sz w:val="18"/>
                          <w:szCs w:val="18"/>
                          <w:lang w:val="en-US" w:eastAsia="zh-CN"/>
                        </w:rPr>
                        <w:t>土壤、噪声、生态评价范围</w:t>
                      </w:r>
                    </w:p>
                    <w:p w14:paraId="69459340">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1：72223</w:t>
                      </w:r>
                    </w:p>
                    <w:p w14:paraId="27771A47">
                      <w:pPr>
                        <w:pStyle w:val="58"/>
                        <w:rPr>
                          <w:rFonts w:hint="default"/>
                          <w:lang w:val="en-US" w:eastAsia="zh-CN"/>
                        </w:rPr>
                      </w:pPr>
                    </w:p>
                  </w:txbxContent>
                </v:textbox>
              </v:shape>
            </w:pict>
          </mc:Fallback>
        </mc:AlternateContent>
      </w:r>
      <w:r>
        <w:rPr>
          <w:color w:val="auto"/>
          <w:sz w:val="21"/>
        </w:rPr>
        <mc:AlternateContent>
          <mc:Choice Requires="wps">
            <w:drawing>
              <wp:anchor distT="0" distB="0" distL="114300" distR="114300" simplePos="0" relativeHeight="251725824" behindDoc="0" locked="0" layoutInCell="1" allowOverlap="1">
                <wp:simplePos x="0" y="0"/>
                <wp:positionH relativeFrom="column">
                  <wp:posOffset>6931660</wp:posOffset>
                </wp:positionH>
                <wp:positionV relativeFrom="paragraph">
                  <wp:posOffset>4422775</wp:posOffset>
                </wp:positionV>
                <wp:extent cx="183515" cy="102870"/>
                <wp:effectExtent l="12700" t="12700" r="13335" b="17780"/>
                <wp:wrapNone/>
                <wp:docPr id="163" name="矩形 163"/>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0070C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48.25pt;height:8.1pt;width:14.45pt;z-index:251725824;v-text-anchor:middle;mso-width-relative:page;mso-height-relative:page;" filled="f" stroked="t" coordsize="21600,21600" o:gfxdata="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W+bd21wAAAA0BAAAPAAAAAAAAAAEAIAAAACIAAABkcnMvZG93bnJldi54bWxQSwECFAAUAAAA&#10;CACHTuJAhmKm72ECAAC3BAAADgAAAAAAAAABACAAAAAmAQAAZHJzL2Uyb0RvYy54bWxQSwUGAAAA&#10;AAYABgBZAQAA+QUAAAAA&#10;">
                <v:fill on="f" focussize="0,0"/>
                <v:stroke weight="2pt" color="#0070C0 [2404]" joinstyle="round"/>
                <v:imagedata o:title=""/>
                <o:lock v:ext="edit" aspectratio="f"/>
              </v:rect>
            </w:pict>
          </mc:Fallback>
        </mc:AlternateContent>
      </w:r>
      <w:r>
        <w:rPr>
          <w:color w:val="auto"/>
          <w:sz w:val="21"/>
        </w:rPr>
        <mc:AlternateContent>
          <mc:Choice Requires="wps">
            <w:drawing>
              <wp:anchor distT="0" distB="0" distL="114300" distR="114300" simplePos="0" relativeHeight="251724800" behindDoc="0" locked="0" layoutInCell="1" allowOverlap="1">
                <wp:simplePos x="0" y="0"/>
                <wp:positionH relativeFrom="column">
                  <wp:posOffset>6931660</wp:posOffset>
                </wp:positionH>
                <wp:positionV relativeFrom="paragraph">
                  <wp:posOffset>4201795</wp:posOffset>
                </wp:positionV>
                <wp:extent cx="183515" cy="102870"/>
                <wp:effectExtent l="12700" t="12700" r="13335" b="17780"/>
                <wp:wrapNone/>
                <wp:docPr id="164" name="矩形 164"/>
                <wp:cNvGraphicFramePr/>
                <a:graphic xmlns:a="http://schemas.openxmlformats.org/drawingml/2006/main">
                  <a:graphicData uri="http://schemas.microsoft.com/office/word/2010/wordprocessingShape">
                    <wps:wsp>
                      <wps:cNvSpPr/>
                      <wps:spPr>
                        <a:xfrm>
                          <a:off x="0" y="0"/>
                          <a:ext cx="183515" cy="102870"/>
                        </a:xfrm>
                        <a:prstGeom prst="rect">
                          <a:avLst/>
                        </a:prstGeom>
                        <a:solidFill>
                          <a:srgbClr val="FFFF00"/>
                        </a:solid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30.85pt;height:8.1pt;width:14.45pt;z-index:251724800;v-text-anchor:middle;mso-width-relative:page;mso-height-relative:page;" fillcolor="#FFFF00" filled="t" stroked="t" coordsize="21600,21600" o:gfxdata="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2tufhNsAAAANAQAADwAAAAAAAAABACAAAAAiAAAAZHJzL2Rvd25yZXYueG1sUEsBAhQA&#10;FAAAAAgAh07iQDDwEtFhAgAA4AQAAA4AAAAAAAAAAQAgAAAAKgEAAGRycy9lMm9Eb2MueG1sUEsF&#10;BgAAAAAGAAYAWQEAAP0FAAAAAA==&#10;">
                <v:fill on="t" focussize="0,0"/>
                <v:stroke weight="2pt" color="#FFFF00 [2404]" joinstyle="round"/>
                <v:imagedata o:title=""/>
                <o:lock v:ext="edit" aspectratio="f"/>
              </v:rect>
            </w:pict>
          </mc:Fallback>
        </mc:AlternateContent>
      </w:r>
      <w:r>
        <w:rPr>
          <w:color w:val="auto"/>
          <w:sz w:val="21"/>
        </w:rPr>
        <mc:AlternateContent>
          <mc:Choice Requires="wps">
            <w:drawing>
              <wp:anchor distT="0" distB="0" distL="114300" distR="114300" simplePos="0" relativeHeight="251723776" behindDoc="0" locked="0" layoutInCell="1" allowOverlap="1">
                <wp:simplePos x="0" y="0"/>
                <wp:positionH relativeFrom="column">
                  <wp:posOffset>6931660</wp:posOffset>
                </wp:positionH>
                <wp:positionV relativeFrom="paragraph">
                  <wp:posOffset>3980815</wp:posOffset>
                </wp:positionV>
                <wp:extent cx="183515" cy="102870"/>
                <wp:effectExtent l="12700" t="12700" r="13335" b="17780"/>
                <wp:wrapNone/>
                <wp:docPr id="165" name="矩形 165"/>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FFFF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13.45pt;height:8.1pt;width:14.45pt;z-index:251723776;v-text-anchor:middle;mso-width-relative:page;mso-height-relative:page;" filled="f" stroked="t" coordsize="21600,21600" o:gfxdata="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Yqv4p2QAAAA0BAAAPAAAAAAAAAAEAIAAAACIAAABkcnMvZG93bnJldi54bWxQSwECFAAUAAAA&#10;CACHTuJALSRiYF8CAAC3BAAADgAAAAAAAAABACAAAAAoAQAAZHJzL2Uyb0RvYy54bWxQSwUGAAAA&#10;AAYABgBZAQAA+QUAAAAA&#10;">
                <v:fill on="f" focussize="0,0"/>
                <v:stroke weight="2pt" color="#FFFF00 [2404]" joinstyle="round"/>
                <v:imagedata o:title=""/>
                <o:lock v:ext="edit" aspectratio="f"/>
              </v:rect>
            </w:pict>
          </mc:Fallback>
        </mc:AlternateContent>
      </w:r>
      <w:r>
        <w:rPr>
          <w:color w:val="auto"/>
          <w:sz w:val="21"/>
        </w:rPr>
        <mc:AlternateContent>
          <mc:Choice Requires="wps">
            <w:drawing>
              <wp:anchor distT="0" distB="0" distL="114300" distR="114300" simplePos="0" relativeHeight="251722752" behindDoc="0" locked="0" layoutInCell="1" allowOverlap="1">
                <wp:simplePos x="0" y="0"/>
                <wp:positionH relativeFrom="column">
                  <wp:posOffset>6807835</wp:posOffset>
                </wp:positionH>
                <wp:positionV relativeFrom="paragraph">
                  <wp:posOffset>3673475</wp:posOffset>
                </wp:positionV>
                <wp:extent cx="1323340" cy="1637030"/>
                <wp:effectExtent l="4445" t="4445" r="5715" b="15875"/>
                <wp:wrapNone/>
                <wp:docPr id="166" name="文本框 166"/>
                <wp:cNvGraphicFramePr/>
                <a:graphic xmlns:a="http://schemas.openxmlformats.org/drawingml/2006/main">
                  <a:graphicData uri="http://schemas.microsoft.com/office/word/2010/wordprocessingShape">
                    <wps:wsp>
                      <wps:cNvSpPr txBox="1"/>
                      <wps:spPr>
                        <a:xfrm>
                          <a:off x="0" y="0"/>
                          <a:ext cx="1323340" cy="163703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67C1A1A">
                            <w:pPr>
                              <w:keepNext w:val="0"/>
                              <w:keepLines w:val="0"/>
                              <w:pageBreakBefore w:val="0"/>
                              <w:widowControl w:val="0"/>
                              <w:kinsoku/>
                              <w:wordWrap/>
                              <w:overflowPunct/>
                              <w:topLinePunct w:val="0"/>
                              <w:bidi w:val="0"/>
                              <w:adjustRightInd w:val="0"/>
                              <w:snapToGrid w:val="0"/>
                              <w:spacing w:line="360" w:lineRule="auto"/>
                              <w:jc w:val="center"/>
                              <w:rPr>
                                <w:rFonts w:hint="eastAsia"/>
                                <w:sz w:val="18"/>
                                <w:szCs w:val="18"/>
                                <w:lang w:val="en-US" w:eastAsia="zh-CN"/>
                              </w:rPr>
                            </w:pPr>
                            <w:r>
                              <w:rPr>
                                <w:rFonts w:hint="eastAsia"/>
                                <w:sz w:val="18"/>
                                <w:szCs w:val="18"/>
                                <w:lang w:val="en-US" w:eastAsia="zh-CN"/>
                              </w:rPr>
                              <w:t>图例</w:t>
                            </w:r>
                          </w:p>
                          <w:p w14:paraId="78235B59">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大气评价范围</w:t>
                            </w:r>
                          </w:p>
                          <w:p w14:paraId="36E5E14E">
                            <w:pPr>
                              <w:pStyle w:val="58"/>
                              <w:keepNext w:val="0"/>
                              <w:keepLines w:val="0"/>
                              <w:pageBreakBefore w:val="0"/>
                              <w:widowControl w:val="0"/>
                              <w:kinsoku/>
                              <w:wordWrap/>
                              <w:overflowPunct/>
                              <w:topLinePunct w:val="0"/>
                              <w:bidi w:val="0"/>
                              <w:adjustRightInd w:val="0"/>
                              <w:snapToGrid w:val="0"/>
                              <w:spacing w:line="360" w:lineRule="auto"/>
                              <w:rPr>
                                <w:rFonts w:hint="default"/>
                                <w:sz w:val="18"/>
                                <w:szCs w:val="18"/>
                                <w:lang w:val="en-US" w:eastAsia="zh-CN"/>
                              </w:rPr>
                            </w:pPr>
                            <w:r>
                              <w:rPr>
                                <w:rFonts w:hint="eastAsia"/>
                                <w:sz w:val="18"/>
                                <w:szCs w:val="18"/>
                                <w:lang w:val="en-US" w:eastAsia="zh-CN"/>
                              </w:rPr>
                              <w:t>大气保护目标</w:t>
                            </w:r>
                          </w:p>
                          <w:p w14:paraId="27557C41">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地下水评价范围</w:t>
                            </w:r>
                          </w:p>
                          <w:p w14:paraId="440557E9">
                            <w:pPr>
                              <w:pStyle w:val="58"/>
                              <w:keepNext w:val="0"/>
                              <w:keepLines w:val="0"/>
                              <w:pageBreakBefore w:val="0"/>
                              <w:widowControl w:val="0"/>
                              <w:kinsoku/>
                              <w:wordWrap/>
                              <w:overflowPunct/>
                              <w:topLinePunct w:val="0"/>
                              <w:bidi w:val="0"/>
                              <w:adjustRightInd w:val="0"/>
                              <w:snapToGrid w:val="0"/>
                              <w:spacing w:line="360" w:lineRule="auto"/>
                              <w:ind w:left="479" w:leftChars="228" w:firstLine="0" w:firstLineChars="0"/>
                              <w:rPr>
                                <w:rFonts w:hint="default"/>
                                <w:sz w:val="18"/>
                                <w:szCs w:val="18"/>
                                <w:lang w:val="en-US" w:eastAsia="zh-CN"/>
                              </w:rPr>
                            </w:pPr>
                            <w:r>
                              <w:rPr>
                                <w:rFonts w:hint="eastAsia"/>
                                <w:sz w:val="18"/>
                                <w:szCs w:val="18"/>
                                <w:lang w:val="en-US" w:eastAsia="zh-CN"/>
                              </w:rPr>
                              <w:t>土壤、噪声、生态评价范围</w:t>
                            </w:r>
                          </w:p>
                          <w:p w14:paraId="6D9C30FD">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1：72223</w:t>
                            </w:r>
                          </w:p>
                          <w:p w14:paraId="709C8078">
                            <w:pPr>
                              <w:pStyle w:val="58"/>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36.05pt;margin-top:289.25pt;height:128.9pt;width:104.2pt;z-index:251722752;mso-width-relative:page;mso-height-relative:page;" fillcolor="#FFFFFF [3201]" filled="t" stroked="t" coordsize="21600,21600" o:gfxdata="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aFku&#10;uNgAAAANAQAADwAAAAAAAAABACAAAAAiAAAAZHJzL2Rvd25yZXYueG1sUEsBAhQAFAAAAAgAh07i&#10;QIMclXhbAgAAvAQAAA4AAAAAAAAAAQAgAAAAJwEAAGRycy9lMm9Eb2MueG1sUEsFBgAAAAAGAAYA&#10;WQEAAPQFAAAAAA==&#10;">
                <v:fill on="t" focussize="0,0"/>
                <v:stroke weight="0.5pt" color="#000000 [3204]" joinstyle="round"/>
                <v:imagedata o:title=""/>
                <o:lock v:ext="edit" aspectratio="f"/>
                <v:textbox>
                  <w:txbxContent>
                    <w:p w14:paraId="367C1A1A">
                      <w:pPr>
                        <w:keepNext w:val="0"/>
                        <w:keepLines w:val="0"/>
                        <w:pageBreakBefore w:val="0"/>
                        <w:widowControl w:val="0"/>
                        <w:kinsoku/>
                        <w:wordWrap/>
                        <w:overflowPunct/>
                        <w:topLinePunct w:val="0"/>
                        <w:bidi w:val="0"/>
                        <w:adjustRightInd w:val="0"/>
                        <w:snapToGrid w:val="0"/>
                        <w:spacing w:line="360" w:lineRule="auto"/>
                        <w:jc w:val="center"/>
                        <w:rPr>
                          <w:rFonts w:hint="eastAsia"/>
                          <w:sz w:val="18"/>
                          <w:szCs w:val="18"/>
                          <w:lang w:val="en-US" w:eastAsia="zh-CN"/>
                        </w:rPr>
                      </w:pPr>
                      <w:r>
                        <w:rPr>
                          <w:rFonts w:hint="eastAsia"/>
                          <w:sz w:val="18"/>
                          <w:szCs w:val="18"/>
                          <w:lang w:val="en-US" w:eastAsia="zh-CN"/>
                        </w:rPr>
                        <w:t>图例</w:t>
                      </w:r>
                    </w:p>
                    <w:p w14:paraId="78235B59">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大气评价范围</w:t>
                      </w:r>
                    </w:p>
                    <w:p w14:paraId="36E5E14E">
                      <w:pPr>
                        <w:pStyle w:val="58"/>
                        <w:keepNext w:val="0"/>
                        <w:keepLines w:val="0"/>
                        <w:pageBreakBefore w:val="0"/>
                        <w:widowControl w:val="0"/>
                        <w:kinsoku/>
                        <w:wordWrap/>
                        <w:overflowPunct/>
                        <w:topLinePunct w:val="0"/>
                        <w:bidi w:val="0"/>
                        <w:adjustRightInd w:val="0"/>
                        <w:snapToGrid w:val="0"/>
                        <w:spacing w:line="360" w:lineRule="auto"/>
                        <w:rPr>
                          <w:rFonts w:hint="default"/>
                          <w:sz w:val="18"/>
                          <w:szCs w:val="18"/>
                          <w:lang w:val="en-US" w:eastAsia="zh-CN"/>
                        </w:rPr>
                      </w:pPr>
                      <w:r>
                        <w:rPr>
                          <w:rFonts w:hint="eastAsia"/>
                          <w:sz w:val="18"/>
                          <w:szCs w:val="18"/>
                          <w:lang w:val="en-US" w:eastAsia="zh-CN"/>
                        </w:rPr>
                        <w:t>大气保护目标</w:t>
                      </w:r>
                    </w:p>
                    <w:p w14:paraId="27557C41">
                      <w:pPr>
                        <w:pStyle w:val="58"/>
                        <w:keepNext w:val="0"/>
                        <w:keepLines w:val="0"/>
                        <w:pageBreakBefore w:val="0"/>
                        <w:widowControl w:val="0"/>
                        <w:kinsoku/>
                        <w:wordWrap/>
                        <w:overflowPunct/>
                        <w:topLinePunct w:val="0"/>
                        <w:bidi w:val="0"/>
                        <w:adjustRightInd w:val="0"/>
                        <w:snapToGrid w:val="0"/>
                        <w:spacing w:line="360" w:lineRule="auto"/>
                        <w:rPr>
                          <w:rFonts w:hint="eastAsia"/>
                          <w:sz w:val="18"/>
                          <w:szCs w:val="18"/>
                          <w:lang w:val="en-US" w:eastAsia="zh-CN"/>
                        </w:rPr>
                      </w:pPr>
                      <w:r>
                        <w:rPr>
                          <w:rFonts w:hint="eastAsia"/>
                          <w:sz w:val="18"/>
                          <w:szCs w:val="18"/>
                          <w:lang w:val="en-US" w:eastAsia="zh-CN"/>
                        </w:rPr>
                        <w:t>地下水评价范围</w:t>
                      </w:r>
                    </w:p>
                    <w:p w14:paraId="440557E9">
                      <w:pPr>
                        <w:pStyle w:val="58"/>
                        <w:keepNext w:val="0"/>
                        <w:keepLines w:val="0"/>
                        <w:pageBreakBefore w:val="0"/>
                        <w:widowControl w:val="0"/>
                        <w:kinsoku/>
                        <w:wordWrap/>
                        <w:overflowPunct/>
                        <w:topLinePunct w:val="0"/>
                        <w:bidi w:val="0"/>
                        <w:adjustRightInd w:val="0"/>
                        <w:snapToGrid w:val="0"/>
                        <w:spacing w:line="360" w:lineRule="auto"/>
                        <w:ind w:left="479" w:leftChars="228" w:firstLine="0" w:firstLineChars="0"/>
                        <w:rPr>
                          <w:rFonts w:hint="default"/>
                          <w:sz w:val="18"/>
                          <w:szCs w:val="18"/>
                          <w:lang w:val="en-US" w:eastAsia="zh-CN"/>
                        </w:rPr>
                      </w:pPr>
                      <w:r>
                        <w:rPr>
                          <w:rFonts w:hint="eastAsia"/>
                          <w:sz w:val="18"/>
                          <w:szCs w:val="18"/>
                          <w:lang w:val="en-US" w:eastAsia="zh-CN"/>
                        </w:rPr>
                        <w:t>土壤、噪声、生态评价范围</w:t>
                      </w:r>
                    </w:p>
                    <w:p w14:paraId="6D9C30FD">
                      <w:pPr>
                        <w:pStyle w:val="58"/>
                        <w:keepNext w:val="0"/>
                        <w:keepLines w:val="0"/>
                        <w:pageBreakBefore w:val="0"/>
                        <w:widowControl w:val="0"/>
                        <w:kinsoku/>
                        <w:wordWrap/>
                        <w:overflowPunct/>
                        <w:topLinePunct w:val="0"/>
                        <w:bidi w:val="0"/>
                        <w:adjustRightInd w:val="0"/>
                        <w:snapToGrid w:val="0"/>
                        <w:spacing w:line="360" w:lineRule="auto"/>
                        <w:ind w:left="0" w:leftChars="0" w:firstLine="0" w:firstLineChars="0"/>
                        <w:jc w:val="center"/>
                        <w:rPr>
                          <w:rFonts w:hint="default"/>
                          <w:sz w:val="18"/>
                          <w:szCs w:val="18"/>
                          <w:lang w:val="en-US" w:eastAsia="zh-CN"/>
                        </w:rPr>
                      </w:pPr>
                      <w:r>
                        <w:rPr>
                          <w:rFonts w:hint="eastAsia"/>
                          <w:sz w:val="18"/>
                          <w:szCs w:val="18"/>
                          <w:lang w:val="en-US" w:eastAsia="zh-CN"/>
                        </w:rPr>
                        <w:t>比例尺：</w:t>
                      </w:r>
                      <w:r>
                        <w:rPr>
                          <w:rFonts w:hint="default" w:ascii="Times New Roman" w:hAnsi="Times New Roman" w:cs="Times New Roman"/>
                          <w:sz w:val="18"/>
                          <w:szCs w:val="18"/>
                          <w:lang w:val="en-US" w:eastAsia="zh-CN"/>
                        </w:rPr>
                        <w:t>1：72223</w:t>
                      </w:r>
                    </w:p>
                    <w:p w14:paraId="709C8078">
                      <w:pPr>
                        <w:pStyle w:val="58"/>
                        <w:rPr>
                          <w:rFonts w:hint="default"/>
                          <w:lang w:val="en-US" w:eastAsia="zh-CN"/>
                        </w:rPr>
                      </w:pPr>
                    </w:p>
                  </w:txbxContent>
                </v:textbox>
              </v:shape>
            </w:pict>
          </mc:Fallback>
        </mc:AlternateContent>
      </w:r>
      <w:r>
        <w:rPr>
          <w:color w:val="auto"/>
          <w:sz w:val="21"/>
        </w:rPr>
        <mc:AlternateContent>
          <mc:Choice Requires="wps">
            <w:drawing>
              <wp:anchor distT="0" distB="0" distL="114300" distR="114300" simplePos="0" relativeHeight="251726848" behindDoc="0" locked="0" layoutInCell="1" allowOverlap="1">
                <wp:simplePos x="0" y="0"/>
                <wp:positionH relativeFrom="column">
                  <wp:posOffset>6931660</wp:posOffset>
                </wp:positionH>
                <wp:positionV relativeFrom="paragraph">
                  <wp:posOffset>4643755</wp:posOffset>
                </wp:positionV>
                <wp:extent cx="183515" cy="102870"/>
                <wp:effectExtent l="12700" t="12700" r="13335" b="17780"/>
                <wp:wrapNone/>
                <wp:docPr id="167" name="矩形 167"/>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65.65pt;height:8.1pt;width:14.45pt;z-index:251726848;v-text-anchor:middle;mso-width-relative:page;mso-height-relative:page;" filled="f" stroked="t" coordsize="21600,21600" o:gfxdata="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">
                <v:fill on="f" focussize="0,0"/>
                <v:stroke weight="2pt" color="#00B050 [2404]" joinstyle="round"/>
                <v:imagedata o:title=""/>
                <o:lock v:ext="edit" aspectratio="f"/>
              </v:rect>
            </w:pict>
          </mc:Fallback>
        </mc:AlternateContent>
      </w:r>
      <w:r>
        <w:rPr>
          <w:color w:val="auto"/>
          <w:sz w:val="21"/>
        </w:rPr>
        <mc:AlternateContent>
          <mc:Choice Requires="wps">
            <w:drawing>
              <wp:anchor distT="0" distB="0" distL="114300" distR="114300" simplePos="0" relativeHeight="251687936" behindDoc="0" locked="0" layoutInCell="1" allowOverlap="1">
                <wp:simplePos x="0" y="0"/>
                <wp:positionH relativeFrom="column">
                  <wp:posOffset>6931660</wp:posOffset>
                </wp:positionH>
                <wp:positionV relativeFrom="paragraph">
                  <wp:posOffset>4643755</wp:posOffset>
                </wp:positionV>
                <wp:extent cx="183515" cy="102870"/>
                <wp:effectExtent l="12700" t="12700" r="13335" b="17780"/>
                <wp:wrapNone/>
                <wp:docPr id="130" name="矩形 130"/>
                <wp:cNvGraphicFramePr/>
                <a:graphic xmlns:a="http://schemas.openxmlformats.org/drawingml/2006/main">
                  <a:graphicData uri="http://schemas.microsoft.com/office/word/2010/wordprocessingShape">
                    <wps:wsp>
                      <wps:cNvSpPr/>
                      <wps:spPr>
                        <a:xfrm>
                          <a:off x="0" y="0"/>
                          <a:ext cx="183515" cy="102870"/>
                        </a:xfrm>
                        <a:prstGeom prst="rect">
                          <a:avLst/>
                        </a:prstGeom>
                        <a:noFill/>
                        <a:ln>
                          <a:solidFill>
                            <a:srgbClr val="00B05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_x0000_s1026" o:spid="_x0000_s1026" o:spt="1" style="position:absolute;left:0pt;margin-left:545.8pt;margin-top:365.65pt;height:8.1pt;width:14.45pt;z-index:251687936;v-text-anchor:middle;mso-width-relative:page;mso-height-relative:page;" filled="f" stroked="t" coordsize="21600,21600" o:gfxdata="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G0j70twAAAANAQAADwAAAAAAAAABACAAAAAiAAAAZHJzL2Rvd25yZXYueG1sUEsBAhQA&#10;FAAAAAgAh07iQO2M3ARgAgAAtwQAAA4AAAAAAAAAAQAgAAAAKwEAAGRycy9lMm9Eb2MueG1sUEsF&#10;BgAAAAAGAAYAWQEAAP0FAAAAAA==&#10;">
                <v:fill on="f" focussize="0,0"/>
                <v:stroke weight="2pt" color="#00B050 [2404]" joinstyle="round"/>
                <v:imagedata o:title=""/>
                <o:lock v:ext="edit" aspectratio="f"/>
              </v:rect>
            </w:pict>
          </mc:Fallback>
        </mc:AlternateContent>
      </w:r>
      <w:r>
        <w:rPr>
          <w:rFonts w:hint="default" w:ascii="Times New Roman" w:hAnsi="Times New Roman" w:cs="Times New Roman"/>
          <w:color w:val="auto"/>
          <w:highlight w:val="none"/>
        </w:rPr>
        <w:drawing>
          <wp:anchor distT="0" distB="0" distL="114300" distR="114300" simplePos="0" relativeHeight="251682816" behindDoc="0" locked="0" layoutInCell="1" allowOverlap="1">
            <wp:simplePos x="0" y="0"/>
            <wp:positionH relativeFrom="column">
              <wp:posOffset>7402195</wp:posOffset>
            </wp:positionH>
            <wp:positionV relativeFrom="paragraph">
              <wp:posOffset>48895</wp:posOffset>
            </wp:positionV>
            <wp:extent cx="721360" cy="711835"/>
            <wp:effectExtent l="0" t="0" r="2540" b="12065"/>
            <wp:wrapNone/>
            <wp:docPr id="2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6"/>
                    <pic:cNvPicPr>
                      <a:picLocks noChangeAspect="1"/>
                    </pic:cNvPicPr>
                  </pic:nvPicPr>
                  <pic:blipFill>
                    <a:blip r:embed="rId73"/>
                    <a:stretch>
                      <a:fillRect/>
                    </a:stretch>
                  </pic:blipFill>
                  <pic:spPr>
                    <a:xfrm>
                      <a:off x="0" y="0"/>
                      <a:ext cx="721360" cy="711835"/>
                    </a:xfrm>
                    <a:prstGeom prst="rect">
                      <a:avLst/>
                    </a:prstGeom>
                    <a:noFill/>
                    <a:ln>
                      <a:noFill/>
                    </a:ln>
                  </pic:spPr>
                </pic:pic>
              </a:graphicData>
            </a:graphic>
          </wp:anchor>
        </w:drawing>
      </w:r>
      <w:r>
        <w:rPr>
          <w:color w:val="auto"/>
        </w:rPr>
        <w:drawing>
          <wp:inline distT="0" distB="0" distL="114300" distR="114300">
            <wp:extent cx="8142605" cy="5266055"/>
            <wp:effectExtent l="0" t="0" r="10795" b="10795"/>
            <wp:docPr id="1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图片 5"/>
                    <pic:cNvPicPr>
                      <a:picLocks noChangeAspect="1"/>
                    </pic:cNvPicPr>
                  </pic:nvPicPr>
                  <pic:blipFill>
                    <a:blip r:embed="rId77"/>
                    <a:stretch>
                      <a:fillRect/>
                    </a:stretch>
                  </pic:blipFill>
                  <pic:spPr>
                    <a:xfrm>
                      <a:off x="0" y="0"/>
                      <a:ext cx="8142605" cy="5266055"/>
                    </a:xfrm>
                    <a:prstGeom prst="rect">
                      <a:avLst/>
                    </a:prstGeom>
                    <a:noFill/>
                    <a:ln>
                      <a:noFill/>
                    </a:ln>
                  </pic:spPr>
                </pic:pic>
              </a:graphicData>
            </a:graphic>
          </wp:inline>
        </w:drawing>
      </w:r>
    </w:p>
    <w:p w14:paraId="257848F6">
      <w:pPr>
        <w:pStyle w:val="548"/>
        <w:rPr>
          <w:rFonts w:hint="eastAsia" w:ascii="Times New Roman" w:hAnsi="Times New Roman"/>
          <w:color w:val="auto"/>
          <w:lang w:val="en-US" w:eastAsia="zh-CN"/>
        </w:rPr>
      </w:pPr>
      <w:r>
        <w:rPr>
          <w:rFonts w:hint="eastAsia" w:ascii="Times New Roman" w:hAnsi="Times New Roman"/>
          <w:color w:val="auto"/>
        </w:rPr>
        <w:t>附图</w:t>
      </w:r>
      <w:r>
        <w:rPr>
          <w:rFonts w:hint="eastAsia" w:ascii="Times New Roman" w:hAnsi="Times New Roman"/>
          <w:color w:val="auto"/>
          <w:lang w:val="en-US" w:eastAsia="zh-CN"/>
        </w:rPr>
        <w:t>5地下水流向图</w:t>
      </w:r>
    </w:p>
    <w:p w14:paraId="61C8FE92">
      <w:pPr>
        <w:jc w:val="center"/>
        <w:rPr>
          <w:rFonts w:hint="default" w:ascii="Times New Roman" w:hAnsi="Times New Roman"/>
          <w:color w:val="auto"/>
          <w:lang w:val="en-US" w:eastAsia="zh-CN"/>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r>
        <w:drawing>
          <wp:inline distT="0" distB="0" distL="114300" distR="114300">
            <wp:extent cx="4924425" cy="5156835"/>
            <wp:effectExtent l="0" t="0" r="9525" b="5715"/>
            <wp:docPr id="223"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图片 19"/>
                    <pic:cNvPicPr>
                      <a:picLocks noChangeAspect="1"/>
                    </pic:cNvPicPr>
                  </pic:nvPicPr>
                  <pic:blipFill>
                    <a:blip r:embed="rId78"/>
                    <a:stretch>
                      <a:fillRect/>
                    </a:stretch>
                  </pic:blipFill>
                  <pic:spPr>
                    <a:xfrm>
                      <a:off x="0" y="0"/>
                      <a:ext cx="4924425" cy="5156835"/>
                    </a:xfrm>
                    <a:prstGeom prst="rect">
                      <a:avLst/>
                    </a:prstGeom>
                    <a:noFill/>
                    <a:ln>
                      <a:noFill/>
                    </a:ln>
                  </pic:spPr>
                </pic:pic>
              </a:graphicData>
            </a:graphic>
          </wp:inline>
        </w:drawing>
      </w:r>
    </w:p>
    <w:p w14:paraId="2BE82C0C">
      <w:pPr>
        <w:adjustRightInd w:val="0"/>
        <w:snapToGrid w:val="0"/>
        <w:spacing w:line="500" w:lineRule="exact"/>
        <w:outlineLvl w:val="0"/>
        <w:rPr>
          <w:rFonts w:eastAsia="黑体"/>
          <w:bCs/>
          <w:color w:val="auto"/>
          <w:sz w:val="28"/>
          <w:szCs w:val="32"/>
        </w:rPr>
      </w:pPr>
      <w:bookmarkStart w:id="256" w:name="_Toc149054235"/>
      <w:r>
        <w:rPr>
          <w:rFonts w:hint="eastAsia" w:eastAsia="黑体"/>
          <w:bCs/>
          <w:color w:val="auto"/>
          <w:sz w:val="28"/>
          <w:szCs w:val="32"/>
        </w:rPr>
        <w:t>附件</w:t>
      </w:r>
      <w:bookmarkEnd w:id="256"/>
    </w:p>
    <w:p w14:paraId="1D636B73">
      <w:pPr>
        <w:pStyle w:val="759"/>
        <w:rPr>
          <w:snapToGrid w:val="0"/>
          <w:color w:val="auto"/>
          <w:szCs w:val="22"/>
        </w:rPr>
      </w:pPr>
      <w:bookmarkStart w:id="257" w:name="_Toc149054242"/>
      <w:r>
        <w:rPr>
          <w:rFonts w:hint="eastAsia"/>
          <w:color w:val="auto"/>
        </w:rPr>
        <w:t>附表</w:t>
      </w:r>
      <w:bookmarkEnd w:id="252"/>
      <w:bookmarkEnd w:id="257"/>
      <w:bookmarkStart w:id="273" w:name="_GoBack"/>
      <w:bookmarkEnd w:id="273"/>
    </w:p>
    <w:p w14:paraId="2ECF4326">
      <w:pPr>
        <w:keepNext/>
        <w:keepLines/>
        <w:adjustRightInd w:val="0"/>
        <w:snapToGrid w:val="0"/>
        <w:spacing w:line="500" w:lineRule="exact"/>
        <w:outlineLvl w:val="1"/>
        <w:rPr>
          <w:rFonts w:eastAsia="黑体"/>
          <w:bCs/>
          <w:snapToGrid w:val="0"/>
          <w:color w:val="auto"/>
          <w:kern w:val="0"/>
          <w:sz w:val="28"/>
          <w:szCs w:val="32"/>
        </w:rPr>
      </w:pPr>
      <w:bookmarkStart w:id="258" w:name="_Toc140149466"/>
      <w:bookmarkStart w:id="259" w:name="_Toc149054243"/>
      <w:r>
        <w:rPr>
          <w:rFonts w:hint="eastAsia" w:eastAsia="黑体"/>
          <w:bCs/>
          <w:snapToGrid w:val="0"/>
          <w:color w:val="auto"/>
          <w:kern w:val="0"/>
          <w:sz w:val="28"/>
          <w:szCs w:val="32"/>
        </w:rPr>
        <w:t>附表1建设项目大气环境影响评价自查表</w:t>
      </w:r>
      <w:bookmarkEnd w:id="258"/>
      <w:bookmarkEnd w:id="259"/>
    </w:p>
    <w:tbl>
      <w:tblPr>
        <w:tblStyle w:val="45"/>
        <w:tblW w:w="924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751"/>
        <w:gridCol w:w="1798"/>
        <w:gridCol w:w="940"/>
        <w:gridCol w:w="287"/>
        <w:gridCol w:w="134"/>
        <w:gridCol w:w="178"/>
        <w:gridCol w:w="19"/>
        <w:gridCol w:w="78"/>
        <w:gridCol w:w="17"/>
        <w:gridCol w:w="559"/>
        <w:gridCol w:w="433"/>
        <w:gridCol w:w="489"/>
        <w:gridCol w:w="37"/>
        <w:gridCol w:w="290"/>
        <w:gridCol w:w="162"/>
        <w:gridCol w:w="10"/>
        <w:gridCol w:w="104"/>
        <w:gridCol w:w="42"/>
        <w:gridCol w:w="836"/>
        <w:gridCol w:w="149"/>
        <w:gridCol w:w="415"/>
        <w:gridCol w:w="142"/>
        <w:gridCol w:w="287"/>
        <w:gridCol w:w="1083"/>
      </w:tblGrid>
      <w:tr w14:paraId="07C4E2F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2549" w:type="dxa"/>
            <w:gridSpan w:val="2"/>
            <w:tcBorders>
              <w:top w:val="single" w:color="000000" w:sz="12" w:space="0"/>
              <w:left w:val="single" w:color="000000" w:sz="12" w:space="0"/>
              <w:bottom w:val="single" w:color="000000" w:sz="4" w:space="0"/>
              <w:right w:val="single" w:color="000000" w:sz="4" w:space="0"/>
            </w:tcBorders>
            <w:vAlign w:val="center"/>
          </w:tcPr>
          <w:p w14:paraId="0ECFC043">
            <w:pPr>
              <w:spacing w:line="0" w:lineRule="atLeast"/>
              <w:jc w:val="center"/>
              <w:rPr>
                <w:bCs/>
                <w:color w:val="auto"/>
                <w:kern w:val="0"/>
                <w:szCs w:val="21"/>
              </w:rPr>
            </w:pPr>
            <w:r>
              <w:rPr>
                <w:bCs/>
                <w:color w:val="auto"/>
                <w:kern w:val="0"/>
                <w:szCs w:val="21"/>
              </w:rPr>
              <w:t>工作内容</w:t>
            </w:r>
          </w:p>
        </w:tc>
        <w:tc>
          <w:tcPr>
            <w:tcW w:w="6691" w:type="dxa"/>
            <w:gridSpan w:val="22"/>
            <w:tcBorders>
              <w:top w:val="single" w:color="000000" w:sz="12" w:space="0"/>
              <w:left w:val="single" w:color="000000" w:sz="4" w:space="0"/>
              <w:bottom w:val="single" w:color="000000" w:sz="4" w:space="0"/>
              <w:right w:val="single" w:color="000000" w:sz="12" w:space="0"/>
            </w:tcBorders>
            <w:vAlign w:val="center"/>
          </w:tcPr>
          <w:p w14:paraId="11F0560C">
            <w:pPr>
              <w:spacing w:line="0" w:lineRule="atLeast"/>
              <w:jc w:val="center"/>
              <w:rPr>
                <w:bCs/>
                <w:color w:val="auto"/>
                <w:kern w:val="0"/>
                <w:szCs w:val="21"/>
              </w:rPr>
            </w:pPr>
            <w:r>
              <w:rPr>
                <w:bCs/>
                <w:color w:val="auto"/>
                <w:kern w:val="0"/>
                <w:szCs w:val="21"/>
              </w:rPr>
              <w:t>自查项目</w:t>
            </w:r>
          </w:p>
        </w:tc>
      </w:tr>
      <w:tr w14:paraId="0FA9B8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restart"/>
            <w:tcBorders>
              <w:top w:val="single" w:color="000000" w:sz="4" w:space="0"/>
              <w:left w:val="single" w:color="000000" w:sz="12" w:space="0"/>
              <w:bottom w:val="single" w:color="000000" w:sz="4" w:space="0"/>
              <w:right w:val="single" w:color="000000" w:sz="4" w:space="0"/>
            </w:tcBorders>
            <w:vAlign w:val="center"/>
          </w:tcPr>
          <w:p w14:paraId="01131ED9">
            <w:pPr>
              <w:spacing w:line="0" w:lineRule="atLeast"/>
              <w:jc w:val="center"/>
              <w:rPr>
                <w:bCs/>
                <w:color w:val="auto"/>
                <w:kern w:val="0"/>
                <w:szCs w:val="21"/>
              </w:rPr>
            </w:pPr>
            <w:r>
              <w:rPr>
                <w:bCs/>
                <w:color w:val="auto"/>
                <w:kern w:val="0"/>
                <w:szCs w:val="21"/>
              </w:rPr>
              <w:t>评价等级与范围</w:t>
            </w:r>
          </w:p>
        </w:tc>
        <w:tc>
          <w:tcPr>
            <w:tcW w:w="1798" w:type="dxa"/>
            <w:tcBorders>
              <w:top w:val="single" w:color="000000" w:sz="4" w:space="0"/>
              <w:left w:val="single" w:color="000000" w:sz="4" w:space="0"/>
              <w:bottom w:val="single" w:color="000000" w:sz="4" w:space="0"/>
              <w:right w:val="single" w:color="000000" w:sz="4" w:space="0"/>
            </w:tcBorders>
            <w:vAlign w:val="center"/>
          </w:tcPr>
          <w:p w14:paraId="512E05E6">
            <w:pPr>
              <w:spacing w:line="0" w:lineRule="atLeast"/>
              <w:jc w:val="center"/>
              <w:rPr>
                <w:bCs/>
                <w:color w:val="auto"/>
                <w:kern w:val="0"/>
                <w:szCs w:val="21"/>
              </w:rPr>
            </w:pPr>
            <w:r>
              <w:rPr>
                <w:bCs/>
                <w:color w:val="auto"/>
                <w:kern w:val="0"/>
                <w:szCs w:val="21"/>
              </w:rPr>
              <w:t>评价等级</w:t>
            </w:r>
          </w:p>
        </w:tc>
        <w:tc>
          <w:tcPr>
            <w:tcW w:w="1558" w:type="dxa"/>
            <w:gridSpan w:val="5"/>
            <w:tcBorders>
              <w:top w:val="single" w:color="000000" w:sz="4" w:space="0"/>
              <w:left w:val="single" w:color="000000" w:sz="4" w:space="0"/>
              <w:bottom w:val="single" w:color="000000" w:sz="4" w:space="0"/>
              <w:right w:val="single" w:color="000000" w:sz="4" w:space="0"/>
            </w:tcBorders>
            <w:vAlign w:val="center"/>
          </w:tcPr>
          <w:p w14:paraId="2981B5DE">
            <w:pPr>
              <w:spacing w:line="0" w:lineRule="atLeast"/>
              <w:jc w:val="center"/>
              <w:rPr>
                <w:bCs/>
                <w:color w:val="auto"/>
                <w:kern w:val="0"/>
                <w:szCs w:val="21"/>
              </w:rPr>
            </w:pPr>
            <w:r>
              <w:rPr>
                <w:bCs/>
                <w:color w:val="auto"/>
                <w:kern w:val="0"/>
                <w:szCs w:val="21"/>
              </w:rPr>
              <w:t>一级□</w:t>
            </w:r>
          </w:p>
        </w:tc>
        <w:tc>
          <w:tcPr>
            <w:tcW w:w="3206" w:type="dxa"/>
            <w:gridSpan w:val="13"/>
            <w:tcBorders>
              <w:top w:val="single" w:color="000000" w:sz="4" w:space="0"/>
              <w:left w:val="single" w:color="000000" w:sz="4" w:space="0"/>
              <w:bottom w:val="single" w:color="000000" w:sz="4" w:space="0"/>
              <w:right w:val="single" w:color="000000" w:sz="4" w:space="0"/>
            </w:tcBorders>
            <w:vAlign w:val="center"/>
          </w:tcPr>
          <w:p w14:paraId="5FD55FED">
            <w:pPr>
              <w:spacing w:line="0" w:lineRule="atLeast"/>
              <w:jc w:val="center"/>
              <w:rPr>
                <w:bCs/>
                <w:color w:val="auto"/>
                <w:kern w:val="0"/>
                <w:szCs w:val="21"/>
              </w:rPr>
            </w:pPr>
            <w:r>
              <w:rPr>
                <w:bCs/>
                <w:color w:val="auto"/>
                <w:kern w:val="0"/>
                <w:szCs w:val="21"/>
              </w:rPr>
              <w:t>二级√</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3DD5BC42">
            <w:pPr>
              <w:spacing w:line="0" w:lineRule="atLeast"/>
              <w:jc w:val="center"/>
              <w:rPr>
                <w:bCs/>
                <w:color w:val="auto"/>
                <w:kern w:val="0"/>
                <w:szCs w:val="21"/>
              </w:rPr>
            </w:pPr>
            <w:r>
              <w:rPr>
                <w:bCs/>
                <w:color w:val="auto"/>
                <w:kern w:val="0"/>
                <w:szCs w:val="21"/>
              </w:rPr>
              <w:t>三级□</w:t>
            </w:r>
          </w:p>
        </w:tc>
      </w:tr>
      <w:tr w14:paraId="7FD70A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792CFA60">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561174B">
            <w:pPr>
              <w:spacing w:line="0" w:lineRule="atLeast"/>
              <w:jc w:val="center"/>
              <w:rPr>
                <w:bCs/>
                <w:color w:val="auto"/>
                <w:kern w:val="0"/>
                <w:szCs w:val="21"/>
              </w:rPr>
            </w:pPr>
            <w:r>
              <w:rPr>
                <w:bCs/>
                <w:color w:val="auto"/>
                <w:kern w:val="0"/>
                <w:szCs w:val="21"/>
              </w:rPr>
              <w:t>评价范围</w:t>
            </w:r>
          </w:p>
        </w:tc>
        <w:tc>
          <w:tcPr>
            <w:tcW w:w="1558" w:type="dxa"/>
            <w:gridSpan w:val="5"/>
            <w:tcBorders>
              <w:top w:val="single" w:color="000000" w:sz="4" w:space="0"/>
              <w:left w:val="single" w:color="000000" w:sz="4" w:space="0"/>
              <w:bottom w:val="single" w:color="000000" w:sz="4" w:space="0"/>
              <w:right w:val="single" w:color="000000" w:sz="4" w:space="0"/>
            </w:tcBorders>
            <w:vAlign w:val="center"/>
          </w:tcPr>
          <w:p w14:paraId="5DC5536F">
            <w:pPr>
              <w:spacing w:line="0" w:lineRule="atLeast"/>
              <w:jc w:val="center"/>
              <w:rPr>
                <w:bCs/>
                <w:color w:val="auto"/>
                <w:kern w:val="0"/>
                <w:szCs w:val="21"/>
              </w:rPr>
            </w:pPr>
            <w:r>
              <w:rPr>
                <w:bCs/>
                <w:color w:val="auto"/>
                <w:kern w:val="0"/>
                <w:szCs w:val="21"/>
              </w:rPr>
              <w:t>边长=50km□</w:t>
            </w:r>
          </w:p>
        </w:tc>
        <w:tc>
          <w:tcPr>
            <w:tcW w:w="3206" w:type="dxa"/>
            <w:gridSpan w:val="13"/>
            <w:tcBorders>
              <w:top w:val="single" w:color="000000" w:sz="4" w:space="0"/>
              <w:left w:val="single" w:color="000000" w:sz="4" w:space="0"/>
              <w:bottom w:val="single" w:color="000000" w:sz="4" w:space="0"/>
              <w:right w:val="single" w:color="000000" w:sz="4" w:space="0"/>
            </w:tcBorders>
            <w:vAlign w:val="center"/>
          </w:tcPr>
          <w:p w14:paraId="68E74433">
            <w:pPr>
              <w:spacing w:line="0" w:lineRule="atLeast"/>
              <w:jc w:val="center"/>
              <w:rPr>
                <w:bCs/>
                <w:color w:val="auto"/>
                <w:kern w:val="0"/>
                <w:szCs w:val="21"/>
              </w:rPr>
            </w:pPr>
            <w:r>
              <w:rPr>
                <w:bCs/>
                <w:color w:val="auto"/>
                <w:kern w:val="0"/>
                <w:szCs w:val="21"/>
              </w:rPr>
              <w:t>边长5~50km□</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13A84FA0">
            <w:pPr>
              <w:spacing w:line="0" w:lineRule="atLeast"/>
              <w:jc w:val="center"/>
              <w:rPr>
                <w:rFonts w:hint="eastAsia" w:eastAsia="宋体"/>
                <w:bCs/>
                <w:color w:val="auto"/>
                <w:kern w:val="0"/>
                <w:szCs w:val="21"/>
                <w:lang w:eastAsia="zh-CN"/>
              </w:rPr>
            </w:pPr>
            <w:r>
              <w:rPr>
                <w:bCs/>
                <w:color w:val="auto"/>
                <w:kern w:val="0"/>
                <w:szCs w:val="21"/>
              </w:rPr>
              <w:t>边长=5km</w:t>
            </w:r>
            <w:r>
              <w:rPr>
                <w:rFonts w:hint="eastAsia"/>
                <w:bCs/>
                <w:color w:val="auto"/>
                <w:kern w:val="0"/>
                <w:szCs w:val="21"/>
                <w:lang w:eastAsia="zh-CN"/>
              </w:rPr>
              <w:t>☑</w:t>
            </w:r>
          </w:p>
        </w:tc>
      </w:tr>
      <w:tr w14:paraId="50A6BFE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restart"/>
            <w:tcBorders>
              <w:top w:val="single" w:color="000000" w:sz="4" w:space="0"/>
              <w:left w:val="single" w:color="000000" w:sz="12" w:space="0"/>
              <w:bottom w:val="single" w:color="000000" w:sz="4" w:space="0"/>
              <w:right w:val="single" w:color="000000" w:sz="4" w:space="0"/>
            </w:tcBorders>
            <w:vAlign w:val="center"/>
          </w:tcPr>
          <w:p w14:paraId="66A1C4AB">
            <w:pPr>
              <w:spacing w:line="0" w:lineRule="atLeast"/>
              <w:jc w:val="center"/>
              <w:rPr>
                <w:bCs/>
                <w:color w:val="auto"/>
                <w:kern w:val="0"/>
                <w:szCs w:val="21"/>
              </w:rPr>
            </w:pPr>
            <w:r>
              <w:rPr>
                <w:bCs/>
                <w:color w:val="auto"/>
                <w:kern w:val="0"/>
                <w:szCs w:val="21"/>
              </w:rPr>
              <w:t>评价因子</w:t>
            </w:r>
          </w:p>
        </w:tc>
        <w:tc>
          <w:tcPr>
            <w:tcW w:w="1798" w:type="dxa"/>
            <w:tcBorders>
              <w:top w:val="single" w:color="000000" w:sz="4" w:space="0"/>
              <w:left w:val="single" w:color="000000" w:sz="4" w:space="0"/>
              <w:bottom w:val="single" w:color="000000" w:sz="4" w:space="0"/>
              <w:right w:val="single" w:color="000000" w:sz="4" w:space="0"/>
            </w:tcBorders>
            <w:vAlign w:val="center"/>
          </w:tcPr>
          <w:p w14:paraId="2AB77DF1">
            <w:pPr>
              <w:spacing w:line="0" w:lineRule="atLeast"/>
              <w:jc w:val="center"/>
              <w:rPr>
                <w:bCs/>
                <w:color w:val="auto"/>
                <w:kern w:val="0"/>
                <w:szCs w:val="21"/>
              </w:rPr>
            </w:pPr>
            <w:r>
              <w:rPr>
                <w:bCs/>
                <w:color w:val="auto"/>
                <w:kern w:val="0"/>
                <w:szCs w:val="21"/>
              </w:rPr>
              <w:t>SO</w:t>
            </w:r>
            <w:r>
              <w:rPr>
                <w:bCs/>
                <w:color w:val="auto"/>
                <w:kern w:val="0"/>
                <w:szCs w:val="21"/>
                <w:vertAlign w:val="subscript"/>
              </w:rPr>
              <w:t>2</w:t>
            </w:r>
            <w:r>
              <w:rPr>
                <w:bCs/>
                <w:color w:val="auto"/>
                <w:kern w:val="0"/>
                <w:szCs w:val="21"/>
              </w:rPr>
              <w:t>+NO</w:t>
            </w:r>
            <w:r>
              <w:rPr>
                <w:bCs/>
                <w:color w:val="auto"/>
                <w:kern w:val="0"/>
                <w:szCs w:val="21"/>
                <w:vertAlign w:val="subscript"/>
              </w:rPr>
              <w:t>X</w:t>
            </w:r>
            <w:r>
              <w:rPr>
                <w:bCs/>
                <w:color w:val="auto"/>
                <w:kern w:val="0"/>
                <w:szCs w:val="21"/>
              </w:rPr>
              <w:t>排放量</w:t>
            </w:r>
          </w:p>
        </w:tc>
        <w:tc>
          <w:tcPr>
            <w:tcW w:w="1558" w:type="dxa"/>
            <w:gridSpan w:val="5"/>
            <w:tcBorders>
              <w:top w:val="single" w:color="000000" w:sz="4" w:space="0"/>
              <w:left w:val="single" w:color="000000" w:sz="4" w:space="0"/>
              <w:bottom w:val="single" w:color="000000" w:sz="4" w:space="0"/>
              <w:right w:val="single" w:color="000000" w:sz="4" w:space="0"/>
            </w:tcBorders>
            <w:vAlign w:val="center"/>
          </w:tcPr>
          <w:p w14:paraId="2E87A36B">
            <w:pPr>
              <w:spacing w:line="0" w:lineRule="atLeast"/>
              <w:jc w:val="center"/>
              <w:rPr>
                <w:bCs/>
                <w:color w:val="auto"/>
                <w:kern w:val="0"/>
                <w:szCs w:val="21"/>
              </w:rPr>
            </w:pPr>
            <w:r>
              <w:rPr>
                <w:bCs/>
                <w:color w:val="auto"/>
                <w:kern w:val="0"/>
                <w:szCs w:val="21"/>
              </w:rPr>
              <w:t>≥2000t/a□</w:t>
            </w:r>
          </w:p>
        </w:tc>
        <w:tc>
          <w:tcPr>
            <w:tcW w:w="3206" w:type="dxa"/>
            <w:gridSpan w:val="13"/>
            <w:tcBorders>
              <w:top w:val="single" w:color="000000" w:sz="4" w:space="0"/>
              <w:left w:val="single" w:color="000000" w:sz="4" w:space="0"/>
              <w:bottom w:val="single" w:color="000000" w:sz="4" w:space="0"/>
              <w:right w:val="single" w:color="000000" w:sz="4" w:space="0"/>
            </w:tcBorders>
            <w:vAlign w:val="center"/>
          </w:tcPr>
          <w:p w14:paraId="269C0ECA">
            <w:pPr>
              <w:spacing w:line="0" w:lineRule="atLeast"/>
              <w:jc w:val="center"/>
              <w:rPr>
                <w:bCs/>
                <w:color w:val="auto"/>
                <w:kern w:val="0"/>
                <w:szCs w:val="21"/>
              </w:rPr>
            </w:pPr>
            <w:r>
              <w:rPr>
                <w:bCs/>
                <w:color w:val="auto"/>
                <w:kern w:val="0"/>
                <w:szCs w:val="21"/>
              </w:rPr>
              <w:t>500~2000t/a□</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386D8DE8">
            <w:pPr>
              <w:spacing w:line="0" w:lineRule="atLeast"/>
              <w:jc w:val="center"/>
              <w:rPr>
                <w:bCs/>
                <w:color w:val="auto"/>
                <w:kern w:val="0"/>
                <w:szCs w:val="21"/>
              </w:rPr>
            </w:pPr>
            <w:r>
              <w:rPr>
                <w:bCs/>
                <w:color w:val="auto"/>
                <w:kern w:val="0"/>
                <w:szCs w:val="21"/>
              </w:rPr>
              <w:t>&lt;500t/a√</w:t>
            </w:r>
          </w:p>
        </w:tc>
      </w:tr>
      <w:tr w14:paraId="72CB8D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3DD331C5">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833BF6C">
            <w:pPr>
              <w:spacing w:line="0" w:lineRule="atLeast"/>
              <w:jc w:val="center"/>
              <w:rPr>
                <w:bCs/>
                <w:color w:val="auto"/>
                <w:kern w:val="0"/>
                <w:szCs w:val="21"/>
              </w:rPr>
            </w:pPr>
            <w:r>
              <w:rPr>
                <w:bCs/>
                <w:color w:val="auto"/>
                <w:kern w:val="0"/>
                <w:szCs w:val="21"/>
              </w:rPr>
              <w:t>评价因子</w:t>
            </w:r>
          </w:p>
        </w:tc>
        <w:tc>
          <w:tcPr>
            <w:tcW w:w="4764" w:type="dxa"/>
            <w:gridSpan w:val="18"/>
            <w:tcBorders>
              <w:top w:val="single" w:color="000000" w:sz="4" w:space="0"/>
              <w:left w:val="single" w:color="000000" w:sz="4" w:space="0"/>
              <w:bottom w:val="single" w:color="000000" w:sz="4" w:space="0"/>
              <w:right w:val="single" w:color="000000" w:sz="4" w:space="0"/>
            </w:tcBorders>
            <w:vAlign w:val="center"/>
          </w:tcPr>
          <w:p w14:paraId="7D8B4DF0">
            <w:pPr>
              <w:spacing w:line="0" w:lineRule="atLeast"/>
              <w:jc w:val="center"/>
              <w:rPr>
                <w:bCs/>
                <w:color w:val="auto"/>
                <w:kern w:val="0"/>
                <w:szCs w:val="21"/>
              </w:rPr>
            </w:pPr>
            <w:r>
              <w:rPr>
                <w:bCs/>
                <w:color w:val="auto"/>
                <w:kern w:val="0"/>
                <w:szCs w:val="21"/>
              </w:rPr>
              <w:t>基本污染物（PM</w:t>
            </w:r>
            <w:r>
              <w:rPr>
                <w:bCs/>
                <w:color w:val="auto"/>
                <w:kern w:val="0"/>
                <w:szCs w:val="21"/>
                <w:vertAlign w:val="subscript"/>
              </w:rPr>
              <w:t>10</w:t>
            </w:r>
            <w:r>
              <w:rPr>
                <w:bCs/>
                <w:color w:val="auto"/>
                <w:kern w:val="0"/>
                <w:szCs w:val="21"/>
              </w:rPr>
              <w:t>、PM</w:t>
            </w:r>
            <w:r>
              <w:rPr>
                <w:bCs/>
                <w:color w:val="auto"/>
                <w:kern w:val="0"/>
                <w:szCs w:val="21"/>
                <w:vertAlign w:val="subscript"/>
              </w:rPr>
              <w:t>2.5</w:t>
            </w:r>
            <w:r>
              <w:rPr>
                <w:bCs/>
                <w:color w:val="auto"/>
                <w:kern w:val="0"/>
                <w:szCs w:val="21"/>
              </w:rPr>
              <w:t>、SO</w:t>
            </w:r>
            <w:r>
              <w:rPr>
                <w:bCs/>
                <w:color w:val="auto"/>
                <w:kern w:val="0"/>
                <w:szCs w:val="21"/>
                <w:vertAlign w:val="subscript"/>
              </w:rPr>
              <w:t>2</w:t>
            </w:r>
            <w:r>
              <w:rPr>
                <w:bCs/>
                <w:color w:val="auto"/>
                <w:kern w:val="0"/>
                <w:szCs w:val="21"/>
              </w:rPr>
              <w:t>、NO</w:t>
            </w:r>
            <w:r>
              <w:rPr>
                <w:bCs/>
                <w:color w:val="auto"/>
                <w:kern w:val="0"/>
                <w:szCs w:val="21"/>
                <w:vertAlign w:val="subscript"/>
              </w:rPr>
              <w:t>2</w:t>
            </w:r>
            <w:r>
              <w:rPr>
                <w:bCs/>
                <w:color w:val="auto"/>
                <w:kern w:val="0"/>
                <w:szCs w:val="21"/>
              </w:rPr>
              <w:t>、CO、O</w:t>
            </w:r>
            <w:r>
              <w:rPr>
                <w:bCs/>
                <w:color w:val="auto"/>
                <w:kern w:val="0"/>
                <w:szCs w:val="21"/>
                <w:vertAlign w:val="subscript"/>
              </w:rPr>
              <w:t>3</w:t>
            </w:r>
            <w:r>
              <w:rPr>
                <w:bCs/>
                <w:color w:val="auto"/>
                <w:kern w:val="0"/>
                <w:szCs w:val="21"/>
              </w:rPr>
              <w:t>）其他污染物（TSP）</w:t>
            </w:r>
          </w:p>
        </w:tc>
        <w:tc>
          <w:tcPr>
            <w:tcW w:w="1927" w:type="dxa"/>
            <w:gridSpan w:val="4"/>
            <w:tcBorders>
              <w:top w:val="single" w:color="000000" w:sz="4" w:space="0"/>
              <w:left w:val="single" w:color="auto" w:sz="4" w:space="0"/>
              <w:bottom w:val="single" w:color="000000" w:sz="4" w:space="0"/>
              <w:right w:val="single" w:color="000000" w:sz="12" w:space="0"/>
            </w:tcBorders>
            <w:vAlign w:val="center"/>
          </w:tcPr>
          <w:p w14:paraId="6B0155CE">
            <w:pPr>
              <w:spacing w:line="0" w:lineRule="atLeast"/>
              <w:jc w:val="center"/>
              <w:rPr>
                <w:bCs/>
                <w:color w:val="auto"/>
                <w:kern w:val="0"/>
                <w:szCs w:val="21"/>
              </w:rPr>
            </w:pPr>
            <w:r>
              <w:rPr>
                <w:bCs/>
                <w:color w:val="auto"/>
                <w:kern w:val="0"/>
                <w:szCs w:val="21"/>
              </w:rPr>
              <w:t xml:space="preserve">  包括二次PM</w:t>
            </w:r>
            <w:r>
              <w:rPr>
                <w:bCs/>
                <w:color w:val="auto"/>
                <w:kern w:val="0"/>
                <w:szCs w:val="21"/>
                <w:vertAlign w:val="subscript"/>
              </w:rPr>
              <w:t>2.5</w:t>
            </w:r>
            <w:r>
              <w:rPr>
                <w:bCs/>
                <w:color w:val="auto"/>
                <w:kern w:val="0"/>
                <w:szCs w:val="21"/>
              </w:rPr>
              <w:t>□</w:t>
            </w:r>
          </w:p>
          <w:p w14:paraId="07E51FB8">
            <w:pPr>
              <w:spacing w:line="0" w:lineRule="atLeast"/>
              <w:jc w:val="center"/>
              <w:rPr>
                <w:bCs/>
                <w:color w:val="auto"/>
                <w:kern w:val="0"/>
                <w:szCs w:val="21"/>
              </w:rPr>
            </w:pPr>
            <w:r>
              <w:rPr>
                <w:bCs/>
                <w:color w:val="auto"/>
                <w:kern w:val="0"/>
                <w:szCs w:val="21"/>
              </w:rPr>
              <w:t>不包括二次PM</w:t>
            </w:r>
            <w:r>
              <w:rPr>
                <w:bCs/>
                <w:color w:val="auto"/>
                <w:kern w:val="0"/>
                <w:szCs w:val="21"/>
                <w:vertAlign w:val="subscript"/>
              </w:rPr>
              <w:t>2.5</w:t>
            </w:r>
            <w:r>
              <w:rPr>
                <w:bCs/>
                <w:color w:val="auto"/>
                <w:kern w:val="0"/>
                <w:szCs w:val="21"/>
              </w:rPr>
              <w:t>√</w:t>
            </w:r>
          </w:p>
        </w:tc>
      </w:tr>
      <w:tr w14:paraId="6F799D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tcBorders>
              <w:top w:val="single" w:color="000000" w:sz="4" w:space="0"/>
              <w:left w:val="single" w:color="000000" w:sz="12" w:space="0"/>
              <w:bottom w:val="single" w:color="000000" w:sz="4" w:space="0"/>
              <w:right w:val="single" w:color="000000" w:sz="4" w:space="0"/>
            </w:tcBorders>
            <w:vAlign w:val="center"/>
          </w:tcPr>
          <w:p w14:paraId="02777E62">
            <w:pPr>
              <w:spacing w:line="0" w:lineRule="atLeast"/>
              <w:jc w:val="center"/>
              <w:rPr>
                <w:bCs/>
                <w:color w:val="auto"/>
                <w:kern w:val="0"/>
                <w:szCs w:val="21"/>
              </w:rPr>
            </w:pPr>
            <w:r>
              <w:rPr>
                <w:bCs/>
                <w:color w:val="auto"/>
                <w:kern w:val="0"/>
                <w:szCs w:val="21"/>
              </w:rPr>
              <w:t>评价标准</w:t>
            </w:r>
          </w:p>
        </w:tc>
        <w:tc>
          <w:tcPr>
            <w:tcW w:w="1798" w:type="dxa"/>
            <w:tcBorders>
              <w:top w:val="single" w:color="000000" w:sz="4" w:space="0"/>
              <w:left w:val="single" w:color="000000" w:sz="4" w:space="0"/>
              <w:bottom w:val="single" w:color="000000" w:sz="4" w:space="0"/>
              <w:right w:val="single" w:color="000000" w:sz="4" w:space="0"/>
            </w:tcBorders>
            <w:vAlign w:val="center"/>
          </w:tcPr>
          <w:p w14:paraId="3F143356">
            <w:pPr>
              <w:spacing w:line="0" w:lineRule="atLeast"/>
              <w:jc w:val="center"/>
              <w:rPr>
                <w:bCs/>
                <w:color w:val="auto"/>
                <w:kern w:val="0"/>
                <w:szCs w:val="21"/>
              </w:rPr>
            </w:pPr>
            <w:r>
              <w:rPr>
                <w:bCs/>
                <w:color w:val="auto"/>
                <w:kern w:val="0"/>
                <w:szCs w:val="21"/>
              </w:rPr>
              <w:t>评价标准</w:t>
            </w:r>
          </w:p>
        </w:tc>
        <w:tc>
          <w:tcPr>
            <w:tcW w:w="1227" w:type="dxa"/>
            <w:gridSpan w:val="2"/>
            <w:tcBorders>
              <w:top w:val="single" w:color="000000" w:sz="4" w:space="0"/>
              <w:left w:val="single" w:color="000000" w:sz="4" w:space="0"/>
              <w:bottom w:val="single" w:color="000000" w:sz="4" w:space="0"/>
              <w:right w:val="single" w:color="000000" w:sz="4" w:space="0"/>
            </w:tcBorders>
            <w:vAlign w:val="center"/>
          </w:tcPr>
          <w:p w14:paraId="45C8A908">
            <w:pPr>
              <w:spacing w:line="0" w:lineRule="atLeast"/>
              <w:jc w:val="center"/>
              <w:rPr>
                <w:bCs/>
                <w:color w:val="auto"/>
                <w:kern w:val="0"/>
                <w:szCs w:val="21"/>
              </w:rPr>
            </w:pPr>
            <w:r>
              <w:rPr>
                <w:bCs/>
                <w:color w:val="auto"/>
                <w:kern w:val="0"/>
                <w:szCs w:val="21"/>
              </w:rPr>
              <w:t>国家标准√</w:t>
            </w:r>
          </w:p>
        </w:tc>
        <w:tc>
          <w:tcPr>
            <w:tcW w:w="2510" w:type="dxa"/>
            <w:gridSpan w:val="13"/>
            <w:tcBorders>
              <w:top w:val="single" w:color="000000" w:sz="4" w:space="0"/>
              <w:left w:val="single" w:color="auto" w:sz="4" w:space="0"/>
              <w:bottom w:val="single" w:color="000000" w:sz="4" w:space="0"/>
              <w:right w:val="single" w:color="auto" w:sz="4" w:space="0"/>
            </w:tcBorders>
            <w:vAlign w:val="center"/>
          </w:tcPr>
          <w:p w14:paraId="611DA420">
            <w:pPr>
              <w:spacing w:line="0" w:lineRule="atLeast"/>
              <w:jc w:val="center"/>
              <w:rPr>
                <w:bCs/>
                <w:color w:val="auto"/>
                <w:kern w:val="0"/>
                <w:szCs w:val="21"/>
              </w:rPr>
            </w:pPr>
            <w:r>
              <w:rPr>
                <w:bCs/>
                <w:color w:val="auto"/>
                <w:kern w:val="0"/>
                <w:szCs w:val="21"/>
              </w:rPr>
              <w:t>地方标准□</w:t>
            </w:r>
          </w:p>
        </w:tc>
        <w:tc>
          <w:tcPr>
            <w:tcW w:w="1442" w:type="dxa"/>
            <w:gridSpan w:val="4"/>
            <w:tcBorders>
              <w:top w:val="single" w:color="000000" w:sz="4" w:space="0"/>
              <w:left w:val="single" w:color="auto" w:sz="4" w:space="0"/>
              <w:bottom w:val="single" w:color="000000" w:sz="4" w:space="0"/>
              <w:right w:val="single" w:color="auto" w:sz="4" w:space="0"/>
            </w:tcBorders>
            <w:vAlign w:val="center"/>
          </w:tcPr>
          <w:p w14:paraId="6BC5D759">
            <w:pPr>
              <w:spacing w:line="0" w:lineRule="atLeast"/>
              <w:jc w:val="center"/>
              <w:rPr>
                <w:bCs/>
                <w:color w:val="auto"/>
                <w:kern w:val="0"/>
                <w:szCs w:val="21"/>
              </w:rPr>
            </w:pPr>
            <w:r>
              <w:rPr>
                <w:bCs/>
                <w:color w:val="auto"/>
                <w:kern w:val="0"/>
                <w:szCs w:val="21"/>
              </w:rPr>
              <w:t>附录D□</w:t>
            </w:r>
          </w:p>
        </w:tc>
        <w:tc>
          <w:tcPr>
            <w:tcW w:w="1512" w:type="dxa"/>
            <w:gridSpan w:val="3"/>
            <w:tcBorders>
              <w:top w:val="single" w:color="000000" w:sz="4" w:space="0"/>
              <w:left w:val="single" w:color="auto" w:sz="4" w:space="0"/>
              <w:bottom w:val="single" w:color="000000" w:sz="4" w:space="0"/>
              <w:right w:val="single" w:color="000000" w:sz="12" w:space="0"/>
            </w:tcBorders>
            <w:vAlign w:val="center"/>
          </w:tcPr>
          <w:p w14:paraId="1EF489E9">
            <w:pPr>
              <w:spacing w:line="0" w:lineRule="atLeast"/>
              <w:jc w:val="center"/>
              <w:rPr>
                <w:bCs/>
                <w:color w:val="auto"/>
                <w:kern w:val="0"/>
                <w:szCs w:val="21"/>
              </w:rPr>
            </w:pPr>
            <w:r>
              <w:rPr>
                <w:bCs/>
                <w:color w:val="auto"/>
                <w:kern w:val="0"/>
                <w:szCs w:val="21"/>
              </w:rPr>
              <w:t>其他标准□</w:t>
            </w:r>
          </w:p>
        </w:tc>
      </w:tr>
      <w:tr w14:paraId="4BED585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restart"/>
            <w:tcBorders>
              <w:top w:val="single" w:color="000000" w:sz="4" w:space="0"/>
              <w:left w:val="single" w:color="000000" w:sz="12" w:space="0"/>
              <w:bottom w:val="single" w:color="000000" w:sz="4" w:space="0"/>
              <w:right w:val="single" w:color="000000" w:sz="4" w:space="0"/>
            </w:tcBorders>
            <w:vAlign w:val="center"/>
          </w:tcPr>
          <w:p w14:paraId="7D552387">
            <w:pPr>
              <w:spacing w:line="0" w:lineRule="atLeast"/>
              <w:jc w:val="center"/>
              <w:rPr>
                <w:bCs/>
                <w:color w:val="auto"/>
                <w:kern w:val="0"/>
                <w:szCs w:val="21"/>
              </w:rPr>
            </w:pPr>
            <w:r>
              <w:rPr>
                <w:bCs/>
                <w:color w:val="auto"/>
                <w:kern w:val="0"/>
                <w:szCs w:val="21"/>
              </w:rPr>
              <w:t>现状评价</w:t>
            </w:r>
          </w:p>
        </w:tc>
        <w:tc>
          <w:tcPr>
            <w:tcW w:w="1798" w:type="dxa"/>
            <w:tcBorders>
              <w:top w:val="single" w:color="000000" w:sz="4" w:space="0"/>
              <w:left w:val="single" w:color="000000" w:sz="4" w:space="0"/>
              <w:bottom w:val="single" w:color="000000" w:sz="4" w:space="0"/>
              <w:right w:val="single" w:color="000000" w:sz="4" w:space="0"/>
            </w:tcBorders>
            <w:vAlign w:val="center"/>
          </w:tcPr>
          <w:p w14:paraId="207FFAE3">
            <w:pPr>
              <w:spacing w:line="0" w:lineRule="atLeast"/>
              <w:jc w:val="center"/>
              <w:rPr>
                <w:bCs/>
                <w:color w:val="auto"/>
                <w:kern w:val="0"/>
                <w:szCs w:val="21"/>
              </w:rPr>
            </w:pPr>
            <w:r>
              <w:rPr>
                <w:bCs/>
                <w:color w:val="auto"/>
                <w:kern w:val="0"/>
                <w:szCs w:val="21"/>
              </w:rPr>
              <w:t>环境功能区</w:t>
            </w:r>
          </w:p>
        </w:tc>
        <w:tc>
          <w:tcPr>
            <w:tcW w:w="1558" w:type="dxa"/>
            <w:gridSpan w:val="5"/>
            <w:tcBorders>
              <w:top w:val="single" w:color="000000" w:sz="4" w:space="0"/>
              <w:left w:val="single" w:color="000000" w:sz="4" w:space="0"/>
              <w:bottom w:val="single" w:color="000000" w:sz="4" w:space="0"/>
              <w:right w:val="single" w:color="000000" w:sz="4" w:space="0"/>
            </w:tcBorders>
            <w:vAlign w:val="center"/>
          </w:tcPr>
          <w:p w14:paraId="379732AA">
            <w:pPr>
              <w:spacing w:line="0" w:lineRule="atLeast"/>
              <w:jc w:val="center"/>
              <w:rPr>
                <w:bCs/>
                <w:color w:val="auto"/>
                <w:kern w:val="0"/>
                <w:szCs w:val="21"/>
              </w:rPr>
            </w:pPr>
            <w:r>
              <w:rPr>
                <w:bCs/>
                <w:color w:val="auto"/>
                <w:kern w:val="0"/>
                <w:szCs w:val="21"/>
              </w:rPr>
              <w:t>一类区□</w:t>
            </w:r>
          </w:p>
        </w:tc>
        <w:tc>
          <w:tcPr>
            <w:tcW w:w="3206" w:type="dxa"/>
            <w:gridSpan w:val="13"/>
            <w:tcBorders>
              <w:top w:val="single" w:color="000000" w:sz="4" w:space="0"/>
              <w:left w:val="single" w:color="000000" w:sz="4" w:space="0"/>
              <w:bottom w:val="single" w:color="000000" w:sz="4" w:space="0"/>
              <w:right w:val="single" w:color="000000" w:sz="4" w:space="0"/>
            </w:tcBorders>
            <w:vAlign w:val="center"/>
          </w:tcPr>
          <w:p w14:paraId="5E8F9A7E">
            <w:pPr>
              <w:spacing w:line="0" w:lineRule="atLeast"/>
              <w:jc w:val="center"/>
              <w:rPr>
                <w:bCs/>
                <w:color w:val="auto"/>
                <w:kern w:val="0"/>
                <w:szCs w:val="21"/>
              </w:rPr>
            </w:pPr>
            <w:r>
              <w:rPr>
                <w:bCs/>
                <w:color w:val="auto"/>
                <w:kern w:val="0"/>
                <w:szCs w:val="21"/>
              </w:rPr>
              <w:t>二类区√</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47916AD3">
            <w:pPr>
              <w:spacing w:line="0" w:lineRule="atLeast"/>
              <w:jc w:val="center"/>
              <w:rPr>
                <w:bCs/>
                <w:color w:val="auto"/>
                <w:kern w:val="0"/>
                <w:szCs w:val="21"/>
              </w:rPr>
            </w:pPr>
            <w:r>
              <w:rPr>
                <w:bCs/>
                <w:color w:val="auto"/>
                <w:kern w:val="0"/>
                <w:szCs w:val="21"/>
              </w:rPr>
              <w:t>一类区和二类区□</w:t>
            </w:r>
          </w:p>
        </w:tc>
      </w:tr>
      <w:tr w14:paraId="3BE241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3B70DB1B">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E3141A6">
            <w:pPr>
              <w:spacing w:line="0" w:lineRule="atLeast"/>
              <w:jc w:val="center"/>
              <w:rPr>
                <w:bCs/>
                <w:color w:val="auto"/>
                <w:kern w:val="0"/>
                <w:szCs w:val="21"/>
              </w:rPr>
            </w:pPr>
            <w:r>
              <w:rPr>
                <w:bCs/>
                <w:color w:val="auto"/>
                <w:kern w:val="0"/>
                <w:szCs w:val="21"/>
              </w:rPr>
              <w:t>评价基准年</w:t>
            </w:r>
          </w:p>
        </w:tc>
        <w:tc>
          <w:tcPr>
            <w:tcW w:w="6691" w:type="dxa"/>
            <w:gridSpan w:val="22"/>
            <w:tcBorders>
              <w:top w:val="single" w:color="000000" w:sz="4" w:space="0"/>
              <w:left w:val="single" w:color="000000" w:sz="4" w:space="0"/>
              <w:bottom w:val="single" w:color="000000" w:sz="4" w:space="0"/>
              <w:right w:val="single" w:color="000000" w:sz="12" w:space="0"/>
            </w:tcBorders>
            <w:vAlign w:val="center"/>
          </w:tcPr>
          <w:p w14:paraId="3F19B661">
            <w:pPr>
              <w:spacing w:line="0" w:lineRule="atLeast"/>
              <w:jc w:val="center"/>
              <w:rPr>
                <w:bCs/>
                <w:color w:val="auto"/>
                <w:kern w:val="0"/>
                <w:szCs w:val="21"/>
              </w:rPr>
            </w:pPr>
            <w:r>
              <w:rPr>
                <w:bCs/>
                <w:color w:val="auto"/>
                <w:kern w:val="0"/>
                <w:szCs w:val="21"/>
              </w:rPr>
              <w:t>（20</w:t>
            </w:r>
            <w:r>
              <w:rPr>
                <w:rFonts w:hint="eastAsia"/>
                <w:bCs/>
                <w:color w:val="auto"/>
                <w:kern w:val="0"/>
                <w:szCs w:val="21"/>
              </w:rPr>
              <w:t>2</w:t>
            </w:r>
            <w:r>
              <w:rPr>
                <w:rFonts w:hint="eastAsia"/>
                <w:bCs/>
                <w:color w:val="auto"/>
                <w:kern w:val="0"/>
                <w:szCs w:val="21"/>
                <w:lang w:val="en-US" w:eastAsia="zh-CN"/>
              </w:rPr>
              <w:t>5</w:t>
            </w:r>
            <w:r>
              <w:rPr>
                <w:bCs/>
                <w:color w:val="auto"/>
                <w:kern w:val="0"/>
                <w:szCs w:val="21"/>
              </w:rPr>
              <w:t>）年</w:t>
            </w:r>
          </w:p>
        </w:tc>
      </w:tr>
      <w:tr w14:paraId="1965AE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66E07E94">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128AC527">
            <w:pPr>
              <w:spacing w:line="0" w:lineRule="atLeast"/>
              <w:jc w:val="center"/>
              <w:rPr>
                <w:bCs/>
                <w:color w:val="auto"/>
                <w:kern w:val="0"/>
                <w:szCs w:val="21"/>
              </w:rPr>
            </w:pPr>
            <w:r>
              <w:rPr>
                <w:bCs/>
                <w:color w:val="auto"/>
                <w:kern w:val="0"/>
                <w:szCs w:val="21"/>
              </w:rPr>
              <w:t>环境空气质量现状调查数据来源</w:t>
            </w:r>
          </w:p>
        </w:tc>
        <w:tc>
          <w:tcPr>
            <w:tcW w:w="1558" w:type="dxa"/>
            <w:gridSpan w:val="5"/>
            <w:tcBorders>
              <w:top w:val="single" w:color="000000" w:sz="4" w:space="0"/>
              <w:left w:val="single" w:color="000000" w:sz="4" w:space="0"/>
              <w:bottom w:val="single" w:color="000000" w:sz="4" w:space="0"/>
              <w:right w:val="single" w:color="000000" w:sz="4" w:space="0"/>
            </w:tcBorders>
            <w:vAlign w:val="center"/>
          </w:tcPr>
          <w:p w14:paraId="00F0C541">
            <w:pPr>
              <w:spacing w:line="0" w:lineRule="atLeast"/>
              <w:jc w:val="center"/>
              <w:rPr>
                <w:bCs/>
                <w:color w:val="auto"/>
                <w:kern w:val="0"/>
                <w:szCs w:val="21"/>
              </w:rPr>
            </w:pPr>
            <w:r>
              <w:rPr>
                <w:bCs/>
                <w:color w:val="auto"/>
                <w:kern w:val="0"/>
                <w:szCs w:val="21"/>
              </w:rPr>
              <w:t>长期例行监测数据□</w:t>
            </w:r>
          </w:p>
        </w:tc>
        <w:tc>
          <w:tcPr>
            <w:tcW w:w="3206" w:type="dxa"/>
            <w:gridSpan w:val="13"/>
            <w:tcBorders>
              <w:top w:val="single" w:color="000000" w:sz="4" w:space="0"/>
              <w:left w:val="single" w:color="000000" w:sz="4" w:space="0"/>
              <w:bottom w:val="single" w:color="000000" w:sz="4" w:space="0"/>
              <w:right w:val="single" w:color="000000" w:sz="4" w:space="0"/>
            </w:tcBorders>
            <w:vAlign w:val="center"/>
          </w:tcPr>
          <w:p w14:paraId="77D4C73B">
            <w:pPr>
              <w:spacing w:line="0" w:lineRule="atLeast"/>
              <w:jc w:val="center"/>
              <w:rPr>
                <w:bCs/>
                <w:color w:val="auto"/>
                <w:kern w:val="0"/>
                <w:szCs w:val="21"/>
              </w:rPr>
            </w:pPr>
            <w:r>
              <w:rPr>
                <w:bCs/>
                <w:color w:val="auto"/>
                <w:kern w:val="0"/>
                <w:szCs w:val="21"/>
              </w:rPr>
              <w:t>主管部门发布的数据√</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53E9FA04">
            <w:pPr>
              <w:spacing w:line="0" w:lineRule="atLeast"/>
              <w:jc w:val="center"/>
              <w:rPr>
                <w:bCs/>
                <w:color w:val="auto"/>
                <w:kern w:val="0"/>
                <w:szCs w:val="21"/>
              </w:rPr>
            </w:pPr>
            <w:r>
              <w:rPr>
                <w:bCs/>
                <w:color w:val="auto"/>
                <w:kern w:val="0"/>
                <w:szCs w:val="21"/>
              </w:rPr>
              <w:t>现状补充监测√</w:t>
            </w:r>
          </w:p>
        </w:tc>
      </w:tr>
      <w:tr w14:paraId="1090DF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7B21F8E1">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D7C8070">
            <w:pPr>
              <w:spacing w:line="0" w:lineRule="atLeast"/>
              <w:jc w:val="center"/>
              <w:rPr>
                <w:bCs/>
                <w:color w:val="auto"/>
                <w:kern w:val="0"/>
                <w:szCs w:val="21"/>
              </w:rPr>
            </w:pPr>
            <w:r>
              <w:rPr>
                <w:bCs/>
                <w:color w:val="auto"/>
                <w:kern w:val="0"/>
                <w:szCs w:val="21"/>
              </w:rPr>
              <w:t>现状评价</w:t>
            </w:r>
          </w:p>
        </w:tc>
        <w:tc>
          <w:tcPr>
            <w:tcW w:w="3171" w:type="dxa"/>
            <w:gridSpan w:val="11"/>
            <w:tcBorders>
              <w:top w:val="single" w:color="000000" w:sz="4" w:space="0"/>
              <w:left w:val="single" w:color="000000" w:sz="4" w:space="0"/>
              <w:bottom w:val="single" w:color="000000" w:sz="4" w:space="0"/>
              <w:right w:val="single" w:color="000000" w:sz="4" w:space="0"/>
            </w:tcBorders>
            <w:vAlign w:val="center"/>
          </w:tcPr>
          <w:p w14:paraId="10CE6136">
            <w:pPr>
              <w:spacing w:line="0" w:lineRule="atLeast"/>
              <w:jc w:val="center"/>
              <w:rPr>
                <w:bCs/>
                <w:color w:val="auto"/>
                <w:kern w:val="0"/>
                <w:szCs w:val="21"/>
              </w:rPr>
            </w:pPr>
            <w:r>
              <w:rPr>
                <w:bCs/>
                <w:color w:val="auto"/>
                <w:kern w:val="0"/>
                <w:szCs w:val="21"/>
              </w:rPr>
              <w:t>达标区√</w:t>
            </w:r>
          </w:p>
        </w:tc>
        <w:tc>
          <w:tcPr>
            <w:tcW w:w="3520" w:type="dxa"/>
            <w:gridSpan w:val="11"/>
            <w:tcBorders>
              <w:top w:val="single" w:color="000000" w:sz="4" w:space="0"/>
              <w:left w:val="single" w:color="auto" w:sz="4" w:space="0"/>
              <w:bottom w:val="single" w:color="000000" w:sz="4" w:space="0"/>
              <w:right w:val="single" w:color="000000" w:sz="12" w:space="0"/>
            </w:tcBorders>
            <w:vAlign w:val="center"/>
          </w:tcPr>
          <w:p w14:paraId="41D9CD20">
            <w:pPr>
              <w:spacing w:line="0" w:lineRule="atLeast"/>
              <w:jc w:val="center"/>
              <w:rPr>
                <w:bCs/>
                <w:color w:val="auto"/>
                <w:kern w:val="0"/>
                <w:szCs w:val="21"/>
              </w:rPr>
            </w:pPr>
            <w:r>
              <w:rPr>
                <w:bCs/>
                <w:color w:val="auto"/>
                <w:kern w:val="0"/>
                <w:szCs w:val="21"/>
              </w:rPr>
              <w:t>不达标区□</w:t>
            </w:r>
          </w:p>
        </w:tc>
      </w:tr>
      <w:tr w14:paraId="4CBAD24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tcBorders>
              <w:top w:val="single" w:color="000000" w:sz="4" w:space="0"/>
              <w:left w:val="single" w:color="000000" w:sz="12" w:space="0"/>
              <w:bottom w:val="single" w:color="000000" w:sz="4" w:space="0"/>
              <w:right w:val="single" w:color="000000" w:sz="4" w:space="0"/>
            </w:tcBorders>
            <w:vAlign w:val="center"/>
          </w:tcPr>
          <w:p w14:paraId="3D7EE9A1">
            <w:pPr>
              <w:spacing w:line="0" w:lineRule="atLeast"/>
              <w:jc w:val="center"/>
              <w:rPr>
                <w:bCs/>
                <w:color w:val="auto"/>
                <w:kern w:val="0"/>
                <w:szCs w:val="21"/>
              </w:rPr>
            </w:pPr>
            <w:r>
              <w:rPr>
                <w:bCs/>
                <w:color w:val="auto"/>
                <w:kern w:val="0"/>
                <w:szCs w:val="21"/>
              </w:rPr>
              <w:t>污染源调查</w:t>
            </w:r>
          </w:p>
        </w:tc>
        <w:tc>
          <w:tcPr>
            <w:tcW w:w="1798" w:type="dxa"/>
            <w:tcBorders>
              <w:top w:val="single" w:color="000000" w:sz="4" w:space="0"/>
              <w:left w:val="single" w:color="000000" w:sz="4" w:space="0"/>
              <w:bottom w:val="single" w:color="000000" w:sz="4" w:space="0"/>
              <w:right w:val="single" w:color="000000" w:sz="4" w:space="0"/>
            </w:tcBorders>
            <w:vAlign w:val="center"/>
          </w:tcPr>
          <w:p w14:paraId="094FDD87">
            <w:pPr>
              <w:spacing w:line="0" w:lineRule="atLeast"/>
              <w:jc w:val="center"/>
              <w:rPr>
                <w:bCs/>
                <w:color w:val="auto"/>
                <w:kern w:val="0"/>
                <w:szCs w:val="21"/>
              </w:rPr>
            </w:pPr>
            <w:r>
              <w:rPr>
                <w:bCs/>
                <w:color w:val="auto"/>
                <w:kern w:val="0"/>
                <w:szCs w:val="21"/>
              </w:rPr>
              <w:t>调查内容</w:t>
            </w:r>
          </w:p>
        </w:tc>
        <w:tc>
          <w:tcPr>
            <w:tcW w:w="1653" w:type="dxa"/>
            <w:gridSpan w:val="7"/>
            <w:tcBorders>
              <w:top w:val="single" w:color="000000" w:sz="4" w:space="0"/>
              <w:left w:val="single" w:color="000000" w:sz="4" w:space="0"/>
              <w:bottom w:val="single" w:color="000000" w:sz="4" w:space="0"/>
              <w:right w:val="single" w:color="000000" w:sz="4" w:space="0"/>
            </w:tcBorders>
            <w:vAlign w:val="center"/>
          </w:tcPr>
          <w:p w14:paraId="00801574">
            <w:pPr>
              <w:spacing w:line="0" w:lineRule="atLeast"/>
              <w:jc w:val="center"/>
              <w:rPr>
                <w:bCs/>
                <w:color w:val="auto"/>
                <w:kern w:val="0"/>
                <w:szCs w:val="21"/>
              </w:rPr>
            </w:pPr>
            <w:r>
              <w:rPr>
                <w:bCs/>
                <w:color w:val="auto"/>
                <w:kern w:val="0"/>
                <w:szCs w:val="21"/>
              </w:rPr>
              <w:t>本项目正常排放源√</w:t>
            </w:r>
          </w:p>
          <w:p w14:paraId="30B43B25">
            <w:pPr>
              <w:spacing w:line="0" w:lineRule="atLeast"/>
              <w:jc w:val="center"/>
              <w:rPr>
                <w:rFonts w:hint="eastAsia" w:eastAsia="宋体"/>
                <w:bCs/>
                <w:color w:val="auto"/>
                <w:kern w:val="0"/>
                <w:szCs w:val="21"/>
                <w:lang w:eastAsia="zh-CN"/>
              </w:rPr>
            </w:pPr>
            <w:r>
              <w:rPr>
                <w:bCs/>
                <w:color w:val="auto"/>
                <w:kern w:val="0"/>
                <w:szCs w:val="21"/>
              </w:rPr>
              <w:t>本项目非正常排放源√</w:t>
            </w:r>
          </w:p>
          <w:p w14:paraId="7CD8B7A4">
            <w:pPr>
              <w:spacing w:line="0" w:lineRule="atLeast"/>
              <w:jc w:val="center"/>
              <w:rPr>
                <w:bCs/>
                <w:color w:val="auto"/>
                <w:kern w:val="0"/>
                <w:szCs w:val="21"/>
              </w:rPr>
            </w:pPr>
            <w:r>
              <w:rPr>
                <w:bCs/>
                <w:color w:val="auto"/>
                <w:kern w:val="0"/>
                <w:szCs w:val="21"/>
              </w:rPr>
              <w:t>现有污染源□</w:t>
            </w:r>
          </w:p>
        </w:tc>
        <w:tc>
          <w:tcPr>
            <w:tcW w:w="1808" w:type="dxa"/>
            <w:gridSpan w:val="5"/>
            <w:tcBorders>
              <w:top w:val="single" w:color="000000" w:sz="4" w:space="0"/>
              <w:left w:val="single" w:color="000000" w:sz="4" w:space="0"/>
              <w:bottom w:val="single" w:color="000000" w:sz="4" w:space="0"/>
              <w:right w:val="single" w:color="000000" w:sz="4" w:space="0"/>
            </w:tcBorders>
            <w:vAlign w:val="center"/>
          </w:tcPr>
          <w:p w14:paraId="47D7B8F9">
            <w:pPr>
              <w:spacing w:line="0" w:lineRule="atLeast"/>
              <w:jc w:val="center"/>
              <w:rPr>
                <w:bCs/>
                <w:color w:val="auto"/>
                <w:kern w:val="0"/>
                <w:szCs w:val="21"/>
              </w:rPr>
            </w:pPr>
            <w:r>
              <w:rPr>
                <w:bCs/>
                <w:color w:val="auto"/>
                <w:kern w:val="0"/>
                <w:szCs w:val="21"/>
              </w:rPr>
              <w:t>拟替代的污染源□</w:t>
            </w:r>
          </w:p>
        </w:tc>
        <w:tc>
          <w:tcPr>
            <w:tcW w:w="1860" w:type="dxa"/>
            <w:gridSpan w:val="8"/>
            <w:tcBorders>
              <w:top w:val="single" w:color="000000" w:sz="4" w:space="0"/>
              <w:left w:val="single" w:color="000000" w:sz="4" w:space="0"/>
              <w:bottom w:val="single" w:color="000000" w:sz="4" w:space="0"/>
              <w:right w:val="single" w:color="000000" w:sz="4" w:space="0"/>
            </w:tcBorders>
            <w:vAlign w:val="center"/>
          </w:tcPr>
          <w:p w14:paraId="4BFEE55E">
            <w:pPr>
              <w:spacing w:line="0" w:lineRule="atLeast"/>
              <w:jc w:val="center"/>
              <w:rPr>
                <w:bCs/>
                <w:color w:val="auto"/>
                <w:kern w:val="0"/>
                <w:szCs w:val="21"/>
              </w:rPr>
            </w:pPr>
            <w:r>
              <w:rPr>
                <w:bCs/>
                <w:color w:val="auto"/>
                <w:kern w:val="0"/>
                <w:szCs w:val="21"/>
              </w:rPr>
              <w:t>其他在建、拟建项目污染源□</w:t>
            </w:r>
          </w:p>
        </w:tc>
        <w:tc>
          <w:tcPr>
            <w:tcW w:w="1370" w:type="dxa"/>
            <w:gridSpan w:val="2"/>
            <w:tcBorders>
              <w:top w:val="single" w:color="000000" w:sz="4" w:space="0"/>
              <w:left w:val="single" w:color="000000" w:sz="4" w:space="0"/>
              <w:bottom w:val="single" w:color="000000" w:sz="4" w:space="0"/>
              <w:right w:val="single" w:color="000000" w:sz="12" w:space="0"/>
            </w:tcBorders>
            <w:vAlign w:val="center"/>
          </w:tcPr>
          <w:p w14:paraId="3DF82B5F">
            <w:pPr>
              <w:spacing w:line="0" w:lineRule="atLeast"/>
              <w:jc w:val="center"/>
              <w:rPr>
                <w:bCs/>
                <w:color w:val="auto"/>
                <w:kern w:val="0"/>
                <w:szCs w:val="21"/>
              </w:rPr>
            </w:pPr>
            <w:r>
              <w:rPr>
                <w:bCs/>
                <w:color w:val="auto"/>
                <w:kern w:val="0"/>
                <w:szCs w:val="21"/>
              </w:rPr>
              <w:t>区域污染源□</w:t>
            </w:r>
          </w:p>
        </w:tc>
      </w:tr>
      <w:tr w14:paraId="003C7A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restart"/>
            <w:tcBorders>
              <w:top w:val="single" w:color="000000" w:sz="4" w:space="0"/>
              <w:left w:val="single" w:color="000000" w:sz="12" w:space="0"/>
              <w:bottom w:val="single" w:color="000000" w:sz="4" w:space="0"/>
              <w:right w:val="single" w:color="000000" w:sz="4" w:space="0"/>
            </w:tcBorders>
            <w:vAlign w:val="center"/>
          </w:tcPr>
          <w:p w14:paraId="36501AD8">
            <w:pPr>
              <w:spacing w:line="0" w:lineRule="atLeast"/>
              <w:jc w:val="center"/>
              <w:rPr>
                <w:bCs/>
                <w:color w:val="auto"/>
                <w:kern w:val="0"/>
                <w:szCs w:val="21"/>
              </w:rPr>
            </w:pPr>
            <w:r>
              <w:rPr>
                <w:bCs/>
                <w:color w:val="auto"/>
                <w:kern w:val="0"/>
                <w:szCs w:val="21"/>
              </w:rPr>
              <w:t>大气环境影响预测与评价</w:t>
            </w:r>
          </w:p>
        </w:tc>
        <w:tc>
          <w:tcPr>
            <w:tcW w:w="1798" w:type="dxa"/>
            <w:tcBorders>
              <w:top w:val="single" w:color="000000" w:sz="4" w:space="0"/>
              <w:left w:val="single" w:color="000000" w:sz="4" w:space="0"/>
              <w:bottom w:val="single" w:color="000000" w:sz="4" w:space="0"/>
              <w:right w:val="single" w:color="000000" w:sz="4" w:space="0"/>
            </w:tcBorders>
            <w:vAlign w:val="center"/>
          </w:tcPr>
          <w:p w14:paraId="3F4F1B23">
            <w:pPr>
              <w:spacing w:line="0" w:lineRule="atLeast"/>
              <w:jc w:val="center"/>
              <w:rPr>
                <w:bCs/>
                <w:color w:val="auto"/>
                <w:kern w:val="0"/>
                <w:szCs w:val="21"/>
              </w:rPr>
            </w:pPr>
            <w:r>
              <w:rPr>
                <w:bCs/>
                <w:color w:val="auto"/>
                <w:kern w:val="0"/>
                <w:szCs w:val="21"/>
              </w:rPr>
              <w:t>预测模型</w:t>
            </w:r>
          </w:p>
        </w:tc>
        <w:tc>
          <w:tcPr>
            <w:tcW w:w="940" w:type="dxa"/>
            <w:tcBorders>
              <w:top w:val="single" w:color="000000" w:sz="4" w:space="0"/>
              <w:left w:val="single" w:color="000000" w:sz="4" w:space="0"/>
              <w:bottom w:val="single" w:color="000000" w:sz="4" w:space="0"/>
              <w:right w:val="single" w:color="000000" w:sz="4" w:space="0"/>
            </w:tcBorders>
            <w:vAlign w:val="center"/>
          </w:tcPr>
          <w:p w14:paraId="65FD6B47">
            <w:pPr>
              <w:spacing w:line="0" w:lineRule="atLeast"/>
              <w:jc w:val="center"/>
              <w:rPr>
                <w:bCs/>
                <w:color w:val="auto"/>
                <w:kern w:val="0"/>
                <w:szCs w:val="21"/>
              </w:rPr>
            </w:pPr>
            <w:r>
              <w:rPr>
                <w:bCs/>
                <w:color w:val="auto"/>
                <w:kern w:val="0"/>
                <w:szCs w:val="21"/>
              </w:rPr>
              <w:t>AERMOD□</w:t>
            </w:r>
          </w:p>
        </w:tc>
        <w:tc>
          <w:tcPr>
            <w:tcW w:w="713" w:type="dxa"/>
            <w:gridSpan w:val="6"/>
            <w:tcBorders>
              <w:top w:val="single" w:color="000000" w:sz="4" w:space="0"/>
              <w:left w:val="single" w:color="000000" w:sz="4" w:space="0"/>
              <w:bottom w:val="single" w:color="000000" w:sz="4" w:space="0"/>
              <w:right w:val="single" w:color="000000" w:sz="4" w:space="0"/>
            </w:tcBorders>
            <w:vAlign w:val="center"/>
          </w:tcPr>
          <w:p w14:paraId="74A2A810">
            <w:pPr>
              <w:spacing w:line="0" w:lineRule="atLeast"/>
              <w:jc w:val="center"/>
              <w:rPr>
                <w:bCs/>
                <w:color w:val="auto"/>
                <w:kern w:val="0"/>
                <w:szCs w:val="21"/>
              </w:rPr>
            </w:pPr>
            <w:r>
              <w:rPr>
                <w:bCs/>
                <w:color w:val="auto"/>
                <w:kern w:val="0"/>
                <w:szCs w:val="21"/>
              </w:rPr>
              <w:t>ADMS□</w:t>
            </w:r>
          </w:p>
        </w:tc>
        <w:tc>
          <w:tcPr>
            <w:tcW w:w="992" w:type="dxa"/>
            <w:gridSpan w:val="2"/>
            <w:tcBorders>
              <w:top w:val="single" w:color="000000" w:sz="4" w:space="0"/>
              <w:left w:val="single" w:color="000000" w:sz="4" w:space="0"/>
              <w:bottom w:val="single" w:color="000000" w:sz="4" w:space="0"/>
              <w:right w:val="single" w:color="000000" w:sz="4" w:space="0"/>
            </w:tcBorders>
            <w:vAlign w:val="center"/>
          </w:tcPr>
          <w:p w14:paraId="216B9EC1">
            <w:pPr>
              <w:spacing w:line="0" w:lineRule="atLeast"/>
              <w:jc w:val="center"/>
              <w:rPr>
                <w:bCs/>
                <w:color w:val="auto"/>
                <w:kern w:val="0"/>
                <w:szCs w:val="21"/>
              </w:rPr>
            </w:pPr>
            <w:r>
              <w:rPr>
                <w:bCs/>
                <w:color w:val="auto"/>
                <w:kern w:val="0"/>
                <w:szCs w:val="21"/>
              </w:rPr>
              <w:t>AUSTAL2000□</w:t>
            </w:r>
          </w:p>
        </w:tc>
        <w:tc>
          <w:tcPr>
            <w:tcW w:w="1134" w:type="dxa"/>
            <w:gridSpan w:val="7"/>
            <w:tcBorders>
              <w:top w:val="single" w:color="000000" w:sz="4" w:space="0"/>
              <w:left w:val="single" w:color="000000" w:sz="4" w:space="0"/>
              <w:bottom w:val="single" w:color="000000" w:sz="4" w:space="0"/>
              <w:right w:val="single" w:color="000000" w:sz="4" w:space="0"/>
            </w:tcBorders>
            <w:vAlign w:val="center"/>
          </w:tcPr>
          <w:p w14:paraId="4663E188">
            <w:pPr>
              <w:spacing w:line="0" w:lineRule="atLeast"/>
              <w:jc w:val="center"/>
              <w:rPr>
                <w:bCs/>
                <w:color w:val="auto"/>
                <w:kern w:val="0"/>
                <w:szCs w:val="21"/>
              </w:rPr>
            </w:pPr>
            <w:r>
              <w:rPr>
                <w:bCs/>
                <w:color w:val="auto"/>
                <w:kern w:val="0"/>
                <w:szCs w:val="21"/>
              </w:rPr>
              <w:t>EDMS/AEDT□</w:t>
            </w:r>
          </w:p>
        </w:tc>
        <w:tc>
          <w:tcPr>
            <w:tcW w:w="836" w:type="dxa"/>
            <w:tcBorders>
              <w:top w:val="single" w:color="000000" w:sz="4" w:space="0"/>
              <w:left w:val="single" w:color="000000" w:sz="4" w:space="0"/>
              <w:bottom w:val="single" w:color="000000" w:sz="4" w:space="0"/>
              <w:right w:val="single" w:color="000000" w:sz="4" w:space="0"/>
            </w:tcBorders>
            <w:vAlign w:val="center"/>
          </w:tcPr>
          <w:p w14:paraId="2A561FE5">
            <w:pPr>
              <w:spacing w:line="0" w:lineRule="atLeast"/>
              <w:jc w:val="center"/>
              <w:rPr>
                <w:bCs/>
                <w:color w:val="auto"/>
                <w:kern w:val="0"/>
                <w:szCs w:val="21"/>
              </w:rPr>
            </w:pPr>
            <w:r>
              <w:rPr>
                <w:bCs/>
                <w:color w:val="auto"/>
                <w:kern w:val="0"/>
                <w:szCs w:val="21"/>
              </w:rPr>
              <w:t>CALPUFF□</w:t>
            </w:r>
          </w:p>
        </w:tc>
        <w:tc>
          <w:tcPr>
            <w:tcW w:w="993" w:type="dxa"/>
            <w:gridSpan w:val="4"/>
            <w:tcBorders>
              <w:top w:val="single" w:color="000000" w:sz="4" w:space="0"/>
              <w:left w:val="single" w:color="000000" w:sz="4" w:space="0"/>
              <w:bottom w:val="single" w:color="000000" w:sz="4" w:space="0"/>
              <w:right w:val="single" w:color="000000" w:sz="4" w:space="0"/>
            </w:tcBorders>
            <w:vAlign w:val="center"/>
          </w:tcPr>
          <w:p w14:paraId="18A11E68">
            <w:pPr>
              <w:spacing w:line="0" w:lineRule="atLeast"/>
              <w:jc w:val="center"/>
              <w:rPr>
                <w:bCs/>
                <w:color w:val="auto"/>
                <w:kern w:val="0"/>
                <w:szCs w:val="21"/>
              </w:rPr>
            </w:pPr>
            <w:r>
              <w:rPr>
                <w:bCs/>
                <w:color w:val="auto"/>
                <w:kern w:val="0"/>
                <w:szCs w:val="21"/>
              </w:rPr>
              <w:t>网格模型□</w:t>
            </w:r>
          </w:p>
        </w:tc>
        <w:tc>
          <w:tcPr>
            <w:tcW w:w="1083" w:type="dxa"/>
            <w:tcBorders>
              <w:top w:val="single" w:color="000000" w:sz="4" w:space="0"/>
              <w:left w:val="single" w:color="000000" w:sz="4" w:space="0"/>
              <w:bottom w:val="single" w:color="000000" w:sz="4" w:space="0"/>
              <w:right w:val="single" w:color="000000" w:sz="12" w:space="0"/>
            </w:tcBorders>
            <w:vAlign w:val="center"/>
          </w:tcPr>
          <w:p w14:paraId="09779475">
            <w:pPr>
              <w:spacing w:line="0" w:lineRule="atLeast"/>
              <w:jc w:val="center"/>
              <w:rPr>
                <w:bCs/>
                <w:color w:val="auto"/>
                <w:kern w:val="0"/>
                <w:szCs w:val="21"/>
              </w:rPr>
            </w:pPr>
            <w:r>
              <w:rPr>
                <w:bCs/>
                <w:color w:val="auto"/>
                <w:kern w:val="0"/>
                <w:szCs w:val="21"/>
              </w:rPr>
              <w:t>其他□</w:t>
            </w:r>
          </w:p>
        </w:tc>
      </w:tr>
      <w:tr w14:paraId="332133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05175A7C">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D7EE042">
            <w:pPr>
              <w:spacing w:line="0" w:lineRule="atLeast"/>
              <w:jc w:val="center"/>
              <w:rPr>
                <w:bCs/>
                <w:color w:val="auto"/>
                <w:kern w:val="0"/>
                <w:szCs w:val="21"/>
              </w:rPr>
            </w:pPr>
            <w:r>
              <w:rPr>
                <w:bCs/>
                <w:color w:val="auto"/>
                <w:kern w:val="0"/>
                <w:szCs w:val="21"/>
              </w:rPr>
              <w:t>预测范围</w:t>
            </w:r>
          </w:p>
        </w:tc>
        <w:tc>
          <w:tcPr>
            <w:tcW w:w="1636" w:type="dxa"/>
            <w:gridSpan w:val="6"/>
            <w:tcBorders>
              <w:top w:val="single" w:color="000000" w:sz="4" w:space="0"/>
              <w:left w:val="single" w:color="000000" w:sz="4" w:space="0"/>
              <w:bottom w:val="single" w:color="000000" w:sz="4" w:space="0"/>
              <w:right w:val="single" w:color="000000" w:sz="4" w:space="0"/>
            </w:tcBorders>
            <w:vAlign w:val="center"/>
          </w:tcPr>
          <w:p w14:paraId="11920869">
            <w:pPr>
              <w:spacing w:line="0" w:lineRule="atLeast"/>
              <w:jc w:val="center"/>
              <w:rPr>
                <w:bCs/>
                <w:color w:val="auto"/>
                <w:kern w:val="0"/>
                <w:szCs w:val="21"/>
              </w:rPr>
            </w:pPr>
            <w:r>
              <w:rPr>
                <w:bCs/>
                <w:color w:val="auto"/>
                <w:kern w:val="0"/>
                <w:szCs w:val="21"/>
              </w:rPr>
              <w:t>边长≥50km□</w:t>
            </w:r>
          </w:p>
        </w:tc>
        <w:tc>
          <w:tcPr>
            <w:tcW w:w="3128" w:type="dxa"/>
            <w:gridSpan w:val="12"/>
            <w:tcBorders>
              <w:top w:val="single" w:color="000000" w:sz="4" w:space="0"/>
              <w:left w:val="single" w:color="000000" w:sz="4" w:space="0"/>
              <w:bottom w:val="single" w:color="000000" w:sz="4" w:space="0"/>
              <w:right w:val="single" w:color="000000" w:sz="4" w:space="0"/>
            </w:tcBorders>
            <w:vAlign w:val="center"/>
          </w:tcPr>
          <w:p w14:paraId="4C8E885E">
            <w:pPr>
              <w:spacing w:line="0" w:lineRule="atLeast"/>
              <w:jc w:val="center"/>
              <w:rPr>
                <w:bCs/>
                <w:color w:val="auto"/>
                <w:kern w:val="0"/>
                <w:szCs w:val="21"/>
              </w:rPr>
            </w:pPr>
            <w:r>
              <w:rPr>
                <w:bCs/>
                <w:color w:val="auto"/>
                <w:kern w:val="0"/>
                <w:szCs w:val="21"/>
              </w:rPr>
              <w:t>边长5~50km□</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5CA0FE03">
            <w:pPr>
              <w:spacing w:line="0" w:lineRule="atLeast"/>
              <w:jc w:val="center"/>
              <w:rPr>
                <w:bCs/>
                <w:color w:val="auto"/>
                <w:kern w:val="0"/>
                <w:szCs w:val="21"/>
              </w:rPr>
            </w:pPr>
            <w:r>
              <w:rPr>
                <w:bCs/>
                <w:color w:val="auto"/>
                <w:kern w:val="0"/>
                <w:szCs w:val="21"/>
              </w:rPr>
              <w:t>边长=5km□</w:t>
            </w:r>
          </w:p>
        </w:tc>
      </w:tr>
      <w:tr w14:paraId="6177D9C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73F0E861">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359A6EB2">
            <w:pPr>
              <w:spacing w:line="0" w:lineRule="atLeast"/>
              <w:jc w:val="center"/>
              <w:rPr>
                <w:bCs/>
                <w:color w:val="auto"/>
                <w:kern w:val="0"/>
                <w:szCs w:val="21"/>
              </w:rPr>
            </w:pPr>
            <w:r>
              <w:rPr>
                <w:bCs/>
                <w:color w:val="auto"/>
                <w:kern w:val="0"/>
                <w:szCs w:val="21"/>
              </w:rPr>
              <w:t>预测因子</w:t>
            </w:r>
          </w:p>
        </w:tc>
        <w:tc>
          <w:tcPr>
            <w:tcW w:w="3623" w:type="dxa"/>
            <w:gridSpan w:val="13"/>
            <w:tcBorders>
              <w:top w:val="single" w:color="000000" w:sz="4" w:space="0"/>
              <w:left w:val="single" w:color="000000" w:sz="4" w:space="0"/>
              <w:bottom w:val="single" w:color="000000" w:sz="4" w:space="0"/>
              <w:right w:val="single" w:color="000000" w:sz="4" w:space="0"/>
            </w:tcBorders>
            <w:vAlign w:val="center"/>
          </w:tcPr>
          <w:p w14:paraId="09E28C73">
            <w:pPr>
              <w:spacing w:line="0" w:lineRule="atLeast"/>
              <w:jc w:val="center"/>
              <w:rPr>
                <w:bCs/>
                <w:color w:val="auto"/>
                <w:kern w:val="0"/>
                <w:szCs w:val="21"/>
              </w:rPr>
            </w:pPr>
            <w:r>
              <w:rPr>
                <w:bCs/>
                <w:color w:val="auto"/>
                <w:kern w:val="0"/>
                <w:szCs w:val="21"/>
              </w:rPr>
              <w:t>预测因子（TSP）</w:t>
            </w:r>
          </w:p>
        </w:tc>
        <w:tc>
          <w:tcPr>
            <w:tcW w:w="3068" w:type="dxa"/>
            <w:gridSpan w:val="9"/>
            <w:tcBorders>
              <w:top w:val="single" w:color="000000" w:sz="4" w:space="0"/>
              <w:left w:val="single" w:color="auto" w:sz="4" w:space="0"/>
              <w:bottom w:val="single" w:color="000000" w:sz="4" w:space="0"/>
              <w:right w:val="single" w:color="000000" w:sz="12" w:space="0"/>
            </w:tcBorders>
            <w:vAlign w:val="center"/>
          </w:tcPr>
          <w:p w14:paraId="7F047F97">
            <w:pPr>
              <w:spacing w:line="0" w:lineRule="atLeast"/>
              <w:jc w:val="center"/>
              <w:rPr>
                <w:bCs/>
                <w:color w:val="auto"/>
                <w:kern w:val="0"/>
                <w:szCs w:val="21"/>
              </w:rPr>
            </w:pPr>
            <w:r>
              <w:rPr>
                <w:bCs/>
                <w:color w:val="auto"/>
                <w:kern w:val="0"/>
                <w:szCs w:val="21"/>
              </w:rPr>
              <w:t xml:space="preserve">  包括二次PM</w:t>
            </w:r>
            <w:r>
              <w:rPr>
                <w:bCs/>
                <w:color w:val="auto"/>
                <w:kern w:val="0"/>
                <w:szCs w:val="21"/>
                <w:vertAlign w:val="subscript"/>
              </w:rPr>
              <w:t>2.5</w:t>
            </w:r>
            <w:r>
              <w:rPr>
                <w:bCs/>
                <w:color w:val="auto"/>
                <w:kern w:val="0"/>
                <w:szCs w:val="21"/>
              </w:rPr>
              <w:t>□</w:t>
            </w:r>
          </w:p>
          <w:p w14:paraId="2880AD1F">
            <w:pPr>
              <w:spacing w:line="0" w:lineRule="atLeast"/>
              <w:jc w:val="center"/>
              <w:rPr>
                <w:bCs/>
                <w:color w:val="auto"/>
                <w:kern w:val="0"/>
                <w:szCs w:val="21"/>
              </w:rPr>
            </w:pPr>
            <w:r>
              <w:rPr>
                <w:bCs/>
                <w:color w:val="auto"/>
                <w:kern w:val="0"/>
                <w:szCs w:val="21"/>
              </w:rPr>
              <w:t>不包括二次PM</w:t>
            </w:r>
            <w:r>
              <w:rPr>
                <w:bCs/>
                <w:color w:val="auto"/>
                <w:kern w:val="0"/>
                <w:szCs w:val="21"/>
                <w:vertAlign w:val="subscript"/>
              </w:rPr>
              <w:t>2.5</w:t>
            </w:r>
            <w:r>
              <w:rPr>
                <w:bCs/>
                <w:color w:val="auto"/>
                <w:kern w:val="0"/>
                <w:szCs w:val="21"/>
              </w:rPr>
              <w:t>□</w:t>
            </w:r>
          </w:p>
        </w:tc>
      </w:tr>
      <w:tr w14:paraId="26E57A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21010B03">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565697E">
            <w:pPr>
              <w:spacing w:line="0" w:lineRule="atLeast"/>
              <w:jc w:val="center"/>
              <w:rPr>
                <w:bCs/>
                <w:color w:val="auto"/>
                <w:kern w:val="0"/>
                <w:szCs w:val="21"/>
              </w:rPr>
            </w:pPr>
            <w:r>
              <w:rPr>
                <w:bCs/>
                <w:color w:val="auto"/>
                <w:kern w:val="0"/>
                <w:szCs w:val="21"/>
              </w:rPr>
              <w:t>正常排放短期浓度贡献值</w:t>
            </w:r>
          </w:p>
        </w:tc>
        <w:tc>
          <w:tcPr>
            <w:tcW w:w="3623" w:type="dxa"/>
            <w:gridSpan w:val="13"/>
            <w:tcBorders>
              <w:top w:val="single" w:color="000000" w:sz="4" w:space="0"/>
              <w:left w:val="single" w:color="000000" w:sz="4" w:space="0"/>
              <w:bottom w:val="single" w:color="000000" w:sz="4" w:space="0"/>
              <w:right w:val="single" w:color="000000" w:sz="4" w:space="0"/>
            </w:tcBorders>
            <w:vAlign w:val="center"/>
          </w:tcPr>
          <w:p w14:paraId="022A0045">
            <w:pPr>
              <w:spacing w:line="0" w:lineRule="atLeast"/>
              <w:jc w:val="center"/>
              <w:rPr>
                <w:bCs/>
                <w:color w:val="auto"/>
                <w:kern w:val="0"/>
                <w:szCs w:val="21"/>
              </w:rPr>
            </w:pPr>
            <w:r>
              <w:rPr>
                <w:bCs/>
                <w:color w:val="auto"/>
                <w:kern w:val="0"/>
                <w:szCs w:val="21"/>
              </w:rPr>
              <w:t>C</w:t>
            </w:r>
            <w:r>
              <w:rPr>
                <w:bCs/>
                <w:color w:val="auto"/>
                <w:kern w:val="0"/>
                <w:szCs w:val="21"/>
                <w:vertAlign w:val="subscript"/>
              </w:rPr>
              <w:t>本项目</w:t>
            </w:r>
            <w:r>
              <w:rPr>
                <w:bCs/>
                <w:color w:val="auto"/>
                <w:kern w:val="0"/>
                <w:szCs w:val="21"/>
              </w:rPr>
              <w:t>最大占标率≤100%□</w:t>
            </w:r>
          </w:p>
        </w:tc>
        <w:tc>
          <w:tcPr>
            <w:tcW w:w="3068" w:type="dxa"/>
            <w:gridSpan w:val="9"/>
            <w:tcBorders>
              <w:top w:val="single" w:color="000000" w:sz="4" w:space="0"/>
              <w:left w:val="single" w:color="auto" w:sz="4" w:space="0"/>
              <w:bottom w:val="single" w:color="000000" w:sz="4" w:space="0"/>
              <w:right w:val="single" w:color="000000" w:sz="12" w:space="0"/>
            </w:tcBorders>
            <w:vAlign w:val="center"/>
          </w:tcPr>
          <w:p w14:paraId="6B059952">
            <w:pPr>
              <w:spacing w:line="0" w:lineRule="atLeast"/>
              <w:jc w:val="center"/>
              <w:rPr>
                <w:bCs/>
                <w:color w:val="auto"/>
                <w:kern w:val="0"/>
                <w:szCs w:val="21"/>
              </w:rPr>
            </w:pPr>
            <w:r>
              <w:rPr>
                <w:bCs/>
                <w:color w:val="auto"/>
                <w:kern w:val="0"/>
                <w:szCs w:val="21"/>
              </w:rPr>
              <w:t>C</w:t>
            </w:r>
            <w:r>
              <w:rPr>
                <w:bCs/>
                <w:color w:val="auto"/>
                <w:kern w:val="0"/>
                <w:szCs w:val="21"/>
                <w:vertAlign w:val="subscript"/>
              </w:rPr>
              <w:t>本项目</w:t>
            </w:r>
            <w:r>
              <w:rPr>
                <w:bCs/>
                <w:color w:val="auto"/>
                <w:kern w:val="0"/>
                <w:szCs w:val="21"/>
              </w:rPr>
              <w:t>最大占标率&gt;100%□</w:t>
            </w:r>
          </w:p>
        </w:tc>
      </w:tr>
      <w:tr w14:paraId="6E97D5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7B119156">
            <w:pPr>
              <w:widowControl/>
              <w:jc w:val="left"/>
              <w:rPr>
                <w:bCs/>
                <w:color w:val="auto"/>
                <w:kern w:val="0"/>
                <w:szCs w:val="21"/>
              </w:rPr>
            </w:pPr>
          </w:p>
        </w:tc>
        <w:tc>
          <w:tcPr>
            <w:tcW w:w="1798" w:type="dxa"/>
            <w:vMerge w:val="restart"/>
            <w:tcBorders>
              <w:top w:val="single" w:color="000000" w:sz="4" w:space="0"/>
              <w:left w:val="single" w:color="000000" w:sz="4" w:space="0"/>
              <w:bottom w:val="single" w:color="000000" w:sz="4" w:space="0"/>
              <w:right w:val="single" w:color="000000" w:sz="4" w:space="0"/>
            </w:tcBorders>
            <w:vAlign w:val="center"/>
          </w:tcPr>
          <w:p w14:paraId="36D4A9A9">
            <w:pPr>
              <w:spacing w:line="0" w:lineRule="atLeast"/>
              <w:jc w:val="center"/>
              <w:rPr>
                <w:bCs/>
                <w:color w:val="auto"/>
                <w:kern w:val="0"/>
                <w:szCs w:val="21"/>
              </w:rPr>
            </w:pPr>
            <w:r>
              <w:rPr>
                <w:bCs/>
                <w:color w:val="auto"/>
                <w:kern w:val="0"/>
                <w:szCs w:val="21"/>
              </w:rPr>
              <w:t>正常排放年均浓度贡献值</w:t>
            </w:r>
          </w:p>
        </w:tc>
        <w:tc>
          <w:tcPr>
            <w:tcW w:w="940" w:type="dxa"/>
            <w:tcBorders>
              <w:top w:val="single" w:color="000000" w:sz="4" w:space="0"/>
              <w:left w:val="single" w:color="000000" w:sz="4" w:space="0"/>
              <w:bottom w:val="single" w:color="000000" w:sz="4" w:space="0"/>
              <w:right w:val="single" w:color="000000" w:sz="4" w:space="0"/>
            </w:tcBorders>
            <w:vAlign w:val="center"/>
          </w:tcPr>
          <w:p w14:paraId="7EE92163">
            <w:pPr>
              <w:spacing w:line="0" w:lineRule="atLeast"/>
              <w:jc w:val="center"/>
              <w:rPr>
                <w:bCs/>
                <w:color w:val="auto"/>
                <w:kern w:val="0"/>
                <w:szCs w:val="21"/>
              </w:rPr>
            </w:pPr>
            <w:r>
              <w:rPr>
                <w:bCs/>
                <w:color w:val="auto"/>
                <w:kern w:val="0"/>
                <w:szCs w:val="21"/>
              </w:rPr>
              <w:t>一类区</w:t>
            </w:r>
          </w:p>
        </w:tc>
        <w:tc>
          <w:tcPr>
            <w:tcW w:w="2693" w:type="dxa"/>
            <w:gridSpan w:val="13"/>
            <w:tcBorders>
              <w:top w:val="single" w:color="000000" w:sz="4" w:space="0"/>
              <w:left w:val="single" w:color="000000" w:sz="4" w:space="0"/>
              <w:bottom w:val="single" w:color="000000" w:sz="4" w:space="0"/>
              <w:right w:val="single" w:color="000000" w:sz="4" w:space="0"/>
            </w:tcBorders>
            <w:vAlign w:val="center"/>
          </w:tcPr>
          <w:p w14:paraId="2B9249C3">
            <w:pPr>
              <w:spacing w:line="0" w:lineRule="atLeast"/>
              <w:jc w:val="center"/>
              <w:rPr>
                <w:bCs/>
                <w:color w:val="auto"/>
                <w:kern w:val="0"/>
                <w:szCs w:val="21"/>
              </w:rPr>
            </w:pPr>
            <w:r>
              <w:rPr>
                <w:bCs/>
                <w:color w:val="auto"/>
                <w:kern w:val="0"/>
                <w:szCs w:val="21"/>
              </w:rPr>
              <w:t>C</w:t>
            </w:r>
            <w:r>
              <w:rPr>
                <w:bCs/>
                <w:color w:val="auto"/>
                <w:kern w:val="0"/>
                <w:szCs w:val="21"/>
                <w:vertAlign w:val="subscript"/>
              </w:rPr>
              <w:t>本项目</w:t>
            </w:r>
            <w:r>
              <w:rPr>
                <w:bCs/>
                <w:color w:val="auto"/>
                <w:kern w:val="0"/>
                <w:szCs w:val="21"/>
              </w:rPr>
              <w:t>最大占标率≤10%□</w:t>
            </w:r>
          </w:p>
        </w:tc>
        <w:tc>
          <w:tcPr>
            <w:tcW w:w="3058" w:type="dxa"/>
            <w:gridSpan w:val="8"/>
            <w:tcBorders>
              <w:top w:val="single" w:color="000000" w:sz="4" w:space="0"/>
              <w:left w:val="single" w:color="000000" w:sz="4" w:space="0"/>
              <w:bottom w:val="single" w:color="000000" w:sz="4" w:space="0"/>
              <w:right w:val="single" w:color="000000" w:sz="12" w:space="0"/>
            </w:tcBorders>
            <w:vAlign w:val="center"/>
          </w:tcPr>
          <w:p w14:paraId="248686BD">
            <w:pPr>
              <w:spacing w:line="0" w:lineRule="atLeast"/>
              <w:jc w:val="center"/>
              <w:rPr>
                <w:bCs/>
                <w:color w:val="auto"/>
                <w:kern w:val="0"/>
                <w:szCs w:val="21"/>
              </w:rPr>
            </w:pPr>
            <w:r>
              <w:rPr>
                <w:bCs/>
                <w:color w:val="auto"/>
                <w:kern w:val="0"/>
                <w:szCs w:val="21"/>
              </w:rPr>
              <w:t>C</w:t>
            </w:r>
            <w:r>
              <w:rPr>
                <w:bCs/>
                <w:color w:val="auto"/>
                <w:kern w:val="0"/>
                <w:szCs w:val="21"/>
                <w:vertAlign w:val="subscript"/>
              </w:rPr>
              <w:t>本项目</w:t>
            </w:r>
            <w:r>
              <w:rPr>
                <w:bCs/>
                <w:color w:val="auto"/>
                <w:kern w:val="0"/>
                <w:szCs w:val="21"/>
              </w:rPr>
              <w:t>最大占标率&gt;10%□</w:t>
            </w:r>
          </w:p>
        </w:tc>
      </w:tr>
      <w:tr w14:paraId="257E0A0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41BC3996">
            <w:pPr>
              <w:widowControl/>
              <w:jc w:val="left"/>
              <w:rPr>
                <w:bCs/>
                <w:color w:val="auto"/>
                <w:kern w:val="0"/>
                <w:szCs w:val="21"/>
              </w:rPr>
            </w:pPr>
          </w:p>
        </w:tc>
        <w:tc>
          <w:tcPr>
            <w:tcW w:w="1798" w:type="dxa"/>
            <w:vMerge w:val="continue"/>
            <w:tcBorders>
              <w:top w:val="single" w:color="000000" w:sz="4" w:space="0"/>
              <w:left w:val="single" w:color="000000" w:sz="4" w:space="0"/>
              <w:bottom w:val="single" w:color="000000" w:sz="4" w:space="0"/>
              <w:right w:val="single" w:color="000000" w:sz="4" w:space="0"/>
            </w:tcBorders>
            <w:vAlign w:val="center"/>
          </w:tcPr>
          <w:p w14:paraId="2D143955">
            <w:pPr>
              <w:widowControl/>
              <w:jc w:val="left"/>
              <w:rPr>
                <w:bCs/>
                <w:color w:val="auto"/>
                <w:kern w:val="0"/>
                <w:szCs w:val="21"/>
              </w:rPr>
            </w:pPr>
          </w:p>
        </w:tc>
        <w:tc>
          <w:tcPr>
            <w:tcW w:w="940" w:type="dxa"/>
            <w:tcBorders>
              <w:top w:val="single" w:color="000000" w:sz="4" w:space="0"/>
              <w:left w:val="single" w:color="000000" w:sz="4" w:space="0"/>
              <w:bottom w:val="single" w:color="000000" w:sz="4" w:space="0"/>
              <w:right w:val="single" w:color="000000" w:sz="4" w:space="0"/>
            </w:tcBorders>
            <w:vAlign w:val="center"/>
          </w:tcPr>
          <w:p w14:paraId="23B4F6D4">
            <w:pPr>
              <w:spacing w:line="0" w:lineRule="atLeast"/>
              <w:jc w:val="center"/>
              <w:rPr>
                <w:bCs/>
                <w:color w:val="auto"/>
                <w:kern w:val="0"/>
                <w:szCs w:val="21"/>
              </w:rPr>
            </w:pPr>
            <w:r>
              <w:rPr>
                <w:bCs/>
                <w:color w:val="auto"/>
                <w:kern w:val="0"/>
                <w:szCs w:val="21"/>
              </w:rPr>
              <w:t>二类区</w:t>
            </w:r>
          </w:p>
        </w:tc>
        <w:tc>
          <w:tcPr>
            <w:tcW w:w="2693" w:type="dxa"/>
            <w:gridSpan w:val="13"/>
            <w:tcBorders>
              <w:top w:val="single" w:color="000000" w:sz="4" w:space="0"/>
              <w:left w:val="single" w:color="000000" w:sz="4" w:space="0"/>
              <w:bottom w:val="single" w:color="000000" w:sz="4" w:space="0"/>
              <w:right w:val="single" w:color="000000" w:sz="4" w:space="0"/>
            </w:tcBorders>
            <w:vAlign w:val="center"/>
          </w:tcPr>
          <w:p w14:paraId="2B658586">
            <w:pPr>
              <w:spacing w:line="0" w:lineRule="atLeast"/>
              <w:jc w:val="center"/>
              <w:rPr>
                <w:bCs/>
                <w:color w:val="auto"/>
                <w:kern w:val="0"/>
                <w:szCs w:val="21"/>
              </w:rPr>
            </w:pPr>
            <w:r>
              <w:rPr>
                <w:bCs/>
                <w:color w:val="auto"/>
                <w:kern w:val="0"/>
                <w:szCs w:val="21"/>
              </w:rPr>
              <w:t>C</w:t>
            </w:r>
            <w:r>
              <w:rPr>
                <w:bCs/>
                <w:color w:val="auto"/>
                <w:kern w:val="0"/>
                <w:szCs w:val="21"/>
                <w:vertAlign w:val="subscript"/>
              </w:rPr>
              <w:t>本项目</w:t>
            </w:r>
            <w:r>
              <w:rPr>
                <w:bCs/>
                <w:color w:val="auto"/>
                <w:kern w:val="0"/>
                <w:szCs w:val="21"/>
              </w:rPr>
              <w:t>最大占标率≤30%□</w:t>
            </w:r>
          </w:p>
        </w:tc>
        <w:tc>
          <w:tcPr>
            <w:tcW w:w="3058" w:type="dxa"/>
            <w:gridSpan w:val="8"/>
            <w:tcBorders>
              <w:top w:val="single" w:color="000000" w:sz="4" w:space="0"/>
              <w:left w:val="single" w:color="000000" w:sz="4" w:space="0"/>
              <w:bottom w:val="single" w:color="000000" w:sz="4" w:space="0"/>
              <w:right w:val="single" w:color="000000" w:sz="12" w:space="0"/>
            </w:tcBorders>
            <w:vAlign w:val="center"/>
          </w:tcPr>
          <w:p w14:paraId="00F2CA08">
            <w:pPr>
              <w:spacing w:line="0" w:lineRule="atLeast"/>
              <w:jc w:val="center"/>
              <w:rPr>
                <w:bCs/>
                <w:color w:val="auto"/>
                <w:kern w:val="0"/>
                <w:szCs w:val="21"/>
              </w:rPr>
            </w:pPr>
            <w:r>
              <w:rPr>
                <w:bCs/>
                <w:color w:val="auto"/>
                <w:kern w:val="0"/>
                <w:szCs w:val="21"/>
              </w:rPr>
              <w:t>C</w:t>
            </w:r>
            <w:r>
              <w:rPr>
                <w:bCs/>
                <w:color w:val="auto"/>
                <w:kern w:val="0"/>
                <w:szCs w:val="21"/>
                <w:vertAlign w:val="subscript"/>
              </w:rPr>
              <w:t>本项目</w:t>
            </w:r>
            <w:r>
              <w:rPr>
                <w:bCs/>
                <w:color w:val="auto"/>
                <w:kern w:val="0"/>
                <w:szCs w:val="21"/>
              </w:rPr>
              <w:t>最大占标率&gt;30%□</w:t>
            </w:r>
          </w:p>
        </w:tc>
      </w:tr>
      <w:tr w14:paraId="2E8569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544577B7">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2C35D06E">
            <w:pPr>
              <w:spacing w:line="0" w:lineRule="atLeast"/>
              <w:jc w:val="center"/>
              <w:rPr>
                <w:bCs/>
                <w:color w:val="auto"/>
                <w:kern w:val="0"/>
                <w:szCs w:val="21"/>
              </w:rPr>
            </w:pPr>
            <w:r>
              <w:rPr>
                <w:bCs/>
                <w:color w:val="auto"/>
                <w:kern w:val="0"/>
                <w:szCs w:val="21"/>
              </w:rPr>
              <w:t>非正常排放1h浓度贡献值</w:t>
            </w:r>
          </w:p>
        </w:tc>
        <w:tc>
          <w:tcPr>
            <w:tcW w:w="1361" w:type="dxa"/>
            <w:gridSpan w:val="3"/>
            <w:tcBorders>
              <w:top w:val="single" w:color="000000" w:sz="4" w:space="0"/>
              <w:left w:val="single" w:color="000000" w:sz="4" w:space="0"/>
              <w:bottom w:val="single" w:color="000000" w:sz="4" w:space="0"/>
              <w:right w:val="single" w:color="000000" w:sz="4" w:space="0"/>
            </w:tcBorders>
            <w:vAlign w:val="center"/>
          </w:tcPr>
          <w:p w14:paraId="6C1B8B8B">
            <w:pPr>
              <w:spacing w:line="0" w:lineRule="atLeast"/>
              <w:jc w:val="center"/>
              <w:rPr>
                <w:bCs/>
                <w:color w:val="auto"/>
                <w:kern w:val="0"/>
                <w:szCs w:val="21"/>
              </w:rPr>
            </w:pPr>
            <w:r>
              <w:rPr>
                <w:bCs/>
                <w:color w:val="auto"/>
                <w:kern w:val="0"/>
                <w:szCs w:val="21"/>
              </w:rPr>
              <w:t>非正常持续时长（）h</w:t>
            </w:r>
          </w:p>
        </w:tc>
        <w:tc>
          <w:tcPr>
            <w:tcW w:w="2272" w:type="dxa"/>
            <w:gridSpan w:val="11"/>
            <w:tcBorders>
              <w:top w:val="single" w:color="000000" w:sz="4" w:space="0"/>
              <w:left w:val="single" w:color="000000" w:sz="4" w:space="0"/>
              <w:bottom w:val="single" w:color="000000" w:sz="4" w:space="0"/>
              <w:right w:val="single" w:color="000000" w:sz="4" w:space="0"/>
            </w:tcBorders>
            <w:vAlign w:val="center"/>
          </w:tcPr>
          <w:p w14:paraId="0ADD042B">
            <w:pPr>
              <w:spacing w:line="0" w:lineRule="atLeast"/>
              <w:jc w:val="center"/>
              <w:rPr>
                <w:bCs/>
                <w:color w:val="auto"/>
                <w:kern w:val="0"/>
                <w:szCs w:val="21"/>
              </w:rPr>
            </w:pPr>
            <w:r>
              <w:rPr>
                <w:bCs/>
                <w:color w:val="auto"/>
                <w:kern w:val="0"/>
                <w:szCs w:val="21"/>
              </w:rPr>
              <w:t>C</w:t>
            </w:r>
            <w:r>
              <w:rPr>
                <w:bCs/>
                <w:color w:val="auto"/>
                <w:kern w:val="0"/>
                <w:szCs w:val="21"/>
                <w:vertAlign w:val="subscript"/>
              </w:rPr>
              <w:t>非正常</w:t>
            </w:r>
            <w:r>
              <w:rPr>
                <w:bCs/>
                <w:color w:val="auto"/>
                <w:kern w:val="0"/>
                <w:szCs w:val="21"/>
              </w:rPr>
              <w:t>占标率≤100%□</w:t>
            </w:r>
          </w:p>
        </w:tc>
        <w:tc>
          <w:tcPr>
            <w:tcW w:w="3058" w:type="dxa"/>
            <w:gridSpan w:val="8"/>
            <w:tcBorders>
              <w:top w:val="single" w:color="000000" w:sz="4" w:space="0"/>
              <w:left w:val="single" w:color="000000" w:sz="4" w:space="0"/>
              <w:bottom w:val="single" w:color="000000" w:sz="4" w:space="0"/>
              <w:right w:val="single" w:color="000000" w:sz="12" w:space="0"/>
            </w:tcBorders>
            <w:vAlign w:val="center"/>
          </w:tcPr>
          <w:p w14:paraId="7C438988">
            <w:pPr>
              <w:spacing w:line="0" w:lineRule="atLeast"/>
              <w:jc w:val="center"/>
              <w:rPr>
                <w:bCs/>
                <w:color w:val="auto"/>
                <w:kern w:val="0"/>
                <w:szCs w:val="21"/>
              </w:rPr>
            </w:pPr>
            <w:r>
              <w:rPr>
                <w:bCs/>
                <w:color w:val="auto"/>
                <w:kern w:val="0"/>
                <w:szCs w:val="21"/>
              </w:rPr>
              <w:t>C</w:t>
            </w:r>
            <w:r>
              <w:rPr>
                <w:bCs/>
                <w:color w:val="auto"/>
                <w:kern w:val="0"/>
                <w:szCs w:val="21"/>
                <w:vertAlign w:val="subscript"/>
              </w:rPr>
              <w:t>非正常</w:t>
            </w:r>
            <w:r>
              <w:rPr>
                <w:bCs/>
                <w:color w:val="auto"/>
                <w:kern w:val="0"/>
                <w:szCs w:val="21"/>
              </w:rPr>
              <w:t>占标率&gt;100%□</w:t>
            </w:r>
          </w:p>
        </w:tc>
      </w:tr>
      <w:tr w14:paraId="135A93C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01A15ADC">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6517027E">
            <w:pPr>
              <w:spacing w:line="0" w:lineRule="atLeast"/>
              <w:jc w:val="center"/>
              <w:rPr>
                <w:bCs/>
                <w:color w:val="auto"/>
                <w:kern w:val="0"/>
                <w:szCs w:val="21"/>
              </w:rPr>
            </w:pPr>
            <w:r>
              <w:rPr>
                <w:bCs/>
                <w:color w:val="auto"/>
                <w:kern w:val="0"/>
                <w:szCs w:val="21"/>
              </w:rPr>
              <w:t>保证率日平均浓度和年平均浓度叠加值</w:t>
            </w:r>
          </w:p>
        </w:tc>
        <w:tc>
          <w:tcPr>
            <w:tcW w:w="3134" w:type="dxa"/>
            <w:gridSpan w:val="10"/>
            <w:tcBorders>
              <w:top w:val="single" w:color="000000" w:sz="4" w:space="0"/>
              <w:left w:val="single" w:color="000000" w:sz="4" w:space="0"/>
              <w:bottom w:val="single" w:color="000000" w:sz="4" w:space="0"/>
              <w:right w:val="single" w:color="000000" w:sz="4" w:space="0"/>
            </w:tcBorders>
            <w:vAlign w:val="center"/>
          </w:tcPr>
          <w:p w14:paraId="21CA2F5F">
            <w:pPr>
              <w:spacing w:line="0" w:lineRule="atLeast"/>
              <w:jc w:val="center"/>
              <w:rPr>
                <w:bCs/>
                <w:color w:val="auto"/>
                <w:kern w:val="0"/>
                <w:szCs w:val="21"/>
              </w:rPr>
            </w:pPr>
            <w:r>
              <w:rPr>
                <w:bCs/>
                <w:color w:val="auto"/>
                <w:kern w:val="0"/>
                <w:szCs w:val="21"/>
              </w:rPr>
              <w:t>C</w:t>
            </w:r>
            <w:r>
              <w:rPr>
                <w:bCs/>
                <w:color w:val="auto"/>
                <w:kern w:val="0"/>
                <w:szCs w:val="21"/>
                <w:vertAlign w:val="subscript"/>
              </w:rPr>
              <w:t>叠加</w:t>
            </w:r>
            <w:r>
              <w:rPr>
                <w:bCs/>
                <w:color w:val="auto"/>
                <w:kern w:val="0"/>
                <w:szCs w:val="21"/>
              </w:rPr>
              <w:t>达标□</w:t>
            </w:r>
          </w:p>
        </w:tc>
        <w:tc>
          <w:tcPr>
            <w:tcW w:w="3557" w:type="dxa"/>
            <w:gridSpan w:val="12"/>
            <w:tcBorders>
              <w:top w:val="single" w:color="000000" w:sz="4" w:space="0"/>
              <w:left w:val="single" w:color="000000" w:sz="4" w:space="0"/>
              <w:bottom w:val="single" w:color="000000" w:sz="4" w:space="0"/>
              <w:right w:val="single" w:color="000000" w:sz="12" w:space="0"/>
            </w:tcBorders>
            <w:vAlign w:val="center"/>
          </w:tcPr>
          <w:p w14:paraId="749D08CD">
            <w:pPr>
              <w:spacing w:line="0" w:lineRule="atLeast"/>
              <w:jc w:val="center"/>
              <w:rPr>
                <w:bCs/>
                <w:color w:val="auto"/>
                <w:kern w:val="0"/>
                <w:szCs w:val="21"/>
              </w:rPr>
            </w:pPr>
            <w:r>
              <w:rPr>
                <w:bCs/>
                <w:color w:val="auto"/>
                <w:kern w:val="0"/>
                <w:szCs w:val="21"/>
              </w:rPr>
              <w:t>C</w:t>
            </w:r>
            <w:r>
              <w:rPr>
                <w:bCs/>
                <w:color w:val="auto"/>
                <w:kern w:val="0"/>
                <w:szCs w:val="21"/>
                <w:vertAlign w:val="subscript"/>
              </w:rPr>
              <w:t>叠加</w:t>
            </w:r>
            <w:r>
              <w:rPr>
                <w:bCs/>
                <w:color w:val="auto"/>
                <w:kern w:val="0"/>
                <w:szCs w:val="21"/>
              </w:rPr>
              <w:t>不达标□</w:t>
            </w:r>
          </w:p>
        </w:tc>
      </w:tr>
      <w:tr w14:paraId="64BCF4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4503CF02">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10CF94A1">
            <w:pPr>
              <w:spacing w:line="0" w:lineRule="atLeast"/>
              <w:jc w:val="center"/>
              <w:rPr>
                <w:bCs/>
                <w:color w:val="auto"/>
                <w:kern w:val="0"/>
                <w:szCs w:val="21"/>
              </w:rPr>
            </w:pPr>
            <w:r>
              <w:rPr>
                <w:bCs/>
                <w:color w:val="auto"/>
                <w:kern w:val="0"/>
                <w:szCs w:val="21"/>
              </w:rPr>
              <w:t>区域环境质量的整体变化情况</w:t>
            </w:r>
          </w:p>
        </w:tc>
        <w:tc>
          <w:tcPr>
            <w:tcW w:w="3134" w:type="dxa"/>
            <w:gridSpan w:val="10"/>
            <w:tcBorders>
              <w:top w:val="single" w:color="000000" w:sz="4" w:space="0"/>
              <w:left w:val="single" w:color="000000" w:sz="4" w:space="0"/>
              <w:bottom w:val="single" w:color="000000" w:sz="4" w:space="0"/>
              <w:right w:val="single" w:color="000000" w:sz="4" w:space="0"/>
            </w:tcBorders>
            <w:vAlign w:val="center"/>
          </w:tcPr>
          <w:p w14:paraId="12A18EBC">
            <w:pPr>
              <w:spacing w:line="0" w:lineRule="atLeast"/>
              <w:jc w:val="center"/>
              <w:rPr>
                <w:bCs/>
                <w:color w:val="auto"/>
                <w:kern w:val="0"/>
                <w:szCs w:val="21"/>
              </w:rPr>
            </w:pPr>
            <w:r>
              <w:rPr>
                <w:bCs/>
                <w:color w:val="auto"/>
                <w:kern w:val="0"/>
                <w:szCs w:val="21"/>
              </w:rPr>
              <w:t>k≤-20%□</w:t>
            </w:r>
          </w:p>
        </w:tc>
        <w:tc>
          <w:tcPr>
            <w:tcW w:w="3557" w:type="dxa"/>
            <w:gridSpan w:val="12"/>
            <w:tcBorders>
              <w:top w:val="single" w:color="000000" w:sz="4" w:space="0"/>
              <w:left w:val="single" w:color="000000" w:sz="4" w:space="0"/>
              <w:bottom w:val="single" w:color="000000" w:sz="4" w:space="0"/>
              <w:right w:val="single" w:color="000000" w:sz="12" w:space="0"/>
            </w:tcBorders>
            <w:vAlign w:val="center"/>
          </w:tcPr>
          <w:p w14:paraId="64AC3E78">
            <w:pPr>
              <w:spacing w:line="0" w:lineRule="atLeast"/>
              <w:jc w:val="center"/>
              <w:rPr>
                <w:bCs/>
                <w:color w:val="auto"/>
                <w:kern w:val="0"/>
                <w:szCs w:val="21"/>
              </w:rPr>
            </w:pPr>
            <w:r>
              <w:rPr>
                <w:bCs/>
                <w:color w:val="auto"/>
                <w:kern w:val="0"/>
                <w:szCs w:val="21"/>
              </w:rPr>
              <w:t>k&gt;-20%□</w:t>
            </w:r>
          </w:p>
        </w:tc>
      </w:tr>
      <w:tr w14:paraId="1735B16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restart"/>
            <w:tcBorders>
              <w:top w:val="single" w:color="000000" w:sz="4" w:space="0"/>
              <w:left w:val="single" w:color="000000" w:sz="12" w:space="0"/>
              <w:bottom w:val="single" w:color="000000" w:sz="4" w:space="0"/>
              <w:right w:val="single" w:color="000000" w:sz="4" w:space="0"/>
            </w:tcBorders>
            <w:vAlign w:val="center"/>
          </w:tcPr>
          <w:p w14:paraId="4CB33764">
            <w:pPr>
              <w:spacing w:line="0" w:lineRule="atLeast"/>
              <w:jc w:val="center"/>
              <w:rPr>
                <w:bCs/>
                <w:color w:val="auto"/>
                <w:kern w:val="0"/>
                <w:szCs w:val="21"/>
              </w:rPr>
            </w:pPr>
            <w:r>
              <w:rPr>
                <w:bCs/>
                <w:color w:val="auto"/>
                <w:kern w:val="0"/>
                <w:szCs w:val="21"/>
              </w:rPr>
              <w:t>环境监测计划</w:t>
            </w:r>
          </w:p>
        </w:tc>
        <w:tc>
          <w:tcPr>
            <w:tcW w:w="1798" w:type="dxa"/>
            <w:tcBorders>
              <w:top w:val="single" w:color="000000" w:sz="4" w:space="0"/>
              <w:left w:val="single" w:color="000000" w:sz="4" w:space="0"/>
              <w:bottom w:val="single" w:color="000000" w:sz="4" w:space="0"/>
              <w:right w:val="single" w:color="000000" w:sz="4" w:space="0"/>
            </w:tcBorders>
            <w:vAlign w:val="center"/>
          </w:tcPr>
          <w:p w14:paraId="206E04AE">
            <w:pPr>
              <w:spacing w:line="0" w:lineRule="atLeast"/>
              <w:jc w:val="center"/>
              <w:rPr>
                <w:bCs/>
                <w:color w:val="auto"/>
                <w:kern w:val="0"/>
                <w:szCs w:val="21"/>
              </w:rPr>
            </w:pPr>
            <w:r>
              <w:rPr>
                <w:bCs/>
                <w:color w:val="auto"/>
                <w:kern w:val="0"/>
                <w:szCs w:val="21"/>
              </w:rPr>
              <w:t>污染源监测</w:t>
            </w:r>
          </w:p>
        </w:tc>
        <w:tc>
          <w:tcPr>
            <w:tcW w:w="2212" w:type="dxa"/>
            <w:gridSpan w:val="8"/>
            <w:tcBorders>
              <w:top w:val="single" w:color="000000" w:sz="4" w:space="0"/>
              <w:left w:val="single" w:color="000000" w:sz="4" w:space="0"/>
              <w:bottom w:val="single" w:color="000000" w:sz="4" w:space="0"/>
              <w:right w:val="single" w:color="000000" w:sz="4" w:space="0"/>
            </w:tcBorders>
            <w:vAlign w:val="center"/>
          </w:tcPr>
          <w:p w14:paraId="17DB05BD">
            <w:pPr>
              <w:spacing w:line="0" w:lineRule="atLeast"/>
              <w:jc w:val="center"/>
              <w:rPr>
                <w:bCs/>
                <w:color w:val="auto"/>
                <w:kern w:val="0"/>
                <w:szCs w:val="21"/>
              </w:rPr>
            </w:pPr>
            <w:r>
              <w:rPr>
                <w:bCs/>
                <w:color w:val="auto"/>
                <w:kern w:val="0"/>
                <w:szCs w:val="21"/>
              </w:rPr>
              <w:t>监测因子：（颗粒物）</w:t>
            </w:r>
          </w:p>
        </w:tc>
        <w:tc>
          <w:tcPr>
            <w:tcW w:w="2552" w:type="dxa"/>
            <w:gridSpan w:val="10"/>
            <w:tcBorders>
              <w:top w:val="single" w:color="000000" w:sz="4" w:space="0"/>
              <w:left w:val="single" w:color="000000" w:sz="4" w:space="0"/>
              <w:bottom w:val="single" w:color="000000" w:sz="4" w:space="0"/>
              <w:right w:val="single" w:color="000000" w:sz="4" w:space="0"/>
            </w:tcBorders>
            <w:vAlign w:val="center"/>
          </w:tcPr>
          <w:p w14:paraId="34986086">
            <w:pPr>
              <w:spacing w:line="0" w:lineRule="atLeast"/>
              <w:jc w:val="center"/>
              <w:rPr>
                <w:bCs/>
                <w:color w:val="auto"/>
                <w:kern w:val="0"/>
                <w:szCs w:val="21"/>
              </w:rPr>
            </w:pPr>
            <w:r>
              <w:rPr>
                <w:bCs/>
                <w:color w:val="auto"/>
                <w:kern w:val="0"/>
                <w:szCs w:val="21"/>
              </w:rPr>
              <w:t>有组织废气监测□</w:t>
            </w:r>
          </w:p>
          <w:p w14:paraId="3EE0E7A5">
            <w:pPr>
              <w:spacing w:line="0" w:lineRule="atLeast"/>
              <w:jc w:val="center"/>
              <w:rPr>
                <w:bCs/>
                <w:color w:val="auto"/>
                <w:kern w:val="0"/>
                <w:szCs w:val="21"/>
              </w:rPr>
            </w:pPr>
            <w:r>
              <w:rPr>
                <w:bCs/>
                <w:color w:val="auto"/>
                <w:kern w:val="0"/>
                <w:szCs w:val="21"/>
              </w:rPr>
              <w:t>无组织废气监测√</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23F47CA7">
            <w:pPr>
              <w:spacing w:line="0" w:lineRule="atLeast"/>
              <w:jc w:val="center"/>
              <w:rPr>
                <w:bCs/>
                <w:color w:val="auto"/>
                <w:kern w:val="0"/>
                <w:szCs w:val="21"/>
              </w:rPr>
            </w:pPr>
            <w:r>
              <w:rPr>
                <w:bCs/>
                <w:color w:val="auto"/>
                <w:kern w:val="0"/>
                <w:szCs w:val="21"/>
              </w:rPr>
              <w:t>无监测□</w:t>
            </w:r>
          </w:p>
        </w:tc>
      </w:tr>
      <w:tr w14:paraId="008D63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768438EA">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5B3C69B3">
            <w:pPr>
              <w:spacing w:line="0" w:lineRule="atLeast"/>
              <w:jc w:val="center"/>
              <w:rPr>
                <w:bCs/>
                <w:color w:val="auto"/>
                <w:kern w:val="0"/>
                <w:szCs w:val="21"/>
              </w:rPr>
            </w:pPr>
            <w:r>
              <w:rPr>
                <w:bCs/>
                <w:color w:val="auto"/>
                <w:kern w:val="0"/>
                <w:szCs w:val="21"/>
              </w:rPr>
              <w:t>环境质量监测</w:t>
            </w:r>
          </w:p>
        </w:tc>
        <w:tc>
          <w:tcPr>
            <w:tcW w:w="2212" w:type="dxa"/>
            <w:gridSpan w:val="8"/>
            <w:tcBorders>
              <w:top w:val="single" w:color="000000" w:sz="4" w:space="0"/>
              <w:left w:val="single" w:color="000000" w:sz="4" w:space="0"/>
              <w:bottom w:val="single" w:color="000000" w:sz="4" w:space="0"/>
              <w:right w:val="single" w:color="000000" w:sz="4" w:space="0"/>
            </w:tcBorders>
            <w:vAlign w:val="center"/>
          </w:tcPr>
          <w:p w14:paraId="3D3B25A0">
            <w:pPr>
              <w:spacing w:line="0" w:lineRule="atLeast"/>
              <w:jc w:val="center"/>
              <w:rPr>
                <w:bCs/>
                <w:color w:val="auto"/>
                <w:kern w:val="0"/>
                <w:szCs w:val="21"/>
              </w:rPr>
            </w:pPr>
            <w:r>
              <w:rPr>
                <w:bCs/>
                <w:color w:val="auto"/>
                <w:kern w:val="0"/>
                <w:szCs w:val="21"/>
              </w:rPr>
              <w:t>监测因子：（）</w:t>
            </w:r>
          </w:p>
        </w:tc>
        <w:tc>
          <w:tcPr>
            <w:tcW w:w="2552" w:type="dxa"/>
            <w:gridSpan w:val="10"/>
            <w:tcBorders>
              <w:top w:val="single" w:color="000000" w:sz="4" w:space="0"/>
              <w:left w:val="single" w:color="000000" w:sz="4" w:space="0"/>
              <w:bottom w:val="single" w:color="000000" w:sz="4" w:space="0"/>
              <w:right w:val="single" w:color="000000" w:sz="4" w:space="0"/>
            </w:tcBorders>
            <w:vAlign w:val="center"/>
          </w:tcPr>
          <w:p w14:paraId="748644B0">
            <w:pPr>
              <w:spacing w:line="0" w:lineRule="atLeast"/>
              <w:jc w:val="center"/>
              <w:rPr>
                <w:bCs/>
                <w:color w:val="auto"/>
                <w:kern w:val="0"/>
                <w:szCs w:val="21"/>
              </w:rPr>
            </w:pPr>
            <w:r>
              <w:rPr>
                <w:bCs/>
                <w:color w:val="auto"/>
                <w:kern w:val="0"/>
                <w:szCs w:val="21"/>
              </w:rPr>
              <w:t>监测点位数（）</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308EA421">
            <w:pPr>
              <w:spacing w:line="0" w:lineRule="atLeast"/>
              <w:jc w:val="center"/>
              <w:rPr>
                <w:bCs/>
                <w:color w:val="auto"/>
                <w:kern w:val="0"/>
                <w:szCs w:val="21"/>
              </w:rPr>
            </w:pPr>
            <w:r>
              <w:rPr>
                <w:bCs/>
                <w:color w:val="auto"/>
                <w:kern w:val="0"/>
                <w:szCs w:val="21"/>
              </w:rPr>
              <w:t>无监测□</w:t>
            </w:r>
          </w:p>
        </w:tc>
      </w:tr>
      <w:tr w14:paraId="6E5EEB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tcBorders>
              <w:top w:val="single" w:color="000000" w:sz="4" w:space="0"/>
              <w:left w:val="single" w:color="000000" w:sz="12" w:space="0"/>
              <w:bottom w:val="single" w:color="000000" w:sz="4" w:space="0"/>
              <w:right w:val="single" w:color="000000" w:sz="4" w:space="0"/>
            </w:tcBorders>
            <w:vAlign w:val="center"/>
          </w:tcPr>
          <w:p w14:paraId="567166DF">
            <w:pPr>
              <w:spacing w:line="0" w:lineRule="atLeast"/>
              <w:jc w:val="center"/>
              <w:rPr>
                <w:bCs/>
                <w:color w:val="auto"/>
                <w:kern w:val="0"/>
                <w:szCs w:val="21"/>
              </w:rPr>
            </w:pPr>
            <w:r>
              <w:rPr>
                <w:bCs/>
                <w:color w:val="auto"/>
                <w:kern w:val="0"/>
                <w:szCs w:val="21"/>
              </w:rPr>
              <w:t>评价结论</w:t>
            </w:r>
          </w:p>
        </w:tc>
        <w:tc>
          <w:tcPr>
            <w:tcW w:w="1798" w:type="dxa"/>
            <w:tcBorders>
              <w:top w:val="single" w:color="000000" w:sz="4" w:space="0"/>
              <w:left w:val="single" w:color="000000" w:sz="4" w:space="0"/>
              <w:bottom w:val="single" w:color="000000" w:sz="4" w:space="0"/>
              <w:right w:val="single" w:color="000000" w:sz="4" w:space="0"/>
            </w:tcBorders>
            <w:vAlign w:val="center"/>
          </w:tcPr>
          <w:p w14:paraId="5A0B2E94">
            <w:pPr>
              <w:spacing w:line="0" w:lineRule="atLeast"/>
              <w:jc w:val="center"/>
              <w:rPr>
                <w:bCs/>
                <w:color w:val="auto"/>
                <w:kern w:val="0"/>
                <w:szCs w:val="21"/>
              </w:rPr>
            </w:pPr>
            <w:r>
              <w:rPr>
                <w:bCs/>
                <w:color w:val="auto"/>
                <w:kern w:val="0"/>
                <w:szCs w:val="21"/>
              </w:rPr>
              <w:t>环境影响</w:t>
            </w:r>
          </w:p>
        </w:tc>
        <w:tc>
          <w:tcPr>
            <w:tcW w:w="6691" w:type="dxa"/>
            <w:gridSpan w:val="22"/>
            <w:tcBorders>
              <w:top w:val="single" w:color="000000" w:sz="4" w:space="0"/>
              <w:left w:val="single" w:color="000000" w:sz="4" w:space="0"/>
              <w:bottom w:val="single" w:color="000000" w:sz="4" w:space="0"/>
              <w:right w:val="single" w:color="000000" w:sz="12" w:space="0"/>
            </w:tcBorders>
            <w:vAlign w:val="center"/>
          </w:tcPr>
          <w:p w14:paraId="5212B4D5">
            <w:pPr>
              <w:spacing w:line="0" w:lineRule="atLeast"/>
              <w:jc w:val="center"/>
              <w:rPr>
                <w:bCs/>
                <w:color w:val="auto"/>
                <w:kern w:val="0"/>
                <w:szCs w:val="21"/>
              </w:rPr>
            </w:pPr>
            <w:r>
              <w:rPr>
                <w:bCs/>
                <w:color w:val="auto"/>
                <w:kern w:val="0"/>
                <w:szCs w:val="21"/>
              </w:rPr>
              <w:t>可以接受√       不可以接受□</w:t>
            </w:r>
          </w:p>
        </w:tc>
      </w:tr>
      <w:tr w14:paraId="5BB6F8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restart"/>
            <w:tcBorders>
              <w:top w:val="single" w:color="000000" w:sz="4" w:space="0"/>
              <w:left w:val="single" w:color="000000" w:sz="12" w:space="0"/>
              <w:bottom w:val="single" w:color="000000" w:sz="4" w:space="0"/>
              <w:right w:val="single" w:color="000000" w:sz="4" w:space="0"/>
            </w:tcBorders>
            <w:vAlign w:val="center"/>
          </w:tcPr>
          <w:p w14:paraId="6A6AB598">
            <w:pPr>
              <w:spacing w:line="0" w:lineRule="atLeast"/>
              <w:jc w:val="center"/>
              <w:rPr>
                <w:bCs/>
                <w:color w:val="auto"/>
                <w:kern w:val="0"/>
                <w:szCs w:val="21"/>
              </w:rPr>
            </w:pPr>
            <w:r>
              <w:rPr>
                <w:bCs/>
                <w:color w:val="auto"/>
                <w:kern w:val="0"/>
                <w:szCs w:val="21"/>
              </w:rPr>
              <w:t>评价结论</w:t>
            </w:r>
          </w:p>
        </w:tc>
        <w:tc>
          <w:tcPr>
            <w:tcW w:w="1798" w:type="dxa"/>
            <w:tcBorders>
              <w:top w:val="single" w:color="000000" w:sz="4" w:space="0"/>
              <w:left w:val="single" w:color="000000" w:sz="4" w:space="0"/>
              <w:bottom w:val="single" w:color="000000" w:sz="4" w:space="0"/>
              <w:right w:val="single" w:color="000000" w:sz="4" w:space="0"/>
            </w:tcBorders>
            <w:vAlign w:val="center"/>
          </w:tcPr>
          <w:p w14:paraId="2511EB52">
            <w:pPr>
              <w:spacing w:line="0" w:lineRule="atLeast"/>
              <w:jc w:val="center"/>
              <w:rPr>
                <w:bCs/>
                <w:color w:val="auto"/>
                <w:kern w:val="0"/>
                <w:szCs w:val="21"/>
              </w:rPr>
            </w:pPr>
            <w:r>
              <w:rPr>
                <w:bCs/>
                <w:color w:val="auto"/>
                <w:kern w:val="0"/>
                <w:szCs w:val="21"/>
              </w:rPr>
              <w:t>大气环境防护距离</w:t>
            </w:r>
          </w:p>
        </w:tc>
        <w:tc>
          <w:tcPr>
            <w:tcW w:w="6691" w:type="dxa"/>
            <w:gridSpan w:val="22"/>
            <w:tcBorders>
              <w:top w:val="single" w:color="000000" w:sz="4" w:space="0"/>
              <w:left w:val="single" w:color="000000" w:sz="4" w:space="0"/>
              <w:bottom w:val="single" w:color="000000" w:sz="4" w:space="0"/>
              <w:right w:val="single" w:color="000000" w:sz="12" w:space="0"/>
            </w:tcBorders>
            <w:vAlign w:val="center"/>
          </w:tcPr>
          <w:p w14:paraId="2CD384C7">
            <w:pPr>
              <w:spacing w:line="0" w:lineRule="atLeast"/>
              <w:jc w:val="center"/>
              <w:rPr>
                <w:bCs/>
                <w:color w:val="auto"/>
                <w:kern w:val="0"/>
                <w:szCs w:val="21"/>
              </w:rPr>
            </w:pPr>
            <w:r>
              <w:rPr>
                <w:bCs/>
                <w:color w:val="auto"/>
                <w:kern w:val="0"/>
                <w:szCs w:val="21"/>
              </w:rPr>
              <w:t>距（   ）厂界最远（    ）m</w:t>
            </w:r>
          </w:p>
        </w:tc>
      </w:tr>
      <w:tr w14:paraId="4B82B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jc w:val="center"/>
        </w:trPr>
        <w:tc>
          <w:tcPr>
            <w:tcW w:w="751" w:type="dxa"/>
            <w:vMerge w:val="continue"/>
            <w:tcBorders>
              <w:top w:val="single" w:color="000000" w:sz="4" w:space="0"/>
              <w:left w:val="single" w:color="000000" w:sz="12" w:space="0"/>
              <w:bottom w:val="single" w:color="000000" w:sz="4" w:space="0"/>
              <w:right w:val="single" w:color="000000" w:sz="4" w:space="0"/>
            </w:tcBorders>
            <w:vAlign w:val="center"/>
          </w:tcPr>
          <w:p w14:paraId="65019326">
            <w:pPr>
              <w:widowControl/>
              <w:jc w:val="left"/>
              <w:rPr>
                <w:bCs/>
                <w:color w:val="auto"/>
                <w:kern w:val="0"/>
                <w:szCs w:val="21"/>
              </w:rPr>
            </w:pPr>
          </w:p>
        </w:tc>
        <w:tc>
          <w:tcPr>
            <w:tcW w:w="1798" w:type="dxa"/>
            <w:tcBorders>
              <w:top w:val="single" w:color="000000" w:sz="4" w:space="0"/>
              <w:left w:val="single" w:color="000000" w:sz="4" w:space="0"/>
              <w:bottom w:val="single" w:color="000000" w:sz="4" w:space="0"/>
              <w:right w:val="single" w:color="000000" w:sz="4" w:space="0"/>
            </w:tcBorders>
            <w:vAlign w:val="center"/>
          </w:tcPr>
          <w:p w14:paraId="4D6E0D5C">
            <w:pPr>
              <w:spacing w:line="0" w:lineRule="atLeast"/>
              <w:jc w:val="center"/>
              <w:rPr>
                <w:bCs/>
                <w:color w:val="auto"/>
                <w:kern w:val="0"/>
                <w:szCs w:val="21"/>
              </w:rPr>
            </w:pPr>
            <w:r>
              <w:rPr>
                <w:bCs/>
                <w:color w:val="auto"/>
                <w:kern w:val="0"/>
                <w:szCs w:val="21"/>
              </w:rPr>
              <w:t>污染源年排放量</w:t>
            </w:r>
          </w:p>
        </w:tc>
        <w:tc>
          <w:tcPr>
            <w:tcW w:w="1539" w:type="dxa"/>
            <w:gridSpan w:val="4"/>
            <w:tcBorders>
              <w:top w:val="single" w:color="000000" w:sz="4" w:space="0"/>
              <w:left w:val="single" w:color="000000" w:sz="4" w:space="0"/>
              <w:bottom w:val="single" w:color="000000" w:sz="4" w:space="0"/>
              <w:right w:val="single" w:color="000000" w:sz="4" w:space="0"/>
            </w:tcBorders>
            <w:vAlign w:val="center"/>
          </w:tcPr>
          <w:p w14:paraId="401F6FAC">
            <w:pPr>
              <w:spacing w:line="0" w:lineRule="atLeast"/>
              <w:jc w:val="center"/>
              <w:rPr>
                <w:bCs/>
                <w:color w:val="auto"/>
                <w:kern w:val="0"/>
                <w:szCs w:val="21"/>
              </w:rPr>
            </w:pPr>
            <w:r>
              <w:rPr>
                <w:bCs/>
                <w:color w:val="auto"/>
                <w:kern w:val="0"/>
                <w:szCs w:val="21"/>
              </w:rPr>
              <w:t>SO</w:t>
            </w:r>
            <w:r>
              <w:rPr>
                <w:bCs/>
                <w:color w:val="auto"/>
                <w:kern w:val="0"/>
                <w:szCs w:val="21"/>
                <w:vertAlign w:val="subscript"/>
              </w:rPr>
              <w:t>2</w:t>
            </w:r>
            <w:r>
              <w:rPr>
                <w:bCs/>
                <w:color w:val="auto"/>
                <w:kern w:val="0"/>
                <w:szCs w:val="21"/>
              </w:rPr>
              <w:t>：（）t/a</w:t>
            </w:r>
          </w:p>
        </w:tc>
        <w:tc>
          <w:tcPr>
            <w:tcW w:w="1595" w:type="dxa"/>
            <w:gridSpan w:val="6"/>
            <w:tcBorders>
              <w:top w:val="single" w:color="000000" w:sz="4" w:space="0"/>
              <w:left w:val="single" w:color="000000" w:sz="4" w:space="0"/>
              <w:bottom w:val="single" w:color="000000" w:sz="4" w:space="0"/>
              <w:right w:val="single" w:color="000000" w:sz="4" w:space="0"/>
            </w:tcBorders>
            <w:vAlign w:val="center"/>
          </w:tcPr>
          <w:p w14:paraId="5D2AA8E3">
            <w:pPr>
              <w:spacing w:line="0" w:lineRule="atLeast"/>
              <w:jc w:val="center"/>
              <w:rPr>
                <w:bCs/>
                <w:color w:val="auto"/>
                <w:kern w:val="0"/>
                <w:szCs w:val="21"/>
              </w:rPr>
            </w:pPr>
            <w:r>
              <w:rPr>
                <w:bCs/>
                <w:color w:val="auto"/>
                <w:kern w:val="0"/>
                <w:szCs w:val="21"/>
              </w:rPr>
              <w:t>NO</w:t>
            </w:r>
            <w:r>
              <w:rPr>
                <w:bCs/>
                <w:color w:val="auto"/>
                <w:kern w:val="0"/>
                <w:szCs w:val="21"/>
                <w:vertAlign w:val="subscript"/>
              </w:rPr>
              <w:t>X</w:t>
            </w:r>
            <w:r>
              <w:rPr>
                <w:bCs/>
                <w:color w:val="auto"/>
                <w:kern w:val="0"/>
                <w:szCs w:val="21"/>
              </w:rPr>
              <w:t>：（）t/a</w:t>
            </w:r>
          </w:p>
        </w:tc>
        <w:tc>
          <w:tcPr>
            <w:tcW w:w="1630" w:type="dxa"/>
            <w:gridSpan w:val="8"/>
            <w:tcBorders>
              <w:top w:val="single" w:color="000000" w:sz="4" w:space="0"/>
              <w:left w:val="single" w:color="000000" w:sz="4" w:space="0"/>
              <w:bottom w:val="single" w:color="000000" w:sz="4" w:space="0"/>
              <w:right w:val="single" w:color="000000" w:sz="4" w:space="0"/>
            </w:tcBorders>
            <w:vAlign w:val="center"/>
          </w:tcPr>
          <w:p w14:paraId="090F4B09">
            <w:pPr>
              <w:spacing w:line="0" w:lineRule="atLeast"/>
              <w:jc w:val="center"/>
              <w:rPr>
                <w:bCs/>
                <w:color w:val="auto"/>
                <w:kern w:val="0"/>
                <w:szCs w:val="21"/>
              </w:rPr>
            </w:pPr>
            <w:r>
              <w:rPr>
                <w:bCs/>
                <w:color w:val="auto"/>
                <w:kern w:val="0"/>
                <w:szCs w:val="21"/>
              </w:rPr>
              <w:t>颗粒物：（）t/a</w:t>
            </w:r>
          </w:p>
        </w:tc>
        <w:tc>
          <w:tcPr>
            <w:tcW w:w="1927" w:type="dxa"/>
            <w:gridSpan w:val="4"/>
            <w:tcBorders>
              <w:top w:val="single" w:color="000000" w:sz="4" w:space="0"/>
              <w:left w:val="single" w:color="000000" w:sz="4" w:space="0"/>
              <w:bottom w:val="single" w:color="000000" w:sz="4" w:space="0"/>
              <w:right w:val="single" w:color="000000" w:sz="12" w:space="0"/>
            </w:tcBorders>
            <w:vAlign w:val="center"/>
          </w:tcPr>
          <w:p w14:paraId="4B6FF147">
            <w:pPr>
              <w:spacing w:line="0" w:lineRule="atLeast"/>
              <w:jc w:val="center"/>
              <w:rPr>
                <w:bCs/>
                <w:color w:val="auto"/>
                <w:kern w:val="0"/>
                <w:szCs w:val="21"/>
              </w:rPr>
            </w:pPr>
            <w:r>
              <w:rPr>
                <w:bCs/>
                <w:color w:val="auto"/>
                <w:kern w:val="0"/>
                <w:szCs w:val="21"/>
              </w:rPr>
              <w:t>VOCs：（）t/a</w:t>
            </w:r>
          </w:p>
        </w:tc>
      </w:tr>
      <w:tr w14:paraId="6F7B67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 w:hRule="atLeast"/>
          <w:jc w:val="center"/>
        </w:trPr>
        <w:tc>
          <w:tcPr>
            <w:tcW w:w="9240" w:type="dxa"/>
            <w:gridSpan w:val="24"/>
            <w:tcBorders>
              <w:top w:val="single" w:color="000000" w:sz="4" w:space="0"/>
              <w:left w:val="single" w:color="000000" w:sz="12" w:space="0"/>
              <w:bottom w:val="single" w:color="000000" w:sz="12" w:space="0"/>
              <w:right w:val="single" w:color="000000" w:sz="12" w:space="0"/>
            </w:tcBorders>
            <w:vAlign w:val="center"/>
          </w:tcPr>
          <w:p w14:paraId="15A7ABA7">
            <w:pPr>
              <w:spacing w:line="0" w:lineRule="atLeast"/>
              <w:rPr>
                <w:bCs/>
                <w:color w:val="auto"/>
                <w:kern w:val="0"/>
                <w:szCs w:val="21"/>
              </w:rPr>
            </w:pPr>
            <w:r>
              <w:rPr>
                <w:bCs/>
                <w:color w:val="auto"/>
                <w:kern w:val="0"/>
                <w:szCs w:val="21"/>
              </w:rPr>
              <w:t>注：“□”为勾选项，填“√”；“（ ）”为内容填写项</w:t>
            </w:r>
          </w:p>
        </w:tc>
      </w:tr>
    </w:tbl>
    <w:p w14:paraId="32781F35">
      <w:pPr>
        <w:widowControl/>
        <w:spacing w:line="360" w:lineRule="auto"/>
        <w:jc w:val="left"/>
        <w:rPr>
          <w:color w:val="auto"/>
          <w:sz w:val="24"/>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7B5C9CC">
      <w:pPr>
        <w:keepNext/>
        <w:keepLines/>
        <w:adjustRightInd w:val="0"/>
        <w:snapToGrid w:val="0"/>
        <w:spacing w:line="500" w:lineRule="exact"/>
        <w:outlineLvl w:val="1"/>
        <w:rPr>
          <w:rFonts w:eastAsia="黑体"/>
          <w:bCs/>
          <w:snapToGrid w:val="0"/>
          <w:color w:val="auto"/>
          <w:kern w:val="0"/>
          <w:sz w:val="28"/>
          <w:szCs w:val="32"/>
        </w:rPr>
      </w:pPr>
      <w:bookmarkStart w:id="260" w:name="_Toc140149467"/>
      <w:bookmarkStart w:id="261" w:name="_Toc149054244"/>
      <w:r>
        <w:rPr>
          <w:rFonts w:hint="eastAsia" w:eastAsia="黑体"/>
          <w:bCs/>
          <w:snapToGrid w:val="0"/>
          <w:color w:val="auto"/>
          <w:kern w:val="0"/>
          <w:sz w:val="28"/>
          <w:szCs w:val="32"/>
        </w:rPr>
        <w:t>附表</w:t>
      </w:r>
      <w:r>
        <w:rPr>
          <w:rFonts w:eastAsia="黑体"/>
          <w:bCs/>
          <w:snapToGrid w:val="0"/>
          <w:color w:val="auto"/>
          <w:kern w:val="0"/>
          <w:sz w:val="28"/>
          <w:szCs w:val="32"/>
        </w:rPr>
        <w:t>2</w:t>
      </w:r>
      <w:r>
        <w:rPr>
          <w:rFonts w:hint="eastAsia" w:eastAsia="黑体"/>
          <w:bCs/>
          <w:snapToGrid w:val="0"/>
          <w:color w:val="auto"/>
          <w:kern w:val="0"/>
          <w:sz w:val="28"/>
          <w:szCs w:val="32"/>
        </w:rPr>
        <w:t>项目地表水环境影响评价自查表</w:t>
      </w:r>
      <w:bookmarkEnd w:id="260"/>
      <w:bookmarkEnd w:id="261"/>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91"/>
        <w:gridCol w:w="1681"/>
        <w:gridCol w:w="2325"/>
        <w:gridCol w:w="2966"/>
        <w:gridCol w:w="1471"/>
        <w:gridCol w:w="1468"/>
        <w:gridCol w:w="2736"/>
      </w:tblGrid>
      <w:tr w14:paraId="30E471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 w:hRule="atLeast"/>
        </w:trPr>
        <w:tc>
          <w:tcPr>
            <w:tcW w:w="880" w:type="pct"/>
            <w:gridSpan w:val="2"/>
            <w:noWrap/>
            <w:vAlign w:val="center"/>
          </w:tcPr>
          <w:p w14:paraId="524B8B73">
            <w:pPr>
              <w:adjustRightInd w:val="0"/>
              <w:snapToGrid w:val="0"/>
              <w:jc w:val="center"/>
              <w:rPr>
                <w:rFonts w:ascii="Times New Roman" w:hAnsi="Times New Roman"/>
                <w:color w:val="auto"/>
                <w:kern w:val="0"/>
                <w:szCs w:val="21"/>
              </w:rPr>
            </w:pPr>
            <w:bookmarkStart w:id="262" w:name="_Toc2789041"/>
            <w:r>
              <w:rPr>
                <w:rFonts w:hint="eastAsia" w:ascii="Times New Roman" w:hAnsi="Times New Roman"/>
                <w:color w:val="auto"/>
                <w:kern w:val="0"/>
                <w:szCs w:val="21"/>
              </w:rPr>
              <w:t>工作内容</w:t>
            </w:r>
          </w:p>
        </w:tc>
        <w:tc>
          <w:tcPr>
            <w:tcW w:w="4120" w:type="pct"/>
            <w:gridSpan w:val="5"/>
            <w:noWrap/>
            <w:vAlign w:val="center"/>
          </w:tcPr>
          <w:p w14:paraId="5ED7DC9F">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自查项目</w:t>
            </w:r>
          </w:p>
        </w:tc>
      </w:tr>
      <w:tr w14:paraId="34E04F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restart"/>
            <w:noWrap/>
            <w:textDirection w:val="tbRlV"/>
            <w:vAlign w:val="center"/>
          </w:tcPr>
          <w:p w14:paraId="70EE737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影响识别</w:t>
            </w:r>
          </w:p>
        </w:tc>
        <w:tc>
          <w:tcPr>
            <w:tcW w:w="646" w:type="pct"/>
            <w:vAlign w:val="center"/>
          </w:tcPr>
          <w:p w14:paraId="65BDEB8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影响类型</w:t>
            </w:r>
          </w:p>
        </w:tc>
        <w:tc>
          <w:tcPr>
            <w:tcW w:w="4120" w:type="pct"/>
            <w:gridSpan w:val="5"/>
            <w:noWrap/>
            <w:vAlign w:val="center"/>
          </w:tcPr>
          <w:p w14:paraId="3126CA8C">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水污染影响型</w:t>
            </w:r>
            <w:r>
              <w:rPr>
                <w:rFonts w:ascii="Times New Roman" w:hAnsi="Times New Roman"/>
                <w:color w:val="auto"/>
                <w:kern w:val="0"/>
                <w:szCs w:val="21"/>
              </w:rPr>
              <w:t>√</w:t>
            </w:r>
            <w:r>
              <w:rPr>
                <w:rFonts w:hint="eastAsia" w:ascii="Times New Roman" w:hAnsi="Times New Roman"/>
                <w:color w:val="auto"/>
                <w:kern w:val="0"/>
                <w:szCs w:val="21"/>
              </w:rPr>
              <w:t>；水文要素影响型</w:t>
            </w:r>
            <w:r>
              <w:rPr>
                <w:rFonts w:ascii="Times New Roman" w:hAnsi="Times New Roman"/>
                <w:color w:val="auto"/>
                <w:kern w:val="0"/>
                <w:szCs w:val="21"/>
              </w:rPr>
              <w:t>□</w:t>
            </w:r>
          </w:p>
        </w:tc>
      </w:tr>
      <w:tr w14:paraId="12489FA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4D8A9D53">
            <w:pPr>
              <w:widowControl/>
              <w:jc w:val="left"/>
              <w:rPr>
                <w:rFonts w:ascii="Times New Roman" w:hAnsi="Times New Roman"/>
                <w:color w:val="auto"/>
                <w:kern w:val="0"/>
                <w:szCs w:val="21"/>
              </w:rPr>
            </w:pPr>
          </w:p>
        </w:tc>
        <w:tc>
          <w:tcPr>
            <w:tcW w:w="646" w:type="pct"/>
            <w:vAlign w:val="center"/>
          </w:tcPr>
          <w:p w14:paraId="31410AA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水环境保护目标</w:t>
            </w:r>
          </w:p>
        </w:tc>
        <w:tc>
          <w:tcPr>
            <w:tcW w:w="4120" w:type="pct"/>
            <w:gridSpan w:val="5"/>
            <w:vAlign w:val="center"/>
          </w:tcPr>
          <w:p w14:paraId="4D7AB995">
            <w:pPr>
              <w:adjustRightInd w:val="0"/>
              <w:snapToGrid w:val="0"/>
              <w:rPr>
                <w:rFonts w:ascii="Times New Roman" w:hAnsi="Times New Roman"/>
                <w:color w:val="auto"/>
                <w:kern w:val="0"/>
                <w:szCs w:val="21"/>
              </w:rPr>
            </w:pPr>
            <w:r>
              <w:rPr>
                <w:rFonts w:hint="eastAsia" w:ascii="Times New Roman" w:hAnsi="Times New Roman"/>
                <w:color w:val="auto"/>
                <w:kern w:val="0"/>
                <w:szCs w:val="21"/>
              </w:rPr>
              <w:t>饮用水水源保护区</w:t>
            </w:r>
            <w:r>
              <w:rPr>
                <w:rFonts w:ascii="Times New Roman" w:hAnsi="Times New Roman"/>
                <w:color w:val="auto"/>
                <w:kern w:val="0"/>
                <w:szCs w:val="21"/>
              </w:rPr>
              <w:t>□</w:t>
            </w:r>
            <w:r>
              <w:rPr>
                <w:rFonts w:hint="eastAsia" w:ascii="Times New Roman" w:hAnsi="Times New Roman"/>
                <w:color w:val="auto"/>
                <w:kern w:val="0"/>
                <w:szCs w:val="21"/>
              </w:rPr>
              <w:t>；饮用水取水口</w:t>
            </w:r>
            <w:r>
              <w:rPr>
                <w:rFonts w:ascii="Times New Roman" w:hAnsi="Times New Roman"/>
                <w:color w:val="auto"/>
                <w:kern w:val="0"/>
                <w:szCs w:val="21"/>
              </w:rPr>
              <w:t>□</w:t>
            </w:r>
            <w:r>
              <w:rPr>
                <w:rFonts w:hint="eastAsia" w:ascii="Times New Roman" w:hAnsi="Times New Roman"/>
                <w:color w:val="auto"/>
                <w:kern w:val="0"/>
                <w:szCs w:val="21"/>
              </w:rPr>
              <w:t>；涉水的自然保护区</w:t>
            </w:r>
            <w:r>
              <w:rPr>
                <w:rFonts w:ascii="Times New Roman" w:hAnsi="Times New Roman"/>
                <w:color w:val="auto"/>
                <w:kern w:val="0"/>
                <w:szCs w:val="21"/>
              </w:rPr>
              <w:t>□</w:t>
            </w:r>
            <w:r>
              <w:rPr>
                <w:rFonts w:hint="eastAsia" w:ascii="Times New Roman" w:hAnsi="Times New Roman"/>
                <w:color w:val="auto"/>
                <w:kern w:val="0"/>
                <w:szCs w:val="21"/>
              </w:rPr>
              <w:t>；重要湿地</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重点保护与珍稀水生生物的栖息地</w:t>
            </w:r>
            <w:r>
              <w:rPr>
                <w:rFonts w:ascii="Times New Roman" w:hAnsi="Times New Roman"/>
                <w:color w:val="auto"/>
                <w:kern w:val="0"/>
                <w:szCs w:val="21"/>
              </w:rPr>
              <w:t>□</w:t>
            </w:r>
            <w:r>
              <w:rPr>
                <w:rFonts w:hint="eastAsia" w:ascii="Times New Roman" w:hAnsi="Times New Roman"/>
                <w:color w:val="auto"/>
                <w:kern w:val="0"/>
                <w:szCs w:val="21"/>
              </w:rPr>
              <w:t>；重要水生生物的自然产卵场及索饵场、越冬场和洄游通道、天然渔场等渔业水体</w:t>
            </w:r>
            <w:r>
              <w:rPr>
                <w:rFonts w:ascii="Times New Roman" w:hAnsi="Times New Roman"/>
                <w:color w:val="auto"/>
                <w:kern w:val="0"/>
                <w:szCs w:val="21"/>
              </w:rPr>
              <w:t>□</w:t>
            </w:r>
            <w:r>
              <w:rPr>
                <w:rFonts w:hint="eastAsia" w:ascii="Times New Roman" w:hAnsi="Times New Roman"/>
                <w:color w:val="auto"/>
                <w:kern w:val="0"/>
                <w:szCs w:val="21"/>
              </w:rPr>
              <w:t>；涉水的风景名胜区</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1A14B5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45C8AEFE">
            <w:pPr>
              <w:widowControl/>
              <w:jc w:val="left"/>
              <w:rPr>
                <w:rFonts w:ascii="Times New Roman" w:hAnsi="Times New Roman"/>
                <w:color w:val="auto"/>
                <w:kern w:val="0"/>
                <w:szCs w:val="21"/>
              </w:rPr>
            </w:pPr>
          </w:p>
        </w:tc>
        <w:tc>
          <w:tcPr>
            <w:tcW w:w="646" w:type="pct"/>
            <w:vMerge w:val="restart"/>
            <w:vAlign w:val="center"/>
          </w:tcPr>
          <w:p w14:paraId="6F349D1E">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影响途径</w:t>
            </w:r>
          </w:p>
        </w:tc>
        <w:tc>
          <w:tcPr>
            <w:tcW w:w="2019" w:type="pct"/>
            <w:gridSpan w:val="2"/>
            <w:vAlign w:val="center"/>
          </w:tcPr>
          <w:p w14:paraId="0AEB6CF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水污染影响型</w:t>
            </w:r>
          </w:p>
        </w:tc>
        <w:tc>
          <w:tcPr>
            <w:tcW w:w="2100" w:type="pct"/>
            <w:gridSpan w:val="3"/>
            <w:vAlign w:val="center"/>
          </w:tcPr>
          <w:p w14:paraId="7EC3ECE6">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水文要素影响型</w:t>
            </w:r>
          </w:p>
        </w:tc>
      </w:tr>
      <w:tr w14:paraId="5B10D4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1CAD6A40">
            <w:pPr>
              <w:widowControl/>
              <w:jc w:val="left"/>
              <w:rPr>
                <w:rFonts w:ascii="Times New Roman" w:hAnsi="Times New Roman"/>
                <w:color w:val="auto"/>
                <w:kern w:val="0"/>
                <w:szCs w:val="21"/>
              </w:rPr>
            </w:pPr>
          </w:p>
        </w:tc>
        <w:tc>
          <w:tcPr>
            <w:tcW w:w="646" w:type="pct"/>
            <w:vMerge w:val="continue"/>
            <w:vAlign w:val="center"/>
          </w:tcPr>
          <w:p w14:paraId="0BC5206E">
            <w:pPr>
              <w:widowControl/>
              <w:jc w:val="left"/>
              <w:rPr>
                <w:rFonts w:ascii="Times New Roman" w:hAnsi="Times New Roman"/>
                <w:color w:val="auto"/>
                <w:kern w:val="0"/>
                <w:szCs w:val="21"/>
              </w:rPr>
            </w:pPr>
          </w:p>
        </w:tc>
        <w:tc>
          <w:tcPr>
            <w:tcW w:w="2019" w:type="pct"/>
            <w:gridSpan w:val="2"/>
            <w:vAlign w:val="center"/>
          </w:tcPr>
          <w:p w14:paraId="49000983">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直接排放</w:t>
            </w:r>
            <w:r>
              <w:rPr>
                <w:rFonts w:ascii="Times New Roman" w:hAnsi="Times New Roman"/>
                <w:color w:val="auto"/>
                <w:kern w:val="0"/>
                <w:szCs w:val="21"/>
              </w:rPr>
              <w:t>□</w:t>
            </w:r>
            <w:r>
              <w:rPr>
                <w:rFonts w:hint="eastAsia" w:ascii="Times New Roman" w:hAnsi="Times New Roman"/>
                <w:color w:val="auto"/>
                <w:kern w:val="0"/>
                <w:szCs w:val="21"/>
              </w:rPr>
              <w:t>；间接排放</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c>
          <w:tcPr>
            <w:tcW w:w="2100" w:type="pct"/>
            <w:gridSpan w:val="3"/>
            <w:vAlign w:val="center"/>
          </w:tcPr>
          <w:p w14:paraId="16EF5C29">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水温</w:t>
            </w:r>
            <w:r>
              <w:rPr>
                <w:rFonts w:ascii="Times New Roman" w:hAnsi="Times New Roman"/>
                <w:color w:val="auto"/>
                <w:kern w:val="0"/>
                <w:szCs w:val="21"/>
              </w:rPr>
              <w:t>□</w:t>
            </w:r>
            <w:r>
              <w:rPr>
                <w:rFonts w:hint="eastAsia" w:ascii="Times New Roman" w:hAnsi="Times New Roman"/>
                <w:color w:val="auto"/>
                <w:kern w:val="0"/>
                <w:szCs w:val="21"/>
              </w:rPr>
              <w:t>；径流</w:t>
            </w:r>
            <w:r>
              <w:rPr>
                <w:rFonts w:ascii="Times New Roman" w:hAnsi="Times New Roman"/>
                <w:color w:val="auto"/>
                <w:kern w:val="0"/>
                <w:szCs w:val="21"/>
              </w:rPr>
              <w:t>□</w:t>
            </w:r>
            <w:r>
              <w:rPr>
                <w:rFonts w:hint="eastAsia" w:ascii="Times New Roman" w:hAnsi="Times New Roman"/>
                <w:color w:val="auto"/>
                <w:kern w:val="0"/>
                <w:szCs w:val="21"/>
              </w:rPr>
              <w:t>；水域面积</w:t>
            </w:r>
            <w:r>
              <w:rPr>
                <w:rFonts w:ascii="Times New Roman" w:hAnsi="Times New Roman"/>
                <w:color w:val="auto"/>
                <w:kern w:val="0"/>
                <w:szCs w:val="21"/>
              </w:rPr>
              <w:t>□</w:t>
            </w:r>
          </w:p>
        </w:tc>
      </w:tr>
      <w:tr w14:paraId="1ABFDE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2C378F1B">
            <w:pPr>
              <w:widowControl/>
              <w:jc w:val="left"/>
              <w:rPr>
                <w:rFonts w:ascii="Times New Roman" w:hAnsi="Times New Roman"/>
                <w:color w:val="auto"/>
                <w:kern w:val="0"/>
                <w:szCs w:val="21"/>
              </w:rPr>
            </w:pPr>
          </w:p>
        </w:tc>
        <w:tc>
          <w:tcPr>
            <w:tcW w:w="646" w:type="pct"/>
            <w:vAlign w:val="center"/>
          </w:tcPr>
          <w:p w14:paraId="787D8C2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影响因子</w:t>
            </w:r>
          </w:p>
        </w:tc>
        <w:tc>
          <w:tcPr>
            <w:tcW w:w="2019" w:type="pct"/>
            <w:gridSpan w:val="2"/>
            <w:vAlign w:val="center"/>
          </w:tcPr>
          <w:p w14:paraId="4F096F0C">
            <w:pPr>
              <w:adjustRightInd w:val="0"/>
              <w:snapToGrid w:val="0"/>
              <w:rPr>
                <w:rFonts w:ascii="Times New Roman" w:hAnsi="Times New Roman"/>
                <w:color w:val="auto"/>
                <w:kern w:val="0"/>
                <w:szCs w:val="21"/>
              </w:rPr>
            </w:pPr>
            <w:r>
              <w:rPr>
                <w:rFonts w:hint="eastAsia" w:ascii="Times New Roman" w:hAnsi="Times New Roman"/>
                <w:color w:val="auto"/>
                <w:kern w:val="0"/>
                <w:szCs w:val="21"/>
              </w:rPr>
              <w:t>持久性污染物</w:t>
            </w:r>
            <w:r>
              <w:rPr>
                <w:rFonts w:ascii="Times New Roman" w:hAnsi="Times New Roman"/>
                <w:color w:val="auto"/>
                <w:kern w:val="0"/>
                <w:szCs w:val="21"/>
              </w:rPr>
              <w:t>□</w:t>
            </w:r>
            <w:r>
              <w:rPr>
                <w:rFonts w:hint="eastAsia" w:ascii="Times New Roman" w:hAnsi="Times New Roman"/>
                <w:color w:val="auto"/>
                <w:kern w:val="0"/>
                <w:szCs w:val="21"/>
              </w:rPr>
              <w:t>；有毒有害污染物</w:t>
            </w:r>
            <w:r>
              <w:rPr>
                <w:rFonts w:ascii="Times New Roman" w:hAnsi="Times New Roman"/>
                <w:color w:val="auto"/>
                <w:kern w:val="0"/>
                <w:szCs w:val="21"/>
              </w:rPr>
              <w:t>□</w:t>
            </w:r>
            <w:r>
              <w:rPr>
                <w:rFonts w:hint="eastAsia" w:ascii="Times New Roman" w:hAnsi="Times New Roman"/>
                <w:color w:val="auto"/>
                <w:kern w:val="0"/>
                <w:szCs w:val="21"/>
              </w:rPr>
              <w:t>；非持久性污染物</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pH</w:t>
            </w:r>
            <w:r>
              <w:rPr>
                <w:rFonts w:hint="eastAsia" w:ascii="Times New Roman" w:hAnsi="Times New Roman"/>
                <w:color w:val="auto"/>
                <w:kern w:val="0"/>
                <w:szCs w:val="21"/>
              </w:rPr>
              <w:t>值</w:t>
            </w:r>
            <w:r>
              <w:rPr>
                <w:rFonts w:ascii="Times New Roman" w:hAnsi="Times New Roman"/>
                <w:color w:val="auto"/>
                <w:kern w:val="0"/>
                <w:szCs w:val="21"/>
              </w:rPr>
              <w:t>□</w:t>
            </w:r>
            <w:r>
              <w:rPr>
                <w:rFonts w:hint="eastAsia" w:ascii="Times New Roman" w:hAnsi="Times New Roman"/>
                <w:color w:val="auto"/>
                <w:kern w:val="0"/>
                <w:szCs w:val="21"/>
              </w:rPr>
              <w:t>；热污染</w:t>
            </w:r>
            <w:r>
              <w:rPr>
                <w:rFonts w:ascii="Times New Roman" w:hAnsi="Times New Roman"/>
                <w:color w:val="auto"/>
                <w:kern w:val="0"/>
                <w:szCs w:val="21"/>
              </w:rPr>
              <w:t>□</w:t>
            </w:r>
            <w:r>
              <w:rPr>
                <w:rFonts w:hint="eastAsia" w:ascii="Times New Roman" w:hAnsi="Times New Roman"/>
                <w:color w:val="auto"/>
                <w:kern w:val="0"/>
                <w:szCs w:val="21"/>
              </w:rPr>
              <w:t>；富营养化</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c>
          <w:tcPr>
            <w:tcW w:w="2100" w:type="pct"/>
            <w:gridSpan w:val="3"/>
            <w:vAlign w:val="center"/>
          </w:tcPr>
          <w:p w14:paraId="24AFBE8E">
            <w:pPr>
              <w:adjustRightInd w:val="0"/>
              <w:snapToGrid w:val="0"/>
              <w:rPr>
                <w:rFonts w:ascii="Times New Roman" w:hAnsi="Times New Roman"/>
                <w:color w:val="auto"/>
                <w:kern w:val="0"/>
                <w:szCs w:val="21"/>
              </w:rPr>
            </w:pPr>
            <w:r>
              <w:rPr>
                <w:rFonts w:hint="eastAsia" w:ascii="Times New Roman" w:hAnsi="Times New Roman"/>
                <w:color w:val="auto"/>
                <w:kern w:val="0"/>
                <w:szCs w:val="21"/>
              </w:rPr>
              <w:t>水温</w:t>
            </w:r>
            <w:r>
              <w:rPr>
                <w:rFonts w:ascii="Times New Roman" w:hAnsi="Times New Roman"/>
                <w:color w:val="auto"/>
                <w:kern w:val="0"/>
                <w:szCs w:val="21"/>
              </w:rPr>
              <w:t>□</w:t>
            </w:r>
            <w:r>
              <w:rPr>
                <w:rFonts w:hint="eastAsia" w:ascii="Times New Roman" w:hAnsi="Times New Roman"/>
                <w:color w:val="auto"/>
                <w:kern w:val="0"/>
                <w:szCs w:val="21"/>
              </w:rPr>
              <w:t>；水位（水深）</w:t>
            </w:r>
            <w:r>
              <w:rPr>
                <w:rFonts w:ascii="Times New Roman" w:hAnsi="Times New Roman"/>
                <w:color w:val="auto"/>
                <w:kern w:val="0"/>
                <w:szCs w:val="21"/>
              </w:rPr>
              <w:t>□</w:t>
            </w:r>
            <w:r>
              <w:rPr>
                <w:rFonts w:hint="eastAsia" w:ascii="Times New Roman" w:hAnsi="Times New Roman"/>
                <w:color w:val="auto"/>
                <w:kern w:val="0"/>
                <w:szCs w:val="21"/>
              </w:rPr>
              <w:t>；流速</w:t>
            </w:r>
            <w:r>
              <w:rPr>
                <w:rFonts w:ascii="Times New Roman" w:hAnsi="Times New Roman"/>
                <w:color w:val="auto"/>
                <w:kern w:val="0"/>
                <w:szCs w:val="21"/>
              </w:rPr>
              <w:t>□</w:t>
            </w:r>
            <w:r>
              <w:rPr>
                <w:rFonts w:hint="eastAsia" w:ascii="Times New Roman" w:hAnsi="Times New Roman"/>
                <w:color w:val="auto"/>
                <w:kern w:val="0"/>
                <w:szCs w:val="21"/>
              </w:rPr>
              <w:t>；流量</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414A04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880" w:type="pct"/>
            <w:gridSpan w:val="2"/>
            <w:vMerge w:val="restart"/>
            <w:noWrap/>
            <w:vAlign w:val="center"/>
          </w:tcPr>
          <w:p w14:paraId="1461ADB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评价等级</w:t>
            </w:r>
          </w:p>
        </w:tc>
        <w:tc>
          <w:tcPr>
            <w:tcW w:w="2019" w:type="pct"/>
            <w:gridSpan w:val="2"/>
            <w:noWrap/>
            <w:vAlign w:val="center"/>
          </w:tcPr>
          <w:p w14:paraId="39C553A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水污染影响型</w:t>
            </w:r>
          </w:p>
        </w:tc>
        <w:tc>
          <w:tcPr>
            <w:tcW w:w="2100" w:type="pct"/>
            <w:gridSpan w:val="3"/>
            <w:vAlign w:val="center"/>
          </w:tcPr>
          <w:p w14:paraId="619CF32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水文要素影响型</w:t>
            </w:r>
          </w:p>
        </w:tc>
      </w:tr>
      <w:tr w14:paraId="18403AE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880" w:type="pct"/>
            <w:gridSpan w:val="2"/>
            <w:vMerge w:val="continue"/>
            <w:vAlign w:val="center"/>
          </w:tcPr>
          <w:p w14:paraId="73EA3F02">
            <w:pPr>
              <w:widowControl/>
              <w:jc w:val="left"/>
              <w:rPr>
                <w:rFonts w:ascii="Times New Roman" w:hAnsi="Times New Roman"/>
                <w:color w:val="auto"/>
                <w:kern w:val="0"/>
                <w:szCs w:val="21"/>
              </w:rPr>
            </w:pPr>
          </w:p>
        </w:tc>
        <w:tc>
          <w:tcPr>
            <w:tcW w:w="2019" w:type="pct"/>
            <w:gridSpan w:val="2"/>
            <w:noWrap/>
            <w:vAlign w:val="center"/>
          </w:tcPr>
          <w:p w14:paraId="7E1B787C">
            <w:pPr>
              <w:adjustRightInd w:val="0"/>
              <w:snapToGrid w:val="0"/>
              <w:rPr>
                <w:rFonts w:ascii="Times New Roman" w:hAnsi="Times New Roman"/>
                <w:color w:val="auto"/>
                <w:kern w:val="0"/>
                <w:szCs w:val="21"/>
              </w:rPr>
            </w:pPr>
            <w:r>
              <w:rPr>
                <w:rFonts w:hint="eastAsia" w:ascii="Times New Roman" w:hAnsi="Times New Roman"/>
                <w:color w:val="auto"/>
                <w:kern w:val="0"/>
                <w:szCs w:val="21"/>
              </w:rPr>
              <w:t>一级</w:t>
            </w:r>
            <w:r>
              <w:rPr>
                <w:rFonts w:ascii="Times New Roman" w:hAnsi="Times New Roman"/>
                <w:color w:val="auto"/>
                <w:kern w:val="0"/>
                <w:szCs w:val="21"/>
              </w:rPr>
              <w:t>□</w:t>
            </w:r>
            <w:r>
              <w:rPr>
                <w:rFonts w:hint="eastAsia" w:ascii="Times New Roman" w:hAnsi="Times New Roman"/>
                <w:color w:val="auto"/>
                <w:kern w:val="0"/>
                <w:szCs w:val="21"/>
              </w:rPr>
              <w:t>；二级</w:t>
            </w:r>
            <w:r>
              <w:rPr>
                <w:rFonts w:ascii="Times New Roman" w:hAnsi="Times New Roman"/>
                <w:color w:val="auto"/>
                <w:kern w:val="0"/>
                <w:szCs w:val="21"/>
              </w:rPr>
              <w:t>□</w:t>
            </w:r>
            <w:r>
              <w:rPr>
                <w:rFonts w:hint="eastAsia" w:ascii="Times New Roman" w:hAnsi="Times New Roman"/>
                <w:color w:val="auto"/>
                <w:kern w:val="0"/>
                <w:szCs w:val="21"/>
              </w:rPr>
              <w:t>；三级</w:t>
            </w:r>
            <w:r>
              <w:rPr>
                <w:rFonts w:ascii="Times New Roman" w:hAnsi="Times New Roman"/>
                <w:color w:val="auto"/>
                <w:kern w:val="0"/>
                <w:szCs w:val="21"/>
              </w:rPr>
              <w:t>A□</w:t>
            </w:r>
            <w:r>
              <w:rPr>
                <w:rFonts w:hint="eastAsia" w:ascii="Times New Roman" w:hAnsi="Times New Roman"/>
                <w:color w:val="auto"/>
                <w:kern w:val="0"/>
                <w:szCs w:val="21"/>
              </w:rPr>
              <w:t>；三级</w:t>
            </w:r>
            <w:r>
              <w:rPr>
                <w:rFonts w:ascii="Times New Roman" w:hAnsi="Times New Roman"/>
                <w:color w:val="auto"/>
                <w:kern w:val="0"/>
                <w:szCs w:val="21"/>
              </w:rPr>
              <w:t>B√</w:t>
            </w:r>
          </w:p>
        </w:tc>
        <w:tc>
          <w:tcPr>
            <w:tcW w:w="2100" w:type="pct"/>
            <w:gridSpan w:val="3"/>
            <w:vAlign w:val="center"/>
          </w:tcPr>
          <w:p w14:paraId="317B2B5B">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一级</w:t>
            </w:r>
            <w:r>
              <w:rPr>
                <w:rFonts w:ascii="Times New Roman" w:hAnsi="Times New Roman"/>
                <w:color w:val="auto"/>
                <w:kern w:val="0"/>
                <w:szCs w:val="21"/>
              </w:rPr>
              <w:t>□</w:t>
            </w:r>
            <w:r>
              <w:rPr>
                <w:rFonts w:hint="eastAsia" w:ascii="Times New Roman" w:hAnsi="Times New Roman"/>
                <w:color w:val="auto"/>
                <w:kern w:val="0"/>
                <w:szCs w:val="21"/>
              </w:rPr>
              <w:t>；二级</w:t>
            </w:r>
            <w:r>
              <w:rPr>
                <w:rFonts w:ascii="Times New Roman" w:hAnsi="Times New Roman"/>
                <w:color w:val="auto"/>
                <w:kern w:val="0"/>
                <w:szCs w:val="21"/>
              </w:rPr>
              <w:t>□</w:t>
            </w:r>
            <w:r>
              <w:rPr>
                <w:rFonts w:hint="eastAsia" w:ascii="Times New Roman" w:hAnsi="Times New Roman"/>
                <w:color w:val="auto"/>
                <w:kern w:val="0"/>
                <w:szCs w:val="21"/>
              </w:rPr>
              <w:t>；三级</w:t>
            </w:r>
            <w:r>
              <w:rPr>
                <w:rFonts w:ascii="Times New Roman" w:hAnsi="Times New Roman"/>
                <w:color w:val="auto"/>
                <w:kern w:val="0"/>
                <w:szCs w:val="21"/>
              </w:rPr>
              <w:t>□</w:t>
            </w:r>
          </w:p>
        </w:tc>
      </w:tr>
      <w:tr w14:paraId="4B58F6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restart"/>
            <w:noWrap/>
            <w:textDirection w:val="tbRlV"/>
            <w:vAlign w:val="center"/>
          </w:tcPr>
          <w:p w14:paraId="79419D8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现状调查</w:t>
            </w:r>
          </w:p>
        </w:tc>
        <w:tc>
          <w:tcPr>
            <w:tcW w:w="646" w:type="pct"/>
            <w:vMerge w:val="restart"/>
            <w:vAlign w:val="center"/>
          </w:tcPr>
          <w:p w14:paraId="6B31951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区域污染源</w:t>
            </w:r>
          </w:p>
        </w:tc>
        <w:tc>
          <w:tcPr>
            <w:tcW w:w="2019" w:type="pct"/>
            <w:gridSpan w:val="2"/>
            <w:noWrap/>
            <w:vAlign w:val="center"/>
          </w:tcPr>
          <w:p w14:paraId="3B3D0F3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调查项目</w:t>
            </w:r>
          </w:p>
        </w:tc>
        <w:tc>
          <w:tcPr>
            <w:tcW w:w="2100" w:type="pct"/>
            <w:gridSpan w:val="3"/>
            <w:noWrap/>
            <w:vAlign w:val="center"/>
          </w:tcPr>
          <w:p w14:paraId="32D690E1">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数据来源</w:t>
            </w:r>
          </w:p>
        </w:tc>
      </w:tr>
      <w:tr w14:paraId="6A9CE2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4C1B74CA">
            <w:pPr>
              <w:widowControl/>
              <w:jc w:val="left"/>
              <w:rPr>
                <w:rFonts w:ascii="Times New Roman" w:hAnsi="Times New Roman"/>
                <w:color w:val="auto"/>
                <w:kern w:val="0"/>
                <w:szCs w:val="21"/>
              </w:rPr>
            </w:pPr>
          </w:p>
        </w:tc>
        <w:tc>
          <w:tcPr>
            <w:tcW w:w="646" w:type="pct"/>
            <w:vMerge w:val="continue"/>
            <w:vAlign w:val="center"/>
          </w:tcPr>
          <w:p w14:paraId="568022B9">
            <w:pPr>
              <w:widowControl/>
              <w:jc w:val="left"/>
              <w:rPr>
                <w:rFonts w:ascii="Times New Roman" w:hAnsi="Times New Roman"/>
                <w:color w:val="auto"/>
                <w:kern w:val="0"/>
                <w:szCs w:val="21"/>
              </w:rPr>
            </w:pPr>
          </w:p>
        </w:tc>
        <w:tc>
          <w:tcPr>
            <w:tcW w:w="889" w:type="pct"/>
            <w:vAlign w:val="center"/>
          </w:tcPr>
          <w:p w14:paraId="378B00D9">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已建</w:t>
            </w:r>
            <w:r>
              <w:rPr>
                <w:rFonts w:ascii="Times New Roman" w:hAnsi="Times New Roman"/>
                <w:color w:val="auto"/>
                <w:kern w:val="0"/>
                <w:szCs w:val="21"/>
              </w:rPr>
              <w:t>□</w:t>
            </w:r>
            <w:r>
              <w:rPr>
                <w:rFonts w:hint="eastAsia" w:ascii="Times New Roman" w:hAnsi="Times New Roman"/>
                <w:color w:val="auto"/>
                <w:kern w:val="0"/>
                <w:szCs w:val="21"/>
              </w:rPr>
              <w:t>；在建</w:t>
            </w:r>
            <w:r>
              <w:rPr>
                <w:rFonts w:ascii="Times New Roman" w:hAnsi="Times New Roman"/>
                <w:color w:val="auto"/>
                <w:kern w:val="0"/>
                <w:szCs w:val="21"/>
              </w:rPr>
              <w:t>□</w:t>
            </w:r>
            <w:r>
              <w:rPr>
                <w:rFonts w:hint="eastAsia" w:ascii="Times New Roman" w:hAnsi="Times New Roman"/>
                <w:color w:val="auto"/>
                <w:kern w:val="0"/>
                <w:szCs w:val="21"/>
              </w:rPr>
              <w:t>；拟建</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c>
          <w:tcPr>
            <w:tcW w:w="1131" w:type="pct"/>
            <w:vAlign w:val="center"/>
          </w:tcPr>
          <w:p w14:paraId="2D8E61D0">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拟替代的污染源</w:t>
            </w:r>
            <w:r>
              <w:rPr>
                <w:rFonts w:ascii="Times New Roman" w:hAnsi="Times New Roman"/>
                <w:color w:val="auto"/>
                <w:kern w:val="0"/>
                <w:szCs w:val="21"/>
              </w:rPr>
              <w:t>□</w:t>
            </w:r>
          </w:p>
        </w:tc>
        <w:tc>
          <w:tcPr>
            <w:tcW w:w="2100" w:type="pct"/>
            <w:gridSpan w:val="3"/>
            <w:vAlign w:val="center"/>
          </w:tcPr>
          <w:p w14:paraId="0C60F96C">
            <w:pPr>
              <w:adjustRightInd w:val="0"/>
              <w:snapToGrid w:val="0"/>
              <w:rPr>
                <w:rFonts w:ascii="Times New Roman" w:hAnsi="Times New Roman"/>
                <w:color w:val="auto"/>
                <w:kern w:val="0"/>
                <w:szCs w:val="21"/>
              </w:rPr>
            </w:pPr>
            <w:r>
              <w:rPr>
                <w:rFonts w:hint="eastAsia" w:ascii="Times New Roman" w:hAnsi="Times New Roman"/>
                <w:color w:val="auto"/>
                <w:kern w:val="0"/>
                <w:szCs w:val="21"/>
              </w:rPr>
              <w:t>排污许可证</w:t>
            </w:r>
            <w:r>
              <w:rPr>
                <w:rFonts w:ascii="Times New Roman" w:hAnsi="Times New Roman"/>
                <w:color w:val="auto"/>
                <w:kern w:val="0"/>
                <w:szCs w:val="21"/>
              </w:rPr>
              <w:t>□</w:t>
            </w:r>
            <w:r>
              <w:rPr>
                <w:rFonts w:hint="eastAsia" w:ascii="Times New Roman" w:hAnsi="Times New Roman"/>
                <w:color w:val="auto"/>
                <w:kern w:val="0"/>
                <w:szCs w:val="21"/>
              </w:rPr>
              <w:t>；环评</w:t>
            </w:r>
            <w:r>
              <w:rPr>
                <w:rFonts w:ascii="Times New Roman" w:hAnsi="Times New Roman"/>
                <w:color w:val="auto"/>
                <w:kern w:val="0"/>
                <w:szCs w:val="21"/>
              </w:rPr>
              <w:t>□</w:t>
            </w:r>
            <w:r>
              <w:rPr>
                <w:rFonts w:hint="eastAsia" w:ascii="Times New Roman" w:hAnsi="Times New Roman"/>
                <w:color w:val="auto"/>
                <w:kern w:val="0"/>
                <w:szCs w:val="21"/>
              </w:rPr>
              <w:t>；环保验收</w:t>
            </w:r>
            <w:r>
              <w:rPr>
                <w:rFonts w:ascii="Times New Roman" w:hAnsi="Times New Roman"/>
                <w:color w:val="auto"/>
                <w:kern w:val="0"/>
                <w:szCs w:val="21"/>
              </w:rPr>
              <w:t>□</w:t>
            </w:r>
            <w:r>
              <w:rPr>
                <w:rFonts w:hint="eastAsia" w:ascii="Times New Roman" w:hAnsi="Times New Roman"/>
                <w:color w:val="auto"/>
                <w:kern w:val="0"/>
                <w:szCs w:val="21"/>
              </w:rPr>
              <w:t>；既有实测</w:t>
            </w:r>
            <w:r>
              <w:rPr>
                <w:rFonts w:ascii="Times New Roman" w:hAnsi="Times New Roman"/>
                <w:color w:val="auto"/>
                <w:kern w:val="0"/>
                <w:szCs w:val="21"/>
              </w:rPr>
              <w:t>□</w:t>
            </w:r>
            <w:r>
              <w:rPr>
                <w:rFonts w:hint="eastAsia" w:ascii="Times New Roman" w:hAnsi="Times New Roman"/>
                <w:color w:val="auto"/>
                <w:kern w:val="0"/>
                <w:szCs w:val="21"/>
              </w:rPr>
              <w:t>；现场监测</w:t>
            </w:r>
            <w:r>
              <w:rPr>
                <w:rFonts w:ascii="Times New Roman" w:hAnsi="Times New Roman"/>
                <w:color w:val="auto"/>
                <w:kern w:val="0"/>
                <w:szCs w:val="21"/>
              </w:rPr>
              <w:t>□</w:t>
            </w:r>
            <w:r>
              <w:rPr>
                <w:rFonts w:hint="eastAsia" w:ascii="Times New Roman" w:hAnsi="Times New Roman"/>
                <w:color w:val="auto"/>
                <w:kern w:val="0"/>
                <w:szCs w:val="21"/>
              </w:rPr>
              <w:t>；入河排放口数据</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457D37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3FFCA7E4">
            <w:pPr>
              <w:widowControl/>
              <w:jc w:val="left"/>
              <w:rPr>
                <w:rFonts w:ascii="Times New Roman" w:hAnsi="Times New Roman"/>
                <w:color w:val="auto"/>
                <w:kern w:val="0"/>
                <w:szCs w:val="21"/>
              </w:rPr>
            </w:pPr>
          </w:p>
        </w:tc>
        <w:tc>
          <w:tcPr>
            <w:tcW w:w="646" w:type="pct"/>
            <w:vMerge w:val="restart"/>
            <w:vAlign w:val="center"/>
          </w:tcPr>
          <w:p w14:paraId="7DB065D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受影响水体水环境质量　</w:t>
            </w:r>
          </w:p>
        </w:tc>
        <w:tc>
          <w:tcPr>
            <w:tcW w:w="2019" w:type="pct"/>
            <w:gridSpan w:val="2"/>
            <w:noWrap/>
            <w:vAlign w:val="center"/>
          </w:tcPr>
          <w:p w14:paraId="72837F6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调查时期</w:t>
            </w:r>
          </w:p>
        </w:tc>
        <w:tc>
          <w:tcPr>
            <w:tcW w:w="2100" w:type="pct"/>
            <w:gridSpan w:val="3"/>
            <w:noWrap/>
            <w:vAlign w:val="center"/>
          </w:tcPr>
          <w:p w14:paraId="04EB31CD">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数据来源</w:t>
            </w:r>
          </w:p>
        </w:tc>
      </w:tr>
      <w:tr w14:paraId="20490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6E113A18">
            <w:pPr>
              <w:widowControl/>
              <w:jc w:val="left"/>
              <w:rPr>
                <w:rFonts w:ascii="Times New Roman" w:hAnsi="Times New Roman"/>
                <w:color w:val="auto"/>
                <w:kern w:val="0"/>
                <w:szCs w:val="21"/>
              </w:rPr>
            </w:pPr>
          </w:p>
        </w:tc>
        <w:tc>
          <w:tcPr>
            <w:tcW w:w="646" w:type="pct"/>
            <w:vMerge w:val="continue"/>
            <w:vAlign w:val="center"/>
          </w:tcPr>
          <w:p w14:paraId="7EA849E3">
            <w:pPr>
              <w:widowControl/>
              <w:jc w:val="left"/>
              <w:rPr>
                <w:rFonts w:ascii="Times New Roman" w:hAnsi="Times New Roman"/>
                <w:color w:val="auto"/>
                <w:kern w:val="0"/>
                <w:szCs w:val="21"/>
              </w:rPr>
            </w:pPr>
          </w:p>
        </w:tc>
        <w:tc>
          <w:tcPr>
            <w:tcW w:w="2019" w:type="pct"/>
            <w:gridSpan w:val="2"/>
            <w:vAlign w:val="center"/>
          </w:tcPr>
          <w:p w14:paraId="58CBCD1E">
            <w:pPr>
              <w:adjustRightInd w:val="0"/>
              <w:snapToGrid w:val="0"/>
              <w:rPr>
                <w:rFonts w:ascii="Times New Roman" w:hAnsi="Times New Roman"/>
                <w:color w:val="auto"/>
                <w:kern w:val="0"/>
                <w:szCs w:val="21"/>
              </w:rPr>
            </w:pPr>
            <w:r>
              <w:rPr>
                <w:rFonts w:hint="eastAsia" w:ascii="Times New Roman" w:hAnsi="Times New Roman"/>
                <w:color w:val="auto"/>
                <w:kern w:val="0"/>
                <w:szCs w:val="21"/>
              </w:rPr>
              <w:t>丰水期</w:t>
            </w:r>
            <w:r>
              <w:rPr>
                <w:rFonts w:ascii="Times New Roman" w:hAnsi="Times New Roman"/>
                <w:color w:val="auto"/>
                <w:kern w:val="0"/>
                <w:szCs w:val="21"/>
              </w:rPr>
              <w:t>√</w:t>
            </w:r>
            <w:r>
              <w:rPr>
                <w:rFonts w:hint="eastAsia" w:ascii="Times New Roman" w:hAnsi="Times New Roman"/>
                <w:color w:val="auto"/>
                <w:kern w:val="0"/>
                <w:szCs w:val="21"/>
              </w:rPr>
              <w:t>；平水期</w:t>
            </w:r>
            <w:r>
              <w:rPr>
                <w:rFonts w:ascii="Times New Roman" w:hAnsi="Times New Roman"/>
                <w:color w:val="auto"/>
                <w:kern w:val="0"/>
                <w:szCs w:val="21"/>
              </w:rPr>
              <w:t>√</w:t>
            </w:r>
            <w:r>
              <w:rPr>
                <w:rFonts w:hint="eastAsia" w:ascii="Times New Roman" w:hAnsi="Times New Roman"/>
                <w:color w:val="auto"/>
                <w:kern w:val="0"/>
                <w:szCs w:val="21"/>
              </w:rPr>
              <w:t>；枯水期</w:t>
            </w:r>
            <w:r>
              <w:rPr>
                <w:rFonts w:ascii="Times New Roman" w:hAnsi="Times New Roman"/>
                <w:color w:val="auto"/>
                <w:kern w:val="0"/>
                <w:szCs w:val="21"/>
              </w:rPr>
              <w:t>√</w:t>
            </w:r>
            <w:r>
              <w:rPr>
                <w:rFonts w:hint="eastAsia" w:ascii="Times New Roman" w:hAnsi="Times New Roman"/>
                <w:color w:val="auto"/>
                <w:kern w:val="0"/>
                <w:szCs w:val="21"/>
              </w:rPr>
              <w:t>；冰封期</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春季</w:t>
            </w:r>
            <w:r>
              <w:rPr>
                <w:rFonts w:ascii="Times New Roman" w:hAnsi="Times New Roman"/>
                <w:color w:val="auto"/>
                <w:kern w:val="0"/>
                <w:szCs w:val="21"/>
              </w:rPr>
              <w:t>√</w:t>
            </w:r>
            <w:r>
              <w:rPr>
                <w:rFonts w:hint="eastAsia" w:ascii="Times New Roman" w:hAnsi="Times New Roman"/>
                <w:color w:val="auto"/>
                <w:kern w:val="0"/>
                <w:szCs w:val="21"/>
              </w:rPr>
              <w:t>；夏季</w:t>
            </w:r>
            <w:r>
              <w:rPr>
                <w:rFonts w:ascii="Times New Roman" w:hAnsi="Times New Roman"/>
                <w:color w:val="auto"/>
                <w:kern w:val="0"/>
                <w:szCs w:val="21"/>
              </w:rPr>
              <w:t>√</w:t>
            </w:r>
            <w:r>
              <w:rPr>
                <w:rFonts w:hint="eastAsia" w:ascii="Times New Roman" w:hAnsi="Times New Roman"/>
                <w:color w:val="auto"/>
                <w:kern w:val="0"/>
                <w:szCs w:val="21"/>
              </w:rPr>
              <w:t>；秋季</w:t>
            </w:r>
            <w:r>
              <w:rPr>
                <w:rFonts w:ascii="Times New Roman" w:hAnsi="Times New Roman"/>
                <w:color w:val="auto"/>
                <w:kern w:val="0"/>
                <w:szCs w:val="21"/>
              </w:rPr>
              <w:t>√</w:t>
            </w:r>
            <w:r>
              <w:rPr>
                <w:rFonts w:hint="eastAsia" w:ascii="Times New Roman" w:hAnsi="Times New Roman"/>
                <w:color w:val="auto"/>
                <w:kern w:val="0"/>
                <w:szCs w:val="21"/>
              </w:rPr>
              <w:t>；冬季</w:t>
            </w:r>
            <w:r>
              <w:rPr>
                <w:rFonts w:ascii="Times New Roman" w:hAnsi="Times New Roman"/>
                <w:color w:val="auto"/>
                <w:kern w:val="0"/>
                <w:szCs w:val="21"/>
              </w:rPr>
              <w:t>√</w:t>
            </w:r>
          </w:p>
        </w:tc>
        <w:tc>
          <w:tcPr>
            <w:tcW w:w="2100" w:type="pct"/>
            <w:gridSpan w:val="3"/>
            <w:noWrap/>
            <w:vAlign w:val="center"/>
          </w:tcPr>
          <w:p w14:paraId="6E42E9D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生态环境保护主管部门</w:t>
            </w:r>
            <w:r>
              <w:rPr>
                <w:rFonts w:ascii="Times New Roman" w:hAnsi="Times New Roman"/>
                <w:color w:val="auto"/>
                <w:kern w:val="0"/>
                <w:szCs w:val="21"/>
              </w:rPr>
              <w:t>√</w:t>
            </w:r>
            <w:r>
              <w:rPr>
                <w:rFonts w:hint="eastAsia" w:ascii="Times New Roman" w:hAnsi="Times New Roman"/>
                <w:color w:val="auto"/>
                <w:kern w:val="0"/>
                <w:szCs w:val="21"/>
              </w:rPr>
              <w:t>；补充监测</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18C5B9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234" w:type="pct"/>
            <w:vMerge w:val="continue"/>
            <w:vAlign w:val="center"/>
          </w:tcPr>
          <w:p w14:paraId="1C308D30">
            <w:pPr>
              <w:widowControl/>
              <w:jc w:val="left"/>
              <w:rPr>
                <w:rFonts w:ascii="Times New Roman" w:hAnsi="Times New Roman"/>
                <w:color w:val="auto"/>
                <w:kern w:val="0"/>
                <w:szCs w:val="21"/>
              </w:rPr>
            </w:pPr>
          </w:p>
        </w:tc>
        <w:tc>
          <w:tcPr>
            <w:tcW w:w="646" w:type="pct"/>
            <w:vAlign w:val="center"/>
          </w:tcPr>
          <w:p w14:paraId="1BD1696E">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区域水资源开发利用状况</w:t>
            </w:r>
          </w:p>
        </w:tc>
        <w:tc>
          <w:tcPr>
            <w:tcW w:w="4120" w:type="pct"/>
            <w:gridSpan w:val="5"/>
            <w:noWrap/>
            <w:vAlign w:val="center"/>
          </w:tcPr>
          <w:p w14:paraId="0CD0E859">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未开发</w:t>
            </w:r>
            <w:r>
              <w:rPr>
                <w:rFonts w:ascii="Times New Roman" w:hAnsi="Times New Roman"/>
                <w:color w:val="auto"/>
                <w:kern w:val="0"/>
                <w:szCs w:val="21"/>
              </w:rPr>
              <w:t>□</w:t>
            </w:r>
            <w:r>
              <w:rPr>
                <w:rFonts w:hint="eastAsia" w:ascii="Times New Roman" w:hAnsi="Times New Roman"/>
                <w:color w:val="auto"/>
                <w:kern w:val="0"/>
                <w:szCs w:val="21"/>
              </w:rPr>
              <w:t>；开发量</w:t>
            </w:r>
            <w:r>
              <w:rPr>
                <w:rFonts w:ascii="Times New Roman" w:hAnsi="Times New Roman"/>
                <w:color w:val="auto"/>
                <w:kern w:val="0"/>
                <w:szCs w:val="21"/>
              </w:rPr>
              <w:t>40%</w:t>
            </w:r>
            <w:r>
              <w:rPr>
                <w:rFonts w:hint="eastAsia" w:ascii="Times New Roman" w:hAnsi="Times New Roman"/>
                <w:color w:val="auto"/>
                <w:kern w:val="0"/>
                <w:szCs w:val="21"/>
              </w:rPr>
              <w:t>以下</w:t>
            </w:r>
            <w:r>
              <w:rPr>
                <w:rFonts w:ascii="Times New Roman" w:hAnsi="Times New Roman"/>
                <w:color w:val="auto"/>
                <w:kern w:val="0"/>
                <w:szCs w:val="21"/>
              </w:rPr>
              <w:t>□</w:t>
            </w:r>
            <w:r>
              <w:rPr>
                <w:rFonts w:hint="eastAsia" w:ascii="Times New Roman" w:hAnsi="Times New Roman"/>
                <w:color w:val="auto"/>
                <w:kern w:val="0"/>
                <w:szCs w:val="21"/>
              </w:rPr>
              <w:t>；开发量</w:t>
            </w:r>
            <w:r>
              <w:rPr>
                <w:rFonts w:ascii="Times New Roman" w:hAnsi="Times New Roman"/>
                <w:color w:val="auto"/>
                <w:kern w:val="0"/>
                <w:szCs w:val="21"/>
              </w:rPr>
              <w:t>40%</w:t>
            </w:r>
            <w:r>
              <w:rPr>
                <w:rFonts w:hint="eastAsia" w:ascii="Times New Roman" w:hAnsi="Times New Roman"/>
                <w:color w:val="auto"/>
                <w:kern w:val="0"/>
                <w:szCs w:val="21"/>
              </w:rPr>
              <w:t>以上</w:t>
            </w:r>
            <w:r>
              <w:rPr>
                <w:rFonts w:ascii="Times New Roman" w:hAnsi="Times New Roman"/>
                <w:color w:val="auto"/>
                <w:kern w:val="0"/>
                <w:szCs w:val="21"/>
              </w:rPr>
              <w:t>□</w:t>
            </w:r>
          </w:p>
        </w:tc>
      </w:tr>
      <w:tr w14:paraId="2E7998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5FB338CC">
            <w:pPr>
              <w:widowControl/>
              <w:jc w:val="left"/>
              <w:rPr>
                <w:rFonts w:ascii="Times New Roman" w:hAnsi="Times New Roman"/>
                <w:color w:val="auto"/>
                <w:kern w:val="0"/>
                <w:szCs w:val="21"/>
              </w:rPr>
            </w:pPr>
          </w:p>
        </w:tc>
        <w:tc>
          <w:tcPr>
            <w:tcW w:w="646" w:type="pct"/>
            <w:vMerge w:val="restart"/>
            <w:vAlign w:val="center"/>
          </w:tcPr>
          <w:p w14:paraId="799AAE1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水文情势调查　</w:t>
            </w:r>
          </w:p>
        </w:tc>
        <w:tc>
          <w:tcPr>
            <w:tcW w:w="2019" w:type="pct"/>
            <w:gridSpan w:val="2"/>
            <w:noWrap/>
            <w:vAlign w:val="center"/>
          </w:tcPr>
          <w:p w14:paraId="39C8E39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调查时期</w:t>
            </w:r>
          </w:p>
        </w:tc>
        <w:tc>
          <w:tcPr>
            <w:tcW w:w="2100" w:type="pct"/>
            <w:gridSpan w:val="3"/>
            <w:noWrap/>
            <w:vAlign w:val="center"/>
          </w:tcPr>
          <w:p w14:paraId="5A4F4CD0">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数据来源</w:t>
            </w:r>
          </w:p>
        </w:tc>
      </w:tr>
      <w:tr w14:paraId="64847A9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04064799">
            <w:pPr>
              <w:widowControl/>
              <w:jc w:val="left"/>
              <w:rPr>
                <w:rFonts w:ascii="Times New Roman" w:hAnsi="Times New Roman"/>
                <w:color w:val="auto"/>
                <w:kern w:val="0"/>
                <w:szCs w:val="21"/>
              </w:rPr>
            </w:pPr>
          </w:p>
        </w:tc>
        <w:tc>
          <w:tcPr>
            <w:tcW w:w="646" w:type="pct"/>
            <w:vMerge w:val="continue"/>
            <w:vAlign w:val="center"/>
          </w:tcPr>
          <w:p w14:paraId="7FE5AE8B">
            <w:pPr>
              <w:widowControl/>
              <w:jc w:val="left"/>
              <w:rPr>
                <w:rFonts w:ascii="Times New Roman" w:hAnsi="Times New Roman"/>
                <w:color w:val="auto"/>
                <w:kern w:val="0"/>
                <w:szCs w:val="21"/>
              </w:rPr>
            </w:pPr>
          </w:p>
        </w:tc>
        <w:tc>
          <w:tcPr>
            <w:tcW w:w="2019" w:type="pct"/>
            <w:gridSpan w:val="2"/>
            <w:vAlign w:val="center"/>
          </w:tcPr>
          <w:p w14:paraId="77ED6BBD">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丰水期</w:t>
            </w:r>
            <w:r>
              <w:rPr>
                <w:rFonts w:ascii="Times New Roman" w:hAnsi="Times New Roman"/>
                <w:color w:val="auto"/>
                <w:kern w:val="0"/>
                <w:szCs w:val="21"/>
              </w:rPr>
              <w:t>□</w:t>
            </w:r>
            <w:r>
              <w:rPr>
                <w:rFonts w:hint="eastAsia" w:ascii="Times New Roman" w:hAnsi="Times New Roman"/>
                <w:color w:val="auto"/>
                <w:kern w:val="0"/>
                <w:szCs w:val="21"/>
              </w:rPr>
              <w:t>；平水期</w:t>
            </w:r>
            <w:r>
              <w:rPr>
                <w:rFonts w:ascii="Times New Roman" w:hAnsi="Times New Roman"/>
                <w:color w:val="auto"/>
                <w:kern w:val="0"/>
                <w:szCs w:val="21"/>
              </w:rPr>
              <w:t>□</w:t>
            </w:r>
            <w:r>
              <w:rPr>
                <w:rFonts w:hint="eastAsia" w:ascii="Times New Roman" w:hAnsi="Times New Roman"/>
                <w:color w:val="auto"/>
                <w:kern w:val="0"/>
                <w:szCs w:val="21"/>
              </w:rPr>
              <w:t>；枯水期</w:t>
            </w:r>
            <w:r>
              <w:rPr>
                <w:rFonts w:ascii="Times New Roman" w:hAnsi="Times New Roman"/>
                <w:color w:val="auto"/>
                <w:kern w:val="0"/>
                <w:szCs w:val="21"/>
              </w:rPr>
              <w:t>□</w:t>
            </w:r>
            <w:r>
              <w:rPr>
                <w:rFonts w:hint="eastAsia" w:ascii="Times New Roman" w:hAnsi="Times New Roman"/>
                <w:color w:val="auto"/>
                <w:kern w:val="0"/>
                <w:szCs w:val="21"/>
              </w:rPr>
              <w:t>；冰封期</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春季</w:t>
            </w:r>
            <w:r>
              <w:rPr>
                <w:rFonts w:ascii="Times New Roman" w:hAnsi="Times New Roman"/>
                <w:color w:val="auto"/>
                <w:kern w:val="0"/>
                <w:szCs w:val="21"/>
              </w:rPr>
              <w:t>□</w:t>
            </w:r>
            <w:r>
              <w:rPr>
                <w:rFonts w:hint="eastAsia" w:ascii="Times New Roman" w:hAnsi="Times New Roman"/>
                <w:color w:val="auto"/>
                <w:kern w:val="0"/>
                <w:szCs w:val="21"/>
              </w:rPr>
              <w:t>；夏季</w:t>
            </w:r>
            <w:r>
              <w:rPr>
                <w:rFonts w:ascii="Times New Roman" w:hAnsi="Times New Roman"/>
                <w:color w:val="auto"/>
                <w:kern w:val="0"/>
                <w:szCs w:val="21"/>
              </w:rPr>
              <w:t>□</w:t>
            </w:r>
            <w:r>
              <w:rPr>
                <w:rFonts w:hint="eastAsia" w:ascii="Times New Roman" w:hAnsi="Times New Roman"/>
                <w:color w:val="auto"/>
                <w:kern w:val="0"/>
                <w:szCs w:val="21"/>
              </w:rPr>
              <w:t>；秋季</w:t>
            </w:r>
            <w:r>
              <w:rPr>
                <w:rFonts w:ascii="Times New Roman" w:hAnsi="Times New Roman"/>
                <w:color w:val="auto"/>
                <w:kern w:val="0"/>
                <w:szCs w:val="21"/>
              </w:rPr>
              <w:t>□</w:t>
            </w:r>
            <w:r>
              <w:rPr>
                <w:rFonts w:hint="eastAsia" w:ascii="Times New Roman" w:hAnsi="Times New Roman"/>
                <w:color w:val="auto"/>
                <w:kern w:val="0"/>
                <w:szCs w:val="21"/>
              </w:rPr>
              <w:t>；冬季</w:t>
            </w:r>
            <w:r>
              <w:rPr>
                <w:rFonts w:ascii="Times New Roman" w:hAnsi="Times New Roman"/>
                <w:color w:val="auto"/>
                <w:kern w:val="0"/>
                <w:szCs w:val="21"/>
              </w:rPr>
              <w:t>□</w:t>
            </w:r>
          </w:p>
        </w:tc>
        <w:tc>
          <w:tcPr>
            <w:tcW w:w="2100" w:type="pct"/>
            <w:gridSpan w:val="3"/>
            <w:noWrap/>
            <w:vAlign w:val="center"/>
          </w:tcPr>
          <w:p w14:paraId="2F6E54FD">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水行政主管部门</w:t>
            </w:r>
            <w:r>
              <w:rPr>
                <w:rFonts w:ascii="Times New Roman" w:hAnsi="Times New Roman"/>
                <w:color w:val="auto"/>
                <w:kern w:val="0"/>
                <w:szCs w:val="21"/>
              </w:rPr>
              <w:t>□</w:t>
            </w:r>
            <w:r>
              <w:rPr>
                <w:rFonts w:hint="eastAsia" w:ascii="Times New Roman" w:hAnsi="Times New Roman"/>
                <w:color w:val="auto"/>
                <w:kern w:val="0"/>
                <w:szCs w:val="21"/>
              </w:rPr>
              <w:t>；补充监测</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300E99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374D312D">
            <w:pPr>
              <w:widowControl/>
              <w:jc w:val="left"/>
              <w:rPr>
                <w:rFonts w:ascii="Times New Roman" w:hAnsi="Times New Roman"/>
                <w:color w:val="auto"/>
                <w:kern w:val="0"/>
                <w:szCs w:val="21"/>
              </w:rPr>
            </w:pPr>
          </w:p>
        </w:tc>
        <w:tc>
          <w:tcPr>
            <w:tcW w:w="646" w:type="pct"/>
            <w:vMerge w:val="restart"/>
            <w:vAlign w:val="center"/>
          </w:tcPr>
          <w:p w14:paraId="67991FA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补充监测　</w:t>
            </w:r>
          </w:p>
        </w:tc>
        <w:tc>
          <w:tcPr>
            <w:tcW w:w="2019" w:type="pct"/>
            <w:gridSpan w:val="2"/>
            <w:vAlign w:val="center"/>
          </w:tcPr>
          <w:p w14:paraId="06AACEE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监测时期</w:t>
            </w:r>
          </w:p>
        </w:tc>
        <w:tc>
          <w:tcPr>
            <w:tcW w:w="1131" w:type="pct"/>
            <w:gridSpan w:val="2"/>
            <w:noWrap/>
            <w:vAlign w:val="center"/>
          </w:tcPr>
          <w:p w14:paraId="54713B41">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监测因子</w:t>
            </w:r>
          </w:p>
        </w:tc>
        <w:tc>
          <w:tcPr>
            <w:tcW w:w="969" w:type="pct"/>
            <w:noWrap/>
            <w:vAlign w:val="center"/>
          </w:tcPr>
          <w:p w14:paraId="340ECBA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监测断面或点位</w:t>
            </w:r>
          </w:p>
        </w:tc>
      </w:tr>
      <w:tr w14:paraId="4850E9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6E722804">
            <w:pPr>
              <w:widowControl/>
              <w:jc w:val="left"/>
              <w:rPr>
                <w:rFonts w:ascii="Times New Roman" w:hAnsi="Times New Roman"/>
                <w:color w:val="auto"/>
                <w:kern w:val="0"/>
                <w:szCs w:val="21"/>
              </w:rPr>
            </w:pPr>
          </w:p>
        </w:tc>
        <w:tc>
          <w:tcPr>
            <w:tcW w:w="646" w:type="pct"/>
            <w:vMerge w:val="continue"/>
            <w:vAlign w:val="center"/>
          </w:tcPr>
          <w:p w14:paraId="04DF0756">
            <w:pPr>
              <w:widowControl/>
              <w:jc w:val="left"/>
              <w:rPr>
                <w:rFonts w:ascii="Times New Roman" w:hAnsi="Times New Roman"/>
                <w:color w:val="auto"/>
                <w:kern w:val="0"/>
                <w:szCs w:val="21"/>
              </w:rPr>
            </w:pPr>
          </w:p>
        </w:tc>
        <w:tc>
          <w:tcPr>
            <w:tcW w:w="2019" w:type="pct"/>
            <w:gridSpan w:val="2"/>
            <w:vAlign w:val="center"/>
          </w:tcPr>
          <w:p w14:paraId="4FD0508E">
            <w:pPr>
              <w:adjustRightInd w:val="0"/>
              <w:snapToGrid w:val="0"/>
              <w:rPr>
                <w:rFonts w:ascii="Times New Roman" w:hAnsi="Times New Roman"/>
                <w:color w:val="auto"/>
                <w:kern w:val="0"/>
                <w:szCs w:val="21"/>
              </w:rPr>
            </w:pPr>
            <w:r>
              <w:rPr>
                <w:rFonts w:hint="eastAsia" w:ascii="Times New Roman" w:hAnsi="Times New Roman"/>
                <w:color w:val="auto"/>
                <w:kern w:val="0"/>
                <w:szCs w:val="21"/>
              </w:rPr>
              <w:t>丰水期</w:t>
            </w:r>
            <w:r>
              <w:rPr>
                <w:rFonts w:ascii="Times New Roman" w:hAnsi="Times New Roman"/>
                <w:color w:val="auto"/>
                <w:kern w:val="0"/>
                <w:szCs w:val="21"/>
              </w:rPr>
              <w:t>□</w:t>
            </w:r>
            <w:r>
              <w:rPr>
                <w:rFonts w:hint="eastAsia" w:ascii="Times New Roman" w:hAnsi="Times New Roman"/>
                <w:color w:val="auto"/>
                <w:kern w:val="0"/>
                <w:szCs w:val="21"/>
              </w:rPr>
              <w:t>；平水期</w:t>
            </w:r>
            <w:r>
              <w:rPr>
                <w:rFonts w:ascii="Times New Roman" w:hAnsi="Times New Roman"/>
                <w:color w:val="auto"/>
                <w:kern w:val="0"/>
                <w:szCs w:val="21"/>
              </w:rPr>
              <w:t>□</w:t>
            </w:r>
            <w:r>
              <w:rPr>
                <w:rFonts w:hint="eastAsia" w:ascii="Times New Roman" w:hAnsi="Times New Roman"/>
                <w:color w:val="auto"/>
                <w:kern w:val="0"/>
                <w:szCs w:val="21"/>
              </w:rPr>
              <w:t>；枯水期</w:t>
            </w:r>
            <w:r>
              <w:rPr>
                <w:rFonts w:ascii="Times New Roman" w:hAnsi="Times New Roman"/>
                <w:color w:val="auto"/>
                <w:kern w:val="0"/>
                <w:szCs w:val="21"/>
              </w:rPr>
              <w:t>□</w:t>
            </w:r>
            <w:r>
              <w:rPr>
                <w:rFonts w:hint="eastAsia" w:ascii="Times New Roman" w:hAnsi="Times New Roman"/>
                <w:color w:val="auto"/>
                <w:kern w:val="0"/>
                <w:szCs w:val="21"/>
              </w:rPr>
              <w:t>；冰封期</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春季</w:t>
            </w:r>
            <w:r>
              <w:rPr>
                <w:rFonts w:ascii="Times New Roman" w:hAnsi="Times New Roman"/>
                <w:color w:val="auto"/>
                <w:kern w:val="0"/>
                <w:szCs w:val="21"/>
              </w:rPr>
              <w:t>□</w:t>
            </w:r>
            <w:r>
              <w:rPr>
                <w:rFonts w:hint="eastAsia" w:ascii="Times New Roman" w:hAnsi="Times New Roman"/>
                <w:color w:val="auto"/>
                <w:kern w:val="0"/>
                <w:szCs w:val="21"/>
              </w:rPr>
              <w:t>；夏季</w:t>
            </w:r>
            <w:r>
              <w:rPr>
                <w:rFonts w:ascii="Times New Roman" w:hAnsi="Times New Roman"/>
                <w:color w:val="auto"/>
                <w:kern w:val="0"/>
                <w:szCs w:val="21"/>
              </w:rPr>
              <w:t>□</w:t>
            </w:r>
            <w:r>
              <w:rPr>
                <w:rFonts w:hint="eastAsia" w:ascii="Times New Roman" w:hAnsi="Times New Roman"/>
                <w:color w:val="auto"/>
                <w:kern w:val="0"/>
                <w:szCs w:val="21"/>
              </w:rPr>
              <w:t>；秋季</w:t>
            </w:r>
            <w:r>
              <w:rPr>
                <w:rFonts w:ascii="Times New Roman" w:hAnsi="Times New Roman"/>
                <w:color w:val="auto"/>
                <w:kern w:val="0"/>
                <w:szCs w:val="21"/>
              </w:rPr>
              <w:t>□</w:t>
            </w:r>
            <w:r>
              <w:rPr>
                <w:rFonts w:hint="eastAsia" w:ascii="Times New Roman" w:hAnsi="Times New Roman"/>
                <w:color w:val="auto"/>
                <w:kern w:val="0"/>
                <w:szCs w:val="21"/>
              </w:rPr>
              <w:t>；冬季</w:t>
            </w:r>
            <w:r>
              <w:rPr>
                <w:rFonts w:ascii="Times New Roman" w:hAnsi="Times New Roman"/>
                <w:color w:val="auto"/>
                <w:kern w:val="0"/>
                <w:szCs w:val="21"/>
              </w:rPr>
              <w:t>□</w:t>
            </w:r>
          </w:p>
        </w:tc>
        <w:tc>
          <w:tcPr>
            <w:tcW w:w="1131" w:type="pct"/>
            <w:gridSpan w:val="2"/>
            <w:noWrap/>
            <w:vAlign w:val="center"/>
          </w:tcPr>
          <w:p w14:paraId="002350DF">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w:t>
            </w:r>
          </w:p>
        </w:tc>
        <w:tc>
          <w:tcPr>
            <w:tcW w:w="969" w:type="pct"/>
            <w:noWrap/>
            <w:vAlign w:val="center"/>
          </w:tcPr>
          <w:p w14:paraId="67D488D4">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监测断面或点位个数（）个</w:t>
            </w:r>
          </w:p>
        </w:tc>
      </w:tr>
      <w:tr w14:paraId="01035E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restart"/>
            <w:noWrap/>
            <w:textDirection w:val="tbRlV"/>
            <w:vAlign w:val="center"/>
          </w:tcPr>
          <w:p w14:paraId="1E143C5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现状评价</w:t>
            </w:r>
          </w:p>
        </w:tc>
        <w:tc>
          <w:tcPr>
            <w:tcW w:w="646" w:type="pct"/>
            <w:vAlign w:val="center"/>
          </w:tcPr>
          <w:p w14:paraId="58CF9BB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评价范围</w:t>
            </w:r>
          </w:p>
        </w:tc>
        <w:tc>
          <w:tcPr>
            <w:tcW w:w="4120" w:type="pct"/>
            <w:gridSpan w:val="5"/>
            <w:noWrap/>
            <w:vAlign w:val="center"/>
          </w:tcPr>
          <w:p w14:paraId="617154E7">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河流：长度（）</w:t>
            </w:r>
            <w:r>
              <w:rPr>
                <w:rFonts w:ascii="Times New Roman" w:hAnsi="Times New Roman"/>
                <w:color w:val="auto"/>
                <w:kern w:val="0"/>
                <w:szCs w:val="21"/>
              </w:rPr>
              <w:t>km</w:t>
            </w:r>
            <w:r>
              <w:rPr>
                <w:rFonts w:hint="eastAsia" w:ascii="Times New Roman" w:hAnsi="Times New Roman"/>
                <w:color w:val="auto"/>
                <w:kern w:val="0"/>
                <w:szCs w:val="21"/>
              </w:rPr>
              <w:t>；湖库、河口及近岸海域：面积（）</w:t>
            </w:r>
            <w:r>
              <w:rPr>
                <w:rFonts w:ascii="Times New Roman" w:hAnsi="Times New Roman"/>
                <w:color w:val="auto"/>
                <w:kern w:val="0"/>
                <w:szCs w:val="21"/>
              </w:rPr>
              <w:t>km</w:t>
            </w:r>
            <w:r>
              <w:rPr>
                <w:rFonts w:ascii="Times New Roman" w:hAnsi="Times New Roman"/>
                <w:color w:val="auto"/>
                <w:kern w:val="0"/>
                <w:szCs w:val="21"/>
                <w:vertAlign w:val="superscript"/>
              </w:rPr>
              <w:t>2</w:t>
            </w:r>
          </w:p>
        </w:tc>
      </w:tr>
      <w:tr w14:paraId="7D9B76D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64041922">
            <w:pPr>
              <w:widowControl/>
              <w:jc w:val="left"/>
              <w:rPr>
                <w:rFonts w:ascii="Times New Roman" w:hAnsi="Times New Roman"/>
                <w:color w:val="auto"/>
                <w:kern w:val="0"/>
                <w:szCs w:val="21"/>
              </w:rPr>
            </w:pPr>
          </w:p>
        </w:tc>
        <w:tc>
          <w:tcPr>
            <w:tcW w:w="646" w:type="pct"/>
            <w:vAlign w:val="center"/>
          </w:tcPr>
          <w:p w14:paraId="1A7D45D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评价因子</w:t>
            </w:r>
          </w:p>
        </w:tc>
        <w:tc>
          <w:tcPr>
            <w:tcW w:w="4120" w:type="pct"/>
            <w:gridSpan w:val="5"/>
            <w:noWrap/>
            <w:vAlign w:val="center"/>
          </w:tcPr>
          <w:p w14:paraId="2B8E0027">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w:t>
            </w:r>
            <w:r>
              <w:rPr>
                <w:rFonts w:ascii="Times New Roman" w:hAnsi="Times New Roman"/>
                <w:color w:val="auto"/>
                <w:kern w:val="0"/>
                <w:szCs w:val="21"/>
              </w:rPr>
              <w:t>pH</w:t>
            </w:r>
            <w:r>
              <w:rPr>
                <w:rFonts w:hint="eastAsia" w:ascii="Times New Roman" w:hAnsi="Times New Roman"/>
                <w:color w:val="auto"/>
                <w:kern w:val="0"/>
                <w:szCs w:val="21"/>
              </w:rPr>
              <w:t>、溶解氧、高锰酸盐指数、化学需氧量、五日生化需氧量、氨氮、石油类、总磷、氟化物）</w:t>
            </w:r>
          </w:p>
        </w:tc>
      </w:tr>
      <w:tr w14:paraId="0B9C5A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07716368">
            <w:pPr>
              <w:widowControl/>
              <w:jc w:val="left"/>
              <w:rPr>
                <w:rFonts w:ascii="Times New Roman" w:hAnsi="Times New Roman"/>
                <w:color w:val="auto"/>
                <w:kern w:val="0"/>
                <w:szCs w:val="21"/>
              </w:rPr>
            </w:pPr>
          </w:p>
        </w:tc>
        <w:tc>
          <w:tcPr>
            <w:tcW w:w="646" w:type="pct"/>
            <w:vAlign w:val="center"/>
          </w:tcPr>
          <w:p w14:paraId="6B32FFA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评价标准</w:t>
            </w:r>
          </w:p>
        </w:tc>
        <w:tc>
          <w:tcPr>
            <w:tcW w:w="4120" w:type="pct"/>
            <w:gridSpan w:val="5"/>
            <w:noWrap/>
            <w:vAlign w:val="center"/>
          </w:tcPr>
          <w:p w14:paraId="130124AA">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河流、湖库、河口：</w:t>
            </w:r>
            <w:r>
              <w:rPr>
                <w:rFonts w:ascii="Times New Roman" w:hAnsi="Times New Roman"/>
                <w:color w:val="auto"/>
                <w:kern w:val="0"/>
                <w:szCs w:val="21"/>
              </w:rPr>
              <w:t>Ⅰ</w:t>
            </w:r>
            <w:r>
              <w:rPr>
                <w:rFonts w:hint="eastAsia" w:ascii="Times New Roman" w:hAnsi="Times New Roman"/>
                <w:color w:val="auto"/>
                <w:kern w:val="0"/>
                <w:szCs w:val="21"/>
              </w:rPr>
              <w:t>类</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Ⅱ</w:t>
            </w:r>
            <w:r>
              <w:rPr>
                <w:rFonts w:hint="eastAsia" w:ascii="Times New Roman" w:hAnsi="Times New Roman"/>
                <w:color w:val="auto"/>
                <w:kern w:val="0"/>
                <w:szCs w:val="21"/>
              </w:rPr>
              <w:t>类</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Ⅲ</w:t>
            </w:r>
            <w:r>
              <w:rPr>
                <w:rFonts w:hint="eastAsia" w:ascii="Times New Roman" w:hAnsi="Times New Roman"/>
                <w:color w:val="auto"/>
                <w:kern w:val="0"/>
                <w:szCs w:val="21"/>
              </w:rPr>
              <w:t>类</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Ⅳ</w:t>
            </w:r>
            <w:r>
              <w:rPr>
                <w:rFonts w:hint="eastAsia" w:ascii="Times New Roman" w:hAnsi="Times New Roman"/>
                <w:color w:val="auto"/>
                <w:kern w:val="0"/>
                <w:szCs w:val="21"/>
              </w:rPr>
              <w:t>类</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Ⅴ</w:t>
            </w:r>
            <w:r>
              <w:rPr>
                <w:rFonts w:hint="eastAsia" w:ascii="Times New Roman" w:hAnsi="Times New Roman"/>
                <w:color w:val="auto"/>
                <w:kern w:val="0"/>
                <w:szCs w:val="21"/>
              </w:rPr>
              <w:t>类</w:t>
            </w:r>
            <w:r>
              <w:rPr>
                <w:rFonts w:ascii="Times New Roman" w:hAnsi="Times New Roman"/>
                <w:color w:val="auto"/>
                <w:kern w:val="0"/>
                <w:szCs w:val="21"/>
              </w:rPr>
              <w:t>□</w:t>
            </w:r>
          </w:p>
          <w:p w14:paraId="50297955">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近岸海域：第一类</w:t>
            </w:r>
            <w:r>
              <w:rPr>
                <w:rFonts w:ascii="Times New Roman" w:hAnsi="Times New Roman"/>
                <w:color w:val="auto"/>
                <w:kern w:val="0"/>
                <w:szCs w:val="21"/>
              </w:rPr>
              <w:t>□</w:t>
            </w:r>
            <w:r>
              <w:rPr>
                <w:rFonts w:hint="eastAsia" w:ascii="Times New Roman" w:hAnsi="Times New Roman"/>
                <w:color w:val="auto"/>
                <w:kern w:val="0"/>
                <w:szCs w:val="21"/>
              </w:rPr>
              <w:t>；第二类</w:t>
            </w:r>
            <w:r>
              <w:rPr>
                <w:rFonts w:ascii="Times New Roman" w:hAnsi="Times New Roman"/>
                <w:color w:val="auto"/>
                <w:kern w:val="0"/>
                <w:szCs w:val="21"/>
              </w:rPr>
              <w:t>□</w:t>
            </w:r>
            <w:r>
              <w:rPr>
                <w:rFonts w:hint="eastAsia" w:ascii="Times New Roman" w:hAnsi="Times New Roman"/>
                <w:color w:val="auto"/>
                <w:kern w:val="0"/>
                <w:szCs w:val="21"/>
              </w:rPr>
              <w:t>；第三类</w:t>
            </w:r>
            <w:r>
              <w:rPr>
                <w:rFonts w:ascii="Times New Roman" w:hAnsi="Times New Roman"/>
                <w:color w:val="auto"/>
                <w:kern w:val="0"/>
                <w:szCs w:val="21"/>
              </w:rPr>
              <w:t>□</w:t>
            </w:r>
            <w:r>
              <w:rPr>
                <w:rFonts w:hint="eastAsia" w:ascii="Times New Roman" w:hAnsi="Times New Roman"/>
                <w:color w:val="auto"/>
                <w:kern w:val="0"/>
                <w:szCs w:val="21"/>
              </w:rPr>
              <w:t>；第四类</w:t>
            </w:r>
            <w:r>
              <w:rPr>
                <w:rFonts w:ascii="Times New Roman" w:hAnsi="Times New Roman"/>
                <w:color w:val="auto"/>
                <w:kern w:val="0"/>
                <w:szCs w:val="21"/>
              </w:rPr>
              <w:t>□</w:t>
            </w:r>
          </w:p>
          <w:p w14:paraId="0BEA3835">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规划年评价标准（</w:t>
            </w:r>
            <w:r>
              <w:rPr>
                <w:rFonts w:ascii="Times New Roman" w:hAnsi="Times New Roman"/>
                <w:color w:val="auto"/>
                <w:kern w:val="0"/>
                <w:szCs w:val="21"/>
              </w:rPr>
              <w:t>Ⅲ</w:t>
            </w:r>
            <w:r>
              <w:rPr>
                <w:rFonts w:hint="eastAsia" w:ascii="Times New Roman" w:hAnsi="Times New Roman"/>
                <w:color w:val="auto"/>
                <w:kern w:val="0"/>
                <w:szCs w:val="21"/>
              </w:rPr>
              <w:t>类）</w:t>
            </w:r>
          </w:p>
        </w:tc>
      </w:tr>
      <w:tr w14:paraId="321E30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1804F55A">
            <w:pPr>
              <w:widowControl/>
              <w:jc w:val="left"/>
              <w:rPr>
                <w:rFonts w:ascii="Times New Roman" w:hAnsi="Times New Roman"/>
                <w:color w:val="auto"/>
                <w:kern w:val="0"/>
                <w:szCs w:val="21"/>
              </w:rPr>
            </w:pPr>
          </w:p>
        </w:tc>
        <w:tc>
          <w:tcPr>
            <w:tcW w:w="646" w:type="pct"/>
            <w:vAlign w:val="center"/>
          </w:tcPr>
          <w:p w14:paraId="5C8CDBC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评价时期</w:t>
            </w:r>
          </w:p>
        </w:tc>
        <w:tc>
          <w:tcPr>
            <w:tcW w:w="4120" w:type="pct"/>
            <w:gridSpan w:val="5"/>
            <w:vAlign w:val="center"/>
          </w:tcPr>
          <w:p w14:paraId="58034BD7">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丰水期</w:t>
            </w:r>
            <w:r>
              <w:rPr>
                <w:rFonts w:ascii="Times New Roman" w:hAnsi="Times New Roman"/>
                <w:color w:val="auto"/>
                <w:kern w:val="0"/>
                <w:szCs w:val="21"/>
              </w:rPr>
              <w:t>√</w:t>
            </w:r>
            <w:r>
              <w:rPr>
                <w:rFonts w:hint="eastAsia" w:ascii="Times New Roman" w:hAnsi="Times New Roman"/>
                <w:color w:val="auto"/>
                <w:kern w:val="0"/>
                <w:szCs w:val="21"/>
              </w:rPr>
              <w:t>；平水期</w:t>
            </w:r>
            <w:r>
              <w:rPr>
                <w:rFonts w:ascii="Times New Roman" w:hAnsi="Times New Roman"/>
                <w:color w:val="auto"/>
                <w:kern w:val="0"/>
                <w:szCs w:val="21"/>
              </w:rPr>
              <w:t>√</w:t>
            </w:r>
            <w:r>
              <w:rPr>
                <w:rFonts w:hint="eastAsia" w:ascii="Times New Roman" w:hAnsi="Times New Roman"/>
                <w:color w:val="auto"/>
                <w:kern w:val="0"/>
                <w:szCs w:val="21"/>
              </w:rPr>
              <w:t>；枯水期</w:t>
            </w:r>
            <w:r>
              <w:rPr>
                <w:rFonts w:ascii="Times New Roman" w:hAnsi="Times New Roman"/>
                <w:color w:val="auto"/>
                <w:kern w:val="0"/>
                <w:szCs w:val="21"/>
              </w:rPr>
              <w:t>√</w:t>
            </w:r>
            <w:r>
              <w:rPr>
                <w:rFonts w:hint="eastAsia" w:ascii="Times New Roman" w:hAnsi="Times New Roman"/>
                <w:color w:val="auto"/>
                <w:kern w:val="0"/>
                <w:szCs w:val="21"/>
              </w:rPr>
              <w:t>；冰封期</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春季</w:t>
            </w:r>
            <w:r>
              <w:rPr>
                <w:rFonts w:ascii="Times New Roman" w:hAnsi="Times New Roman"/>
                <w:color w:val="auto"/>
                <w:kern w:val="0"/>
                <w:szCs w:val="21"/>
              </w:rPr>
              <w:t>√</w:t>
            </w:r>
            <w:r>
              <w:rPr>
                <w:rFonts w:hint="eastAsia" w:ascii="Times New Roman" w:hAnsi="Times New Roman"/>
                <w:color w:val="auto"/>
                <w:kern w:val="0"/>
                <w:szCs w:val="21"/>
              </w:rPr>
              <w:t>；夏季</w:t>
            </w:r>
            <w:r>
              <w:rPr>
                <w:rFonts w:ascii="Times New Roman" w:hAnsi="Times New Roman"/>
                <w:color w:val="auto"/>
                <w:kern w:val="0"/>
                <w:szCs w:val="21"/>
              </w:rPr>
              <w:t>√</w:t>
            </w:r>
            <w:r>
              <w:rPr>
                <w:rFonts w:hint="eastAsia" w:ascii="Times New Roman" w:hAnsi="Times New Roman"/>
                <w:color w:val="auto"/>
                <w:kern w:val="0"/>
                <w:szCs w:val="21"/>
              </w:rPr>
              <w:t>；秋季</w:t>
            </w:r>
            <w:r>
              <w:rPr>
                <w:rFonts w:ascii="Times New Roman" w:hAnsi="Times New Roman"/>
                <w:color w:val="auto"/>
                <w:kern w:val="0"/>
                <w:szCs w:val="21"/>
              </w:rPr>
              <w:t>√</w:t>
            </w:r>
            <w:r>
              <w:rPr>
                <w:rFonts w:hint="eastAsia" w:ascii="Times New Roman" w:hAnsi="Times New Roman"/>
                <w:color w:val="auto"/>
                <w:kern w:val="0"/>
                <w:szCs w:val="21"/>
              </w:rPr>
              <w:t>；冬季</w:t>
            </w:r>
            <w:r>
              <w:rPr>
                <w:rFonts w:ascii="Times New Roman" w:hAnsi="Times New Roman"/>
                <w:color w:val="auto"/>
                <w:kern w:val="0"/>
                <w:szCs w:val="21"/>
              </w:rPr>
              <w:t>√</w:t>
            </w:r>
          </w:p>
        </w:tc>
      </w:tr>
      <w:tr w14:paraId="65EB69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23A41782">
            <w:pPr>
              <w:widowControl/>
              <w:jc w:val="left"/>
              <w:rPr>
                <w:rFonts w:ascii="Times New Roman" w:hAnsi="Times New Roman"/>
                <w:color w:val="auto"/>
                <w:kern w:val="0"/>
                <w:szCs w:val="21"/>
              </w:rPr>
            </w:pPr>
          </w:p>
        </w:tc>
        <w:tc>
          <w:tcPr>
            <w:tcW w:w="646" w:type="pct"/>
            <w:vAlign w:val="center"/>
          </w:tcPr>
          <w:p w14:paraId="1AB592E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评价结论</w:t>
            </w:r>
          </w:p>
        </w:tc>
        <w:tc>
          <w:tcPr>
            <w:tcW w:w="3150" w:type="pct"/>
            <w:gridSpan w:val="4"/>
            <w:vAlign w:val="center"/>
          </w:tcPr>
          <w:p w14:paraId="4DFD0248">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水环境功能区或水功能区、近岸海域环境功能区水质达标状况</w:t>
            </w:r>
            <w:r>
              <w:rPr>
                <w:rFonts w:ascii="Times New Roman" w:hAnsi="Times New Roman"/>
                <w:color w:val="auto"/>
                <w:kern w:val="0"/>
                <w:szCs w:val="21"/>
              </w:rPr>
              <w:t>□</w:t>
            </w:r>
            <w:r>
              <w:rPr>
                <w:rFonts w:hint="eastAsia" w:ascii="Times New Roman" w:hAnsi="Times New Roman"/>
                <w:color w:val="auto"/>
                <w:kern w:val="0"/>
                <w:szCs w:val="21"/>
              </w:rPr>
              <w:t>：达标</w:t>
            </w:r>
            <w:r>
              <w:rPr>
                <w:rFonts w:ascii="Times New Roman" w:hAnsi="Times New Roman"/>
                <w:color w:val="auto"/>
                <w:kern w:val="0"/>
                <w:szCs w:val="21"/>
              </w:rPr>
              <w:t>√</w:t>
            </w:r>
            <w:r>
              <w:rPr>
                <w:rFonts w:hint="eastAsia" w:ascii="Times New Roman" w:hAnsi="Times New Roman"/>
                <w:color w:val="auto"/>
                <w:kern w:val="0"/>
                <w:szCs w:val="21"/>
              </w:rPr>
              <w:t>；不达标</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水环境控制单元或断面水质达标状况</w:t>
            </w:r>
            <w:r>
              <w:rPr>
                <w:rFonts w:ascii="Times New Roman" w:hAnsi="Times New Roman"/>
                <w:color w:val="auto"/>
                <w:kern w:val="0"/>
                <w:szCs w:val="21"/>
              </w:rPr>
              <w:t>□</w:t>
            </w:r>
            <w:r>
              <w:rPr>
                <w:rFonts w:hint="eastAsia" w:ascii="Times New Roman" w:hAnsi="Times New Roman"/>
                <w:color w:val="auto"/>
                <w:kern w:val="0"/>
                <w:szCs w:val="21"/>
              </w:rPr>
              <w:t>：达标</w:t>
            </w:r>
            <w:r>
              <w:rPr>
                <w:rFonts w:ascii="Times New Roman" w:hAnsi="Times New Roman"/>
                <w:color w:val="auto"/>
                <w:kern w:val="0"/>
                <w:szCs w:val="21"/>
              </w:rPr>
              <w:t>□</w:t>
            </w:r>
            <w:r>
              <w:rPr>
                <w:rFonts w:hint="eastAsia" w:ascii="Times New Roman" w:hAnsi="Times New Roman"/>
                <w:color w:val="auto"/>
                <w:kern w:val="0"/>
                <w:szCs w:val="21"/>
              </w:rPr>
              <w:t>；不达标</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水环境保护目标质量状况</w:t>
            </w:r>
            <w:r>
              <w:rPr>
                <w:rFonts w:ascii="Times New Roman" w:hAnsi="Times New Roman"/>
                <w:color w:val="auto"/>
                <w:kern w:val="0"/>
                <w:szCs w:val="21"/>
              </w:rPr>
              <w:t>□</w:t>
            </w:r>
            <w:r>
              <w:rPr>
                <w:rFonts w:hint="eastAsia" w:ascii="Times New Roman" w:hAnsi="Times New Roman"/>
                <w:color w:val="auto"/>
                <w:kern w:val="0"/>
                <w:szCs w:val="21"/>
              </w:rPr>
              <w:t>：达标</w:t>
            </w:r>
            <w:r>
              <w:rPr>
                <w:rFonts w:ascii="Times New Roman" w:hAnsi="Times New Roman"/>
                <w:color w:val="auto"/>
                <w:kern w:val="0"/>
                <w:szCs w:val="21"/>
              </w:rPr>
              <w:t>□</w:t>
            </w:r>
            <w:r>
              <w:rPr>
                <w:rFonts w:hint="eastAsia" w:ascii="Times New Roman" w:hAnsi="Times New Roman"/>
                <w:color w:val="auto"/>
                <w:kern w:val="0"/>
                <w:szCs w:val="21"/>
              </w:rPr>
              <w:t>；不达标</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对照断面、控制断面等代表性断面的水质状况</w:t>
            </w:r>
            <w:r>
              <w:rPr>
                <w:rFonts w:ascii="Times New Roman" w:hAnsi="Times New Roman"/>
                <w:color w:val="auto"/>
                <w:kern w:val="0"/>
                <w:szCs w:val="21"/>
              </w:rPr>
              <w:t>□</w:t>
            </w:r>
            <w:r>
              <w:rPr>
                <w:rFonts w:hint="eastAsia" w:ascii="Times New Roman" w:hAnsi="Times New Roman"/>
                <w:color w:val="auto"/>
                <w:kern w:val="0"/>
                <w:szCs w:val="21"/>
              </w:rPr>
              <w:t>：达标</w:t>
            </w:r>
            <w:r>
              <w:rPr>
                <w:rFonts w:ascii="Times New Roman" w:hAnsi="Times New Roman"/>
                <w:color w:val="auto"/>
                <w:kern w:val="0"/>
                <w:szCs w:val="21"/>
              </w:rPr>
              <w:t>□</w:t>
            </w:r>
            <w:r>
              <w:rPr>
                <w:rFonts w:hint="eastAsia" w:ascii="Times New Roman" w:hAnsi="Times New Roman"/>
                <w:color w:val="auto"/>
                <w:kern w:val="0"/>
                <w:szCs w:val="21"/>
              </w:rPr>
              <w:t>；不达标</w:t>
            </w:r>
            <w:r>
              <w:rPr>
                <w:rFonts w:ascii="Times New Roman" w:hAnsi="Times New Roman"/>
                <w:color w:val="auto"/>
                <w:kern w:val="0"/>
                <w:szCs w:val="21"/>
              </w:rPr>
              <w:t>□</w:t>
            </w:r>
            <w:r>
              <w:rPr>
                <w:rFonts w:hint="eastAsia" w:ascii="Times New Roman" w:hAnsi="Times New Roman"/>
                <w:color w:val="auto"/>
                <w:kern w:val="0"/>
                <w:szCs w:val="21"/>
              </w:rPr>
              <w:t>；底泥污染评价</w:t>
            </w:r>
            <w:r>
              <w:rPr>
                <w:rFonts w:ascii="Times New Roman" w:hAnsi="Times New Roman"/>
                <w:color w:val="auto"/>
                <w:kern w:val="0"/>
                <w:szCs w:val="21"/>
              </w:rPr>
              <w:t>□</w:t>
            </w:r>
            <w:r>
              <w:rPr>
                <w:rFonts w:hint="eastAsia" w:ascii="Times New Roman" w:hAnsi="Times New Roman"/>
                <w:color w:val="auto"/>
                <w:kern w:val="0"/>
                <w:szCs w:val="21"/>
              </w:rPr>
              <w:t>；水资源与开发利用程度及其水文情势评价</w:t>
            </w:r>
            <w:r>
              <w:rPr>
                <w:rFonts w:ascii="Times New Roman" w:hAnsi="Times New Roman"/>
                <w:color w:val="auto"/>
                <w:kern w:val="0"/>
                <w:szCs w:val="21"/>
              </w:rPr>
              <w:t>□</w:t>
            </w:r>
            <w:r>
              <w:rPr>
                <w:rFonts w:hint="eastAsia" w:ascii="Times New Roman" w:hAnsi="Times New Roman"/>
                <w:color w:val="auto"/>
                <w:kern w:val="0"/>
                <w:szCs w:val="21"/>
              </w:rPr>
              <w:t>；水环境质量回顾评价</w:t>
            </w:r>
            <w:r>
              <w:rPr>
                <w:rFonts w:ascii="Times New Roman" w:hAnsi="Times New Roman"/>
                <w:color w:val="auto"/>
                <w:kern w:val="0"/>
                <w:szCs w:val="21"/>
              </w:rPr>
              <w:t>□</w:t>
            </w:r>
            <w:r>
              <w:rPr>
                <w:rFonts w:hint="eastAsia" w:ascii="Times New Roman" w:hAnsi="Times New Roman"/>
                <w:color w:val="auto"/>
                <w:kern w:val="0"/>
                <w:szCs w:val="21"/>
              </w:rPr>
              <w:t>；流域（区域）水资源（包括水能资源）与开发利用总体状况、生态流量管理要求与现状满足程度、建设项目占用水域空间的水流状况与河湖演变状况</w:t>
            </w:r>
            <w:r>
              <w:rPr>
                <w:rFonts w:ascii="Times New Roman" w:hAnsi="Times New Roman"/>
                <w:color w:val="auto"/>
                <w:kern w:val="0"/>
                <w:szCs w:val="21"/>
              </w:rPr>
              <w:t>□</w:t>
            </w:r>
          </w:p>
        </w:tc>
        <w:tc>
          <w:tcPr>
            <w:tcW w:w="969" w:type="pct"/>
            <w:vAlign w:val="center"/>
          </w:tcPr>
          <w:p w14:paraId="4CEEDFB9">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达标区</w:t>
            </w:r>
            <w:r>
              <w:rPr>
                <w:rFonts w:ascii="Times New Roman" w:hAnsi="Times New Roman"/>
                <w:color w:val="auto"/>
                <w:kern w:val="0"/>
                <w:szCs w:val="21"/>
              </w:rPr>
              <w:t>√</w:t>
            </w:r>
          </w:p>
          <w:p w14:paraId="69CE581E">
            <w:pPr>
              <w:adjustRightInd w:val="0"/>
              <w:snapToGrid w:val="0"/>
              <w:jc w:val="left"/>
              <w:rPr>
                <w:rFonts w:ascii="Times New Roman" w:hAnsi="Times New Roman" w:eastAsia="等线"/>
                <w:color w:val="auto"/>
                <w:kern w:val="0"/>
                <w:szCs w:val="21"/>
              </w:rPr>
            </w:pPr>
            <w:r>
              <w:rPr>
                <w:rFonts w:hint="eastAsia" w:ascii="Times New Roman" w:hAnsi="Times New Roman"/>
                <w:color w:val="auto"/>
                <w:kern w:val="0"/>
                <w:szCs w:val="21"/>
              </w:rPr>
              <w:t>不达标区</w:t>
            </w:r>
            <w:r>
              <w:rPr>
                <w:rFonts w:ascii="Times New Roman" w:hAnsi="Times New Roman"/>
                <w:color w:val="auto"/>
                <w:kern w:val="0"/>
                <w:szCs w:val="21"/>
              </w:rPr>
              <w:t>□</w:t>
            </w:r>
          </w:p>
        </w:tc>
      </w:tr>
      <w:tr w14:paraId="3BB95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restart"/>
            <w:noWrap/>
            <w:textDirection w:val="tbRlV"/>
            <w:vAlign w:val="center"/>
          </w:tcPr>
          <w:p w14:paraId="15135B67">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影响预测</w:t>
            </w:r>
          </w:p>
        </w:tc>
        <w:tc>
          <w:tcPr>
            <w:tcW w:w="646" w:type="pct"/>
            <w:vAlign w:val="center"/>
          </w:tcPr>
          <w:p w14:paraId="390A515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预测范围</w:t>
            </w:r>
          </w:p>
        </w:tc>
        <w:tc>
          <w:tcPr>
            <w:tcW w:w="4120" w:type="pct"/>
            <w:gridSpan w:val="5"/>
            <w:noWrap/>
            <w:vAlign w:val="center"/>
          </w:tcPr>
          <w:p w14:paraId="0DFDCBF5">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河流：长度（）</w:t>
            </w:r>
            <w:r>
              <w:rPr>
                <w:rFonts w:ascii="Times New Roman" w:hAnsi="Times New Roman"/>
                <w:color w:val="auto"/>
                <w:kern w:val="0"/>
                <w:szCs w:val="21"/>
              </w:rPr>
              <w:t>km</w:t>
            </w:r>
            <w:r>
              <w:rPr>
                <w:rFonts w:hint="eastAsia" w:ascii="Times New Roman" w:hAnsi="Times New Roman"/>
                <w:color w:val="auto"/>
                <w:kern w:val="0"/>
                <w:szCs w:val="21"/>
              </w:rPr>
              <w:t>；湖库、河口及近岸海域：面积（）</w:t>
            </w:r>
            <w:r>
              <w:rPr>
                <w:rFonts w:ascii="Times New Roman" w:hAnsi="Times New Roman"/>
                <w:color w:val="auto"/>
                <w:kern w:val="0"/>
                <w:szCs w:val="21"/>
              </w:rPr>
              <w:t>km</w:t>
            </w:r>
            <w:r>
              <w:rPr>
                <w:rFonts w:ascii="Times New Roman" w:hAnsi="Times New Roman"/>
                <w:color w:val="auto"/>
                <w:kern w:val="0"/>
                <w:szCs w:val="21"/>
                <w:vertAlign w:val="superscript"/>
              </w:rPr>
              <w:t>2</w:t>
            </w:r>
          </w:p>
        </w:tc>
      </w:tr>
      <w:tr w14:paraId="6A6579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234" w:type="pct"/>
            <w:vMerge w:val="continue"/>
            <w:vAlign w:val="center"/>
          </w:tcPr>
          <w:p w14:paraId="29778067">
            <w:pPr>
              <w:widowControl/>
              <w:jc w:val="left"/>
              <w:rPr>
                <w:rFonts w:ascii="Times New Roman" w:hAnsi="Times New Roman"/>
                <w:color w:val="auto"/>
                <w:kern w:val="0"/>
                <w:szCs w:val="21"/>
              </w:rPr>
            </w:pPr>
          </w:p>
        </w:tc>
        <w:tc>
          <w:tcPr>
            <w:tcW w:w="646" w:type="pct"/>
            <w:vAlign w:val="center"/>
          </w:tcPr>
          <w:p w14:paraId="1769B08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预测因子</w:t>
            </w:r>
          </w:p>
        </w:tc>
        <w:tc>
          <w:tcPr>
            <w:tcW w:w="4120" w:type="pct"/>
            <w:gridSpan w:val="5"/>
            <w:noWrap/>
            <w:vAlign w:val="center"/>
          </w:tcPr>
          <w:p w14:paraId="2E4984F8">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 ）</w:t>
            </w:r>
          </w:p>
        </w:tc>
      </w:tr>
      <w:tr w14:paraId="622C35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6" w:hRule="atLeast"/>
        </w:trPr>
        <w:tc>
          <w:tcPr>
            <w:tcW w:w="234" w:type="pct"/>
            <w:vMerge w:val="continue"/>
            <w:vAlign w:val="center"/>
          </w:tcPr>
          <w:p w14:paraId="4D7BF064">
            <w:pPr>
              <w:widowControl/>
              <w:jc w:val="left"/>
              <w:rPr>
                <w:rFonts w:ascii="Times New Roman" w:hAnsi="Times New Roman"/>
                <w:color w:val="auto"/>
                <w:kern w:val="0"/>
                <w:szCs w:val="21"/>
              </w:rPr>
            </w:pPr>
          </w:p>
        </w:tc>
        <w:tc>
          <w:tcPr>
            <w:tcW w:w="646" w:type="pct"/>
            <w:vAlign w:val="center"/>
          </w:tcPr>
          <w:p w14:paraId="7CF6395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预测时期</w:t>
            </w:r>
          </w:p>
        </w:tc>
        <w:tc>
          <w:tcPr>
            <w:tcW w:w="4120" w:type="pct"/>
            <w:gridSpan w:val="5"/>
            <w:vAlign w:val="center"/>
          </w:tcPr>
          <w:p w14:paraId="1195C536">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丰水期</w:t>
            </w:r>
            <w:r>
              <w:rPr>
                <w:rFonts w:ascii="Times New Roman" w:hAnsi="Times New Roman"/>
                <w:color w:val="auto"/>
                <w:kern w:val="0"/>
                <w:szCs w:val="21"/>
              </w:rPr>
              <w:t>□</w:t>
            </w:r>
            <w:r>
              <w:rPr>
                <w:rFonts w:hint="eastAsia" w:ascii="Times New Roman" w:hAnsi="Times New Roman"/>
                <w:color w:val="auto"/>
                <w:kern w:val="0"/>
                <w:szCs w:val="21"/>
              </w:rPr>
              <w:t>；平水期</w:t>
            </w:r>
            <w:r>
              <w:rPr>
                <w:rFonts w:ascii="Times New Roman" w:hAnsi="Times New Roman"/>
                <w:color w:val="auto"/>
                <w:kern w:val="0"/>
                <w:szCs w:val="21"/>
              </w:rPr>
              <w:t>□</w:t>
            </w:r>
            <w:r>
              <w:rPr>
                <w:rFonts w:hint="eastAsia" w:ascii="Times New Roman" w:hAnsi="Times New Roman"/>
                <w:color w:val="auto"/>
                <w:kern w:val="0"/>
                <w:szCs w:val="21"/>
              </w:rPr>
              <w:t>；枯水期</w:t>
            </w:r>
            <w:r>
              <w:rPr>
                <w:rFonts w:ascii="Times New Roman" w:hAnsi="Times New Roman"/>
                <w:color w:val="auto"/>
                <w:kern w:val="0"/>
                <w:szCs w:val="21"/>
              </w:rPr>
              <w:t>□</w:t>
            </w:r>
            <w:r>
              <w:rPr>
                <w:rFonts w:hint="eastAsia" w:ascii="Times New Roman" w:hAnsi="Times New Roman"/>
                <w:color w:val="auto"/>
                <w:kern w:val="0"/>
                <w:szCs w:val="21"/>
              </w:rPr>
              <w:t>；冰封期</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春季</w:t>
            </w:r>
            <w:r>
              <w:rPr>
                <w:rFonts w:ascii="Times New Roman" w:hAnsi="Times New Roman"/>
                <w:color w:val="auto"/>
                <w:kern w:val="0"/>
                <w:szCs w:val="21"/>
              </w:rPr>
              <w:t>□</w:t>
            </w:r>
            <w:r>
              <w:rPr>
                <w:rFonts w:hint="eastAsia" w:ascii="Times New Roman" w:hAnsi="Times New Roman"/>
                <w:color w:val="auto"/>
                <w:kern w:val="0"/>
                <w:szCs w:val="21"/>
              </w:rPr>
              <w:t>；夏季</w:t>
            </w:r>
            <w:r>
              <w:rPr>
                <w:rFonts w:ascii="Times New Roman" w:hAnsi="Times New Roman"/>
                <w:color w:val="auto"/>
                <w:kern w:val="0"/>
                <w:szCs w:val="21"/>
              </w:rPr>
              <w:t>□</w:t>
            </w:r>
            <w:r>
              <w:rPr>
                <w:rFonts w:hint="eastAsia" w:ascii="Times New Roman" w:hAnsi="Times New Roman"/>
                <w:color w:val="auto"/>
                <w:kern w:val="0"/>
                <w:szCs w:val="21"/>
              </w:rPr>
              <w:t>；秋季</w:t>
            </w:r>
            <w:r>
              <w:rPr>
                <w:rFonts w:ascii="Times New Roman" w:hAnsi="Times New Roman"/>
                <w:color w:val="auto"/>
                <w:kern w:val="0"/>
                <w:szCs w:val="21"/>
              </w:rPr>
              <w:t>□</w:t>
            </w:r>
            <w:r>
              <w:rPr>
                <w:rFonts w:hint="eastAsia" w:ascii="Times New Roman" w:hAnsi="Times New Roman"/>
                <w:color w:val="auto"/>
                <w:kern w:val="0"/>
                <w:szCs w:val="21"/>
              </w:rPr>
              <w:t>；冬季</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设计水文条件</w:t>
            </w:r>
            <w:r>
              <w:rPr>
                <w:rFonts w:ascii="Times New Roman" w:hAnsi="Times New Roman"/>
                <w:color w:val="auto"/>
                <w:kern w:val="0"/>
                <w:szCs w:val="21"/>
              </w:rPr>
              <w:t>□</w:t>
            </w:r>
          </w:p>
        </w:tc>
      </w:tr>
      <w:tr w14:paraId="656A929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77A04AE2">
            <w:pPr>
              <w:widowControl/>
              <w:jc w:val="left"/>
              <w:rPr>
                <w:rFonts w:ascii="Times New Roman" w:hAnsi="Times New Roman"/>
                <w:color w:val="auto"/>
                <w:kern w:val="0"/>
                <w:szCs w:val="21"/>
              </w:rPr>
            </w:pPr>
          </w:p>
        </w:tc>
        <w:tc>
          <w:tcPr>
            <w:tcW w:w="646" w:type="pct"/>
            <w:vAlign w:val="center"/>
          </w:tcPr>
          <w:p w14:paraId="33AD255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预测情景</w:t>
            </w:r>
          </w:p>
        </w:tc>
        <w:tc>
          <w:tcPr>
            <w:tcW w:w="4120" w:type="pct"/>
            <w:gridSpan w:val="5"/>
            <w:vAlign w:val="center"/>
          </w:tcPr>
          <w:p w14:paraId="77E41978">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建设期</w:t>
            </w:r>
            <w:r>
              <w:rPr>
                <w:rFonts w:ascii="Times New Roman" w:hAnsi="Times New Roman"/>
                <w:color w:val="auto"/>
                <w:kern w:val="0"/>
                <w:szCs w:val="21"/>
              </w:rPr>
              <w:t>□</w:t>
            </w:r>
            <w:r>
              <w:rPr>
                <w:rFonts w:hint="eastAsia" w:ascii="Times New Roman" w:hAnsi="Times New Roman"/>
                <w:color w:val="auto"/>
                <w:kern w:val="0"/>
                <w:szCs w:val="21"/>
              </w:rPr>
              <w:t>；生产运行期</w:t>
            </w:r>
            <w:r>
              <w:rPr>
                <w:rFonts w:ascii="Times New Roman" w:hAnsi="Times New Roman"/>
                <w:color w:val="auto"/>
                <w:kern w:val="0"/>
                <w:szCs w:val="21"/>
              </w:rPr>
              <w:t>□</w:t>
            </w:r>
            <w:r>
              <w:rPr>
                <w:rFonts w:hint="eastAsia" w:ascii="Times New Roman" w:hAnsi="Times New Roman"/>
                <w:color w:val="auto"/>
                <w:kern w:val="0"/>
                <w:szCs w:val="21"/>
              </w:rPr>
              <w:t>；服务期满后</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正常工况</w:t>
            </w:r>
            <w:r>
              <w:rPr>
                <w:rFonts w:ascii="Times New Roman" w:hAnsi="Times New Roman"/>
                <w:color w:val="auto"/>
                <w:kern w:val="0"/>
                <w:szCs w:val="21"/>
              </w:rPr>
              <w:t>□</w:t>
            </w:r>
            <w:r>
              <w:rPr>
                <w:rFonts w:hint="eastAsia" w:ascii="Times New Roman" w:hAnsi="Times New Roman"/>
                <w:color w:val="auto"/>
                <w:kern w:val="0"/>
                <w:szCs w:val="21"/>
              </w:rPr>
              <w:t>；非正常工况</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污染控制和减缓措施方案</w:t>
            </w:r>
            <w:r>
              <w:rPr>
                <w:rFonts w:ascii="Times New Roman" w:hAnsi="Times New Roman"/>
                <w:color w:val="auto"/>
                <w:kern w:val="0"/>
                <w:szCs w:val="21"/>
              </w:rPr>
              <w:t>□</w:t>
            </w:r>
            <w:r>
              <w:rPr>
                <w:rFonts w:ascii="Times New Roman" w:hAnsi="Times New Roman"/>
                <w:color w:val="auto"/>
                <w:kern w:val="0"/>
                <w:szCs w:val="21"/>
              </w:rPr>
              <w:br w:type="textWrapping"/>
            </w:r>
            <w:r>
              <w:rPr>
                <w:rFonts w:hint="eastAsia" w:ascii="Times New Roman" w:hAnsi="Times New Roman"/>
                <w:color w:val="auto"/>
                <w:kern w:val="0"/>
                <w:szCs w:val="21"/>
              </w:rPr>
              <w:t>区（流）域环境质量改善目标要求情景</w:t>
            </w:r>
            <w:r>
              <w:rPr>
                <w:rFonts w:ascii="Times New Roman" w:hAnsi="Times New Roman"/>
                <w:color w:val="auto"/>
                <w:kern w:val="0"/>
                <w:szCs w:val="21"/>
              </w:rPr>
              <w:t>□</w:t>
            </w:r>
          </w:p>
        </w:tc>
      </w:tr>
      <w:tr w14:paraId="64C84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23198EBE">
            <w:pPr>
              <w:widowControl/>
              <w:jc w:val="left"/>
              <w:rPr>
                <w:rFonts w:ascii="Times New Roman" w:hAnsi="Times New Roman"/>
                <w:color w:val="auto"/>
                <w:kern w:val="0"/>
                <w:szCs w:val="21"/>
              </w:rPr>
            </w:pPr>
          </w:p>
        </w:tc>
        <w:tc>
          <w:tcPr>
            <w:tcW w:w="646" w:type="pct"/>
            <w:vAlign w:val="center"/>
          </w:tcPr>
          <w:p w14:paraId="0199237E">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预测方法</w:t>
            </w:r>
          </w:p>
        </w:tc>
        <w:tc>
          <w:tcPr>
            <w:tcW w:w="4120" w:type="pct"/>
            <w:gridSpan w:val="5"/>
            <w:noWrap/>
            <w:vAlign w:val="center"/>
          </w:tcPr>
          <w:p w14:paraId="65C44E01">
            <w:pPr>
              <w:adjustRightInd w:val="0"/>
              <w:snapToGrid w:val="0"/>
              <w:rPr>
                <w:rFonts w:ascii="Times New Roman" w:hAnsi="Times New Roman"/>
                <w:color w:val="auto"/>
                <w:kern w:val="0"/>
                <w:szCs w:val="21"/>
              </w:rPr>
            </w:pPr>
            <w:r>
              <w:rPr>
                <w:rFonts w:hint="eastAsia" w:ascii="Times New Roman" w:hAnsi="Times New Roman"/>
                <w:color w:val="auto"/>
                <w:kern w:val="0"/>
                <w:szCs w:val="21"/>
              </w:rPr>
              <w:t>数值解</w:t>
            </w:r>
            <w:r>
              <w:rPr>
                <w:rFonts w:ascii="Times New Roman" w:hAnsi="Times New Roman"/>
                <w:color w:val="auto"/>
                <w:kern w:val="0"/>
                <w:szCs w:val="21"/>
              </w:rPr>
              <w:t>□</w:t>
            </w:r>
            <w:r>
              <w:rPr>
                <w:rFonts w:hint="eastAsia" w:ascii="Times New Roman" w:hAnsi="Times New Roman"/>
                <w:color w:val="auto"/>
                <w:kern w:val="0"/>
                <w:szCs w:val="21"/>
              </w:rPr>
              <w:t>：解析解</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p w14:paraId="3AC33342">
            <w:pPr>
              <w:adjustRightInd w:val="0"/>
              <w:snapToGrid w:val="0"/>
              <w:rPr>
                <w:rFonts w:ascii="Times New Roman" w:hAnsi="Times New Roman"/>
                <w:color w:val="auto"/>
                <w:kern w:val="0"/>
                <w:szCs w:val="21"/>
              </w:rPr>
            </w:pPr>
            <w:r>
              <w:rPr>
                <w:rFonts w:hint="eastAsia" w:ascii="Times New Roman" w:hAnsi="Times New Roman"/>
                <w:color w:val="auto"/>
                <w:kern w:val="0"/>
                <w:szCs w:val="21"/>
              </w:rPr>
              <w:t>导则推荐模式</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293E3B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restart"/>
            <w:noWrap/>
            <w:textDirection w:val="tbRlV"/>
            <w:vAlign w:val="center"/>
          </w:tcPr>
          <w:p w14:paraId="7AC9F1C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影响评价</w:t>
            </w:r>
          </w:p>
        </w:tc>
        <w:tc>
          <w:tcPr>
            <w:tcW w:w="646" w:type="pct"/>
            <w:vAlign w:val="center"/>
          </w:tcPr>
          <w:p w14:paraId="2D62F60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水污染控制和水环境影响减缓措施有效性评价</w:t>
            </w:r>
          </w:p>
        </w:tc>
        <w:tc>
          <w:tcPr>
            <w:tcW w:w="4120" w:type="pct"/>
            <w:gridSpan w:val="5"/>
            <w:noWrap/>
            <w:vAlign w:val="center"/>
          </w:tcPr>
          <w:p w14:paraId="23748362">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区（流）域水环境质量改善目标</w:t>
            </w:r>
            <w:r>
              <w:rPr>
                <w:rFonts w:ascii="Times New Roman" w:hAnsi="Times New Roman"/>
                <w:color w:val="auto"/>
                <w:kern w:val="0"/>
                <w:szCs w:val="21"/>
              </w:rPr>
              <w:t>□</w:t>
            </w:r>
            <w:r>
              <w:rPr>
                <w:rFonts w:hint="eastAsia" w:ascii="Times New Roman" w:hAnsi="Times New Roman"/>
                <w:color w:val="auto"/>
                <w:kern w:val="0"/>
                <w:szCs w:val="21"/>
              </w:rPr>
              <w:t>；替代削减源</w:t>
            </w:r>
            <w:r>
              <w:rPr>
                <w:rFonts w:ascii="Times New Roman" w:hAnsi="Times New Roman"/>
                <w:color w:val="auto"/>
                <w:kern w:val="0"/>
                <w:szCs w:val="21"/>
              </w:rPr>
              <w:t>□</w:t>
            </w:r>
          </w:p>
        </w:tc>
      </w:tr>
      <w:tr w14:paraId="5026DA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14" w:hRule="atLeast"/>
        </w:trPr>
        <w:tc>
          <w:tcPr>
            <w:tcW w:w="234" w:type="pct"/>
            <w:vMerge w:val="continue"/>
            <w:vAlign w:val="center"/>
          </w:tcPr>
          <w:p w14:paraId="635266F7">
            <w:pPr>
              <w:widowControl/>
              <w:jc w:val="left"/>
              <w:rPr>
                <w:rFonts w:ascii="Times New Roman" w:hAnsi="Times New Roman"/>
                <w:color w:val="auto"/>
                <w:kern w:val="0"/>
                <w:szCs w:val="21"/>
              </w:rPr>
            </w:pPr>
          </w:p>
        </w:tc>
        <w:tc>
          <w:tcPr>
            <w:tcW w:w="646" w:type="pct"/>
            <w:vAlign w:val="center"/>
          </w:tcPr>
          <w:p w14:paraId="71188B1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水环境影响评价</w:t>
            </w:r>
          </w:p>
        </w:tc>
        <w:tc>
          <w:tcPr>
            <w:tcW w:w="4120" w:type="pct"/>
            <w:gridSpan w:val="5"/>
            <w:vAlign w:val="center"/>
          </w:tcPr>
          <w:p w14:paraId="73113781">
            <w:pPr>
              <w:adjustRightInd w:val="0"/>
              <w:snapToGrid w:val="0"/>
              <w:rPr>
                <w:rFonts w:ascii="Times New Roman" w:hAnsi="Times New Roman"/>
                <w:color w:val="auto"/>
                <w:kern w:val="0"/>
                <w:szCs w:val="21"/>
              </w:rPr>
            </w:pPr>
            <w:r>
              <w:rPr>
                <w:rFonts w:hint="eastAsia" w:ascii="Times New Roman" w:hAnsi="Times New Roman"/>
                <w:color w:val="auto"/>
                <w:kern w:val="0"/>
                <w:szCs w:val="21"/>
              </w:rPr>
              <w:t>排放口混合区外满足水环境管理要求</w:t>
            </w:r>
            <w:r>
              <w:rPr>
                <w:rFonts w:ascii="Times New Roman" w:hAnsi="Times New Roman"/>
                <w:color w:val="auto"/>
                <w:kern w:val="0"/>
                <w:szCs w:val="21"/>
              </w:rPr>
              <w:t>□</w:t>
            </w:r>
            <w:r>
              <w:rPr>
                <w:rFonts w:hint="eastAsia" w:ascii="Times New Roman" w:hAnsi="Times New Roman"/>
                <w:color w:val="auto"/>
                <w:kern w:val="0"/>
                <w:szCs w:val="21"/>
              </w:rPr>
              <w:t>；水环境功能区或水功能区、近岸海域环境功能区水质达标</w:t>
            </w:r>
            <w:r>
              <w:rPr>
                <w:rFonts w:ascii="Times New Roman" w:hAnsi="Times New Roman"/>
                <w:color w:val="auto"/>
                <w:kern w:val="0"/>
                <w:szCs w:val="21"/>
              </w:rPr>
              <w:t>□</w:t>
            </w:r>
            <w:r>
              <w:rPr>
                <w:rFonts w:hint="eastAsia" w:ascii="Times New Roman" w:hAnsi="Times New Roman"/>
                <w:color w:val="auto"/>
                <w:kern w:val="0"/>
                <w:szCs w:val="21"/>
              </w:rPr>
              <w:t>；满足水环境保护目标水域水环境质量要求</w:t>
            </w:r>
            <w:r>
              <w:rPr>
                <w:rFonts w:ascii="Times New Roman" w:hAnsi="Times New Roman"/>
                <w:color w:val="auto"/>
                <w:kern w:val="0"/>
                <w:szCs w:val="21"/>
              </w:rPr>
              <w:t>□</w:t>
            </w:r>
            <w:r>
              <w:rPr>
                <w:rFonts w:hint="eastAsia" w:ascii="Times New Roman" w:hAnsi="Times New Roman"/>
                <w:color w:val="auto"/>
                <w:kern w:val="0"/>
                <w:szCs w:val="21"/>
              </w:rPr>
              <w:t>；水环境控制单元或断面水质达标</w:t>
            </w:r>
            <w:r>
              <w:rPr>
                <w:rFonts w:ascii="Times New Roman" w:hAnsi="Times New Roman"/>
                <w:color w:val="auto"/>
                <w:kern w:val="0"/>
                <w:szCs w:val="21"/>
              </w:rPr>
              <w:t>□</w:t>
            </w:r>
            <w:r>
              <w:rPr>
                <w:rFonts w:hint="eastAsia" w:ascii="Times New Roman" w:hAnsi="Times New Roman"/>
                <w:color w:val="auto"/>
                <w:kern w:val="0"/>
                <w:szCs w:val="21"/>
              </w:rPr>
              <w:t>；满足重点水污染物排放总量控制指标要求，重点行业建设项目，主要污染物排放满足等量或减量替代要求</w:t>
            </w:r>
            <w:r>
              <w:rPr>
                <w:rFonts w:ascii="Times New Roman" w:hAnsi="Times New Roman"/>
                <w:color w:val="auto"/>
                <w:kern w:val="0"/>
                <w:szCs w:val="21"/>
              </w:rPr>
              <w:t>□</w:t>
            </w:r>
          </w:p>
          <w:p w14:paraId="164A854A">
            <w:pPr>
              <w:adjustRightInd w:val="0"/>
              <w:snapToGrid w:val="0"/>
              <w:rPr>
                <w:rFonts w:ascii="Times New Roman" w:hAnsi="Times New Roman"/>
                <w:color w:val="auto"/>
                <w:kern w:val="0"/>
                <w:szCs w:val="21"/>
              </w:rPr>
            </w:pPr>
            <w:r>
              <w:rPr>
                <w:rFonts w:hint="eastAsia" w:ascii="Times New Roman" w:hAnsi="Times New Roman"/>
                <w:color w:val="auto"/>
                <w:kern w:val="0"/>
                <w:szCs w:val="21"/>
              </w:rPr>
              <w:t>满足区（流）域水环境质量改善目标要求</w:t>
            </w:r>
            <w:r>
              <w:rPr>
                <w:rFonts w:ascii="Times New Roman" w:hAnsi="Times New Roman"/>
                <w:color w:val="auto"/>
                <w:kern w:val="0"/>
                <w:szCs w:val="21"/>
              </w:rPr>
              <w:t>□</w:t>
            </w:r>
            <w:r>
              <w:rPr>
                <w:rFonts w:hint="eastAsia" w:ascii="Times New Roman" w:hAnsi="Times New Roman"/>
                <w:color w:val="auto"/>
                <w:kern w:val="0"/>
                <w:szCs w:val="21"/>
              </w:rPr>
              <w:t>；水文要素影响型建设项目同时应包括水文情势变化评价、主要水文特征值影响评价、生态流量符合性评价</w:t>
            </w:r>
            <w:r>
              <w:rPr>
                <w:rFonts w:ascii="Times New Roman" w:hAnsi="Times New Roman"/>
                <w:color w:val="auto"/>
                <w:kern w:val="0"/>
                <w:szCs w:val="21"/>
              </w:rPr>
              <w:t>□</w:t>
            </w:r>
            <w:r>
              <w:rPr>
                <w:rFonts w:hint="eastAsia" w:ascii="Times New Roman" w:hAnsi="Times New Roman"/>
                <w:color w:val="auto"/>
                <w:kern w:val="0"/>
                <w:szCs w:val="21"/>
              </w:rPr>
              <w:t>；对于新设或调整入河（湖库、近岸海域）排放口的建设项目，应包括排放口设置的环境合理性评价</w:t>
            </w:r>
            <w:r>
              <w:rPr>
                <w:rFonts w:ascii="Times New Roman" w:hAnsi="Times New Roman"/>
                <w:color w:val="auto"/>
                <w:kern w:val="0"/>
                <w:szCs w:val="21"/>
              </w:rPr>
              <w:t>□</w:t>
            </w:r>
            <w:r>
              <w:rPr>
                <w:rFonts w:hint="eastAsia" w:ascii="Times New Roman" w:hAnsi="Times New Roman"/>
                <w:color w:val="auto"/>
                <w:kern w:val="0"/>
                <w:szCs w:val="21"/>
              </w:rPr>
              <w:t>；满足生态保护红线、水环境质量底线、资源利用上线和环境准入清单管理要求</w:t>
            </w:r>
            <w:r>
              <w:rPr>
                <w:rFonts w:ascii="Times New Roman" w:hAnsi="Times New Roman"/>
                <w:color w:val="auto"/>
                <w:kern w:val="0"/>
                <w:szCs w:val="21"/>
              </w:rPr>
              <w:t>□</w:t>
            </w:r>
          </w:p>
        </w:tc>
      </w:tr>
      <w:tr w14:paraId="3774B69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0CDD1E16">
            <w:pPr>
              <w:widowControl/>
              <w:jc w:val="left"/>
              <w:rPr>
                <w:rFonts w:ascii="Times New Roman" w:hAnsi="Times New Roman"/>
                <w:color w:val="auto"/>
                <w:kern w:val="0"/>
                <w:szCs w:val="21"/>
              </w:rPr>
            </w:pPr>
          </w:p>
        </w:tc>
        <w:tc>
          <w:tcPr>
            <w:tcW w:w="646" w:type="pct"/>
            <w:vMerge w:val="restart"/>
            <w:vAlign w:val="center"/>
          </w:tcPr>
          <w:p w14:paraId="3169823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污染源排放量核算</w:t>
            </w:r>
          </w:p>
        </w:tc>
        <w:tc>
          <w:tcPr>
            <w:tcW w:w="2019" w:type="pct"/>
            <w:gridSpan w:val="2"/>
            <w:noWrap/>
            <w:vAlign w:val="center"/>
          </w:tcPr>
          <w:p w14:paraId="5809427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污染物名称</w:t>
            </w:r>
          </w:p>
        </w:tc>
        <w:tc>
          <w:tcPr>
            <w:tcW w:w="566" w:type="pct"/>
            <w:vAlign w:val="center"/>
          </w:tcPr>
          <w:p w14:paraId="5B49FFA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排放量</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szCs w:val="21"/>
              </w:rPr>
              <w:t>t/a</w:t>
            </w:r>
            <w:r>
              <w:rPr>
                <w:rFonts w:hint="eastAsia" w:ascii="Times New Roman" w:hAnsi="Times New Roman"/>
                <w:color w:val="auto"/>
                <w:kern w:val="0"/>
                <w:szCs w:val="21"/>
              </w:rPr>
              <w:t>）</w:t>
            </w:r>
          </w:p>
        </w:tc>
        <w:tc>
          <w:tcPr>
            <w:tcW w:w="1535" w:type="pct"/>
            <w:gridSpan w:val="2"/>
            <w:vAlign w:val="center"/>
          </w:tcPr>
          <w:p w14:paraId="4231EF6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排放浓度</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mg/L</w:t>
            </w:r>
            <w:r>
              <w:rPr>
                <w:rFonts w:hint="eastAsia" w:ascii="Times New Roman" w:hAnsi="Times New Roman"/>
                <w:color w:val="auto"/>
                <w:kern w:val="0"/>
                <w:szCs w:val="21"/>
              </w:rPr>
              <w:t>）</w:t>
            </w:r>
          </w:p>
        </w:tc>
      </w:tr>
      <w:tr w14:paraId="4DB61D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85" w:hRule="atLeast"/>
        </w:trPr>
        <w:tc>
          <w:tcPr>
            <w:tcW w:w="234" w:type="pct"/>
            <w:vMerge w:val="continue"/>
            <w:vAlign w:val="center"/>
          </w:tcPr>
          <w:p w14:paraId="66AC14AD">
            <w:pPr>
              <w:widowControl/>
              <w:jc w:val="left"/>
              <w:rPr>
                <w:rFonts w:ascii="Times New Roman" w:hAnsi="Times New Roman"/>
                <w:color w:val="auto"/>
                <w:kern w:val="0"/>
                <w:szCs w:val="21"/>
              </w:rPr>
            </w:pPr>
          </w:p>
        </w:tc>
        <w:tc>
          <w:tcPr>
            <w:tcW w:w="646" w:type="pct"/>
            <w:vMerge w:val="continue"/>
            <w:vAlign w:val="center"/>
          </w:tcPr>
          <w:p w14:paraId="2A848A1D">
            <w:pPr>
              <w:widowControl/>
              <w:jc w:val="left"/>
              <w:rPr>
                <w:rFonts w:ascii="Times New Roman" w:hAnsi="Times New Roman"/>
                <w:color w:val="auto"/>
                <w:kern w:val="0"/>
                <w:szCs w:val="21"/>
              </w:rPr>
            </w:pPr>
          </w:p>
        </w:tc>
        <w:tc>
          <w:tcPr>
            <w:tcW w:w="2019" w:type="pct"/>
            <w:gridSpan w:val="2"/>
            <w:noWrap/>
            <w:vAlign w:val="center"/>
          </w:tcPr>
          <w:p w14:paraId="05F36460">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w:t>
            </w:r>
            <w:r>
              <w:rPr>
                <w:rFonts w:ascii="Times New Roman" w:hAnsi="Times New Roman"/>
                <w:color w:val="auto"/>
                <w:kern w:val="0"/>
                <w:szCs w:val="21"/>
              </w:rPr>
              <w:t>COD</w:t>
            </w:r>
            <w:r>
              <w:rPr>
                <w:rFonts w:hint="eastAsia" w:ascii="Times New Roman" w:hAnsi="Times New Roman"/>
                <w:color w:val="auto"/>
                <w:kern w:val="0"/>
                <w:szCs w:val="21"/>
              </w:rPr>
              <w:t>、氨氮）</w:t>
            </w:r>
          </w:p>
        </w:tc>
        <w:tc>
          <w:tcPr>
            <w:tcW w:w="566" w:type="pct"/>
            <w:vAlign w:val="center"/>
          </w:tcPr>
          <w:p w14:paraId="54C17BC0">
            <w:pPr>
              <w:adjustRightInd w:val="0"/>
              <w:snapToGrid w:val="0"/>
              <w:rPr>
                <w:rFonts w:ascii="Times New Roman" w:hAnsi="Times New Roman"/>
                <w:color w:val="auto"/>
                <w:kern w:val="0"/>
                <w:szCs w:val="21"/>
              </w:rPr>
            </w:pPr>
            <w:r>
              <w:rPr>
                <w:rFonts w:ascii="Times New Roman" w:hAnsi="Times New Roman"/>
                <w:color w:val="auto"/>
                <w:kern w:val="0"/>
                <w:szCs w:val="21"/>
              </w:rPr>
              <w:t>COD</w:t>
            </w:r>
            <w:r>
              <w:rPr>
                <w:rFonts w:hint="eastAsia" w:ascii="Times New Roman" w:hAnsi="Times New Roman"/>
                <w:color w:val="auto"/>
                <w:kern w:val="0"/>
                <w:szCs w:val="21"/>
              </w:rPr>
              <w:t>（</w:t>
            </w:r>
            <w:r>
              <w:rPr>
                <w:rFonts w:ascii="Times New Roman" w:hAnsi="Times New Roman"/>
                <w:color w:val="auto"/>
                <w:kern w:val="0"/>
                <w:szCs w:val="21"/>
              </w:rPr>
              <w:t>0</w:t>
            </w:r>
            <w:r>
              <w:rPr>
                <w:rFonts w:hint="eastAsia" w:ascii="Times New Roman" w:hAnsi="Times New Roman"/>
                <w:color w:val="auto"/>
                <w:kern w:val="0"/>
                <w:szCs w:val="21"/>
              </w:rPr>
              <w:t>）</w:t>
            </w:r>
          </w:p>
          <w:p w14:paraId="49D54D0F">
            <w:pPr>
              <w:adjustRightInd w:val="0"/>
              <w:snapToGrid w:val="0"/>
              <w:rPr>
                <w:rFonts w:ascii="Times New Roman" w:hAnsi="Times New Roman"/>
                <w:color w:val="auto"/>
                <w:kern w:val="0"/>
                <w:szCs w:val="21"/>
              </w:rPr>
            </w:pPr>
            <w:r>
              <w:rPr>
                <w:rFonts w:hint="eastAsia" w:ascii="Times New Roman" w:hAnsi="Times New Roman"/>
                <w:color w:val="auto"/>
                <w:kern w:val="0"/>
                <w:szCs w:val="21"/>
              </w:rPr>
              <w:t>氨氮（</w:t>
            </w:r>
            <w:r>
              <w:rPr>
                <w:rFonts w:ascii="Times New Roman" w:hAnsi="Times New Roman"/>
                <w:color w:val="auto"/>
                <w:kern w:val="0"/>
                <w:szCs w:val="21"/>
              </w:rPr>
              <w:t>0</w:t>
            </w:r>
            <w:r>
              <w:rPr>
                <w:rFonts w:hint="eastAsia" w:ascii="Times New Roman" w:hAnsi="Times New Roman"/>
                <w:color w:val="auto"/>
                <w:kern w:val="0"/>
                <w:szCs w:val="21"/>
              </w:rPr>
              <w:t>）</w:t>
            </w:r>
          </w:p>
        </w:tc>
        <w:tc>
          <w:tcPr>
            <w:tcW w:w="1535" w:type="pct"/>
            <w:gridSpan w:val="2"/>
            <w:vAlign w:val="center"/>
          </w:tcPr>
          <w:p w14:paraId="349F1ACD">
            <w:pPr>
              <w:adjustRightInd w:val="0"/>
              <w:snapToGrid w:val="0"/>
              <w:jc w:val="center"/>
              <w:rPr>
                <w:rFonts w:ascii="Times New Roman" w:hAnsi="Times New Roman"/>
                <w:color w:val="auto"/>
                <w:kern w:val="0"/>
                <w:szCs w:val="21"/>
              </w:rPr>
            </w:pPr>
            <w:r>
              <w:rPr>
                <w:rFonts w:ascii="Times New Roman" w:hAnsi="Times New Roman"/>
                <w:color w:val="auto"/>
                <w:kern w:val="0"/>
                <w:szCs w:val="21"/>
              </w:rPr>
              <w:t>COD</w:t>
            </w:r>
            <w:r>
              <w:rPr>
                <w:rFonts w:hint="eastAsia" w:ascii="Times New Roman" w:hAnsi="Times New Roman"/>
                <w:color w:val="auto"/>
                <w:kern w:val="0"/>
                <w:szCs w:val="21"/>
              </w:rPr>
              <w:t>（</w:t>
            </w:r>
            <w:r>
              <w:rPr>
                <w:rFonts w:ascii="Times New Roman" w:hAnsi="Times New Roman"/>
                <w:color w:val="auto"/>
                <w:kern w:val="0"/>
                <w:szCs w:val="21"/>
              </w:rPr>
              <w:t>0</w:t>
            </w:r>
            <w:r>
              <w:rPr>
                <w:rFonts w:hint="eastAsia" w:ascii="Times New Roman" w:hAnsi="Times New Roman"/>
                <w:color w:val="auto"/>
                <w:kern w:val="0"/>
                <w:szCs w:val="21"/>
              </w:rPr>
              <w:t>）</w:t>
            </w:r>
          </w:p>
          <w:p w14:paraId="2560FD9D">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氨氮（</w:t>
            </w:r>
            <w:r>
              <w:rPr>
                <w:rFonts w:ascii="Times New Roman" w:hAnsi="Times New Roman"/>
                <w:color w:val="auto"/>
                <w:kern w:val="0"/>
                <w:szCs w:val="21"/>
              </w:rPr>
              <w:t>0</w:t>
            </w:r>
            <w:r>
              <w:rPr>
                <w:rFonts w:hint="eastAsia" w:ascii="Times New Roman" w:hAnsi="Times New Roman"/>
                <w:color w:val="auto"/>
                <w:kern w:val="0"/>
                <w:szCs w:val="21"/>
              </w:rPr>
              <w:t>）</w:t>
            </w:r>
          </w:p>
        </w:tc>
      </w:tr>
      <w:tr w14:paraId="3D23B2D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2E89419A">
            <w:pPr>
              <w:widowControl/>
              <w:jc w:val="left"/>
              <w:rPr>
                <w:rFonts w:ascii="Times New Roman" w:hAnsi="Times New Roman"/>
                <w:color w:val="auto"/>
                <w:kern w:val="0"/>
                <w:szCs w:val="21"/>
              </w:rPr>
            </w:pPr>
          </w:p>
        </w:tc>
        <w:tc>
          <w:tcPr>
            <w:tcW w:w="646" w:type="pct"/>
            <w:vMerge w:val="restart"/>
            <w:vAlign w:val="center"/>
          </w:tcPr>
          <w:p w14:paraId="01C2E4B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替代源排放情况</w:t>
            </w:r>
          </w:p>
        </w:tc>
        <w:tc>
          <w:tcPr>
            <w:tcW w:w="889" w:type="pct"/>
            <w:noWrap/>
            <w:vAlign w:val="center"/>
          </w:tcPr>
          <w:p w14:paraId="129A4164">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污染源名称</w:t>
            </w:r>
          </w:p>
        </w:tc>
        <w:tc>
          <w:tcPr>
            <w:tcW w:w="1131" w:type="pct"/>
            <w:vAlign w:val="center"/>
          </w:tcPr>
          <w:p w14:paraId="0F061621">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排污许可证编号</w:t>
            </w:r>
          </w:p>
        </w:tc>
        <w:tc>
          <w:tcPr>
            <w:tcW w:w="566" w:type="pct"/>
            <w:vAlign w:val="center"/>
          </w:tcPr>
          <w:p w14:paraId="7AE867CA">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污染物名称</w:t>
            </w:r>
          </w:p>
        </w:tc>
        <w:tc>
          <w:tcPr>
            <w:tcW w:w="565" w:type="pct"/>
            <w:vAlign w:val="center"/>
          </w:tcPr>
          <w:p w14:paraId="0400EBEB">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排放量</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szCs w:val="21"/>
              </w:rPr>
              <w:t>t/a</w:t>
            </w:r>
            <w:r>
              <w:rPr>
                <w:rFonts w:hint="eastAsia" w:ascii="Times New Roman" w:hAnsi="Times New Roman"/>
                <w:color w:val="auto"/>
                <w:kern w:val="0"/>
                <w:szCs w:val="21"/>
              </w:rPr>
              <w:t>）</w:t>
            </w:r>
          </w:p>
        </w:tc>
        <w:tc>
          <w:tcPr>
            <w:tcW w:w="969" w:type="pct"/>
            <w:vAlign w:val="center"/>
          </w:tcPr>
          <w:p w14:paraId="0E5F51C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排放浓度</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mg/L</w:t>
            </w:r>
            <w:r>
              <w:rPr>
                <w:rFonts w:hint="eastAsia" w:ascii="Times New Roman" w:hAnsi="Times New Roman"/>
                <w:color w:val="auto"/>
                <w:kern w:val="0"/>
                <w:szCs w:val="21"/>
              </w:rPr>
              <w:t>）</w:t>
            </w:r>
          </w:p>
        </w:tc>
      </w:tr>
      <w:tr w14:paraId="43BA727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755350C8">
            <w:pPr>
              <w:widowControl/>
              <w:jc w:val="left"/>
              <w:rPr>
                <w:rFonts w:ascii="Times New Roman" w:hAnsi="Times New Roman"/>
                <w:color w:val="auto"/>
                <w:kern w:val="0"/>
                <w:szCs w:val="21"/>
              </w:rPr>
            </w:pPr>
          </w:p>
        </w:tc>
        <w:tc>
          <w:tcPr>
            <w:tcW w:w="646" w:type="pct"/>
            <w:vMerge w:val="continue"/>
            <w:vAlign w:val="center"/>
          </w:tcPr>
          <w:p w14:paraId="2253F83C">
            <w:pPr>
              <w:widowControl/>
              <w:jc w:val="left"/>
              <w:rPr>
                <w:rFonts w:ascii="Times New Roman" w:hAnsi="Times New Roman"/>
                <w:color w:val="auto"/>
                <w:kern w:val="0"/>
                <w:szCs w:val="21"/>
              </w:rPr>
            </w:pPr>
          </w:p>
        </w:tc>
        <w:tc>
          <w:tcPr>
            <w:tcW w:w="889" w:type="pct"/>
            <w:noWrap/>
            <w:vAlign w:val="center"/>
          </w:tcPr>
          <w:p w14:paraId="5E0F3C6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c>
          <w:tcPr>
            <w:tcW w:w="1131" w:type="pct"/>
            <w:vAlign w:val="center"/>
          </w:tcPr>
          <w:p w14:paraId="3F1BD2C0">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c>
          <w:tcPr>
            <w:tcW w:w="566" w:type="pct"/>
            <w:vAlign w:val="center"/>
          </w:tcPr>
          <w:p w14:paraId="01A1674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xml:space="preserve"> （）</w:t>
            </w:r>
          </w:p>
        </w:tc>
        <w:tc>
          <w:tcPr>
            <w:tcW w:w="565" w:type="pct"/>
            <w:vAlign w:val="center"/>
          </w:tcPr>
          <w:p w14:paraId="03ED74A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c>
          <w:tcPr>
            <w:tcW w:w="969" w:type="pct"/>
            <w:vAlign w:val="center"/>
          </w:tcPr>
          <w:p w14:paraId="33A6FE8F">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r>
      <w:tr w14:paraId="3F1E792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3EABF4F2">
            <w:pPr>
              <w:widowControl/>
              <w:jc w:val="left"/>
              <w:rPr>
                <w:rFonts w:ascii="Times New Roman" w:hAnsi="Times New Roman"/>
                <w:color w:val="auto"/>
                <w:kern w:val="0"/>
                <w:szCs w:val="21"/>
              </w:rPr>
            </w:pPr>
          </w:p>
        </w:tc>
        <w:tc>
          <w:tcPr>
            <w:tcW w:w="646" w:type="pct"/>
            <w:vAlign w:val="center"/>
          </w:tcPr>
          <w:p w14:paraId="7BDA948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生态流量确定</w:t>
            </w:r>
          </w:p>
        </w:tc>
        <w:tc>
          <w:tcPr>
            <w:tcW w:w="4120" w:type="pct"/>
            <w:gridSpan w:val="5"/>
            <w:noWrap/>
            <w:vAlign w:val="center"/>
          </w:tcPr>
          <w:p w14:paraId="267EE246">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生态流量：一般水期（ ）</w:t>
            </w:r>
            <w:r>
              <w:rPr>
                <w:rFonts w:ascii="Times New Roman" w:hAnsi="Times New Roman"/>
                <w:color w:val="auto"/>
                <w:kern w:val="0"/>
                <w:szCs w:val="21"/>
              </w:rPr>
              <w:t>m</w:t>
            </w:r>
            <w:r>
              <w:rPr>
                <w:rFonts w:ascii="Times New Roman" w:hAnsi="Times New Roman"/>
                <w:color w:val="auto"/>
                <w:kern w:val="0"/>
                <w:szCs w:val="21"/>
                <w:vertAlign w:val="superscript"/>
              </w:rPr>
              <w:t>3</w:t>
            </w:r>
            <w:r>
              <w:rPr>
                <w:rFonts w:ascii="Times New Roman" w:hAnsi="Times New Roman"/>
                <w:color w:val="auto"/>
                <w:kern w:val="0"/>
                <w:szCs w:val="21"/>
              </w:rPr>
              <w:t>/s</w:t>
            </w:r>
            <w:r>
              <w:rPr>
                <w:rFonts w:hint="eastAsia" w:ascii="Times New Roman" w:hAnsi="Times New Roman"/>
                <w:color w:val="auto"/>
                <w:kern w:val="0"/>
                <w:szCs w:val="21"/>
              </w:rPr>
              <w:t>；鱼类繁殖期（ ）</w:t>
            </w:r>
            <w:r>
              <w:rPr>
                <w:rFonts w:ascii="Times New Roman" w:hAnsi="Times New Roman"/>
                <w:color w:val="auto"/>
                <w:kern w:val="0"/>
                <w:szCs w:val="21"/>
              </w:rPr>
              <w:t>m</w:t>
            </w:r>
            <w:r>
              <w:rPr>
                <w:rFonts w:ascii="Times New Roman" w:hAnsi="Times New Roman"/>
                <w:color w:val="auto"/>
                <w:kern w:val="0"/>
                <w:szCs w:val="21"/>
                <w:vertAlign w:val="superscript"/>
              </w:rPr>
              <w:t>3</w:t>
            </w:r>
            <w:r>
              <w:rPr>
                <w:rFonts w:ascii="Times New Roman" w:hAnsi="Times New Roman"/>
                <w:color w:val="auto"/>
                <w:kern w:val="0"/>
                <w:szCs w:val="21"/>
              </w:rPr>
              <w:t>/s</w:t>
            </w:r>
            <w:r>
              <w:rPr>
                <w:rFonts w:hint="eastAsia" w:ascii="Times New Roman" w:hAnsi="Times New Roman"/>
                <w:color w:val="auto"/>
                <w:kern w:val="0"/>
                <w:szCs w:val="21"/>
              </w:rPr>
              <w:t>；其他（ ）</w:t>
            </w:r>
            <w:r>
              <w:rPr>
                <w:rFonts w:ascii="Times New Roman" w:hAnsi="Times New Roman"/>
                <w:color w:val="auto"/>
                <w:kern w:val="0"/>
                <w:szCs w:val="21"/>
              </w:rPr>
              <w:t>m</w:t>
            </w:r>
            <w:r>
              <w:rPr>
                <w:rFonts w:ascii="Times New Roman" w:hAnsi="Times New Roman"/>
                <w:color w:val="auto"/>
                <w:kern w:val="0"/>
                <w:szCs w:val="21"/>
                <w:vertAlign w:val="superscript"/>
              </w:rPr>
              <w:t>3</w:t>
            </w:r>
            <w:r>
              <w:rPr>
                <w:rFonts w:ascii="Times New Roman" w:hAnsi="Times New Roman"/>
                <w:color w:val="auto"/>
                <w:kern w:val="0"/>
                <w:szCs w:val="21"/>
              </w:rPr>
              <w:t>/s</w:t>
            </w:r>
          </w:p>
          <w:p w14:paraId="0C5B7B0D">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生态水位：一般水期（ ）</w:t>
            </w:r>
            <w:r>
              <w:rPr>
                <w:rFonts w:ascii="Times New Roman" w:hAnsi="Times New Roman"/>
                <w:color w:val="auto"/>
                <w:kern w:val="0"/>
                <w:szCs w:val="21"/>
              </w:rPr>
              <w:t>m</w:t>
            </w:r>
            <w:r>
              <w:rPr>
                <w:rFonts w:hint="eastAsia" w:ascii="Times New Roman" w:hAnsi="Times New Roman"/>
                <w:color w:val="auto"/>
                <w:kern w:val="0"/>
                <w:szCs w:val="21"/>
              </w:rPr>
              <w:t>；鱼类繁殖期（ ）</w:t>
            </w:r>
            <w:r>
              <w:rPr>
                <w:rFonts w:ascii="Times New Roman" w:hAnsi="Times New Roman"/>
                <w:color w:val="auto"/>
                <w:kern w:val="0"/>
                <w:szCs w:val="21"/>
              </w:rPr>
              <w:t>m</w:t>
            </w:r>
            <w:r>
              <w:rPr>
                <w:rFonts w:hint="eastAsia" w:ascii="Times New Roman" w:hAnsi="Times New Roman"/>
                <w:color w:val="auto"/>
                <w:kern w:val="0"/>
                <w:szCs w:val="21"/>
              </w:rPr>
              <w:t>；其他（ ）</w:t>
            </w:r>
            <w:r>
              <w:rPr>
                <w:rFonts w:ascii="Times New Roman" w:hAnsi="Times New Roman"/>
                <w:color w:val="auto"/>
                <w:kern w:val="0"/>
                <w:szCs w:val="21"/>
              </w:rPr>
              <w:t>m</w:t>
            </w:r>
          </w:p>
        </w:tc>
      </w:tr>
      <w:tr w14:paraId="6906A7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restart"/>
            <w:noWrap/>
            <w:textDirection w:val="tbRlV"/>
            <w:vAlign w:val="center"/>
          </w:tcPr>
          <w:p w14:paraId="71EEA8F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防治措施</w:t>
            </w:r>
          </w:p>
        </w:tc>
        <w:tc>
          <w:tcPr>
            <w:tcW w:w="646" w:type="pct"/>
            <w:vAlign w:val="center"/>
          </w:tcPr>
          <w:p w14:paraId="2084230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环保措施</w:t>
            </w:r>
          </w:p>
        </w:tc>
        <w:tc>
          <w:tcPr>
            <w:tcW w:w="4120" w:type="pct"/>
            <w:gridSpan w:val="5"/>
            <w:noWrap/>
            <w:vAlign w:val="center"/>
          </w:tcPr>
          <w:p w14:paraId="26249428">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污水处理设施</w:t>
            </w:r>
            <w:r>
              <w:rPr>
                <w:rFonts w:ascii="Times New Roman" w:hAnsi="Times New Roman"/>
                <w:color w:val="auto"/>
                <w:kern w:val="0"/>
                <w:szCs w:val="21"/>
              </w:rPr>
              <w:t>□</w:t>
            </w:r>
            <w:r>
              <w:rPr>
                <w:rFonts w:hint="eastAsia" w:ascii="Times New Roman" w:hAnsi="Times New Roman"/>
                <w:color w:val="auto"/>
                <w:kern w:val="0"/>
                <w:szCs w:val="21"/>
              </w:rPr>
              <w:t>；水文减缓设施</w:t>
            </w:r>
            <w:r>
              <w:rPr>
                <w:rFonts w:ascii="Times New Roman" w:hAnsi="Times New Roman"/>
                <w:color w:val="auto"/>
                <w:kern w:val="0"/>
                <w:szCs w:val="21"/>
              </w:rPr>
              <w:t>□</w:t>
            </w:r>
            <w:r>
              <w:rPr>
                <w:rFonts w:hint="eastAsia" w:ascii="Times New Roman" w:hAnsi="Times New Roman"/>
                <w:color w:val="auto"/>
                <w:kern w:val="0"/>
                <w:szCs w:val="21"/>
              </w:rPr>
              <w:t>；生态流量保障设施</w:t>
            </w:r>
            <w:r>
              <w:rPr>
                <w:rFonts w:ascii="Times New Roman" w:hAnsi="Times New Roman"/>
                <w:color w:val="auto"/>
                <w:kern w:val="0"/>
                <w:szCs w:val="21"/>
              </w:rPr>
              <w:t>□</w:t>
            </w:r>
            <w:r>
              <w:rPr>
                <w:rFonts w:hint="eastAsia" w:ascii="Times New Roman" w:hAnsi="Times New Roman"/>
                <w:color w:val="auto"/>
                <w:kern w:val="0"/>
                <w:szCs w:val="21"/>
              </w:rPr>
              <w:t>；区域削减</w:t>
            </w:r>
            <w:r>
              <w:rPr>
                <w:rFonts w:ascii="Times New Roman" w:hAnsi="Times New Roman"/>
                <w:color w:val="auto"/>
                <w:kern w:val="0"/>
                <w:szCs w:val="21"/>
              </w:rPr>
              <w:t>□</w:t>
            </w:r>
            <w:r>
              <w:rPr>
                <w:rFonts w:hint="eastAsia" w:ascii="Times New Roman" w:hAnsi="Times New Roman"/>
                <w:color w:val="auto"/>
                <w:kern w:val="0"/>
                <w:szCs w:val="21"/>
              </w:rPr>
              <w:t>；依托其他工程措施</w:t>
            </w:r>
            <w:r>
              <w:rPr>
                <w:rFonts w:ascii="Times New Roman" w:hAnsi="Times New Roman"/>
                <w:color w:val="auto"/>
                <w:kern w:val="0"/>
                <w:szCs w:val="21"/>
              </w:rPr>
              <w:t>□</w:t>
            </w:r>
            <w:r>
              <w:rPr>
                <w:rFonts w:hint="eastAsia" w:ascii="Times New Roman" w:hAnsi="Times New Roman"/>
                <w:color w:val="auto"/>
                <w:kern w:val="0"/>
                <w:szCs w:val="21"/>
              </w:rPr>
              <w:t>；其他</w:t>
            </w:r>
            <w:r>
              <w:rPr>
                <w:rFonts w:ascii="Times New Roman" w:hAnsi="Times New Roman"/>
                <w:color w:val="auto"/>
                <w:kern w:val="0"/>
                <w:szCs w:val="21"/>
              </w:rPr>
              <w:t>√</w:t>
            </w:r>
          </w:p>
        </w:tc>
      </w:tr>
      <w:tr w14:paraId="5CE474F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234" w:type="pct"/>
            <w:vMerge w:val="continue"/>
            <w:vAlign w:val="center"/>
          </w:tcPr>
          <w:p w14:paraId="6171405D">
            <w:pPr>
              <w:widowControl/>
              <w:jc w:val="left"/>
              <w:rPr>
                <w:rFonts w:ascii="Times New Roman" w:hAnsi="Times New Roman"/>
                <w:color w:val="auto"/>
                <w:kern w:val="0"/>
                <w:szCs w:val="21"/>
              </w:rPr>
            </w:pPr>
          </w:p>
        </w:tc>
        <w:tc>
          <w:tcPr>
            <w:tcW w:w="646" w:type="pct"/>
            <w:vMerge w:val="restart"/>
            <w:vAlign w:val="center"/>
          </w:tcPr>
          <w:p w14:paraId="08266B48">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监测计划</w:t>
            </w:r>
          </w:p>
        </w:tc>
        <w:tc>
          <w:tcPr>
            <w:tcW w:w="889" w:type="pct"/>
            <w:noWrap/>
            <w:vAlign w:val="center"/>
          </w:tcPr>
          <w:p w14:paraId="7903453A">
            <w:pPr>
              <w:adjustRightInd w:val="0"/>
              <w:snapToGrid w:val="0"/>
              <w:jc w:val="center"/>
              <w:rPr>
                <w:rFonts w:ascii="Times New Roman" w:hAnsi="Times New Roman"/>
                <w:color w:val="auto"/>
                <w:kern w:val="0"/>
                <w:szCs w:val="21"/>
              </w:rPr>
            </w:pPr>
          </w:p>
        </w:tc>
        <w:tc>
          <w:tcPr>
            <w:tcW w:w="1696" w:type="pct"/>
            <w:gridSpan w:val="2"/>
            <w:vAlign w:val="center"/>
          </w:tcPr>
          <w:p w14:paraId="08B5417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环境质量</w:t>
            </w:r>
          </w:p>
        </w:tc>
        <w:tc>
          <w:tcPr>
            <w:tcW w:w="1535" w:type="pct"/>
            <w:gridSpan w:val="2"/>
            <w:vAlign w:val="center"/>
          </w:tcPr>
          <w:p w14:paraId="3CC57643">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污染源</w:t>
            </w:r>
          </w:p>
        </w:tc>
      </w:tr>
      <w:tr w14:paraId="0875BA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77D0B745">
            <w:pPr>
              <w:widowControl/>
              <w:jc w:val="left"/>
              <w:rPr>
                <w:rFonts w:ascii="Times New Roman" w:hAnsi="Times New Roman"/>
                <w:color w:val="auto"/>
                <w:kern w:val="0"/>
                <w:szCs w:val="21"/>
              </w:rPr>
            </w:pPr>
          </w:p>
        </w:tc>
        <w:tc>
          <w:tcPr>
            <w:tcW w:w="646" w:type="pct"/>
            <w:vMerge w:val="continue"/>
            <w:vAlign w:val="center"/>
          </w:tcPr>
          <w:p w14:paraId="2B8C6E5C">
            <w:pPr>
              <w:widowControl/>
              <w:jc w:val="left"/>
              <w:rPr>
                <w:rFonts w:ascii="Times New Roman" w:hAnsi="Times New Roman"/>
                <w:color w:val="auto"/>
                <w:kern w:val="0"/>
                <w:szCs w:val="21"/>
              </w:rPr>
            </w:pPr>
          </w:p>
        </w:tc>
        <w:tc>
          <w:tcPr>
            <w:tcW w:w="889" w:type="pct"/>
            <w:noWrap/>
            <w:vAlign w:val="center"/>
          </w:tcPr>
          <w:p w14:paraId="4647D8EC">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监测方式</w:t>
            </w:r>
          </w:p>
        </w:tc>
        <w:tc>
          <w:tcPr>
            <w:tcW w:w="1696" w:type="pct"/>
            <w:gridSpan w:val="2"/>
            <w:vAlign w:val="center"/>
          </w:tcPr>
          <w:p w14:paraId="3CED53D7">
            <w:pPr>
              <w:adjustRightInd w:val="0"/>
              <w:snapToGrid w:val="0"/>
              <w:jc w:val="center"/>
              <w:rPr>
                <w:rFonts w:ascii="Times New Roman" w:hAnsi="Times New Roman"/>
                <w:b/>
                <w:color w:val="auto"/>
                <w:kern w:val="0"/>
                <w:szCs w:val="21"/>
              </w:rPr>
            </w:pPr>
            <w:r>
              <w:rPr>
                <w:rFonts w:hint="eastAsia" w:ascii="Times New Roman" w:hAnsi="Times New Roman"/>
                <w:color w:val="auto"/>
                <w:kern w:val="0"/>
                <w:szCs w:val="21"/>
              </w:rPr>
              <w:t>手动</w:t>
            </w:r>
            <w:r>
              <w:rPr>
                <w:rFonts w:ascii="Times New Roman" w:hAnsi="Times New Roman"/>
                <w:color w:val="auto"/>
                <w:kern w:val="0"/>
                <w:szCs w:val="21"/>
              </w:rPr>
              <w:t>□</w:t>
            </w:r>
            <w:r>
              <w:rPr>
                <w:rFonts w:hint="eastAsia" w:ascii="Times New Roman" w:hAnsi="Times New Roman"/>
                <w:color w:val="auto"/>
                <w:kern w:val="0"/>
                <w:szCs w:val="21"/>
              </w:rPr>
              <w:t>；自动</w:t>
            </w:r>
            <w:r>
              <w:rPr>
                <w:rFonts w:ascii="Times New Roman" w:hAnsi="Times New Roman"/>
                <w:color w:val="auto"/>
                <w:kern w:val="0"/>
                <w:szCs w:val="21"/>
              </w:rPr>
              <w:t>□</w:t>
            </w:r>
            <w:r>
              <w:rPr>
                <w:rFonts w:hint="eastAsia" w:ascii="Times New Roman" w:hAnsi="Times New Roman"/>
                <w:color w:val="auto"/>
                <w:kern w:val="0"/>
                <w:szCs w:val="21"/>
              </w:rPr>
              <w:t>；无监测</w:t>
            </w:r>
            <w:r>
              <w:rPr>
                <w:rFonts w:ascii="Times New Roman" w:hAnsi="Times New Roman"/>
                <w:color w:val="auto"/>
                <w:kern w:val="0"/>
                <w:szCs w:val="21"/>
              </w:rPr>
              <w:t>√</w:t>
            </w:r>
          </w:p>
        </w:tc>
        <w:tc>
          <w:tcPr>
            <w:tcW w:w="1535" w:type="pct"/>
            <w:gridSpan w:val="2"/>
            <w:vAlign w:val="center"/>
          </w:tcPr>
          <w:p w14:paraId="613056F6">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手动</w:t>
            </w:r>
            <w:r>
              <w:rPr>
                <w:rFonts w:ascii="Times New Roman" w:hAnsi="Times New Roman"/>
                <w:color w:val="auto"/>
                <w:kern w:val="0"/>
                <w:szCs w:val="21"/>
              </w:rPr>
              <w:t>□</w:t>
            </w:r>
            <w:r>
              <w:rPr>
                <w:rFonts w:hint="eastAsia" w:ascii="Times New Roman" w:hAnsi="Times New Roman"/>
                <w:color w:val="auto"/>
                <w:kern w:val="0"/>
                <w:szCs w:val="21"/>
              </w:rPr>
              <w:t>；自动</w:t>
            </w:r>
            <w:r>
              <w:rPr>
                <w:rFonts w:ascii="Times New Roman" w:hAnsi="Times New Roman"/>
                <w:color w:val="auto"/>
                <w:kern w:val="0"/>
                <w:szCs w:val="21"/>
              </w:rPr>
              <w:t>□</w:t>
            </w:r>
            <w:r>
              <w:rPr>
                <w:rFonts w:hint="eastAsia" w:ascii="Times New Roman" w:hAnsi="Times New Roman"/>
                <w:color w:val="auto"/>
                <w:kern w:val="0"/>
                <w:szCs w:val="21"/>
              </w:rPr>
              <w:t>；无监测</w:t>
            </w:r>
            <w:r>
              <w:rPr>
                <w:rFonts w:ascii="Times New Roman" w:hAnsi="Times New Roman"/>
                <w:color w:val="auto"/>
                <w:kern w:val="0"/>
                <w:szCs w:val="21"/>
              </w:rPr>
              <w:t>√</w:t>
            </w:r>
          </w:p>
        </w:tc>
      </w:tr>
      <w:tr w14:paraId="1F1F15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 w:hRule="atLeast"/>
        </w:trPr>
        <w:tc>
          <w:tcPr>
            <w:tcW w:w="234" w:type="pct"/>
            <w:vMerge w:val="continue"/>
            <w:vAlign w:val="center"/>
          </w:tcPr>
          <w:p w14:paraId="38DEEAD8">
            <w:pPr>
              <w:widowControl/>
              <w:jc w:val="left"/>
              <w:rPr>
                <w:rFonts w:ascii="Times New Roman" w:hAnsi="Times New Roman"/>
                <w:color w:val="auto"/>
                <w:kern w:val="0"/>
                <w:szCs w:val="21"/>
              </w:rPr>
            </w:pPr>
          </w:p>
        </w:tc>
        <w:tc>
          <w:tcPr>
            <w:tcW w:w="646" w:type="pct"/>
            <w:vMerge w:val="continue"/>
            <w:vAlign w:val="center"/>
          </w:tcPr>
          <w:p w14:paraId="4FA0B870">
            <w:pPr>
              <w:widowControl/>
              <w:jc w:val="left"/>
              <w:rPr>
                <w:rFonts w:ascii="Times New Roman" w:hAnsi="Times New Roman"/>
                <w:color w:val="auto"/>
                <w:kern w:val="0"/>
                <w:szCs w:val="21"/>
              </w:rPr>
            </w:pPr>
          </w:p>
        </w:tc>
        <w:tc>
          <w:tcPr>
            <w:tcW w:w="889" w:type="pct"/>
            <w:noWrap/>
            <w:vAlign w:val="center"/>
          </w:tcPr>
          <w:p w14:paraId="045D475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监测点位</w:t>
            </w:r>
          </w:p>
        </w:tc>
        <w:tc>
          <w:tcPr>
            <w:tcW w:w="1696" w:type="pct"/>
            <w:gridSpan w:val="2"/>
            <w:vAlign w:val="center"/>
          </w:tcPr>
          <w:p w14:paraId="06F3506F">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c>
          <w:tcPr>
            <w:tcW w:w="1535" w:type="pct"/>
            <w:gridSpan w:val="2"/>
            <w:vAlign w:val="center"/>
          </w:tcPr>
          <w:p w14:paraId="42BA719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r>
      <w:tr w14:paraId="40655B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1330FC3F">
            <w:pPr>
              <w:widowControl/>
              <w:jc w:val="left"/>
              <w:rPr>
                <w:rFonts w:ascii="Times New Roman" w:hAnsi="Times New Roman"/>
                <w:color w:val="auto"/>
                <w:kern w:val="0"/>
                <w:szCs w:val="21"/>
              </w:rPr>
            </w:pPr>
          </w:p>
        </w:tc>
        <w:tc>
          <w:tcPr>
            <w:tcW w:w="646" w:type="pct"/>
            <w:vMerge w:val="continue"/>
            <w:vAlign w:val="center"/>
          </w:tcPr>
          <w:p w14:paraId="458313B9">
            <w:pPr>
              <w:widowControl/>
              <w:jc w:val="left"/>
              <w:rPr>
                <w:rFonts w:ascii="Times New Roman" w:hAnsi="Times New Roman"/>
                <w:color w:val="auto"/>
                <w:kern w:val="0"/>
                <w:szCs w:val="21"/>
              </w:rPr>
            </w:pPr>
          </w:p>
        </w:tc>
        <w:tc>
          <w:tcPr>
            <w:tcW w:w="889" w:type="pct"/>
            <w:noWrap/>
            <w:vAlign w:val="center"/>
          </w:tcPr>
          <w:p w14:paraId="3C6DAC65">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监测因子</w:t>
            </w:r>
          </w:p>
        </w:tc>
        <w:tc>
          <w:tcPr>
            <w:tcW w:w="1696" w:type="pct"/>
            <w:gridSpan w:val="2"/>
            <w:vAlign w:val="center"/>
          </w:tcPr>
          <w:p w14:paraId="7DEFBE11">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c>
          <w:tcPr>
            <w:tcW w:w="1535" w:type="pct"/>
            <w:gridSpan w:val="2"/>
            <w:vAlign w:val="center"/>
          </w:tcPr>
          <w:p w14:paraId="648C57F2">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 ）</w:t>
            </w:r>
          </w:p>
        </w:tc>
      </w:tr>
      <w:tr w14:paraId="0E777B6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34" w:type="pct"/>
            <w:vMerge w:val="continue"/>
            <w:vAlign w:val="center"/>
          </w:tcPr>
          <w:p w14:paraId="47E8C1EA">
            <w:pPr>
              <w:widowControl/>
              <w:jc w:val="left"/>
              <w:rPr>
                <w:rFonts w:ascii="Times New Roman" w:hAnsi="Times New Roman"/>
                <w:color w:val="auto"/>
                <w:kern w:val="0"/>
                <w:szCs w:val="21"/>
              </w:rPr>
            </w:pPr>
          </w:p>
        </w:tc>
        <w:tc>
          <w:tcPr>
            <w:tcW w:w="646" w:type="pct"/>
            <w:vAlign w:val="center"/>
          </w:tcPr>
          <w:p w14:paraId="102E2A7A">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污染物排放清单</w:t>
            </w:r>
          </w:p>
        </w:tc>
        <w:tc>
          <w:tcPr>
            <w:tcW w:w="4120" w:type="pct"/>
            <w:gridSpan w:val="5"/>
            <w:noWrap/>
            <w:vAlign w:val="center"/>
          </w:tcPr>
          <w:p w14:paraId="3D6677CE">
            <w:pPr>
              <w:adjustRightInd w:val="0"/>
              <w:snapToGrid w:val="0"/>
              <w:jc w:val="left"/>
              <w:rPr>
                <w:rFonts w:ascii="Times New Roman" w:hAnsi="Times New Roman"/>
                <w:color w:val="auto"/>
                <w:kern w:val="0"/>
                <w:szCs w:val="21"/>
              </w:rPr>
            </w:pPr>
            <w:r>
              <w:rPr>
                <w:rFonts w:ascii="Times New Roman" w:hAnsi="Times New Roman"/>
                <w:color w:val="auto"/>
                <w:kern w:val="0"/>
                <w:szCs w:val="21"/>
              </w:rPr>
              <w:t>√</w:t>
            </w:r>
          </w:p>
        </w:tc>
      </w:tr>
      <w:tr w14:paraId="1D61D8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880" w:type="pct"/>
            <w:gridSpan w:val="2"/>
            <w:noWrap/>
            <w:vAlign w:val="center"/>
          </w:tcPr>
          <w:p w14:paraId="4352B419">
            <w:pPr>
              <w:adjustRightInd w:val="0"/>
              <w:snapToGrid w:val="0"/>
              <w:jc w:val="center"/>
              <w:rPr>
                <w:rFonts w:ascii="Times New Roman" w:hAnsi="Times New Roman"/>
                <w:color w:val="auto"/>
                <w:kern w:val="0"/>
                <w:szCs w:val="21"/>
              </w:rPr>
            </w:pPr>
            <w:r>
              <w:rPr>
                <w:rFonts w:hint="eastAsia" w:ascii="Times New Roman" w:hAnsi="Times New Roman"/>
                <w:color w:val="auto"/>
                <w:kern w:val="0"/>
                <w:szCs w:val="21"/>
              </w:rPr>
              <w:t>评价结论</w:t>
            </w:r>
          </w:p>
        </w:tc>
        <w:tc>
          <w:tcPr>
            <w:tcW w:w="4120" w:type="pct"/>
            <w:gridSpan w:val="5"/>
            <w:noWrap/>
            <w:vAlign w:val="center"/>
          </w:tcPr>
          <w:p w14:paraId="19A5D714">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可以接受</w:t>
            </w:r>
            <w:r>
              <w:rPr>
                <w:rFonts w:ascii="Times New Roman" w:hAnsi="Times New Roman"/>
                <w:color w:val="auto"/>
                <w:kern w:val="0"/>
                <w:szCs w:val="21"/>
              </w:rPr>
              <w:t>√</w:t>
            </w:r>
            <w:r>
              <w:rPr>
                <w:rFonts w:hint="eastAsia" w:ascii="Times New Roman" w:hAnsi="Times New Roman"/>
                <w:color w:val="auto"/>
                <w:kern w:val="0"/>
                <w:szCs w:val="21"/>
              </w:rPr>
              <w:t>；不可以接受</w:t>
            </w:r>
            <w:r>
              <w:rPr>
                <w:rFonts w:ascii="Times New Roman" w:hAnsi="Times New Roman"/>
                <w:color w:val="auto"/>
                <w:kern w:val="0"/>
                <w:szCs w:val="21"/>
              </w:rPr>
              <w:t>□</w:t>
            </w:r>
          </w:p>
        </w:tc>
      </w:tr>
      <w:tr w14:paraId="104D5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5000" w:type="pct"/>
            <w:gridSpan w:val="7"/>
            <w:noWrap/>
            <w:vAlign w:val="center"/>
          </w:tcPr>
          <w:p w14:paraId="06E17BDD">
            <w:pPr>
              <w:adjustRightInd w:val="0"/>
              <w:snapToGrid w:val="0"/>
              <w:jc w:val="left"/>
              <w:rPr>
                <w:rFonts w:ascii="Times New Roman" w:hAnsi="Times New Roman"/>
                <w:color w:val="auto"/>
                <w:kern w:val="0"/>
                <w:szCs w:val="21"/>
              </w:rPr>
            </w:pPr>
            <w:r>
              <w:rPr>
                <w:rFonts w:hint="eastAsia" w:ascii="Times New Roman" w:hAnsi="Times New Roman"/>
                <w:color w:val="auto"/>
                <w:kern w:val="0"/>
                <w:szCs w:val="21"/>
              </w:rPr>
              <w:t>注：</w:t>
            </w:r>
            <w:r>
              <w:rPr>
                <w:rFonts w:ascii="Times New Roman" w:hAnsi="Times New Roman"/>
                <w:color w:val="auto"/>
                <w:kern w:val="0"/>
                <w:szCs w:val="21"/>
              </w:rPr>
              <w:t>“□”</w:t>
            </w:r>
            <w:r>
              <w:rPr>
                <w:rFonts w:hint="eastAsia" w:ascii="Times New Roman" w:hAnsi="Times New Roman"/>
                <w:color w:val="auto"/>
                <w:kern w:val="0"/>
                <w:szCs w:val="21"/>
              </w:rPr>
              <w:t>为勾选项，可</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w:t>
            </w:r>
            <w:r>
              <w:rPr>
                <w:rFonts w:hint="eastAsia" w:ascii="Times New Roman" w:hAnsi="Times New Roman"/>
                <w:color w:val="auto"/>
                <w:kern w:val="0"/>
                <w:szCs w:val="21"/>
              </w:rPr>
              <w:t>（）</w:t>
            </w:r>
            <w:r>
              <w:rPr>
                <w:rFonts w:ascii="Times New Roman" w:hAnsi="Times New Roman"/>
                <w:color w:val="auto"/>
                <w:kern w:val="0"/>
                <w:szCs w:val="21"/>
              </w:rPr>
              <w:t>”</w:t>
            </w:r>
            <w:r>
              <w:rPr>
                <w:rFonts w:hint="eastAsia" w:ascii="Times New Roman" w:hAnsi="Times New Roman"/>
                <w:color w:val="auto"/>
                <w:kern w:val="0"/>
                <w:szCs w:val="21"/>
              </w:rPr>
              <w:t>为内容填写项；</w:t>
            </w:r>
            <w:r>
              <w:rPr>
                <w:rFonts w:ascii="Times New Roman" w:hAnsi="Times New Roman"/>
                <w:color w:val="auto"/>
                <w:kern w:val="0"/>
                <w:szCs w:val="21"/>
              </w:rPr>
              <w:t>“</w:t>
            </w:r>
            <w:r>
              <w:rPr>
                <w:rFonts w:hint="eastAsia" w:ascii="Times New Roman" w:hAnsi="Times New Roman"/>
                <w:color w:val="auto"/>
                <w:kern w:val="0"/>
                <w:szCs w:val="21"/>
              </w:rPr>
              <w:t>备注</w:t>
            </w:r>
            <w:r>
              <w:rPr>
                <w:rFonts w:ascii="Times New Roman" w:hAnsi="Times New Roman"/>
                <w:color w:val="auto"/>
                <w:kern w:val="0"/>
                <w:szCs w:val="21"/>
              </w:rPr>
              <w:t>”</w:t>
            </w:r>
            <w:r>
              <w:rPr>
                <w:rFonts w:hint="eastAsia" w:ascii="Times New Roman" w:hAnsi="Times New Roman"/>
                <w:color w:val="auto"/>
                <w:kern w:val="0"/>
                <w:szCs w:val="21"/>
              </w:rPr>
              <w:t>为其他补充内容。</w:t>
            </w:r>
          </w:p>
        </w:tc>
      </w:tr>
      <w:bookmarkEnd w:id="262"/>
    </w:tbl>
    <w:p w14:paraId="1E84885A">
      <w:pPr>
        <w:widowControl/>
        <w:adjustRightInd w:val="0"/>
        <w:snapToGrid w:val="0"/>
        <w:spacing w:after="200" w:line="360" w:lineRule="auto"/>
        <w:jc w:val="center"/>
        <w:rPr>
          <w:color w:val="auto"/>
          <w:kern w:val="0"/>
          <w:sz w:val="24"/>
        </w:rPr>
      </w:pPr>
    </w:p>
    <w:p w14:paraId="25D54B0B">
      <w:pPr>
        <w:spacing w:line="360" w:lineRule="auto"/>
        <w:jc w:val="left"/>
        <w:rPr>
          <w:color w:val="auto"/>
          <w:sz w:val="24"/>
        </w:rPr>
      </w:pPr>
    </w:p>
    <w:p w14:paraId="59E78B61">
      <w:pPr>
        <w:widowControl/>
        <w:jc w:val="left"/>
        <w:rPr>
          <w:b/>
          <w:color w:val="auto"/>
          <w:szCs w:val="22"/>
        </w:rPr>
        <w:sectPr>
          <w:pgSz w:w="16838" w:h="11906" w:orient="landscape"/>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57F23FEF">
      <w:pPr>
        <w:keepNext/>
        <w:keepLines/>
        <w:adjustRightInd w:val="0"/>
        <w:snapToGrid w:val="0"/>
        <w:spacing w:line="500" w:lineRule="exact"/>
        <w:outlineLvl w:val="1"/>
        <w:rPr>
          <w:rFonts w:eastAsia="黑体"/>
          <w:bCs/>
          <w:snapToGrid w:val="0"/>
          <w:color w:val="auto"/>
          <w:kern w:val="0"/>
          <w:sz w:val="28"/>
          <w:szCs w:val="32"/>
        </w:rPr>
      </w:pPr>
      <w:bookmarkStart w:id="263" w:name="_Toc64884353"/>
      <w:bookmarkStart w:id="264" w:name="_Toc149054245"/>
      <w:bookmarkStart w:id="265" w:name="_Toc140149468"/>
      <w:r>
        <w:rPr>
          <w:rFonts w:hint="eastAsia" w:eastAsia="黑体"/>
          <w:bCs/>
          <w:snapToGrid w:val="0"/>
          <w:color w:val="auto"/>
          <w:kern w:val="0"/>
          <w:sz w:val="28"/>
          <w:szCs w:val="32"/>
        </w:rPr>
        <w:t>附表</w:t>
      </w:r>
      <w:r>
        <w:rPr>
          <w:rFonts w:eastAsia="黑体"/>
          <w:bCs/>
          <w:snapToGrid w:val="0"/>
          <w:color w:val="auto"/>
          <w:kern w:val="0"/>
          <w:sz w:val="28"/>
          <w:szCs w:val="32"/>
        </w:rPr>
        <w:t>3</w:t>
      </w:r>
      <w:r>
        <w:rPr>
          <w:rFonts w:hint="eastAsia" w:eastAsia="黑体"/>
          <w:bCs/>
          <w:snapToGrid w:val="0"/>
          <w:color w:val="auto"/>
          <w:kern w:val="0"/>
          <w:sz w:val="28"/>
          <w:szCs w:val="32"/>
        </w:rPr>
        <w:t>项目环境风险环境影响评价自查表</w:t>
      </w:r>
      <w:bookmarkEnd w:id="263"/>
      <w:bookmarkEnd w:id="264"/>
      <w:bookmarkEnd w:id="265"/>
    </w:p>
    <w:tbl>
      <w:tblPr>
        <w:tblStyle w:val="45"/>
        <w:tblW w:w="0" w:type="auto"/>
        <w:tblInd w:w="0" w:type="dxa"/>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8"/>
        <w:gridCol w:w="538"/>
        <w:gridCol w:w="1035"/>
        <w:gridCol w:w="348"/>
        <w:gridCol w:w="340"/>
        <w:gridCol w:w="421"/>
        <w:gridCol w:w="628"/>
        <w:gridCol w:w="627"/>
        <w:gridCol w:w="599"/>
        <w:gridCol w:w="297"/>
        <w:gridCol w:w="282"/>
        <w:gridCol w:w="320"/>
        <w:gridCol w:w="317"/>
        <w:gridCol w:w="318"/>
        <w:gridCol w:w="304"/>
        <w:gridCol w:w="1504"/>
      </w:tblGrid>
      <w:tr w14:paraId="6F028B6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auto" w:sz="12" w:space="0"/>
              <w:left w:val="nil"/>
              <w:bottom w:val="single" w:color="auto" w:sz="4" w:space="0"/>
              <w:right w:val="single" w:color="auto" w:sz="4" w:space="0"/>
            </w:tcBorders>
            <w:vAlign w:val="center"/>
          </w:tcPr>
          <w:p w14:paraId="2F999853">
            <w:pPr>
              <w:jc w:val="center"/>
              <w:rPr>
                <w:snapToGrid w:val="0"/>
                <w:color w:val="auto"/>
                <w:sz w:val="18"/>
                <w:szCs w:val="20"/>
                <w:lang w:val="zh-CN"/>
              </w:rPr>
            </w:pPr>
            <w:r>
              <w:rPr>
                <w:rFonts w:hint="eastAsia"/>
                <w:snapToGrid w:val="0"/>
                <w:color w:val="auto"/>
                <w:sz w:val="18"/>
                <w:szCs w:val="20"/>
                <w:lang w:val="zh-CN"/>
              </w:rPr>
              <w:t>工作内容</w:t>
            </w:r>
          </w:p>
        </w:tc>
        <w:tc>
          <w:tcPr>
            <w:tcW w:w="0" w:type="auto"/>
            <w:gridSpan w:val="14"/>
            <w:tcBorders>
              <w:top w:val="single" w:color="auto" w:sz="12" w:space="0"/>
              <w:left w:val="single" w:color="auto" w:sz="4" w:space="0"/>
              <w:bottom w:val="single" w:color="auto" w:sz="4" w:space="0"/>
              <w:right w:val="nil"/>
            </w:tcBorders>
            <w:vAlign w:val="center"/>
          </w:tcPr>
          <w:p w14:paraId="4D27E0D8">
            <w:pPr>
              <w:jc w:val="center"/>
              <w:rPr>
                <w:snapToGrid w:val="0"/>
                <w:color w:val="auto"/>
                <w:sz w:val="18"/>
                <w:szCs w:val="20"/>
                <w:lang w:val="zh-CN"/>
              </w:rPr>
            </w:pPr>
            <w:r>
              <w:rPr>
                <w:rFonts w:hint="eastAsia"/>
                <w:snapToGrid w:val="0"/>
                <w:color w:val="auto"/>
                <w:sz w:val="18"/>
                <w:szCs w:val="20"/>
                <w:lang w:val="zh-CN"/>
              </w:rPr>
              <w:t>完成情况</w:t>
            </w:r>
          </w:p>
        </w:tc>
      </w:tr>
      <w:tr w14:paraId="43B2C0D2">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72CB1D49">
            <w:pPr>
              <w:jc w:val="center"/>
              <w:rPr>
                <w:snapToGrid w:val="0"/>
                <w:color w:val="auto"/>
                <w:sz w:val="18"/>
                <w:szCs w:val="20"/>
                <w:lang w:val="zh-CN"/>
              </w:rPr>
            </w:pPr>
            <w:r>
              <w:rPr>
                <w:rFonts w:hint="eastAsia"/>
                <w:snapToGrid w:val="0"/>
                <w:color w:val="auto"/>
                <w:sz w:val="18"/>
                <w:szCs w:val="20"/>
                <w:lang w:val="zh-CN"/>
              </w:rPr>
              <w:t>风</w:t>
            </w:r>
          </w:p>
          <w:p w14:paraId="13BA98C7">
            <w:pPr>
              <w:jc w:val="center"/>
              <w:rPr>
                <w:snapToGrid w:val="0"/>
                <w:color w:val="auto"/>
                <w:sz w:val="18"/>
                <w:szCs w:val="20"/>
                <w:lang w:val="zh-CN"/>
              </w:rPr>
            </w:pPr>
            <w:r>
              <w:rPr>
                <w:rFonts w:hint="eastAsia"/>
                <w:snapToGrid w:val="0"/>
                <w:color w:val="auto"/>
                <w:sz w:val="18"/>
                <w:szCs w:val="20"/>
                <w:lang w:val="zh-CN"/>
              </w:rPr>
              <w:t>险</w:t>
            </w:r>
          </w:p>
          <w:p w14:paraId="4819DC63">
            <w:pPr>
              <w:jc w:val="center"/>
              <w:rPr>
                <w:snapToGrid w:val="0"/>
                <w:color w:val="auto"/>
                <w:sz w:val="18"/>
                <w:szCs w:val="20"/>
                <w:lang w:val="zh-CN"/>
              </w:rPr>
            </w:pPr>
            <w:r>
              <w:rPr>
                <w:rFonts w:hint="eastAsia"/>
                <w:snapToGrid w:val="0"/>
                <w:color w:val="auto"/>
                <w:sz w:val="18"/>
                <w:szCs w:val="20"/>
                <w:lang w:val="zh-CN"/>
              </w:rPr>
              <w:t>调</w:t>
            </w:r>
          </w:p>
          <w:p w14:paraId="01BC441C">
            <w:pPr>
              <w:jc w:val="center"/>
              <w:rPr>
                <w:snapToGrid w:val="0"/>
                <w:color w:val="auto"/>
                <w:sz w:val="18"/>
                <w:szCs w:val="20"/>
                <w:lang w:val="zh-CN"/>
              </w:rPr>
            </w:pPr>
            <w:r>
              <w:rPr>
                <w:rFonts w:hint="eastAsia"/>
                <w:snapToGrid w:val="0"/>
                <w:color w:val="auto"/>
                <w:sz w:val="18"/>
                <w:szCs w:val="20"/>
                <w:lang w:val="zh-CN"/>
              </w:rPr>
              <w:t>查</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348AAE25">
            <w:pPr>
              <w:jc w:val="center"/>
              <w:rPr>
                <w:snapToGrid w:val="0"/>
                <w:color w:val="auto"/>
                <w:sz w:val="18"/>
                <w:szCs w:val="20"/>
                <w:lang w:val="zh-CN"/>
              </w:rPr>
            </w:pPr>
            <w:r>
              <w:rPr>
                <w:rFonts w:hint="eastAsia"/>
                <w:snapToGrid w:val="0"/>
                <w:color w:val="auto"/>
                <w:sz w:val="18"/>
                <w:szCs w:val="20"/>
                <w:lang w:val="zh-CN"/>
              </w:rPr>
              <w:t>危险物质</w:t>
            </w:r>
          </w:p>
        </w:tc>
        <w:tc>
          <w:tcPr>
            <w:tcW w:w="0" w:type="auto"/>
            <w:tcBorders>
              <w:top w:val="single" w:color="auto" w:sz="4" w:space="0"/>
              <w:left w:val="single" w:color="auto" w:sz="4" w:space="0"/>
              <w:bottom w:val="single" w:color="auto" w:sz="4" w:space="0"/>
              <w:right w:val="single" w:color="auto" w:sz="4" w:space="0"/>
            </w:tcBorders>
            <w:vAlign w:val="center"/>
          </w:tcPr>
          <w:p w14:paraId="10367278">
            <w:pPr>
              <w:jc w:val="center"/>
              <w:rPr>
                <w:snapToGrid w:val="0"/>
                <w:color w:val="auto"/>
                <w:sz w:val="18"/>
                <w:szCs w:val="20"/>
                <w:lang w:val="zh-CN"/>
              </w:rPr>
            </w:pPr>
            <w:r>
              <w:rPr>
                <w:rFonts w:hint="eastAsia"/>
                <w:snapToGrid w:val="0"/>
                <w:color w:val="auto"/>
                <w:sz w:val="18"/>
                <w:szCs w:val="20"/>
                <w:lang w:val="zh-CN"/>
              </w:rPr>
              <w:t>名称</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5F2F75E9">
            <w:pPr>
              <w:jc w:val="center"/>
              <w:rPr>
                <w:snapToGrid w:val="0"/>
                <w:color w:val="auto"/>
                <w:sz w:val="18"/>
                <w:szCs w:val="20"/>
                <w:lang w:val="zh-CN"/>
              </w:rPr>
            </w:pPr>
          </w:p>
        </w:tc>
        <w:tc>
          <w:tcPr>
            <w:tcW w:w="0" w:type="auto"/>
            <w:gridSpan w:val="2"/>
            <w:tcBorders>
              <w:top w:val="single" w:color="auto" w:sz="4" w:space="0"/>
              <w:left w:val="single" w:color="auto" w:sz="4" w:space="0"/>
              <w:bottom w:val="single" w:color="auto" w:sz="4" w:space="0"/>
              <w:right w:val="single" w:color="auto" w:sz="4" w:space="0"/>
            </w:tcBorders>
            <w:vAlign w:val="center"/>
          </w:tcPr>
          <w:p w14:paraId="28A3F660">
            <w:pPr>
              <w:jc w:val="center"/>
              <w:rPr>
                <w:snapToGrid w:val="0"/>
                <w:color w:val="auto"/>
                <w:sz w:val="18"/>
                <w:szCs w:val="20"/>
                <w:lang w:val="zh-CN"/>
              </w:rPr>
            </w:pPr>
          </w:p>
        </w:tc>
        <w:tc>
          <w:tcPr>
            <w:tcW w:w="0" w:type="auto"/>
            <w:gridSpan w:val="3"/>
            <w:tcBorders>
              <w:top w:val="single" w:color="auto" w:sz="4" w:space="0"/>
              <w:left w:val="single" w:color="auto" w:sz="4" w:space="0"/>
              <w:bottom w:val="single" w:color="auto" w:sz="4" w:space="0"/>
              <w:right w:val="single" w:color="auto" w:sz="4" w:space="0"/>
            </w:tcBorders>
            <w:vAlign w:val="center"/>
          </w:tcPr>
          <w:p w14:paraId="25907E64">
            <w:pPr>
              <w:jc w:val="center"/>
              <w:rPr>
                <w:snapToGrid w:val="0"/>
                <w:color w:val="auto"/>
                <w:sz w:val="18"/>
                <w:szCs w:val="20"/>
                <w:lang w:val="zh-CN"/>
              </w:rPr>
            </w:pPr>
          </w:p>
        </w:tc>
        <w:tc>
          <w:tcPr>
            <w:tcW w:w="0" w:type="auto"/>
            <w:gridSpan w:val="4"/>
            <w:tcBorders>
              <w:top w:val="single" w:color="auto" w:sz="4" w:space="0"/>
              <w:left w:val="single" w:color="auto" w:sz="4" w:space="0"/>
              <w:bottom w:val="single" w:color="auto" w:sz="4" w:space="0"/>
              <w:right w:val="single" w:color="auto" w:sz="4" w:space="0"/>
            </w:tcBorders>
            <w:vAlign w:val="center"/>
          </w:tcPr>
          <w:p w14:paraId="536935F2">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nil"/>
            </w:tcBorders>
            <w:vAlign w:val="center"/>
          </w:tcPr>
          <w:p w14:paraId="5EC4313D">
            <w:pPr>
              <w:jc w:val="center"/>
              <w:rPr>
                <w:snapToGrid w:val="0"/>
                <w:color w:val="auto"/>
                <w:sz w:val="18"/>
                <w:szCs w:val="20"/>
                <w:lang w:val="zh-CN"/>
              </w:rPr>
            </w:pPr>
          </w:p>
        </w:tc>
      </w:tr>
      <w:tr w14:paraId="1B86E694">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2D8A886B">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B37E28E">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272F6B72">
            <w:pPr>
              <w:jc w:val="center"/>
              <w:rPr>
                <w:snapToGrid w:val="0"/>
                <w:color w:val="auto"/>
                <w:sz w:val="18"/>
                <w:szCs w:val="20"/>
                <w:lang w:val="zh-CN"/>
              </w:rPr>
            </w:pPr>
            <w:r>
              <w:rPr>
                <w:rFonts w:hint="eastAsia"/>
                <w:snapToGrid w:val="0"/>
                <w:color w:val="auto"/>
                <w:sz w:val="18"/>
                <w:szCs w:val="20"/>
                <w:lang w:val="zh-CN"/>
              </w:rPr>
              <w:t>存在总量</w:t>
            </w:r>
            <w:r>
              <w:rPr>
                <w:snapToGrid w:val="0"/>
                <w:color w:val="auto"/>
                <w:sz w:val="18"/>
                <w:szCs w:val="20"/>
                <w:lang w:val="zh-CN"/>
              </w:rPr>
              <w:t>/t</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0741BD07">
            <w:pPr>
              <w:jc w:val="center"/>
              <w:rPr>
                <w:snapToGrid w:val="0"/>
                <w:color w:val="auto"/>
                <w:sz w:val="18"/>
                <w:szCs w:val="20"/>
                <w:lang w:val="zh-CN"/>
              </w:rPr>
            </w:pPr>
          </w:p>
        </w:tc>
        <w:tc>
          <w:tcPr>
            <w:tcW w:w="0" w:type="auto"/>
            <w:gridSpan w:val="2"/>
            <w:tcBorders>
              <w:top w:val="single" w:color="auto" w:sz="4" w:space="0"/>
              <w:left w:val="single" w:color="auto" w:sz="4" w:space="0"/>
              <w:bottom w:val="single" w:color="auto" w:sz="4" w:space="0"/>
              <w:right w:val="single" w:color="auto" w:sz="4" w:space="0"/>
            </w:tcBorders>
            <w:vAlign w:val="center"/>
          </w:tcPr>
          <w:p w14:paraId="0B88C2AE">
            <w:pPr>
              <w:jc w:val="center"/>
              <w:rPr>
                <w:snapToGrid w:val="0"/>
                <w:color w:val="auto"/>
                <w:sz w:val="18"/>
                <w:szCs w:val="20"/>
                <w:lang w:val="zh-CN"/>
              </w:rPr>
            </w:pPr>
          </w:p>
        </w:tc>
        <w:tc>
          <w:tcPr>
            <w:tcW w:w="0" w:type="auto"/>
            <w:gridSpan w:val="3"/>
            <w:tcBorders>
              <w:top w:val="single" w:color="auto" w:sz="4" w:space="0"/>
              <w:left w:val="single" w:color="auto" w:sz="4" w:space="0"/>
              <w:bottom w:val="single" w:color="auto" w:sz="4" w:space="0"/>
              <w:right w:val="single" w:color="auto" w:sz="4" w:space="0"/>
            </w:tcBorders>
            <w:vAlign w:val="center"/>
          </w:tcPr>
          <w:p w14:paraId="24761AF7">
            <w:pPr>
              <w:jc w:val="center"/>
              <w:rPr>
                <w:snapToGrid w:val="0"/>
                <w:color w:val="auto"/>
                <w:sz w:val="18"/>
                <w:szCs w:val="20"/>
                <w:lang w:val="zh-CN"/>
              </w:rPr>
            </w:pPr>
          </w:p>
        </w:tc>
        <w:tc>
          <w:tcPr>
            <w:tcW w:w="0" w:type="auto"/>
            <w:gridSpan w:val="4"/>
            <w:tcBorders>
              <w:top w:val="single" w:color="auto" w:sz="4" w:space="0"/>
              <w:left w:val="single" w:color="auto" w:sz="4" w:space="0"/>
              <w:bottom w:val="single" w:color="auto" w:sz="4" w:space="0"/>
              <w:right w:val="single" w:color="auto" w:sz="4" w:space="0"/>
            </w:tcBorders>
            <w:vAlign w:val="center"/>
          </w:tcPr>
          <w:p w14:paraId="377564DF">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nil"/>
            </w:tcBorders>
            <w:vAlign w:val="center"/>
          </w:tcPr>
          <w:p w14:paraId="097F77CF">
            <w:pPr>
              <w:jc w:val="center"/>
              <w:rPr>
                <w:snapToGrid w:val="0"/>
                <w:color w:val="auto"/>
                <w:sz w:val="18"/>
                <w:szCs w:val="20"/>
              </w:rPr>
            </w:pPr>
          </w:p>
        </w:tc>
      </w:tr>
      <w:tr w14:paraId="7AA037CB">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3645866C">
            <w:pPr>
              <w:jc w:val="center"/>
              <w:rPr>
                <w:snapToGrid w:val="0"/>
                <w:color w:val="auto"/>
                <w:sz w:val="18"/>
                <w:szCs w:val="20"/>
                <w:lang w:val="zh-CN"/>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6A469DC">
            <w:pPr>
              <w:jc w:val="center"/>
              <w:rPr>
                <w:snapToGrid w:val="0"/>
                <w:color w:val="auto"/>
                <w:sz w:val="18"/>
                <w:szCs w:val="20"/>
                <w:lang w:val="zh-CN"/>
              </w:rPr>
            </w:pPr>
            <w:r>
              <w:rPr>
                <w:rFonts w:hint="eastAsia"/>
                <w:snapToGrid w:val="0"/>
                <w:color w:val="auto"/>
                <w:sz w:val="18"/>
                <w:szCs w:val="20"/>
                <w:lang w:val="zh-CN"/>
              </w:rPr>
              <w:t>环境敏感性</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10DB9C9D">
            <w:pPr>
              <w:jc w:val="center"/>
              <w:rPr>
                <w:snapToGrid w:val="0"/>
                <w:color w:val="auto"/>
                <w:sz w:val="18"/>
                <w:szCs w:val="20"/>
                <w:lang w:val="zh-CN"/>
              </w:rPr>
            </w:pPr>
            <w:r>
              <w:rPr>
                <w:rFonts w:hint="eastAsia"/>
                <w:snapToGrid w:val="0"/>
                <w:color w:val="auto"/>
                <w:sz w:val="18"/>
                <w:szCs w:val="20"/>
                <w:lang w:val="zh-CN"/>
              </w:rPr>
              <w:t>大气</w:t>
            </w:r>
          </w:p>
        </w:tc>
        <w:tc>
          <w:tcPr>
            <w:tcW w:w="0" w:type="auto"/>
            <w:gridSpan w:val="6"/>
            <w:tcBorders>
              <w:top w:val="single" w:color="auto" w:sz="4" w:space="0"/>
              <w:left w:val="single" w:color="auto" w:sz="4" w:space="0"/>
              <w:bottom w:val="single" w:color="auto" w:sz="4" w:space="0"/>
              <w:right w:val="single" w:color="auto" w:sz="4" w:space="0"/>
            </w:tcBorders>
            <w:vAlign w:val="center"/>
          </w:tcPr>
          <w:p w14:paraId="2CBD588E">
            <w:pPr>
              <w:jc w:val="center"/>
              <w:rPr>
                <w:snapToGrid w:val="0"/>
                <w:color w:val="auto"/>
                <w:sz w:val="18"/>
                <w:szCs w:val="20"/>
                <w:lang w:val="zh-CN"/>
              </w:rPr>
            </w:pPr>
            <w:r>
              <w:rPr>
                <w:snapToGrid w:val="0"/>
                <w:color w:val="auto"/>
                <w:sz w:val="18"/>
                <w:szCs w:val="20"/>
                <w:lang w:val="zh-CN"/>
              </w:rPr>
              <w:t>500m</w:t>
            </w:r>
            <w:r>
              <w:rPr>
                <w:rFonts w:hint="eastAsia"/>
                <w:snapToGrid w:val="0"/>
                <w:color w:val="auto"/>
                <w:sz w:val="18"/>
                <w:szCs w:val="20"/>
                <w:lang w:val="zh-CN"/>
              </w:rPr>
              <w:t>范围内人口数</w:t>
            </w:r>
            <w:r>
              <w:rPr>
                <w:snapToGrid w:val="0"/>
                <w:color w:val="auto"/>
                <w:sz w:val="18"/>
                <w:szCs w:val="20"/>
                <w:lang w:val="zh-CN"/>
              </w:rPr>
              <w:t>0</w:t>
            </w:r>
            <w:r>
              <w:rPr>
                <w:rFonts w:hint="eastAsia"/>
                <w:snapToGrid w:val="0"/>
                <w:color w:val="auto"/>
                <w:sz w:val="18"/>
                <w:szCs w:val="20"/>
                <w:lang w:val="zh-CN"/>
              </w:rPr>
              <w:t>人</w:t>
            </w:r>
          </w:p>
        </w:tc>
        <w:tc>
          <w:tcPr>
            <w:tcW w:w="0" w:type="auto"/>
            <w:gridSpan w:val="7"/>
            <w:tcBorders>
              <w:top w:val="single" w:color="auto" w:sz="4" w:space="0"/>
              <w:left w:val="single" w:color="auto" w:sz="4" w:space="0"/>
              <w:bottom w:val="single" w:color="auto" w:sz="4" w:space="0"/>
              <w:right w:val="nil"/>
            </w:tcBorders>
            <w:vAlign w:val="center"/>
          </w:tcPr>
          <w:p w14:paraId="6D3CFD6B">
            <w:pPr>
              <w:jc w:val="center"/>
              <w:rPr>
                <w:snapToGrid w:val="0"/>
                <w:color w:val="auto"/>
                <w:sz w:val="18"/>
                <w:szCs w:val="20"/>
                <w:lang w:val="zh-CN"/>
              </w:rPr>
            </w:pPr>
            <w:r>
              <w:rPr>
                <w:snapToGrid w:val="0"/>
                <w:color w:val="auto"/>
                <w:sz w:val="18"/>
                <w:szCs w:val="20"/>
                <w:lang w:val="zh-CN"/>
              </w:rPr>
              <w:t>3km</w:t>
            </w:r>
            <w:r>
              <w:rPr>
                <w:rFonts w:hint="eastAsia"/>
                <w:snapToGrid w:val="0"/>
                <w:color w:val="auto"/>
                <w:sz w:val="18"/>
                <w:szCs w:val="20"/>
                <w:lang w:val="zh-CN"/>
              </w:rPr>
              <w:t>范围内人口数</w:t>
            </w:r>
            <w:r>
              <w:rPr>
                <w:snapToGrid w:val="0"/>
                <w:color w:val="auto"/>
                <w:sz w:val="18"/>
                <w:szCs w:val="20"/>
                <w:u w:val="single"/>
                <w:lang w:val="zh-CN"/>
              </w:rPr>
              <w:t>1000</w:t>
            </w:r>
            <w:r>
              <w:rPr>
                <w:rFonts w:hint="eastAsia"/>
                <w:snapToGrid w:val="0"/>
                <w:color w:val="auto"/>
                <w:sz w:val="18"/>
                <w:szCs w:val="20"/>
                <w:lang w:val="zh-CN"/>
              </w:rPr>
              <w:t>人</w:t>
            </w:r>
          </w:p>
        </w:tc>
      </w:tr>
      <w:tr w14:paraId="22B332D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6A81A395">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699E0E0">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3FA8D9E">
            <w:pPr>
              <w:jc w:val="center"/>
              <w:rPr>
                <w:snapToGrid w:val="0"/>
                <w:color w:val="auto"/>
                <w:sz w:val="18"/>
                <w:szCs w:val="20"/>
                <w:lang w:val="zh-CN"/>
              </w:rPr>
            </w:pPr>
          </w:p>
        </w:tc>
        <w:tc>
          <w:tcPr>
            <w:tcW w:w="0" w:type="auto"/>
            <w:gridSpan w:val="12"/>
            <w:tcBorders>
              <w:top w:val="single" w:color="auto" w:sz="4" w:space="0"/>
              <w:left w:val="single" w:color="auto" w:sz="4" w:space="0"/>
              <w:bottom w:val="single" w:color="auto" w:sz="4" w:space="0"/>
              <w:right w:val="single" w:color="auto" w:sz="4" w:space="0"/>
            </w:tcBorders>
            <w:vAlign w:val="center"/>
          </w:tcPr>
          <w:p w14:paraId="73BD0AF0">
            <w:pPr>
              <w:jc w:val="center"/>
              <w:rPr>
                <w:snapToGrid w:val="0"/>
                <w:color w:val="auto"/>
                <w:sz w:val="18"/>
                <w:szCs w:val="20"/>
                <w:lang w:val="zh-CN"/>
              </w:rPr>
            </w:pPr>
            <w:r>
              <w:rPr>
                <w:rFonts w:hint="eastAsia"/>
                <w:snapToGrid w:val="0"/>
                <w:color w:val="auto"/>
                <w:sz w:val="18"/>
                <w:szCs w:val="20"/>
                <w:lang w:val="zh-CN"/>
              </w:rPr>
              <w:t>每公里管段周边</w:t>
            </w:r>
            <w:r>
              <w:rPr>
                <w:snapToGrid w:val="0"/>
                <w:color w:val="auto"/>
                <w:sz w:val="18"/>
                <w:szCs w:val="20"/>
                <w:lang w:val="zh-CN"/>
              </w:rPr>
              <w:t>200m</w:t>
            </w:r>
            <w:r>
              <w:rPr>
                <w:rFonts w:hint="eastAsia"/>
                <w:snapToGrid w:val="0"/>
                <w:color w:val="auto"/>
                <w:sz w:val="18"/>
                <w:szCs w:val="20"/>
                <w:lang w:val="zh-CN"/>
              </w:rPr>
              <w:t>范围内人口数（最大）</w:t>
            </w:r>
          </w:p>
        </w:tc>
        <w:tc>
          <w:tcPr>
            <w:tcW w:w="0" w:type="auto"/>
            <w:tcBorders>
              <w:top w:val="single" w:color="auto" w:sz="4" w:space="0"/>
              <w:left w:val="single" w:color="auto" w:sz="4" w:space="0"/>
              <w:bottom w:val="single" w:color="auto" w:sz="4" w:space="0"/>
              <w:right w:val="nil"/>
            </w:tcBorders>
            <w:vAlign w:val="center"/>
          </w:tcPr>
          <w:p w14:paraId="6A77E1CB">
            <w:pPr>
              <w:jc w:val="center"/>
              <w:rPr>
                <w:snapToGrid w:val="0"/>
                <w:color w:val="auto"/>
                <w:sz w:val="18"/>
                <w:szCs w:val="20"/>
                <w:lang w:val="zh-CN"/>
              </w:rPr>
            </w:pPr>
            <w:r>
              <w:rPr>
                <w:rFonts w:hint="eastAsia"/>
                <w:snapToGrid w:val="0"/>
                <w:color w:val="auto"/>
                <w:sz w:val="18"/>
                <w:szCs w:val="20"/>
                <w:lang w:val="zh-CN"/>
              </w:rPr>
              <w:t>人</w:t>
            </w:r>
          </w:p>
        </w:tc>
      </w:tr>
      <w:tr w14:paraId="7486969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4D1D33A3">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E250CD">
            <w:pPr>
              <w:jc w:val="center"/>
              <w:rPr>
                <w:snapToGrid w:val="0"/>
                <w:color w:val="auto"/>
                <w:sz w:val="18"/>
                <w:szCs w:val="20"/>
                <w:lang w:val="zh-CN"/>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4242838C">
            <w:pPr>
              <w:jc w:val="center"/>
              <w:rPr>
                <w:snapToGrid w:val="0"/>
                <w:color w:val="auto"/>
                <w:sz w:val="18"/>
                <w:szCs w:val="20"/>
                <w:lang w:val="zh-CN"/>
              </w:rPr>
            </w:pPr>
            <w:r>
              <w:rPr>
                <w:rFonts w:hint="eastAsia"/>
                <w:snapToGrid w:val="0"/>
                <w:color w:val="auto"/>
                <w:sz w:val="18"/>
                <w:szCs w:val="20"/>
                <w:lang w:val="zh-CN"/>
              </w:rPr>
              <w:t>地表水</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13D688AB">
            <w:pPr>
              <w:jc w:val="center"/>
              <w:rPr>
                <w:snapToGrid w:val="0"/>
                <w:color w:val="auto"/>
                <w:sz w:val="18"/>
                <w:szCs w:val="20"/>
                <w:lang w:val="zh-CN"/>
              </w:rPr>
            </w:pPr>
            <w:r>
              <w:rPr>
                <w:rFonts w:hint="eastAsia"/>
                <w:snapToGrid w:val="0"/>
                <w:color w:val="auto"/>
                <w:sz w:val="18"/>
                <w:szCs w:val="20"/>
                <w:lang w:val="zh-CN"/>
              </w:rPr>
              <w:t>地表水功能敏感性</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15B75707">
            <w:pPr>
              <w:jc w:val="center"/>
              <w:rPr>
                <w:snapToGrid w:val="0"/>
                <w:color w:val="auto"/>
                <w:sz w:val="18"/>
                <w:szCs w:val="20"/>
                <w:lang w:val="zh-CN"/>
              </w:rPr>
            </w:pPr>
            <w:r>
              <w:rPr>
                <w:snapToGrid w:val="0"/>
                <w:color w:val="auto"/>
                <w:sz w:val="18"/>
                <w:szCs w:val="20"/>
                <w:lang w:val="zh-CN"/>
              </w:rPr>
              <w:t>F1□</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70E7D1DF">
            <w:pPr>
              <w:jc w:val="center"/>
              <w:rPr>
                <w:snapToGrid w:val="0"/>
                <w:color w:val="auto"/>
                <w:sz w:val="18"/>
                <w:szCs w:val="20"/>
                <w:lang w:val="zh-CN"/>
              </w:rPr>
            </w:pPr>
            <w:r>
              <w:rPr>
                <w:snapToGrid w:val="0"/>
                <w:color w:val="auto"/>
                <w:sz w:val="18"/>
                <w:szCs w:val="20"/>
                <w:lang w:val="zh-CN"/>
              </w:rPr>
              <w:t>F2□</w:t>
            </w:r>
          </w:p>
        </w:tc>
        <w:tc>
          <w:tcPr>
            <w:tcW w:w="0" w:type="auto"/>
            <w:tcBorders>
              <w:top w:val="single" w:color="auto" w:sz="4" w:space="0"/>
              <w:left w:val="single" w:color="auto" w:sz="4" w:space="0"/>
              <w:bottom w:val="single" w:color="auto" w:sz="4" w:space="0"/>
              <w:right w:val="nil"/>
            </w:tcBorders>
            <w:vAlign w:val="center"/>
          </w:tcPr>
          <w:p w14:paraId="42C2F116">
            <w:pPr>
              <w:jc w:val="center"/>
              <w:rPr>
                <w:snapToGrid w:val="0"/>
                <w:color w:val="auto"/>
                <w:sz w:val="18"/>
                <w:szCs w:val="20"/>
                <w:lang w:val="zh-CN"/>
              </w:rPr>
            </w:pPr>
            <w:r>
              <w:rPr>
                <w:snapToGrid w:val="0"/>
                <w:color w:val="auto"/>
                <w:sz w:val="18"/>
                <w:szCs w:val="20"/>
                <w:lang w:val="zh-CN"/>
              </w:rPr>
              <w:t>F3□</w:t>
            </w:r>
          </w:p>
        </w:tc>
      </w:tr>
      <w:tr w14:paraId="1A4EAA79">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155B2343">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65A369">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AD59C24">
            <w:pPr>
              <w:jc w:val="center"/>
              <w:rPr>
                <w:snapToGrid w:val="0"/>
                <w:color w:val="auto"/>
                <w:sz w:val="18"/>
                <w:szCs w:val="20"/>
                <w:lang w:val="zh-CN"/>
              </w:rPr>
            </w:pPr>
          </w:p>
        </w:tc>
        <w:tc>
          <w:tcPr>
            <w:tcW w:w="0" w:type="auto"/>
            <w:gridSpan w:val="5"/>
            <w:tcBorders>
              <w:top w:val="single" w:color="auto" w:sz="4" w:space="0"/>
              <w:left w:val="single" w:color="auto" w:sz="4" w:space="0"/>
              <w:bottom w:val="single" w:color="auto" w:sz="4" w:space="0"/>
              <w:right w:val="single" w:color="auto" w:sz="4" w:space="0"/>
            </w:tcBorders>
            <w:vAlign w:val="center"/>
          </w:tcPr>
          <w:p w14:paraId="5C078D52">
            <w:pPr>
              <w:jc w:val="center"/>
              <w:rPr>
                <w:snapToGrid w:val="0"/>
                <w:color w:val="auto"/>
                <w:sz w:val="18"/>
                <w:szCs w:val="20"/>
                <w:lang w:val="zh-CN"/>
              </w:rPr>
            </w:pPr>
            <w:r>
              <w:rPr>
                <w:rFonts w:hint="eastAsia"/>
                <w:snapToGrid w:val="0"/>
                <w:color w:val="auto"/>
                <w:sz w:val="18"/>
                <w:szCs w:val="20"/>
                <w:lang w:val="zh-CN"/>
              </w:rPr>
              <w:t>环境敏感目标分级</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63991F14">
            <w:pPr>
              <w:jc w:val="center"/>
              <w:rPr>
                <w:snapToGrid w:val="0"/>
                <w:color w:val="auto"/>
                <w:sz w:val="18"/>
                <w:szCs w:val="20"/>
                <w:lang w:val="zh-CN"/>
              </w:rPr>
            </w:pPr>
            <w:r>
              <w:rPr>
                <w:snapToGrid w:val="0"/>
                <w:color w:val="auto"/>
                <w:sz w:val="18"/>
                <w:szCs w:val="20"/>
                <w:lang w:val="zh-CN"/>
              </w:rPr>
              <w:t>S1□</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4479C8CC">
            <w:pPr>
              <w:jc w:val="center"/>
              <w:rPr>
                <w:snapToGrid w:val="0"/>
                <w:color w:val="auto"/>
                <w:sz w:val="18"/>
                <w:szCs w:val="20"/>
                <w:lang w:val="zh-CN"/>
              </w:rPr>
            </w:pPr>
            <w:r>
              <w:rPr>
                <w:snapToGrid w:val="0"/>
                <w:color w:val="auto"/>
                <w:sz w:val="18"/>
                <w:szCs w:val="20"/>
                <w:lang w:val="zh-CN"/>
              </w:rPr>
              <w:t>S2□</w:t>
            </w:r>
          </w:p>
        </w:tc>
        <w:tc>
          <w:tcPr>
            <w:tcW w:w="0" w:type="auto"/>
            <w:tcBorders>
              <w:top w:val="single" w:color="auto" w:sz="4" w:space="0"/>
              <w:left w:val="single" w:color="auto" w:sz="4" w:space="0"/>
              <w:bottom w:val="single" w:color="auto" w:sz="4" w:space="0"/>
              <w:right w:val="nil"/>
            </w:tcBorders>
            <w:vAlign w:val="center"/>
          </w:tcPr>
          <w:p w14:paraId="7F32CDAB">
            <w:pPr>
              <w:jc w:val="center"/>
              <w:rPr>
                <w:snapToGrid w:val="0"/>
                <w:color w:val="auto"/>
                <w:sz w:val="18"/>
                <w:szCs w:val="20"/>
                <w:lang w:val="zh-CN"/>
              </w:rPr>
            </w:pPr>
            <w:r>
              <w:rPr>
                <w:snapToGrid w:val="0"/>
                <w:color w:val="auto"/>
                <w:sz w:val="18"/>
                <w:szCs w:val="20"/>
                <w:lang w:val="zh-CN"/>
              </w:rPr>
              <w:t>S3□</w:t>
            </w:r>
          </w:p>
        </w:tc>
      </w:tr>
      <w:tr w14:paraId="185CA97F">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33E78FA1">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C7EFADE">
            <w:pPr>
              <w:jc w:val="center"/>
              <w:rPr>
                <w:snapToGrid w:val="0"/>
                <w:color w:val="auto"/>
                <w:sz w:val="18"/>
                <w:szCs w:val="20"/>
                <w:lang w:val="zh-CN"/>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32F0C898">
            <w:pPr>
              <w:jc w:val="center"/>
              <w:rPr>
                <w:snapToGrid w:val="0"/>
                <w:color w:val="auto"/>
                <w:sz w:val="18"/>
                <w:szCs w:val="20"/>
                <w:lang w:val="zh-CN"/>
              </w:rPr>
            </w:pPr>
            <w:r>
              <w:rPr>
                <w:rFonts w:hint="eastAsia"/>
                <w:snapToGrid w:val="0"/>
                <w:color w:val="auto"/>
                <w:sz w:val="18"/>
                <w:szCs w:val="20"/>
                <w:lang w:val="zh-CN"/>
              </w:rPr>
              <w:t>地下水</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37EA6F8E">
            <w:pPr>
              <w:jc w:val="center"/>
              <w:rPr>
                <w:snapToGrid w:val="0"/>
                <w:color w:val="auto"/>
                <w:sz w:val="18"/>
                <w:szCs w:val="20"/>
                <w:lang w:val="zh-CN"/>
              </w:rPr>
            </w:pPr>
            <w:r>
              <w:rPr>
                <w:rFonts w:hint="eastAsia"/>
                <w:snapToGrid w:val="0"/>
                <w:color w:val="auto"/>
                <w:sz w:val="18"/>
                <w:szCs w:val="20"/>
                <w:lang w:val="zh-CN"/>
              </w:rPr>
              <w:t>地下水功能敏感性</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50052C57">
            <w:pPr>
              <w:jc w:val="center"/>
              <w:rPr>
                <w:snapToGrid w:val="0"/>
                <w:color w:val="auto"/>
                <w:sz w:val="18"/>
                <w:szCs w:val="20"/>
                <w:lang w:val="zh-CN"/>
              </w:rPr>
            </w:pPr>
            <w:r>
              <w:rPr>
                <w:snapToGrid w:val="0"/>
                <w:color w:val="auto"/>
                <w:sz w:val="18"/>
                <w:szCs w:val="20"/>
                <w:lang w:val="zh-CN"/>
              </w:rPr>
              <w:t>G1□</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78B58480">
            <w:pPr>
              <w:jc w:val="center"/>
              <w:rPr>
                <w:snapToGrid w:val="0"/>
                <w:color w:val="auto"/>
                <w:sz w:val="18"/>
                <w:szCs w:val="20"/>
                <w:lang w:val="zh-CN"/>
              </w:rPr>
            </w:pPr>
            <w:r>
              <w:rPr>
                <w:snapToGrid w:val="0"/>
                <w:color w:val="auto"/>
                <w:sz w:val="18"/>
                <w:szCs w:val="20"/>
                <w:lang w:val="zh-CN"/>
              </w:rPr>
              <w:t>G2□</w:t>
            </w:r>
          </w:p>
        </w:tc>
        <w:tc>
          <w:tcPr>
            <w:tcW w:w="0" w:type="auto"/>
            <w:tcBorders>
              <w:top w:val="single" w:color="auto" w:sz="4" w:space="0"/>
              <w:left w:val="single" w:color="auto" w:sz="4" w:space="0"/>
              <w:bottom w:val="single" w:color="auto" w:sz="4" w:space="0"/>
              <w:right w:val="nil"/>
            </w:tcBorders>
            <w:vAlign w:val="center"/>
          </w:tcPr>
          <w:p w14:paraId="2C40AC30">
            <w:pPr>
              <w:jc w:val="center"/>
              <w:rPr>
                <w:snapToGrid w:val="0"/>
                <w:color w:val="auto"/>
                <w:sz w:val="18"/>
                <w:szCs w:val="20"/>
                <w:lang w:val="zh-CN"/>
              </w:rPr>
            </w:pPr>
            <w:r>
              <w:rPr>
                <w:snapToGrid w:val="0"/>
                <w:color w:val="auto"/>
                <w:sz w:val="18"/>
                <w:szCs w:val="20"/>
                <w:lang w:val="zh-CN"/>
              </w:rPr>
              <w:t>G3□</w:t>
            </w:r>
          </w:p>
        </w:tc>
      </w:tr>
      <w:tr w14:paraId="5B52B4D9">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58584E28">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44AF325">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E2E4029">
            <w:pPr>
              <w:jc w:val="center"/>
              <w:rPr>
                <w:snapToGrid w:val="0"/>
                <w:color w:val="auto"/>
                <w:sz w:val="18"/>
                <w:szCs w:val="20"/>
                <w:lang w:val="zh-CN"/>
              </w:rPr>
            </w:pPr>
          </w:p>
        </w:tc>
        <w:tc>
          <w:tcPr>
            <w:tcW w:w="0" w:type="auto"/>
            <w:gridSpan w:val="5"/>
            <w:tcBorders>
              <w:top w:val="single" w:color="auto" w:sz="4" w:space="0"/>
              <w:left w:val="single" w:color="auto" w:sz="4" w:space="0"/>
              <w:bottom w:val="single" w:color="auto" w:sz="4" w:space="0"/>
              <w:right w:val="single" w:color="auto" w:sz="4" w:space="0"/>
            </w:tcBorders>
            <w:vAlign w:val="center"/>
          </w:tcPr>
          <w:p w14:paraId="3B4F08D3">
            <w:pPr>
              <w:jc w:val="center"/>
              <w:rPr>
                <w:snapToGrid w:val="0"/>
                <w:color w:val="auto"/>
                <w:sz w:val="18"/>
                <w:szCs w:val="20"/>
                <w:lang w:val="zh-CN"/>
              </w:rPr>
            </w:pPr>
            <w:r>
              <w:rPr>
                <w:rFonts w:hint="eastAsia"/>
                <w:snapToGrid w:val="0"/>
                <w:color w:val="auto"/>
                <w:sz w:val="18"/>
                <w:szCs w:val="20"/>
                <w:lang w:val="zh-CN"/>
              </w:rPr>
              <w:t>包气带防污性能</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1A668520">
            <w:pPr>
              <w:jc w:val="center"/>
              <w:rPr>
                <w:snapToGrid w:val="0"/>
                <w:color w:val="auto"/>
                <w:sz w:val="18"/>
                <w:szCs w:val="20"/>
                <w:lang w:val="zh-CN"/>
              </w:rPr>
            </w:pPr>
            <w:r>
              <w:rPr>
                <w:snapToGrid w:val="0"/>
                <w:color w:val="auto"/>
                <w:sz w:val="18"/>
                <w:szCs w:val="20"/>
                <w:lang w:val="zh-CN"/>
              </w:rPr>
              <w:t>D1□</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75224A60">
            <w:pPr>
              <w:jc w:val="center"/>
              <w:rPr>
                <w:snapToGrid w:val="0"/>
                <w:color w:val="auto"/>
                <w:sz w:val="18"/>
                <w:szCs w:val="20"/>
                <w:lang w:val="zh-CN"/>
              </w:rPr>
            </w:pPr>
            <w:r>
              <w:rPr>
                <w:snapToGrid w:val="0"/>
                <w:color w:val="auto"/>
                <w:sz w:val="18"/>
                <w:szCs w:val="20"/>
                <w:lang w:val="zh-CN"/>
              </w:rPr>
              <w:t>D2□</w:t>
            </w:r>
          </w:p>
        </w:tc>
        <w:tc>
          <w:tcPr>
            <w:tcW w:w="0" w:type="auto"/>
            <w:tcBorders>
              <w:top w:val="single" w:color="auto" w:sz="4" w:space="0"/>
              <w:left w:val="single" w:color="auto" w:sz="4" w:space="0"/>
              <w:bottom w:val="single" w:color="auto" w:sz="4" w:space="0"/>
              <w:right w:val="nil"/>
            </w:tcBorders>
            <w:vAlign w:val="center"/>
          </w:tcPr>
          <w:p w14:paraId="7100222D">
            <w:pPr>
              <w:jc w:val="center"/>
              <w:rPr>
                <w:snapToGrid w:val="0"/>
                <w:color w:val="auto"/>
                <w:sz w:val="18"/>
                <w:szCs w:val="20"/>
                <w:lang w:val="zh-CN"/>
              </w:rPr>
            </w:pPr>
            <w:r>
              <w:rPr>
                <w:snapToGrid w:val="0"/>
                <w:color w:val="auto"/>
                <w:sz w:val="18"/>
                <w:szCs w:val="20"/>
                <w:lang w:val="zh-CN"/>
              </w:rPr>
              <w:t>D3□</w:t>
            </w:r>
          </w:p>
        </w:tc>
      </w:tr>
      <w:tr w14:paraId="4D9BED25">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restart"/>
            <w:tcBorders>
              <w:top w:val="single" w:color="auto" w:sz="4" w:space="0"/>
              <w:left w:val="nil"/>
              <w:bottom w:val="single" w:color="auto" w:sz="4" w:space="0"/>
              <w:right w:val="single" w:color="auto" w:sz="4" w:space="0"/>
            </w:tcBorders>
            <w:vAlign w:val="center"/>
          </w:tcPr>
          <w:p w14:paraId="038352C4">
            <w:pPr>
              <w:jc w:val="center"/>
              <w:rPr>
                <w:snapToGrid w:val="0"/>
                <w:color w:val="auto"/>
                <w:sz w:val="18"/>
                <w:szCs w:val="20"/>
                <w:lang w:val="zh-CN"/>
              </w:rPr>
            </w:pPr>
            <w:r>
              <w:rPr>
                <w:rFonts w:hint="eastAsia"/>
                <w:snapToGrid w:val="0"/>
                <w:color w:val="auto"/>
                <w:sz w:val="18"/>
                <w:szCs w:val="20"/>
                <w:lang w:val="zh-CN"/>
              </w:rPr>
              <w:t>物质及工艺系统危险性</w:t>
            </w:r>
          </w:p>
        </w:tc>
        <w:tc>
          <w:tcPr>
            <w:tcW w:w="0" w:type="auto"/>
            <w:tcBorders>
              <w:top w:val="single" w:color="auto" w:sz="4" w:space="0"/>
              <w:left w:val="single" w:color="auto" w:sz="4" w:space="0"/>
              <w:bottom w:val="single" w:color="auto" w:sz="4" w:space="0"/>
              <w:right w:val="single" w:color="auto" w:sz="4" w:space="0"/>
            </w:tcBorders>
            <w:vAlign w:val="center"/>
          </w:tcPr>
          <w:p w14:paraId="5663AC50">
            <w:pPr>
              <w:jc w:val="center"/>
              <w:rPr>
                <w:snapToGrid w:val="0"/>
                <w:color w:val="auto"/>
                <w:sz w:val="18"/>
                <w:szCs w:val="20"/>
                <w:lang w:val="zh-CN"/>
              </w:rPr>
            </w:pPr>
            <w:r>
              <w:rPr>
                <w:snapToGrid w:val="0"/>
                <w:color w:val="auto"/>
                <w:sz w:val="18"/>
                <w:szCs w:val="20"/>
                <w:lang w:val="zh-CN"/>
              </w:rPr>
              <w:t>Q</w:t>
            </w:r>
            <w:r>
              <w:rPr>
                <w:rFonts w:hint="eastAsia"/>
                <w:snapToGrid w:val="0"/>
                <w:color w:val="auto"/>
                <w:sz w:val="18"/>
                <w:szCs w:val="20"/>
                <w:lang w:val="zh-CN"/>
              </w:rPr>
              <w:t>值</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091440E">
            <w:pPr>
              <w:jc w:val="center"/>
              <w:rPr>
                <w:snapToGrid w:val="0"/>
                <w:color w:val="auto"/>
                <w:sz w:val="18"/>
                <w:szCs w:val="20"/>
                <w:lang w:val="zh-CN"/>
              </w:rPr>
            </w:pPr>
            <w:r>
              <w:rPr>
                <w:snapToGrid w:val="0"/>
                <w:color w:val="auto"/>
                <w:sz w:val="18"/>
                <w:szCs w:val="20"/>
                <w:lang w:val="zh-CN"/>
              </w:rPr>
              <w:t>Q</w:t>
            </w:r>
            <w:r>
              <w:rPr>
                <w:rFonts w:hint="eastAsia"/>
                <w:snapToGrid w:val="0"/>
                <w:color w:val="auto"/>
                <w:sz w:val="18"/>
                <w:szCs w:val="20"/>
                <w:lang w:val="zh-CN"/>
              </w:rPr>
              <w:t>＜</w:t>
            </w:r>
            <w:r>
              <w:rPr>
                <w:snapToGrid w:val="0"/>
                <w:color w:val="auto"/>
                <w:sz w:val="18"/>
                <w:szCs w:val="20"/>
                <w:lang w:val="zh-CN"/>
              </w:rPr>
              <w:t>1</w:t>
            </w:r>
            <w:r>
              <w:rPr>
                <w:rFonts w:hint="eastAsia"/>
                <w:snapToGrid w:val="0"/>
                <w:color w:val="auto"/>
                <w:sz w:val="18"/>
                <w:szCs w:val="20"/>
                <w:lang w:val="zh-CN"/>
              </w:rPr>
              <w:t>☑</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55F29942">
            <w:pPr>
              <w:jc w:val="center"/>
              <w:rPr>
                <w:snapToGrid w:val="0"/>
                <w:color w:val="auto"/>
                <w:sz w:val="18"/>
                <w:szCs w:val="20"/>
                <w:lang w:val="zh-CN"/>
              </w:rPr>
            </w:pPr>
            <w:r>
              <w:rPr>
                <w:snapToGrid w:val="0"/>
                <w:color w:val="auto"/>
                <w:sz w:val="18"/>
                <w:szCs w:val="20"/>
                <w:lang w:val="zh-CN"/>
              </w:rPr>
              <w:t>1≤Q</w:t>
            </w:r>
            <w:r>
              <w:rPr>
                <w:rFonts w:hint="eastAsia"/>
                <w:snapToGrid w:val="0"/>
                <w:color w:val="auto"/>
                <w:sz w:val="18"/>
                <w:szCs w:val="20"/>
                <w:lang w:val="zh-CN"/>
              </w:rPr>
              <w:t>＜</w:t>
            </w:r>
            <w:r>
              <w:rPr>
                <w:snapToGrid w:val="0"/>
                <w:color w:val="auto"/>
                <w:sz w:val="18"/>
                <w:szCs w:val="20"/>
                <w:lang w:val="zh-CN"/>
              </w:rPr>
              <w:t>10□</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02E5BF4F">
            <w:pPr>
              <w:jc w:val="center"/>
              <w:rPr>
                <w:snapToGrid w:val="0"/>
                <w:color w:val="auto"/>
                <w:sz w:val="18"/>
                <w:szCs w:val="20"/>
                <w:lang w:val="zh-CN"/>
              </w:rPr>
            </w:pPr>
            <w:r>
              <w:rPr>
                <w:snapToGrid w:val="0"/>
                <w:color w:val="auto"/>
                <w:sz w:val="18"/>
                <w:szCs w:val="20"/>
                <w:lang w:val="zh-CN"/>
              </w:rPr>
              <w:t>10≤Q</w:t>
            </w:r>
            <w:r>
              <w:rPr>
                <w:rFonts w:hint="eastAsia"/>
                <w:snapToGrid w:val="0"/>
                <w:color w:val="auto"/>
                <w:sz w:val="18"/>
                <w:szCs w:val="20"/>
                <w:lang w:val="zh-CN"/>
              </w:rPr>
              <w:t>＜</w:t>
            </w:r>
            <w:r>
              <w:rPr>
                <w:snapToGrid w:val="0"/>
                <w:color w:val="auto"/>
                <w:sz w:val="18"/>
                <w:szCs w:val="20"/>
                <w:lang w:val="zh-CN"/>
              </w:rPr>
              <w:t>100□</w:t>
            </w:r>
          </w:p>
        </w:tc>
        <w:tc>
          <w:tcPr>
            <w:tcW w:w="0" w:type="auto"/>
            <w:tcBorders>
              <w:top w:val="single" w:color="auto" w:sz="4" w:space="0"/>
              <w:left w:val="single" w:color="auto" w:sz="4" w:space="0"/>
              <w:bottom w:val="single" w:color="auto" w:sz="4" w:space="0"/>
              <w:right w:val="nil"/>
            </w:tcBorders>
            <w:vAlign w:val="center"/>
          </w:tcPr>
          <w:p w14:paraId="05B66AF6">
            <w:pPr>
              <w:jc w:val="center"/>
              <w:rPr>
                <w:snapToGrid w:val="0"/>
                <w:color w:val="auto"/>
                <w:sz w:val="18"/>
                <w:szCs w:val="20"/>
                <w:lang w:val="zh-CN"/>
              </w:rPr>
            </w:pPr>
            <w:r>
              <w:rPr>
                <w:snapToGrid w:val="0"/>
                <w:color w:val="auto"/>
                <w:sz w:val="18"/>
                <w:szCs w:val="20"/>
                <w:lang w:val="zh-CN"/>
              </w:rPr>
              <w:t>Q</w:t>
            </w:r>
            <w:r>
              <w:rPr>
                <w:rFonts w:hint="eastAsia"/>
                <w:snapToGrid w:val="0"/>
                <w:color w:val="auto"/>
                <w:sz w:val="18"/>
                <w:szCs w:val="20"/>
                <w:lang w:val="zh-CN"/>
              </w:rPr>
              <w:t>＞</w:t>
            </w:r>
            <w:r>
              <w:rPr>
                <w:snapToGrid w:val="0"/>
                <w:color w:val="auto"/>
                <w:sz w:val="18"/>
                <w:szCs w:val="20"/>
                <w:lang w:val="zh-CN"/>
              </w:rPr>
              <w:t>100□</w:t>
            </w:r>
          </w:p>
        </w:tc>
      </w:tr>
      <w:tr w14:paraId="2C23A0F7">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continue"/>
            <w:tcBorders>
              <w:top w:val="single" w:color="auto" w:sz="4" w:space="0"/>
              <w:left w:val="nil"/>
              <w:bottom w:val="single" w:color="auto" w:sz="4" w:space="0"/>
              <w:right w:val="single" w:color="auto" w:sz="4" w:space="0"/>
            </w:tcBorders>
            <w:vAlign w:val="center"/>
          </w:tcPr>
          <w:p w14:paraId="068C53AD">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1E753A3F">
            <w:pPr>
              <w:jc w:val="center"/>
              <w:rPr>
                <w:snapToGrid w:val="0"/>
                <w:color w:val="auto"/>
                <w:sz w:val="18"/>
                <w:szCs w:val="20"/>
                <w:lang w:val="zh-CN"/>
              </w:rPr>
            </w:pPr>
            <w:r>
              <w:rPr>
                <w:snapToGrid w:val="0"/>
                <w:color w:val="auto"/>
                <w:sz w:val="18"/>
                <w:szCs w:val="20"/>
                <w:lang w:val="zh-CN"/>
              </w:rPr>
              <w:t>M</w:t>
            </w:r>
            <w:r>
              <w:rPr>
                <w:rFonts w:hint="eastAsia"/>
                <w:snapToGrid w:val="0"/>
                <w:color w:val="auto"/>
                <w:sz w:val="18"/>
                <w:szCs w:val="20"/>
                <w:lang w:val="zh-CN"/>
              </w:rPr>
              <w:t>值</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0308384">
            <w:pPr>
              <w:jc w:val="center"/>
              <w:rPr>
                <w:snapToGrid w:val="0"/>
                <w:color w:val="auto"/>
                <w:sz w:val="18"/>
                <w:szCs w:val="20"/>
                <w:lang w:val="zh-CN"/>
              </w:rPr>
            </w:pPr>
            <w:r>
              <w:rPr>
                <w:snapToGrid w:val="0"/>
                <w:color w:val="auto"/>
                <w:sz w:val="18"/>
                <w:szCs w:val="20"/>
                <w:lang w:val="zh-CN"/>
              </w:rPr>
              <w:t>M1□</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79A0D32D">
            <w:pPr>
              <w:jc w:val="center"/>
              <w:rPr>
                <w:snapToGrid w:val="0"/>
                <w:color w:val="auto"/>
                <w:sz w:val="18"/>
                <w:szCs w:val="20"/>
                <w:lang w:val="zh-CN"/>
              </w:rPr>
            </w:pPr>
            <w:r>
              <w:rPr>
                <w:snapToGrid w:val="0"/>
                <w:color w:val="auto"/>
                <w:sz w:val="18"/>
                <w:szCs w:val="20"/>
                <w:lang w:val="zh-CN"/>
              </w:rPr>
              <w:t>M2□</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79F49560">
            <w:pPr>
              <w:jc w:val="center"/>
              <w:rPr>
                <w:snapToGrid w:val="0"/>
                <w:color w:val="auto"/>
                <w:sz w:val="18"/>
                <w:szCs w:val="20"/>
                <w:lang w:val="zh-CN"/>
              </w:rPr>
            </w:pPr>
            <w:r>
              <w:rPr>
                <w:snapToGrid w:val="0"/>
                <w:color w:val="auto"/>
                <w:sz w:val="18"/>
                <w:szCs w:val="20"/>
                <w:lang w:val="zh-CN"/>
              </w:rPr>
              <w:t>M3□</w:t>
            </w:r>
          </w:p>
        </w:tc>
        <w:tc>
          <w:tcPr>
            <w:tcW w:w="0" w:type="auto"/>
            <w:tcBorders>
              <w:top w:val="single" w:color="auto" w:sz="4" w:space="0"/>
              <w:left w:val="single" w:color="auto" w:sz="4" w:space="0"/>
              <w:bottom w:val="single" w:color="auto" w:sz="4" w:space="0"/>
              <w:right w:val="nil"/>
            </w:tcBorders>
            <w:vAlign w:val="center"/>
          </w:tcPr>
          <w:p w14:paraId="493B9F61">
            <w:pPr>
              <w:jc w:val="center"/>
              <w:rPr>
                <w:snapToGrid w:val="0"/>
                <w:color w:val="auto"/>
                <w:sz w:val="18"/>
                <w:szCs w:val="20"/>
                <w:lang w:val="zh-CN"/>
              </w:rPr>
            </w:pPr>
            <w:r>
              <w:rPr>
                <w:snapToGrid w:val="0"/>
                <w:color w:val="auto"/>
                <w:sz w:val="18"/>
                <w:szCs w:val="20"/>
                <w:lang w:val="zh-CN"/>
              </w:rPr>
              <w:t>M4□</w:t>
            </w:r>
          </w:p>
        </w:tc>
      </w:tr>
      <w:tr w14:paraId="40C5082B">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continue"/>
            <w:tcBorders>
              <w:top w:val="single" w:color="auto" w:sz="4" w:space="0"/>
              <w:left w:val="nil"/>
              <w:bottom w:val="single" w:color="auto" w:sz="4" w:space="0"/>
              <w:right w:val="single" w:color="auto" w:sz="4" w:space="0"/>
            </w:tcBorders>
            <w:vAlign w:val="center"/>
          </w:tcPr>
          <w:p w14:paraId="07CFB2F5">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2DB56D77">
            <w:pPr>
              <w:jc w:val="center"/>
              <w:rPr>
                <w:snapToGrid w:val="0"/>
                <w:color w:val="auto"/>
                <w:sz w:val="18"/>
                <w:szCs w:val="20"/>
                <w:lang w:val="zh-CN"/>
              </w:rPr>
            </w:pPr>
            <w:r>
              <w:rPr>
                <w:snapToGrid w:val="0"/>
                <w:color w:val="auto"/>
                <w:sz w:val="18"/>
                <w:szCs w:val="20"/>
                <w:lang w:val="zh-CN"/>
              </w:rPr>
              <w:t>P</w:t>
            </w:r>
            <w:r>
              <w:rPr>
                <w:rFonts w:hint="eastAsia"/>
                <w:snapToGrid w:val="0"/>
                <w:color w:val="auto"/>
                <w:sz w:val="18"/>
                <w:szCs w:val="20"/>
                <w:lang w:val="zh-CN"/>
              </w:rPr>
              <w:t>值</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5400C72">
            <w:pPr>
              <w:jc w:val="center"/>
              <w:rPr>
                <w:snapToGrid w:val="0"/>
                <w:color w:val="auto"/>
                <w:sz w:val="18"/>
                <w:szCs w:val="20"/>
                <w:lang w:val="zh-CN"/>
              </w:rPr>
            </w:pPr>
            <w:r>
              <w:rPr>
                <w:snapToGrid w:val="0"/>
                <w:color w:val="auto"/>
                <w:sz w:val="18"/>
                <w:szCs w:val="20"/>
                <w:lang w:val="zh-CN"/>
              </w:rPr>
              <w:t>P1□</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37B199B4">
            <w:pPr>
              <w:jc w:val="center"/>
              <w:rPr>
                <w:snapToGrid w:val="0"/>
                <w:color w:val="auto"/>
                <w:sz w:val="18"/>
                <w:szCs w:val="20"/>
                <w:lang w:val="zh-CN"/>
              </w:rPr>
            </w:pPr>
            <w:r>
              <w:rPr>
                <w:snapToGrid w:val="0"/>
                <w:color w:val="auto"/>
                <w:sz w:val="18"/>
                <w:szCs w:val="20"/>
                <w:lang w:val="zh-CN"/>
              </w:rPr>
              <w:t>P2□</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0161EC26">
            <w:pPr>
              <w:jc w:val="center"/>
              <w:rPr>
                <w:snapToGrid w:val="0"/>
                <w:color w:val="auto"/>
                <w:sz w:val="18"/>
                <w:szCs w:val="20"/>
                <w:lang w:val="zh-CN"/>
              </w:rPr>
            </w:pPr>
            <w:r>
              <w:rPr>
                <w:snapToGrid w:val="0"/>
                <w:color w:val="auto"/>
                <w:sz w:val="18"/>
                <w:szCs w:val="20"/>
                <w:lang w:val="zh-CN"/>
              </w:rPr>
              <w:t>P3□</w:t>
            </w:r>
          </w:p>
        </w:tc>
        <w:tc>
          <w:tcPr>
            <w:tcW w:w="0" w:type="auto"/>
            <w:tcBorders>
              <w:top w:val="single" w:color="auto" w:sz="4" w:space="0"/>
              <w:left w:val="single" w:color="auto" w:sz="4" w:space="0"/>
              <w:bottom w:val="single" w:color="auto" w:sz="4" w:space="0"/>
              <w:right w:val="nil"/>
            </w:tcBorders>
            <w:vAlign w:val="center"/>
          </w:tcPr>
          <w:p w14:paraId="6B48B494">
            <w:pPr>
              <w:jc w:val="center"/>
              <w:rPr>
                <w:snapToGrid w:val="0"/>
                <w:color w:val="auto"/>
                <w:sz w:val="18"/>
                <w:szCs w:val="20"/>
                <w:lang w:val="zh-CN"/>
              </w:rPr>
            </w:pPr>
            <w:r>
              <w:rPr>
                <w:snapToGrid w:val="0"/>
                <w:color w:val="auto"/>
                <w:sz w:val="18"/>
                <w:szCs w:val="20"/>
                <w:lang w:val="zh-CN"/>
              </w:rPr>
              <w:t>P4□</w:t>
            </w:r>
          </w:p>
        </w:tc>
      </w:tr>
      <w:tr w14:paraId="18E6E27D">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restart"/>
            <w:tcBorders>
              <w:top w:val="single" w:color="auto" w:sz="4" w:space="0"/>
              <w:left w:val="nil"/>
              <w:bottom w:val="single" w:color="auto" w:sz="4" w:space="0"/>
              <w:right w:val="single" w:color="auto" w:sz="4" w:space="0"/>
            </w:tcBorders>
            <w:vAlign w:val="center"/>
          </w:tcPr>
          <w:p w14:paraId="069EB035">
            <w:pPr>
              <w:jc w:val="center"/>
              <w:rPr>
                <w:snapToGrid w:val="0"/>
                <w:color w:val="auto"/>
                <w:sz w:val="18"/>
                <w:szCs w:val="20"/>
                <w:lang w:val="zh-CN"/>
              </w:rPr>
            </w:pPr>
            <w:r>
              <w:rPr>
                <w:rFonts w:hint="eastAsia"/>
                <w:snapToGrid w:val="0"/>
                <w:color w:val="auto"/>
                <w:sz w:val="18"/>
                <w:szCs w:val="20"/>
                <w:lang w:val="zh-CN"/>
              </w:rPr>
              <w:t>环境敏感程度</w:t>
            </w:r>
          </w:p>
        </w:tc>
        <w:tc>
          <w:tcPr>
            <w:tcW w:w="0" w:type="auto"/>
            <w:tcBorders>
              <w:top w:val="single" w:color="auto" w:sz="4" w:space="0"/>
              <w:left w:val="single" w:color="auto" w:sz="4" w:space="0"/>
              <w:bottom w:val="single" w:color="auto" w:sz="4" w:space="0"/>
              <w:right w:val="single" w:color="auto" w:sz="4" w:space="0"/>
            </w:tcBorders>
            <w:vAlign w:val="center"/>
          </w:tcPr>
          <w:p w14:paraId="12E89C00">
            <w:pPr>
              <w:jc w:val="center"/>
              <w:rPr>
                <w:snapToGrid w:val="0"/>
                <w:color w:val="auto"/>
                <w:sz w:val="18"/>
                <w:szCs w:val="20"/>
                <w:lang w:val="zh-CN"/>
              </w:rPr>
            </w:pPr>
            <w:r>
              <w:rPr>
                <w:rFonts w:hint="eastAsia"/>
                <w:snapToGrid w:val="0"/>
                <w:color w:val="auto"/>
                <w:sz w:val="18"/>
                <w:szCs w:val="20"/>
                <w:lang w:val="zh-CN"/>
              </w:rPr>
              <w:t>大气</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CC1D675">
            <w:pPr>
              <w:jc w:val="center"/>
              <w:rPr>
                <w:snapToGrid w:val="0"/>
                <w:color w:val="auto"/>
                <w:sz w:val="18"/>
                <w:szCs w:val="20"/>
                <w:lang w:val="zh-CN"/>
              </w:rPr>
            </w:pPr>
            <w:r>
              <w:rPr>
                <w:snapToGrid w:val="0"/>
                <w:color w:val="auto"/>
                <w:sz w:val="18"/>
                <w:szCs w:val="20"/>
                <w:lang w:val="zh-CN"/>
              </w:rPr>
              <w:t>E1□</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29B87711">
            <w:pPr>
              <w:jc w:val="center"/>
              <w:rPr>
                <w:snapToGrid w:val="0"/>
                <w:color w:val="auto"/>
                <w:sz w:val="18"/>
                <w:szCs w:val="20"/>
                <w:lang w:val="zh-CN"/>
              </w:rPr>
            </w:pPr>
            <w:r>
              <w:rPr>
                <w:snapToGrid w:val="0"/>
                <w:color w:val="auto"/>
                <w:sz w:val="18"/>
                <w:szCs w:val="20"/>
                <w:lang w:val="zh-CN"/>
              </w:rPr>
              <w:t>E2□</w:t>
            </w:r>
          </w:p>
        </w:tc>
        <w:tc>
          <w:tcPr>
            <w:tcW w:w="0" w:type="auto"/>
            <w:gridSpan w:val="5"/>
            <w:tcBorders>
              <w:top w:val="single" w:color="auto" w:sz="4" w:space="0"/>
              <w:left w:val="single" w:color="auto" w:sz="4" w:space="0"/>
              <w:bottom w:val="single" w:color="auto" w:sz="4" w:space="0"/>
              <w:right w:val="nil"/>
            </w:tcBorders>
            <w:vAlign w:val="center"/>
          </w:tcPr>
          <w:p w14:paraId="19774D80">
            <w:pPr>
              <w:jc w:val="center"/>
              <w:rPr>
                <w:snapToGrid w:val="0"/>
                <w:color w:val="auto"/>
                <w:sz w:val="18"/>
                <w:szCs w:val="20"/>
                <w:lang w:val="zh-CN"/>
              </w:rPr>
            </w:pPr>
            <w:r>
              <w:rPr>
                <w:snapToGrid w:val="0"/>
                <w:color w:val="auto"/>
                <w:sz w:val="18"/>
                <w:szCs w:val="20"/>
                <w:lang w:val="zh-CN"/>
              </w:rPr>
              <w:t>E3□</w:t>
            </w:r>
          </w:p>
        </w:tc>
      </w:tr>
      <w:tr w14:paraId="47D5498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continue"/>
            <w:tcBorders>
              <w:top w:val="single" w:color="auto" w:sz="4" w:space="0"/>
              <w:left w:val="nil"/>
              <w:bottom w:val="single" w:color="auto" w:sz="4" w:space="0"/>
              <w:right w:val="single" w:color="auto" w:sz="4" w:space="0"/>
            </w:tcBorders>
            <w:vAlign w:val="center"/>
          </w:tcPr>
          <w:p w14:paraId="20896B68">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1E5304F1">
            <w:pPr>
              <w:jc w:val="center"/>
              <w:rPr>
                <w:snapToGrid w:val="0"/>
                <w:color w:val="auto"/>
                <w:sz w:val="18"/>
                <w:szCs w:val="20"/>
                <w:lang w:val="zh-CN"/>
              </w:rPr>
            </w:pPr>
            <w:r>
              <w:rPr>
                <w:rFonts w:hint="eastAsia"/>
                <w:snapToGrid w:val="0"/>
                <w:color w:val="auto"/>
                <w:sz w:val="18"/>
                <w:szCs w:val="20"/>
                <w:lang w:val="zh-CN"/>
              </w:rPr>
              <w:t>地表水</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47166F8">
            <w:pPr>
              <w:jc w:val="center"/>
              <w:rPr>
                <w:snapToGrid w:val="0"/>
                <w:color w:val="auto"/>
                <w:sz w:val="18"/>
                <w:szCs w:val="20"/>
                <w:lang w:val="zh-CN"/>
              </w:rPr>
            </w:pPr>
            <w:r>
              <w:rPr>
                <w:snapToGrid w:val="0"/>
                <w:color w:val="auto"/>
                <w:sz w:val="18"/>
                <w:szCs w:val="20"/>
                <w:lang w:val="zh-CN"/>
              </w:rPr>
              <w:t>E1□</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378BFBF8">
            <w:pPr>
              <w:jc w:val="center"/>
              <w:rPr>
                <w:snapToGrid w:val="0"/>
                <w:color w:val="auto"/>
                <w:sz w:val="18"/>
                <w:szCs w:val="20"/>
                <w:lang w:val="zh-CN"/>
              </w:rPr>
            </w:pPr>
            <w:r>
              <w:rPr>
                <w:snapToGrid w:val="0"/>
                <w:color w:val="auto"/>
                <w:sz w:val="18"/>
                <w:szCs w:val="20"/>
                <w:lang w:val="zh-CN"/>
              </w:rPr>
              <w:t>E2□</w:t>
            </w:r>
          </w:p>
        </w:tc>
        <w:tc>
          <w:tcPr>
            <w:tcW w:w="0" w:type="auto"/>
            <w:gridSpan w:val="5"/>
            <w:tcBorders>
              <w:top w:val="single" w:color="auto" w:sz="4" w:space="0"/>
              <w:left w:val="single" w:color="auto" w:sz="4" w:space="0"/>
              <w:bottom w:val="single" w:color="auto" w:sz="4" w:space="0"/>
              <w:right w:val="nil"/>
            </w:tcBorders>
            <w:vAlign w:val="center"/>
          </w:tcPr>
          <w:p w14:paraId="2D96CC20">
            <w:pPr>
              <w:jc w:val="center"/>
              <w:rPr>
                <w:snapToGrid w:val="0"/>
                <w:color w:val="auto"/>
                <w:sz w:val="18"/>
                <w:szCs w:val="20"/>
                <w:lang w:val="zh-CN"/>
              </w:rPr>
            </w:pPr>
            <w:r>
              <w:rPr>
                <w:snapToGrid w:val="0"/>
                <w:color w:val="auto"/>
                <w:sz w:val="18"/>
                <w:szCs w:val="20"/>
                <w:lang w:val="zh-CN"/>
              </w:rPr>
              <w:t>E3□</w:t>
            </w:r>
          </w:p>
        </w:tc>
      </w:tr>
      <w:tr w14:paraId="5CC5B7A5">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vMerge w:val="continue"/>
            <w:tcBorders>
              <w:top w:val="single" w:color="auto" w:sz="4" w:space="0"/>
              <w:left w:val="nil"/>
              <w:bottom w:val="single" w:color="auto" w:sz="4" w:space="0"/>
              <w:right w:val="single" w:color="auto" w:sz="4" w:space="0"/>
            </w:tcBorders>
            <w:vAlign w:val="center"/>
          </w:tcPr>
          <w:p w14:paraId="51916B39">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26755BDB">
            <w:pPr>
              <w:jc w:val="center"/>
              <w:rPr>
                <w:snapToGrid w:val="0"/>
                <w:color w:val="auto"/>
                <w:sz w:val="18"/>
                <w:szCs w:val="20"/>
                <w:lang w:val="zh-CN"/>
              </w:rPr>
            </w:pPr>
            <w:r>
              <w:rPr>
                <w:rFonts w:hint="eastAsia"/>
                <w:snapToGrid w:val="0"/>
                <w:color w:val="auto"/>
                <w:sz w:val="18"/>
                <w:szCs w:val="20"/>
                <w:lang w:val="zh-CN"/>
              </w:rPr>
              <w:t>地下水</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0071D7DA">
            <w:pPr>
              <w:jc w:val="center"/>
              <w:rPr>
                <w:snapToGrid w:val="0"/>
                <w:color w:val="auto"/>
                <w:sz w:val="18"/>
                <w:szCs w:val="20"/>
                <w:lang w:val="zh-CN"/>
              </w:rPr>
            </w:pPr>
            <w:r>
              <w:rPr>
                <w:snapToGrid w:val="0"/>
                <w:color w:val="auto"/>
                <w:sz w:val="18"/>
                <w:szCs w:val="20"/>
                <w:lang w:val="zh-CN"/>
              </w:rPr>
              <w:t>E1□</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24A19377">
            <w:pPr>
              <w:jc w:val="center"/>
              <w:rPr>
                <w:snapToGrid w:val="0"/>
                <w:color w:val="auto"/>
                <w:sz w:val="18"/>
                <w:szCs w:val="20"/>
                <w:lang w:val="zh-CN"/>
              </w:rPr>
            </w:pPr>
            <w:r>
              <w:rPr>
                <w:snapToGrid w:val="0"/>
                <w:color w:val="auto"/>
                <w:sz w:val="18"/>
                <w:szCs w:val="20"/>
                <w:lang w:val="zh-CN"/>
              </w:rPr>
              <w:t>E2□</w:t>
            </w:r>
          </w:p>
        </w:tc>
        <w:tc>
          <w:tcPr>
            <w:tcW w:w="0" w:type="auto"/>
            <w:gridSpan w:val="5"/>
            <w:tcBorders>
              <w:top w:val="single" w:color="auto" w:sz="4" w:space="0"/>
              <w:left w:val="single" w:color="auto" w:sz="4" w:space="0"/>
              <w:bottom w:val="single" w:color="auto" w:sz="4" w:space="0"/>
              <w:right w:val="nil"/>
            </w:tcBorders>
            <w:vAlign w:val="center"/>
          </w:tcPr>
          <w:p w14:paraId="7CDF2F0C">
            <w:pPr>
              <w:jc w:val="center"/>
              <w:rPr>
                <w:snapToGrid w:val="0"/>
                <w:color w:val="auto"/>
                <w:sz w:val="18"/>
                <w:szCs w:val="20"/>
                <w:lang w:val="zh-CN"/>
              </w:rPr>
            </w:pPr>
            <w:r>
              <w:rPr>
                <w:snapToGrid w:val="0"/>
                <w:color w:val="auto"/>
                <w:sz w:val="18"/>
                <w:szCs w:val="20"/>
                <w:lang w:val="zh-CN"/>
              </w:rPr>
              <w:t>E3□</w:t>
            </w:r>
          </w:p>
        </w:tc>
      </w:tr>
      <w:tr w14:paraId="65A289ED">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auto" w:sz="4" w:space="0"/>
              <w:left w:val="nil"/>
              <w:bottom w:val="single" w:color="auto" w:sz="4" w:space="0"/>
              <w:right w:val="single" w:color="auto" w:sz="4" w:space="0"/>
            </w:tcBorders>
            <w:vAlign w:val="center"/>
          </w:tcPr>
          <w:p w14:paraId="1B7004D0">
            <w:pPr>
              <w:jc w:val="center"/>
              <w:rPr>
                <w:snapToGrid w:val="0"/>
                <w:color w:val="auto"/>
                <w:sz w:val="18"/>
                <w:szCs w:val="20"/>
                <w:lang w:val="zh-CN"/>
              </w:rPr>
            </w:pPr>
            <w:r>
              <w:rPr>
                <w:rFonts w:hint="eastAsia"/>
                <w:snapToGrid w:val="0"/>
                <w:color w:val="auto"/>
                <w:sz w:val="18"/>
                <w:szCs w:val="20"/>
                <w:lang w:val="zh-CN"/>
              </w:rPr>
              <w:t>环境风险潜势</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29AEDB52">
            <w:pPr>
              <w:jc w:val="center"/>
              <w:rPr>
                <w:snapToGrid w:val="0"/>
                <w:color w:val="auto"/>
                <w:sz w:val="18"/>
                <w:szCs w:val="20"/>
                <w:lang w:val="zh-CN"/>
              </w:rPr>
            </w:pPr>
            <w:r>
              <w:rPr>
                <w:snapToGrid w:val="0"/>
                <w:color w:val="auto"/>
                <w:sz w:val="18"/>
                <w:szCs w:val="20"/>
                <w:lang w:val="zh-CN"/>
              </w:rPr>
              <w:t>Ⅳ</w:t>
            </w:r>
            <w:r>
              <w:rPr>
                <w:snapToGrid w:val="0"/>
                <w:color w:val="auto"/>
                <w:sz w:val="18"/>
                <w:szCs w:val="20"/>
                <w:vertAlign w:val="superscript"/>
                <w:lang w:val="zh-CN"/>
              </w:rPr>
              <w:t>+</w:t>
            </w:r>
            <w:r>
              <w:rPr>
                <w:snapToGrid w:val="0"/>
                <w:color w:val="auto"/>
                <w:sz w:val="18"/>
                <w:szCs w:val="20"/>
                <w:lang w:val="zh-CN"/>
              </w:rPr>
              <w:t>□</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5C1834A8">
            <w:pPr>
              <w:jc w:val="center"/>
              <w:rPr>
                <w:snapToGrid w:val="0"/>
                <w:color w:val="auto"/>
                <w:sz w:val="18"/>
                <w:szCs w:val="20"/>
                <w:lang w:val="zh-CN"/>
              </w:rPr>
            </w:pPr>
            <w:r>
              <w:rPr>
                <w:snapToGrid w:val="0"/>
                <w:color w:val="auto"/>
                <w:sz w:val="18"/>
                <w:szCs w:val="20"/>
                <w:lang w:val="zh-CN"/>
              </w:rPr>
              <w:t>Ⅳ□</w:t>
            </w:r>
          </w:p>
        </w:tc>
        <w:tc>
          <w:tcPr>
            <w:tcW w:w="0" w:type="auto"/>
            <w:gridSpan w:val="2"/>
            <w:tcBorders>
              <w:top w:val="single" w:color="auto" w:sz="4" w:space="0"/>
              <w:left w:val="single" w:color="auto" w:sz="4" w:space="0"/>
              <w:bottom w:val="single" w:color="auto" w:sz="4" w:space="0"/>
              <w:right w:val="single" w:color="auto" w:sz="4" w:space="0"/>
            </w:tcBorders>
            <w:vAlign w:val="center"/>
          </w:tcPr>
          <w:p w14:paraId="48D45344">
            <w:pPr>
              <w:jc w:val="center"/>
              <w:rPr>
                <w:snapToGrid w:val="0"/>
                <w:color w:val="auto"/>
                <w:sz w:val="18"/>
                <w:szCs w:val="20"/>
                <w:lang w:val="zh-CN"/>
              </w:rPr>
            </w:pPr>
            <w:r>
              <w:rPr>
                <w:snapToGrid w:val="0"/>
                <w:color w:val="auto"/>
                <w:sz w:val="18"/>
                <w:szCs w:val="20"/>
                <w:lang w:val="zh-CN"/>
              </w:rPr>
              <w:t>Ⅲ□</w:t>
            </w:r>
          </w:p>
        </w:tc>
        <w:tc>
          <w:tcPr>
            <w:tcW w:w="0" w:type="auto"/>
            <w:gridSpan w:val="4"/>
            <w:tcBorders>
              <w:top w:val="single" w:color="auto" w:sz="4" w:space="0"/>
              <w:left w:val="single" w:color="auto" w:sz="4" w:space="0"/>
              <w:bottom w:val="single" w:color="auto" w:sz="4" w:space="0"/>
              <w:right w:val="single" w:color="auto" w:sz="4" w:space="0"/>
            </w:tcBorders>
            <w:vAlign w:val="center"/>
          </w:tcPr>
          <w:p w14:paraId="690EA7DE">
            <w:pPr>
              <w:jc w:val="center"/>
              <w:rPr>
                <w:snapToGrid w:val="0"/>
                <w:color w:val="auto"/>
                <w:sz w:val="18"/>
                <w:szCs w:val="20"/>
                <w:lang w:val="zh-CN"/>
              </w:rPr>
            </w:pPr>
            <w:r>
              <w:rPr>
                <w:snapToGrid w:val="0"/>
                <w:color w:val="auto"/>
                <w:sz w:val="18"/>
                <w:szCs w:val="20"/>
                <w:lang w:val="zh-CN"/>
              </w:rPr>
              <w:t>Ⅱ□</w:t>
            </w:r>
          </w:p>
        </w:tc>
        <w:tc>
          <w:tcPr>
            <w:tcW w:w="0" w:type="auto"/>
            <w:gridSpan w:val="2"/>
            <w:tcBorders>
              <w:top w:val="single" w:color="auto" w:sz="4" w:space="0"/>
              <w:left w:val="single" w:color="auto" w:sz="4" w:space="0"/>
              <w:bottom w:val="single" w:color="auto" w:sz="4" w:space="0"/>
              <w:right w:val="nil"/>
            </w:tcBorders>
            <w:vAlign w:val="center"/>
          </w:tcPr>
          <w:p w14:paraId="0FEB14E8">
            <w:pPr>
              <w:jc w:val="center"/>
              <w:rPr>
                <w:snapToGrid w:val="0"/>
                <w:color w:val="auto"/>
                <w:sz w:val="18"/>
                <w:szCs w:val="20"/>
                <w:lang w:val="zh-CN"/>
              </w:rPr>
            </w:pPr>
            <w:r>
              <w:rPr>
                <w:snapToGrid w:val="0"/>
                <w:color w:val="auto"/>
                <w:sz w:val="18"/>
                <w:szCs w:val="20"/>
                <w:lang w:val="zh-CN"/>
              </w:rPr>
              <w:t>I</w:t>
            </w:r>
            <w:r>
              <w:rPr>
                <w:rFonts w:hint="eastAsia" w:eastAsia="仿宋"/>
                <w:snapToGrid w:val="0"/>
                <w:color w:val="auto"/>
                <w:sz w:val="18"/>
                <w:szCs w:val="20"/>
                <w:lang w:val="zh-CN"/>
              </w:rPr>
              <w:t>√</w:t>
            </w:r>
          </w:p>
        </w:tc>
      </w:tr>
      <w:tr w14:paraId="07453397">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auto" w:sz="4" w:space="0"/>
              <w:left w:val="nil"/>
              <w:bottom w:val="single" w:color="auto" w:sz="4" w:space="0"/>
              <w:right w:val="single" w:color="auto" w:sz="4" w:space="0"/>
            </w:tcBorders>
            <w:vAlign w:val="center"/>
          </w:tcPr>
          <w:p w14:paraId="27E7C3F8">
            <w:pPr>
              <w:jc w:val="center"/>
              <w:rPr>
                <w:snapToGrid w:val="0"/>
                <w:color w:val="auto"/>
                <w:sz w:val="18"/>
                <w:szCs w:val="20"/>
                <w:lang w:val="zh-CN"/>
              </w:rPr>
            </w:pPr>
            <w:r>
              <w:rPr>
                <w:rFonts w:hint="eastAsia"/>
                <w:snapToGrid w:val="0"/>
                <w:color w:val="auto"/>
                <w:sz w:val="18"/>
                <w:szCs w:val="20"/>
                <w:lang w:val="zh-CN"/>
              </w:rPr>
              <w:t>评价等级</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63A59713">
            <w:pPr>
              <w:jc w:val="center"/>
              <w:rPr>
                <w:snapToGrid w:val="0"/>
                <w:color w:val="auto"/>
                <w:sz w:val="18"/>
                <w:szCs w:val="20"/>
                <w:lang w:val="zh-CN"/>
              </w:rPr>
            </w:pPr>
            <w:r>
              <w:rPr>
                <w:rFonts w:hint="eastAsia"/>
                <w:snapToGrid w:val="0"/>
                <w:color w:val="auto"/>
                <w:sz w:val="18"/>
                <w:szCs w:val="20"/>
                <w:lang w:val="zh-CN"/>
              </w:rPr>
              <w:t>一级</w:t>
            </w:r>
            <w:r>
              <w:rPr>
                <w:snapToGrid w:val="0"/>
                <w:color w:val="auto"/>
                <w:sz w:val="18"/>
                <w:szCs w:val="20"/>
                <w:lang w:val="zh-CN"/>
              </w:rPr>
              <w:t>□</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19913E95">
            <w:pPr>
              <w:jc w:val="center"/>
              <w:rPr>
                <w:snapToGrid w:val="0"/>
                <w:color w:val="auto"/>
                <w:sz w:val="18"/>
                <w:szCs w:val="20"/>
                <w:lang w:val="zh-CN"/>
              </w:rPr>
            </w:pPr>
            <w:r>
              <w:rPr>
                <w:rFonts w:hint="eastAsia"/>
                <w:snapToGrid w:val="0"/>
                <w:color w:val="auto"/>
                <w:sz w:val="18"/>
                <w:szCs w:val="20"/>
                <w:lang w:val="zh-CN"/>
              </w:rPr>
              <w:t>二级</w:t>
            </w:r>
            <w:r>
              <w:rPr>
                <w:snapToGrid w:val="0"/>
                <w:color w:val="auto"/>
                <w:sz w:val="18"/>
                <w:szCs w:val="20"/>
                <w:lang w:val="zh-CN"/>
              </w:rPr>
              <w:t>□</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2F0C9633">
            <w:pPr>
              <w:jc w:val="center"/>
              <w:rPr>
                <w:snapToGrid w:val="0"/>
                <w:color w:val="auto"/>
                <w:sz w:val="18"/>
                <w:szCs w:val="20"/>
                <w:lang w:val="zh-CN"/>
              </w:rPr>
            </w:pPr>
            <w:r>
              <w:rPr>
                <w:rFonts w:hint="eastAsia"/>
                <w:snapToGrid w:val="0"/>
                <w:color w:val="auto"/>
                <w:sz w:val="18"/>
                <w:szCs w:val="20"/>
                <w:lang w:val="zh-CN"/>
              </w:rPr>
              <w:t>三级</w:t>
            </w:r>
            <w:r>
              <w:rPr>
                <w:snapToGrid w:val="0"/>
                <w:color w:val="auto"/>
                <w:sz w:val="18"/>
                <w:szCs w:val="20"/>
                <w:lang w:val="zh-CN"/>
              </w:rPr>
              <w:t>□</w:t>
            </w:r>
          </w:p>
        </w:tc>
        <w:tc>
          <w:tcPr>
            <w:tcW w:w="0" w:type="auto"/>
            <w:gridSpan w:val="3"/>
            <w:tcBorders>
              <w:top w:val="single" w:color="auto" w:sz="4" w:space="0"/>
              <w:left w:val="single" w:color="auto" w:sz="4" w:space="0"/>
              <w:bottom w:val="single" w:color="auto" w:sz="4" w:space="0"/>
              <w:right w:val="nil"/>
            </w:tcBorders>
            <w:vAlign w:val="center"/>
          </w:tcPr>
          <w:p w14:paraId="5C0A8597">
            <w:pPr>
              <w:jc w:val="center"/>
              <w:rPr>
                <w:snapToGrid w:val="0"/>
                <w:color w:val="auto"/>
                <w:sz w:val="18"/>
                <w:szCs w:val="20"/>
                <w:lang w:val="zh-CN"/>
              </w:rPr>
            </w:pPr>
            <w:r>
              <w:rPr>
                <w:rFonts w:hint="eastAsia"/>
                <w:snapToGrid w:val="0"/>
                <w:color w:val="auto"/>
                <w:sz w:val="18"/>
                <w:szCs w:val="20"/>
                <w:lang w:val="zh-CN"/>
              </w:rPr>
              <w:t>简单分析</w:t>
            </w:r>
            <w:r>
              <w:rPr>
                <w:rFonts w:hint="eastAsia" w:eastAsia="仿宋"/>
                <w:snapToGrid w:val="0"/>
                <w:color w:val="auto"/>
                <w:sz w:val="18"/>
                <w:szCs w:val="20"/>
                <w:lang w:val="zh-CN"/>
              </w:rPr>
              <w:t>√</w:t>
            </w:r>
          </w:p>
        </w:tc>
      </w:tr>
      <w:tr w14:paraId="1C9A97BD">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4A553089">
            <w:pPr>
              <w:jc w:val="center"/>
              <w:rPr>
                <w:snapToGrid w:val="0"/>
                <w:color w:val="auto"/>
                <w:sz w:val="18"/>
                <w:szCs w:val="20"/>
                <w:lang w:val="zh-CN"/>
              </w:rPr>
            </w:pPr>
            <w:r>
              <w:rPr>
                <w:rFonts w:hint="eastAsia"/>
                <w:snapToGrid w:val="0"/>
                <w:color w:val="auto"/>
                <w:sz w:val="18"/>
                <w:szCs w:val="20"/>
                <w:lang w:val="zh-CN"/>
              </w:rPr>
              <w:t>风</w:t>
            </w:r>
          </w:p>
          <w:p w14:paraId="776D9023">
            <w:pPr>
              <w:jc w:val="center"/>
              <w:rPr>
                <w:snapToGrid w:val="0"/>
                <w:color w:val="auto"/>
                <w:sz w:val="18"/>
                <w:szCs w:val="20"/>
                <w:lang w:val="zh-CN"/>
              </w:rPr>
            </w:pPr>
            <w:r>
              <w:rPr>
                <w:rFonts w:hint="eastAsia"/>
                <w:snapToGrid w:val="0"/>
                <w:color w:val="auto"/>
                <w:sz w:val="18"/>
                <w:szCs w:val="20"/>
                <w:lang w:val="zh-CN"/>
              </w:rPr>
              <w:t>险</w:t>
            </w:r>
          </w:p>
          <w:p w14:paraId="4B5908B4">
            <w:pPr>
              <w:jc w:val="center"/>
              <w:rPr>
                <w:snapToGrid w:val="0"/>
                <w:color w:val="auto"/>
                <w:sz w:val="18"/>
                <w:szCs w:val="20"/>
                <w:lang w:val="zh-CN"/>
              </w:rPr>
            </w:pPr>
            <w:r>
              <w:rPr>
                <w:rFonts w:hint="eastAsia"/>
                <w:snapToGrid w:val="0"/>
                <w:color w:val="auto"/>
                <w:sz w:val="18"/>
                <w:szCs w:val="20"/>
                <w:lang w:val="zh-CN"/>
              </w:rPr>
              <w:t>识</w:t>
            </w:r>
          </w:p>
          <w:p w14:paraId="54C67847">
            <w:pPr>
              <w:jc w:val="center"/>
              <w:rPr>
                <w:snapToGrid w:val="0"/>
                <w:color w:val="auto"/>
                <w:sz w:val="18"/>
                <w:szCs w:val="20"/>
                <w:lang w:val="zh-CN"/>
              </w:rPr>
            </w:pPr>
            <w:r>
              <w:rPr>
                <w:rFonts w:hint="eastAsia"/>
                <w:snapToGrid w:val="0"/>
                <w:color w:val="auto"/>
                <w:sz w:val="18"/>
                <w:szCs w:val="20"/>
                <w:lang w:val="zh-CN"/>
              </w:rPr>
              <w:t>别</w:t>
            </w:r>
          </w:p>
        </w:tc>
        <w:tc>
          <w:tcPr>
            <w:tcW w:w="0" w:type="auto"/>
            <w:tcBorders>
              <w:top w:val="single" w:color="auto" w:sz="4" w:space="0"/>
              <w:left w:val="single" w:color="auto" w:sz="4" w:space="0"/>
              <w:bottom w:val="single" w:color="auto" w:sz="4" w:space="0"/>
              <w:right w:val="single" w:color="auto" w:sz="4" w:space="0"/>
            </w:tcBorders>
            <w:vAlign w:val="center"/>
          </w:tcPr>
          <w:p w14:paraId="601514F5">
            <w:pPr>
              <w:jc w:val="center"/>
              <w:rPr>
                <w:snapToGrid w:val="0"/>
                <w:color w:val="auto"/>
                <w:sz w:val="18"/>
                <w:szCs w:val="20"/>
                <w:lang w:val="zh-CN"/>
              </w:rPr>
            </w:pPr>
            <w:r>
              <w:rPr>
                <w:rFonts w:hint="eastAsia"/>
                <w:snapToGrid w:val="0"/>
                <w:color w:val="auto"/>
                <w:sz w:val="18"/>
                <w:szCs w:val="20"/>
                <w:lang w:val="zh-CN"/>
              </w:rPr>
              <w:t>物质危险性</w:t>
            </w:r>
          </w:p>
        </w:tc>
        <w:tc>
          <w:tcPr>
            <w:tcW w:w="0" w:type="auto"/>
            <w:gridSpan w:val="6"/>
            <w:tcBorders>
              <w:top w:val="single" w:color="auto" w:sz="4" w:space="0"/>
              <w:left w:val="single" w:color="auto" w:sz="4" w:space="0"/>
              <w:bottom w:val="single" w:color="auto" w:sz="4" w:space="0"/>
              <w:right w:val="single" w:color="auto" w:sz="4" w:space="0"/>
            </w:tcBorders>
            <w:vAlign w:val="center"/>
          </w:tcPr>
          <w:p w14:paraId="3976FFF4">
            <w:pPr>
              <w:jc w:val="center"/>
              <w:rPr>
                <w:snapToGrid w:val="0"/>
                <w:color w:val="auto"/>
                <w:sz w:val="18"/>
                <w:szCs w:val="20"/>
                <w:lang w:val="zh-CN"/>
              </w:rPr>
            </w:pPr>
            <w:r>
              <w:rPr>
                <w:rFonts w:hint="eastAsia"/>
                <w:snapToGrid w:val="0"/>
                <w:color w:val="auto"/>
                <w:sz w:val="18"/>
                <w:szCs w:val="20"/>
                <w:lang w:val="zh-CN"/>
              </w:rPr>
              <w:t>有毒有害</w:t>
            </w:r>
            <w:r>
              <w:rPr>
                <w:snapToGrid w:val="0"/>
                <w:color w:val="auto"/>
                <w:sz w:val="18"/>
                <w:szCs w:val="20"/>
                <w:lang w:val="zh-CN"/>
              </w:rPr>
              <w:t>□</w:t>
            </w:r>
          </w:p>
        </w:tc>
        <w:tc>
          <w:tcPr>
            <w:tcW w:w="0" w:type="auto"/>
            <w:gridSpan w:val="8"/>
            <w:tcBorders>
              <w:top w:val="single" w:color="auto" w:sz="4" w:space="0"/>
              <w:left w:val="single" w:color="auto" w:sz="4" w:space="0"/>
              <w:bottom w:val="single" w:color="auto" w:sz="4" w:space="0"/>
              <w:right w:val="nil"/>
            </w:tcBorders>
            <w:vAlign w:val="center"/>
          </w:tcPr>
          <w:p w14:paraId="1D8E674E">
            <w:pPr>
              <w:jc w:val="center"/>
              <w:rPr>
                <w:snapToGrid w:val="0"/>
                <w:color w:val="auto"/>
                <w:sz w:val="18"/>
                <w:szCs w:val="20"/>
                <w:lang w:val="zh-CN"/>
              </w:rPr>
            </w:pPr>
            <w:r>
              <w:rPr>
                <w:rFonts w:hint="eastAsia"/>
                <w:snapToGrid w:val="0"/>
                <w:color w:val="auto"/>
                <w:sz w:val="18"/>
                <w:szCs w:val="20"/>
                <w:lang w:val="zh-CN"/>
              </w:rPr>
              <w:t>易燃易爆</w:t>
            </w:r>
            <w:r>
              <w:rPr>
                <w:snapToGrid w:val="0"/>
                <w:color w:val="auto"/>
                <w:sz w:val="18"/>
                <w:szCs w:val="20"/>
                <w:lang w:val="zh-CN"/>
              </w:rPr>
              <w:t>□</w:t>
            </w:r>
          </w:p>
        </w:tc>
      </w:tr>
      <w:tr w14:paraId="4304308A">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1DA64A1B">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5DC26AEE">
            <w:pPr>
              <w:jc w:val="center"/>
              <w:rPr>
                <w:snapToGrid w:val="0"/>
                <w:color w:val="auto"/>
                <w:sz w:val="18"/>
                <w:szCs w:val="20"/>
                <w:lang w:val="zh-CN"/>
              </w:rPr>
            </w:pPr>
            <w:r>
              <w:rPr>
                <w:rFonts w:hint="eastAsia"/>
                <w:snapToGrid w:val="0"/>
                <w:color w:val="auto"/>
                <w:sz w:val="18"/>
                <w:szCs w:val="20"/>
                <w:lang w:val="zh-CN"/>
              </w:rPr>
              <w:t>环境风险类型</w:t>
            </w:r>
          </w:p>
        </w:tc>
        <w:tc>
          <w:tcPr>
            <w:tcW w:w="0" w:type="auto"/>
            <w:gridSpan w:val="6"/>
            <w:tcBorders>
              <w:top w:val="single" w:color="auto" w:sz="4" w:space="0"/>
              <w:left w:val="single" w:color="auto" w:sz="4" w:space="0"/>
              <w:bottom w:val="single" w:color="auto" w:sz="4" w:space="0"/>
              <w:right w:val="single" w:color="auto" w:sz="4" w:space="0"/>
            </w:tcBorders>
            <w:vAlign w:val="center"/>
          </w:tcPr>
          <w:p w14:paraId="09916E32">
            <w:pPr>
              <w:jc w:val="center"/>
              <w:rPr>
                <w:snapToGrid w:val="0"/>
                <w:color w:val="auto"/>
                <w:sz w:val="18"/>
                <w:szCs w:val="20"/>
                <w:lang w:val="zh-CN"/>
              </w:rPr>
            </w:pPr>
            <w:r>
              <w:rPr>
                <w:rFonts w:hint="eastAsia"/>
                <w:snapToGrid w:val="0"/>
                <w:color w:val="auto"/>
                <w:sz w:val="18"/>
                <w:szCs w:val="20"/>
                <w:lang w:val="zh-CN"/>
              </w:rPr>
              <w:t>泄漏</w:t>
            </w:r>
            <w:r>
              <w:rPr>
                <w:rFonts w:hint="eastAsia" w:eastAsia="仿宋"/>
                <w:snapToGrid w:val="0"/>
                <w:color w:val="auto"/>
                <w:sz w:val="18"/>
                <w:szCs w:val="20"/>
                <w:lang w:val="zh-CN"/>
              </w:rPr>
              <w:t>√</w:t>
            </w:r>
          </w:p>
        </w:tc>
        <w:tc>
          <w:tcPr>
            <w:tcW w:w="0" w:type="auto"/>
            <w:gridSpan w:val="8"/>
            <w:tcBorders>
              <w:top w:val="single" w:color="auto" w:sz="4" w:space="0"/>
              <w:left w:val="single" w:color="auto" w:sz="4" w:space="0"/>
              <w:bottom w:val="single" w:color="auto" w:sz="4" w:space="0"/>
              <w:right w:val="nil"/>
            </w:tcBorders>
            <w:vAlign w:val="center"/>
          </w:tcPr>
          <w:p w14:paraId="34A4649A">
            <w:pPr>
              <w:jc w:val="center"/>
              <w:rPr>
                <w:snapToGrid w:val="0"/>
                <w:color w:val="auto"/>
                <w:sz w:val="18"/>
                <w:szCs w:val="20"/>
                <w:lang w:val="zh-CN"/>
              </w:rPr>
            </w:pPr>
            <w:r>
              <w:rPr>
                <w:rFonts w:hint="eastAsia"/>
                <w:snapToGrid w:val="0"/>
                <w:color w:val="auto"/>
                <w:sz w:val="18"/>
                <w:szCs w:val="20"/>
                <w:lang w:val="zh-CN"/>
              </w:rPr>
              <w:t>火灾、爆炸引发伴生</w:t>
            </w:r>
            <w:r>
              <w:rPr>
                <w:snapToGrid w:val="0"/>
                <w:color w:val="auto"/>
                <w:sz w:val="18"/>
                <w:szCs w:val="20"/>
                <w:lang w:val="zh-CN"/>
              </w:rPr>
              <w:t>/</w:t>
            </w:r>
            <w:r>
              <w:rPr>
                <w:rFonts w:hint="eastAsia"/>
                <w:snapToGrid w:val="0"/>
                <w:color w:val="auto"/>
                <w:sz w:val="18"/>
                <w:szCs w:val="20"/>
                <w:lang w:val="zh-CN"/>
              </w:rPr>
              <w:t>次生污染物排放</w:t>
            </w:r>
            <w:r>
              <w:rPr>
                <w:snapToGrid w:val="0"/>
                <w:color w:val="auto"/>
                <w:sz w:val="18"/>
                <w:szCs w:val="20"/>
                <w:lang w:val="zh-CN"/>
              </w:rPr>
              <w:t>□</w:t>
            </w:r>
          </w:p>
        </w:tc>
      </w:tr>
      <w:tr w14:paraId="2BB249B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3ACE23CA">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3E3BE137">
            <w:pPr>
              <w:jc w:val="center"/>
              <w:rPr>
                <w:snapToGrid w:val="0"/>
                <w:color w:val="auto"/>
                <w:sz w:val="18"/>
                <w:szCs w:val="20"/>
                <w:lang w:val="zh-CN"/>
              </w:rPr>
            </w:pPr>
            <w:r>
              <w:rPr>
                <w:rFonts w:hint="eastAsia"/>
                <w:snapToGrid w:val="0"/>
                <w:color w:val="auto"/>
                <w:sz w:val="18"/>
                <w:szCs w:val="20"/>
                <w:lang w:val="zh-CN"/>
              </w:rPr>
              <w:t>影响途径</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5E6C0D4">
            <w:pPr>
              <w:jc w:val="center"/>
              <w:rPr>
                <w:snapToGrid w:val="0"/>
                <w:color w:val="auto"/>
                <w:sz w:val="18"/>
                <w:szCs w:val="20"/>
                <w:lang w:val="zh-CN"/>
              </w:rPr>
            </w:pPr>
            <w:r>
              <w:rPr>
                <w:rFonts w:hint="eastAsia"/>
                <w:snapToGrid w:val="0"/>
                <w:color w:val="auto"/>
                <w:sz w:val="18"/>
                <w:szCs w:val="20"/>
                <w:lang w:val="zh-CN"/>
              </w:rPr>
              <w:t>大气</w:t>
            </w:r>
            <w:r>
              <w:rPr>
                <w:rFonts w:hint="eastAsia" w:eastAsia="仿宋"/>
                <w:snapToGrid w:val="0"/>
                <w:color w:val="auto"/>
                <w:sz w:val="18"/>
                <w:szCs w:val="20"/>
                <w:lang w:val="zh-CN"/>
              </w:rPr>
              <w:t>√</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7B76C47A">
            <w:pPr>
              <w:jc w:val="center"/>
              <w:rPr>
                <w:snapToGrid w:val="0"/>
                <w:color w:val="auto"/>
                <w:sz w:val="18"/>
                <w:szCs w:val="20"/>
                <w:lang w:val="zh-CN"/>
              </w:rPr>
            </w:pPr>
            <w:r>
              <w:rPr>
                <w:rFonts w:hint="eastAsia"/>
                <w:snapToGrid w:val="0"/>
                <w:color w:val="auto"/>
                <w:sz w:val="18"/>
                <w:szCs w:val="20"/>
                <w:lang w:val="zh-CN"/>
              </w:rPr>
              <w:t>地表水</w:t>
            </w:r>
            <w:r>
              <w:rPr>
                <w:snapToGrid w:val="0"/>
                <w:color w:val="auto"/>
                <w:sz w:val="18"/>
                <w:szCs w:val="20"/>
                <w:lang w:val="zh-CN"/>
              </w:rPr>
              <w:t>□</w:t>
            </w:r>
          </w:p>
        </w:tc>
        <w:tc>
          <w:tcPr>
            <w:tcW w:w="0" w:type="auto"/>
            <w:gridSpan w:val="4"/>
            <w:tcBorders>
              <w:top w:val="single" w:color="auto" w:sz="4" w:space="0"/>
              <w:left w:val="single" w:color="auto" w:sz="4" w:space="0"/>
              <w:bottom w:val="single" w:color="auto" w:sz="4" w:space="0"/>
              <w:right w:val="nil"/>
            </w:tcBorders>
            <w:vAlign w:val="center"/>
          </w:tcPr>
          <w:p w14:paraId="498D6FBD">
            <w:pPr>
              <w:jc w:val="center"/>
              <w:rPr>
                <w:snapToGrid w:val="0"/>
                <w:color w:val="auto"/>
                <w:sz w:val="18"/>
                <w:szCs w:val="20"/>
                <w:lang w:val="zh-CN"/>
              </w:rPr>
            </w:pPr>
            <w:r>
              <w:rPr>
                <w:rFonts w:hint="eastAsia"/>
                <w:snapToGrid w:val="0"/>
                <w:color w:val="auto"/>
                <w:sz w:val="18"/>
                <w:szCs w:val="20"/>
                <w:lang w:val="zh-CN"/>
              </w:rPr>
              <w:t>地下水</w:t>
            </w:r>
            <w:r>
              <w:rPr>
                <w:rFonts w:hint="eastAsia" w:eastAsia="仿宋"/>
                <w:snapToGrid w:val="0"/>
                <w:color w:val="auto"/>
                <w:sz w:val="18"/>
                <w:szCs w:val="20"/>
                <w:lang w:val="zh-CN"/>
              </w:rPr>
              <w:t>√</w:t>
            </w:r>
          </w:p>
        </w:tc>
      </w:tr>
      <w:tr w14:paraId="27BDDEFC">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auto" w:sz="4" w:space="0"/>
              <w:left w:val="nil"/>
              <w:bottom w:val="single" w:color="auto" w:sz="4" w:space="0"/>
              <w:right w:val="single" w:color="auto" w:sz="4" w:space="0"/>
            </w:tcBorders>
            <w:vAlign w:val="center"/>
          </w:tcPr>
          <w:p w14:paraId="700A053A">
            <w:pPr>
              <w:jc w:val="center"/>
              <w:rPr>
                <w:snapToGrid w:val="0"/>
                <w:color w:val="auto"/>
                <w:sz w:val="18"/>
                <w:szCs w:val="20"/>
                <w:lang w:val="zh-CN"/>
              </w:rPr>
            </w:pPr>
            <w:r>
              <w:rPr>
                <w:rFonts w:hint="eastAsia"/>
                <w:snapToGrid w:val="0"/>
                <w:color w:val="auto"/>
                <w:sz w:val="18"/>
                <w:szCs w:val="20"/>
                <w:lang w:val="zh-CN"/>
              </w:rPr>
              <w:t>事故情形分析</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3828F7ED">
            <w:pPr>
              <w:jc w:val="center"/>
              <w:rPr>
                <w:snapToGrid w:val="0"/>
                <w:color w:val="auto"/>
                <w:sz w:val="18"/>
                <w:szCs w:val="20"/>
                <w:lang w:val="zh-CN"/>
              </w:rPr>
            </w:pPr>
            <w:r>
              <w:rPr>
                <w:rFonts w:hint="eastAsia"/>
                <w:snapToGrid w:val="0"/>
                <w:color w:val="auto"/>
                <w:sz w:val="18"/>
                <w:szCs w:val="20"/>
                <w:lang w:val="zh-CN"/>
              </w:rPr>
              <w:t>源强设定方法</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752388D4">
            <w:pPr>
              <w:jc w:val="center"/>
              <w:rPr>
                <w:snapToGrid w:val="0"/>
                <w:color w:val="auto"/>
                <w:sz w:val="18"/>
                <w:szCs w:val="20"/>
                <w:lang w:val="zh-CN"/>
              </w:rPr>
            </w:pPr>
            <w:r>
              <w:rPr>
                <w:rFonts w:hint="eastAsia"/>
                <w:snapToGrid w:val="0"/>
                <w:color w:val="auto"/>
                <w:sz w:val="18"/>
                <w:szCs w:val="20"/>
                <w:lang w:val="zh-CN"/>
              </w:rPr>
              <w:t>计算法</w:t>
            </w:r>
            <w:r>
              <w:rPr>
                <w:snapToGrid w:val="0"/>
                <w:color w:val="auto"/>
                <w:sz w:val="18"/>
                <w:szCs w:val="20"/>
                <w:lang w:val="zh-CN"/>
              </w:rPr>
              <w:t>□</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667DA386">
            <w:pPr>
              <w:jc w:val="center"/>
              <w:rPr>
                <w:snapToGrid w:val="0"/>
                <w:color w:val="auto"/>
                <w:sz w:val="18"/>
                <w:szCs w:val="20"/>
                <w:lang w:val="zh-CN"/>
              </w:rPr>
            </w:pPr>
            <w:r>
              <w:rPr>
                <w:rFonts w:hint="eastAsia"/>
                <w:snapToGrid w:val="0"/>
                <w:color w:val="auto"/>
                <w:sz w:val="18"/>
                <w:szCs w:val="20"/>
                <w:lang w:val="zh-CN"/>
              </w:rPr>
              <w:t>经验估算法</w:t>
            </w:r>
            <w:r>
              <w:rPr>
                <w:snapToGrid w:val="0"/>
                <w:color w:val="auto"/>
                <w:sz w:val="18"/>
                <w:szCs w:val="20"/>
                <w:lang w:val="zh-CN"/>
              </w:rPr>
              <w:t>□</w:t>
            </w:r>
          </w:p>
        </w:tc>
        <w:tc>
          <w:tcPr>
            <w:tcW w:w="0" w:type="auto"/>
            <w:gridSpan w:val="3"/>
            <w:tcBorders>
              <w:top w:val="single" w:color="auto" w:sz="4" w:space="0"/>
              <w:left w:val="single" w:color="auto" w:sz="4" w:space="0"/>
              <w:bottom w:val="single" w:color="auto" w:sz="4" w:space="0"/>
              <w:right w:val="nil"/>
            </w:tcBorders>
            <w:vAlign w:val="center"/>
          </w:tcPr>
          <w:p w14:paraId="32930864">
            <w:pPr>
              <w:jc w:val="center"/>
              <w:rPr>
                <w:snapToGrid w:val="0"/>
                <w:color w:val="auto"/>
                <w:sz w:val="18"/>
                <w:szCs w:val="20"/>
                <w:lang w:val="zh-CN"/>
              </w:rPr>
            </w:pPr>
            <w:r>
              <w:rPr>
                <w:rFonts w:hint="eastAsia"/>
                <w:snapToGrid w:val="0"/>
                <w:color w:val="auto"/>
                <w:sz w:val="18"/>
                <w:szCs w:val="20"/>
                <w:lang w:val="zh-CN"/>
              </w:rPr>
              <w:t>其他估算法</w:t>
            </w:r>
            <w:r>
              <w:rPr>
                <w:snapToGrid w:val="0"/>
                <w:color w:val="auto"/>
                <w:sz w:val="18"/>
                <w:szCs w:val="20"/>
                <w:lang w:val="zh-CN"/>
              </w:rPr>
              <w:t>□</w:t>
            </w:r>
          </w:p>
        </w:tc>
      </w:tr>
      <w:tr w14:paraId="7C121AA9">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restart"/>
            <w:tcBorders>
              <w:top w:val="single" w:color="auto" w:sz="4" w:space="0"/>
              <w:left w:val="nil"/>
              <w:bottom w:val="single" w:color="auto" w:sz="4" w:space="0"/>
              <w:right w:val="single" w:color="auto" w:sz="4" w:space="0"/>
            </w:tcBorders>
            <w:vAlign w:val="center"/>
          </w:tcPr>
          <w:p w14:paraId="0BA6E67E">
            <w:pPr>
              <w:jc w:val="center"/>
              <w:rPr>
                <w:snapToGrid w:val="0"/>
                <w:color w:val="auto"/>
                <w:sz w:val="18"/>
                <w:szCs w:val="20"/>
                <w:lang w:val="zh-CN"/>
              </w:rPr>
            </w:pPr>
            <w:r>
              <w:rPr>
                <w:rFonts w:hint="eastAsia"/>
                <w:snapToGrid w:val="0"/>
                <w:color w:val="auto"/>
                <w:sz w:val="18"/>
                <w:szCs w:val="20"/>
                <w:lang w:val="zh-CN"/>
              </w:rPr>
              <w:t>风险</w:t>
            </w:r>
          </w:p>
          <w:p w14:paraId="667298FD">
            <w:pPr>
              <w:jc w:val="center"/>
              <w:rPr>
                <w:snapToGrid w:val="0"/>
                <w:color w:val="auto"/>
                <w:sz w:val="18"/>
                <w:szCs w:val="20"/>
                <w:lang w:val="zh-CN"/>
              </w:rPr>
            </w:pPr>
            <w:r>
              <w:rPr>
                <w:rFonts w:hint="eastAsia"/>
                <w:snapToGrid w:val="0"/>
                <w:color w:val="auto"/>
                <w:sz w:val="18"/>
                <w:szCs w:val="20"/>
                <w:lang w:val="zh-CN"/>
              </w:rPr>
              <w:t>预测</w:t>
            </w:r>
          </w:p>
          <w:p w14:paraId="20BE658E">
            <w:pPr>
              <w:jc w:val="center"/>
              <w:rPr>
                <w:snapToGrid w:val="0"/>
                <w:color w:val="auto"/>
                <w:sz w:val="18"/>
                <w:szCs w:val="20"/>
                <w:lang w:val="zh-CN"/>
              </w:rPr>
            </w:pPr>
            <w:r>
              <w:rPr>
                <w:rFonts w:hint="eastAsia"/>
                <w:snapToGrid w:val="0"/>
                <w:color w:val="auto"/>
                <w:sz w:val="18"/>
                <w:szCs w:val="20"/>
                <w:lang w:val="zh-CN"/>
              </w:rPr>
              <w:t>与</w:t>
            </w:r>
          </w:p>
          <w:p w14:paraId="0C18EB0D">
            <w:pPr>
              <w:jc w:val="center"/>
              <w:rPr>
                <w:snapToGrid w:val="0"/>
                <w:color w:val="auto"/>
                <w:sz w:val="18"/>
                <w:szCs w:val="20"/>
                <w:lang w:val="zh-CN"/>
              </w:rPr>
            </w:pPr>
            <w:r>
              <w:rPr>
                <w:rFonts w:hint="eastAsia"/>
                <w:snapToGrid w:val="0"/>
                <w:color w:val="auto"/>
                <w:sz w:val="18"/>
                <w:szCs w:val="20"/>
                <w:lang w:val="zh-CN"/>
              </w:rPr>
              <w:t>评价</w:t>
            </w: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0ED2D021">
            <w:pPr>
              <w:jc w:val="center"/>
              <w:rPr>
                <w:snapToGrid w:val="0"/>
                <w:color w:val="auto"/>
                <w:sz w:val="18"/>
                <w:szCs w:val="20"/>
                <w:lang w:val="zh-CN"/>
              </w:rPr>
            </w:pPr>
            <w:r>
              <w:rPr>
                <w:rFonts w:hint="eastAsia"/>
                <w:snapToGrid w:val="0"/>
                <w:color w:val="auto"/>
                <w:sz w:val="18"/>
                <w:szCs w:val="20"/>
                <w:lang w:val="zh-CN"/>
              </w:rPr>
              <w:t>大气</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7160A987">
            <w:pPr>
              <w:jc w:val="center"/>
              <w:rPr>
                <w:snapToGrid w:val="0"/>
                <w:color w:val="auto"/>
                <w:sz w:val="18"/>
                <w:szCs w:val="20"/>
                <w:lang w:val="zh-CN"/>
              </w:rPr>
            </w:pPr>
            <w:r>
              <w:rPr>
                <w:rFonts w:hint="eastAsia"/>
                <w:snapToGrid w:val="0"/>
                <w:color w:val="auto"/>
                <w:sz w:val="18"/>
                <w:szCs w:val="20"/>
                <w:lang w:val="zh-CN"/>
              </w:rPr>
              <w:t>预测模型</w:t>
            </w:r>
          </w:p>
        </w:tc>
        <w:tc>
          <w:tcPr>
            <w:tcW w:w="0" w:type="auto"/>
            <w:gridSpan w:val="3"/>
            <w:tcBorders>
              <w:top w:val="single" w:color="auto" w:sz="4" w:space="0"/>
              <w:left w:val="single" w:color="auto" w:sz="4" w:space="0"/>
              <w:bottom w:val="single" w:color="auto" w:sz="4" w:space="0"/>
              <w:right w:val="single" w:color="auto" w:sz="4" w:space="0"/>
            </w:tcBorders>
            <w:vAlign w:val="center"/>
          </w:tcPr>
          <w:p w14:paraId="17C8C8B1">
            <w:pPr>
              <w:jc w:val="center"/>
              <w:rPr>
                <w:snapToGrid w:val="0"/>
                <w:color w:val="auto"/>
                <w:sz w:val="18"/>
                <w:szCs w:val="20"/>
                <w:lang w:val="zh-CN"/>
              </w:rPr>
            </w:pPr>
            <w:r>
              <w:rPr>
                <w:snapToGrid w:val="0"/>
                <w:color w:val="auto"/>
                <w:sz w:val="18"/>
                <w:szCs w:val="20"/>
                <w:lang w:val="zh-CN"/>
              </w:rPr>
              <w:t>SLAB□</w:t>
            </w:r>
          </w:p>
        </w:tc>
        <w:tc>
          <w:tcPr>
            <w:tcW w:w="0" w:type="auto"/>
            <w:gridSpan w:val="5"/>
            <w:tcBorders>
              <w:top w:val="single" w:color="auto" w:sz="4" w:space="0"/>
              <w:left w:val="single" w:color="auto" w:sz="4" w:space="0"/>
              <w:bottom w:val="single" w:color="auto" w:sz="4" w:space="0"/>
              <w:right w:val="single" w:color="auto" w:sz="4" w:space="0"/>
            </w:tcBorders>
            <w:vAlign w:val="center"/>
          </w:tcPr>
          <w:p w14:paraId="5576F347">
            <w:pPr>
              <w:jc w:val="center"/>
              <w:rPr>
                <w:snapToGrid w:val="0"/>
                <w:color w:val="auto"/>
                <w:sz w:val="18"/>
                <w:szCs w:val="20"/>
                <w:lang w:val="zh-CN"/>
              </w:rPr>
            </w:pPr>
            <w:r>
              <w:rPr>
                <w:snapToGrid w:val="0"/>
                <w:color w:val="auto"/>
                <w:sz w:val="18"/>
                <w:szCs w:val="20"/>
                <w:lang w:val="zh-CN"/>
              </w:rPr>
              <w:t>AFTOX□</w:t>
            </w:r>
          </w:p>
        </w:tc>
        <w:tc>
          <w:tcPr>
            <w:tcW w:w="0" w:type="auto"/>
            <w:gridSpan w:val="3"/>
            <w:tcBorders>
              <w:top w:val="single" w:color="auto" w:sz="4" w:space="0"/>
              <w:left w:val="single" w:color="auto" w:sz="4" w:space="0"/>
              <w:bottom w:val="single" w:color="auto" w:sz="4" w:space="0"/>
              <w:right w:val="nil"/>
            </w:tcBorders>
            <w:vAlign w:val="center"/>
          </w:tcPr>
          <w:p w14:paraId="52C24F1A">
            <w:pPr>
              <w:jc w:val="center"/>
              <w:rPr>
                <w:snapToGrid w:val="0"/>
                <w:color w:val="auto"/>
                <w:sz w:val="18"/>
                <w:szCs w:val="20"/>
                <w:lang w:val="zh-CN"/>
              </w:rPr>
            </w:pPr>
            <w:r>
              <w:rPr>
                <w:rFonts w:hint="eastAsia"/>
                <w:snapToGrid w:val="0"/>
                <w:color w:val="auto"/>
                <w:sz w:val="18"/>
                <w:szCs w:val="20"/>
                <w:lang w:val="zh-CN"/>
              </w:rPr>
              <w:t>其他</w:t>
            </w:r>
            <w:r>
              <w:rPr>
                <w:snapToGrid w:val="0"/>
                <w:color w:val="auto"/>
                <w:sz w:val="18"/>
                <w:szCs w:val="20"/>
                <w:lang w:val="zh-CN"/>
              </w:rPr>
              <w:t>□</w:t>
            </w:r>
          </w:p>
        </w:tc>
      </w:tr>
      <w:tr w14:paraId="0E68EEFB">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6F4F4026">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14B4E51">
            <w:pPr>
              <w:jc w:val="center"/>
              <w:rPr>
                <w:snapToGrid w:val="0"/>
                <w:color w:val="auto"/>
                <w:sz w:val="18"/>
                <w:szCs w:val="20"/>
                <w:lang w:val="zh-CN"/>
              </w:rPr>
            </w:pPr>
          </w:p>
        </w:tc>
        <w:tc>
          <w:tcPr>
            <w:tcW w:w="0" w:type="auto"/>
            <w:gridSpan w:val="3"/>
            <w:vMerge w:val="restart"/>
            <w:tcBorders>
              <w:top w:val="single" w:color="auto" w:sz="4" w:space="0"/>
              <w:left w:val="single" w:color="auto" w:sz="4" w:space="0"/>
              <w:bottom w:val="single" w:color="auto" w:sz="4" w:space="0"/>
              <w:right w:val="single" w:color="auto" w:sz="4" w:space="0"/>
            </w:tcBorders>
            <w:vAlign w:val="center"/>
          </w:tcPr>
          <w:p w14:paraId="42259350">
            <w:pPr>
              <w:jc w:val="center"/>
              <w:rPr>
                <w:snapToGrid w:val="0"/>
                <w:color w:val="auto"/>
                <w:sz w:val="18"/>
                <w:szCs w:val="20"/>
                <w:lang w:val="zh-CN"/>
              </w:rPr>
            </w:pPr>
            <w:r>
              <w:rPr>
                <w:rFonts w:hint="eastAsia"/>
                <w:snapToGrid w:val="0"/>
                <w:color w:val="auto"/>
                <w:sz w:val="18"/>
                <w:szCs w:val="20"/>
                <w:lang w:val="zh-CN"/>
              </w:rPr>
              <w:t>预测结果</w:t>
            </w:r>
          </w:p>
        </w:tc>
        <w:tc>
          <w:tcPr>
            <w:tcW w:w="0" w:type="auto"/>
            <w:gridSpan w:val="11"/>
            <w:tcBorders>
              <w:top w:val="single" w:color="auto" w:sz="4" w:space="0"/>
              <w:left w:val="single" w:color="auto" w:sz="4" w:space="0"/>
              <w:bottom w:val="single" w:color="auto" w:sz="4" w:space="0"/>
              <w:right w:val="nil"/>
            </w:tcBorders>
            <w:vAlign w:val="center"/>
          </w:tcPr>
          <w:p w14:paraId="556402C9">
            <w:pPr>
              <w:jc w:val="center"/>
              <w:rPr>
                <w:snapToGrid w:val="0"/>
                <w:color w:val="auto"/>
                <w:sz w:val="18"/>
                <w:szCs w:val="20"/>
                <w:lang w:val="zh-CN"/>
              </w:rPr>
            </w:pPr>
            <w:r>
              <w:rPr>
                <w:rFonts w:hint="eastAsia"/>
                <w:snapToGrid w:val="0"/>
                <w:color w:val="auto"/>
                <w:sz w:val="18"/>
                <w:szCs w:val="20"/>
                <w:lang w:val="zh-CN"/>
              </w:rPr>
              <w:t>大气毒性终点浓度</w:t>
            </w:r>
            <w:r>
              <w:rPr>
                <w:snapToGrid w:val="0"/>
                <w:color w:val="auto"/>
                <w:sz w:val="18"/>
                <w:szCs w:val="20"/>
                <w:lang w:val="zh-CN"/>
              </w:rPr>
              <w:t>-1</w:t>
            </w:r>
            <w:r>
              <w:rPr>
                <w:rFonts w:hint="eastAsia"/>
                <w:snapToGrid w:val="0"/>
                <w:color w:val="auto"/>
                <w:sz w:val="18"/>
                <w:szCs w:val="20"/>
                <w:lang w:val="zh-CN"/>
              </w:rPr>
              <w:t>最大影响范围</w:t>
            </w:r>
            <w:r>
              <w:rPr>
                <w:snapToGrid w:val="0"/>
                <w:color w:val="auto"/>
                <w:sz w:val="18"/>
                <w:szCs w:val="20"/>
                <w:lang w:val="zh-CN"/>
              </w:rPr>
              <w:t>m</w:t>
            </w:r>
          </w:p>
        </w:tc>
      </w:tr>
      <w:tr w14:paraId="5089246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25C5DBB2">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8F7D61">
            <w:pPr>
              <w:jc w:val="center"/>
              <w:rPr>
                <w:snapToGrid w:val="0"/>
                <w:color w:val="auto"/>
                <w:sz w:val="18"/>
                <w:szCs w:val="20"/>
                <w:lang w:val="zh-CN"/>
              </w:rPr>
            </w:pPr>
          </w:p>
        </w:tc>
        <w:tc>
          <w:tcPr>
            <w:tcW w:w="0" w:type="auto"/>
            <w:gridSpan w:val="3"/>
            <w:vMerge w:val="continue"/>
            <w:tcBorders>
              <w:top w:val="single" w:color="auto" w:sz="4" w:space="0"/>
              <w:left w:val="single" w:color="auto" w:sz="4" w:space="0"/>
              <w:bottom w:val="single" w:color="auto" w:sz="4" w:space="0"/>
              <w:right w:val="single" w:color="auto" w:sz="4" w:space="0"/>
            </w:tcBorders>
            <w:vAlign w:val="center"/>
          </w:tcPr>
          <w:p w14:paraId="59CE099A">
            <w:pPr>
              <w:jc w:val="center"/>
              <w:rPr>
                <w:snapToGrid w:val="0"/>
                <w:color w:val="auto"/>
                <w:sz w:val="18"/>
                <w:szCs w:val="20"/>
                <w:lang w:val="zh-CN"/>
              </w:rPr>
            </w:pPr>
          </w:p>
        </w:tc>
        <w:tc>
          <w:tcPr>
            <w:tcW w:w="0" w:type="auto"/>
            <w:gridSpan w:val="11"/>
            <w:tcBorders>
              <w:top w:val="single" w:color="auto" w:sz="4" w:space="0"/>
              <w:left w:val="single" w:color="auto" w:sz="4" w:space="0"/>
              <w:bottom w:val="single" w:color="auto" w:sz="4" w:space="0"/>
              <w:right w:val="nil"/>
            </w:tcBorders>
            <w:vAlign w:val="center"/>
          </w:tcPr>
          <w:p w14:paraId="094E2683">
            <w:pPr>
              <w:jc w:val="center"/>
              <w:rPr>
                <w:snapToGrid w:val="0"/>
                <w:color w:val="auto"/>
                <w:sz w:val="18"/>
                <w:szCs w:val="20"/>
                <w:lang w:val="zh-CN"/>
              </w:rPr>
            </w:pPr>
            <w:r>
              <w:rPr>
                <w:rFonts w:hint="eastAsia"/>
                <w:snapToGrid w:val="0"/>
                <w:color w:val="auto"/>
                <w:sz w:val="18"/>
                <w:szCs w:val="20"/>
                <w:lang w:val="zh-CN"/>
              </w:rPr>
              <w:t>大气毒性终点浓度</w:t>
            </w:r>
            <w:r>
              <w:rPr>
                <w:snapToGrid w:val="0"/>
                <w:color w:val="auto"/>
                <w:sz w:val="18"/>
                <w:szCs w:val="20"/>
                <w:lang w:val="zh-CN"/>
              </w:rPr>
              <w:t>-2</w:t>
            </w:r>
            <w:r>
              <w:rPr>
                <w:rFonts w:hint="eastAsia"/>
                <w:snapToGrid w:val="0"/>
                <w:color w:val="auto"/>
                <w:sz w:val="18"/>
                <w:szCs w:val="20"/>
                <w:lang w:val="zh-CN"/>
              </w:rPr>
              <w:t>最大影响范围</w:t>
            </w:r>
            <w:r>
              <w:rPr>
                <w:snapToGrid w:val="0"/>
                <w:color w:val="auto"/>
                <w:sz w:val="18"/>
                <w:szCs w:val="20"/>
                <w:lang w:val="zh-CN"/>
              </w:rPr>
              <w:t>m</w:t>
            </w:r>
          </w:p>
        </w:tc>
      </w:tr>
      <w:tr w14:paraId="63341F09">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1E05AEBC">
            <w:pPr>
              <w:jc w:val="center"/>
              <w:rPr>
                <w:snapToGrid w:val="0"/>
                <w:color w:val="auto"/>
                <w:sz w:val="18"/>
                <w:szCs w:val="20"/>
                <w:lang w:val="zh-CN"/>
              </w:rPr>
            </w:pPr>
          </w:p>
        </w:tc>
        <w:tc>
          <w:tcPr>
            <w:tcW w:w="0" w:type="auto"/>
            <w:tcBorders>
              <w:top w:val="single" w:color="auto" w:sz="4" w:space="0"/>
              <w:left w:val="single" w:color="auto" w:sz="4" w:space="0"/>
              <w:bottom w:val="single" w:color="auto" w:sz="4" w:space="0"/>
              <w:right w:val="single" w:color="auto" w:sz="4" w:space="0"/>
            </w:tcBorders>
            <w:vAlign w:val="center"/>
          </w:tcPr>
          <w:p w14:paraId="43DB0574">
            <w:pPr>
              <w:jc w:val="center"/>
              <w:rPr>
                <w:snapToGrid w:val="0"/>
                <w:color w:val="auto"/>
                <w:sz w:val="18"/>
                <w:szCs w:val="20"/>
                <w:lang w:val="zh-CN"/>
              </w:rPr>
            </w:pPr>
            <w:r>
              <w:rPr>
                <w:rFonts w:hint="eastAsia"/>
                <w:snapToGrid w:val="0"/>
                <w:color w:val="auto"/>
                <w:sz w:val="18"/>
                <w:szCs w:val="20"/>
                <w:lang w:val="zh-CN"/>
              </w:rPr>
              <w:t>地表水</w:t>
            </w:r>
          </w:p>
        </w:tc>
        <w:tc>
          <w:tcPr>
            <w:tcW w:w="0" w:type="auto"/>
            <w:gridSpan w:val="14"/>
            <w:tcBorders>
              <w:top w:val="single" w:color="auto" w:sz="4" w:space="0"/>
              <w:left w:val="single" w:color="auto" w:sz="4" w:space="0"/>
              <w:bottom w:val="single" w:color="auto" w:sz="4" w:space="0"/>
              <w:right w:val="nil"/>
            </w:tcBorders>
            <w:vAlign w:val="center"/>
          </w:tcPr>
          <w:p w14:paraId="0A5C922B">
            <w:pPr>
              <w:jc w:val="center"/>
              <w:rPr>
                <w:snapToGrid w:val="0"/>
                <w:color w:val="auto"/>
                <w:sz w:val="18"/>
                <w:szCs w:val="20"/>
                <w:lang w:val="zh-CN"/>
              </w:rPr>
            </w:pPr>
            <w:r>
              <w:rPr>
                <w:rFonts w:hint="eastAsia"/>
                <w:snapToGrid w:val="0"/>
                <w:color w:val="auto"/>
                <w:sz w:val="18"/>
                <w:szCs w:val="20"/>
                <w:lang w:val="zh-CN"/>
              </w:rPr>
              <w:t>最近环境敏感目标，到达时间</w:t>
            </w:r>
            <w:r>
              <w:rPr>
                <w:snapToGrid w:val="0"/>
                <w:color w:val="auto"/>
                <w:sz w:val="18"/>
                <w:szCs w:val="20"/>
                <w:lang w:val="zh-CN"/>
              </w:rPr>
              <w:t>h</w:t>
            </w:r>
          </w:p>
        </w:tc>
      </w:tr>
      <w:tr w14:paraId="35431E1F">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7B656223">
            <w:pPr>
              <w:jc w:val="center"/>
              <w:rPr>
                <w:snapToGrid w:val="0"/>
                <w:color w:val="auto"/>
                <w:sz w:val="18"/>
                <w:szCs w:val="20"/>
                <w:lang w:val="zh-CN"/>
              </w:rPr>
            </w:pPr>
          </w:p>
        </w:tc>
        <w:tc>
          <w:tcPr>
            <w:tcW w:w="0" w:type="auto"/>
            <w:vMerge w:val="restart"/>
            <w:tcBorders>
              <w:top w:val="single" w:color="auto" w:sz="4" w:space="0"/>
              <w:left w:val="single" w:color="auto" w:sz="4" w:space="0"/>
              <w:bottom w:val="single" w:color="auto" w:sz="4" w:space="0"/>
              <w:right w:val="single" w:color="auto" w:sz="4" w:space="0"/>
            </w:tcBorders>
            <w:vAlign w:val="center"/>
          </w:tcPr>
          <w:p w14:paraId="008A5AE8">
            <w:pPr>
              <w:jc w:val="center"/>
              <w:rPr>
                <w:snapToGrid w:val="0"/>
                <w:color w:val="auto"/>
                <w:sz w:val="18"/>
                <w:szCs w:val="20"/>
                <w:lang w:val="zh-CN"/>
              </w:rPr>
            </w:pPr>
            <w:r>
              <w:rPr>
                <w:rFonts w:hint="eastAsia"/>
                <w:snapToGrid w:val="0"/>
                <w:color w:val="auto"/>
                <w:sz w:val="18"/>
                <w:szCs w:val="20"/>
                <w:lang w:val="zh-CN"/>
              </w:rPr>
              <w:t>地下水</w:t>
            </w:r>
          </w:p>
        </w:tc>
        <w:tc>
          <w:tcPr>
            <w:tcW w:w="0" w:type="auto"/>
            <w:gridSpan w:val="14"/>
            <w:tcBorders>
              <w:top w:val="single" w:color="auto" w:sz="4" w:space="0"/>
              <w:left w:val="single" w:color="auto" w:sz="4" w:space="0"/>
              <w:bottom w:val="single" w:color="auto" w:sz="4" w:space="0"/>
              <w:right w:val="nil"/>
            </w:tcBorders>
            <w:vAlign w:val="center"/>
          </w:tcPr>
          <w:p w14:paraId="2659DE91">
            <w:pPr>
              <w:jc w:val="center"/>
              <w:rPr>
                <w:snapToGrid w:val="0"/>
                <w:color w:val="auto"/>
                <w:sz w:val="18"/>
                <w:szCs w:val="20"/>
                <w:lang w:val="zh-CN"/>
              </w:rPr>
            </w:pPr>
            <w:r>
              <w:rPr>
                <w:rFonts w:hint="eastAsia"/>
                <w:snapToGrid w:val="0"/>
                <w:color w:val="auto"/>
                <w:sz w:val="18"/>
                <w:szCs w:val="20"/>
                <w:lang w:val="zh-CN"/>
              </w:rPr>
              <w:t>下游厂区边界到达时间</w:t>
            </w:r>
            <w:r>
              <w:rPr>
                <w:snapToGrid w:val="0"/>
                <w:color w:val="auto"/>
                <w:sz w:val="18"/>
                <w:szCs w:val="20"/>
                <w:lang w:val="zh-CN"/>
              </w:rPr>
              <w:t>d</w:t>
            </w:r>
          </w:p>
        </w:tc>
      </w:tr>
      <w:tr w14:paraId="01DA142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vMerge w:val="continue"/>
            <w:tcBorders>
              <w:top w:val="single" w:color="auto" w:sz="4" w:space="0"/>
              <w:left w:val="nil"/>
              <w:bottom w:val="single" w:color="auto" w:sz="4" w:space="0"/>
              <w:right w:val="single" w:color="auto" w:sz="4" w:space="0"/>
            </w:tcBorders>
            <w:vAlign w:val="center"/>
          </w:tcPr>
          <w:p w14:paraId="4D8A6C29">
            <w:pPr>
              <w:jc w:val="center"/>
              <w:rPr>
                <w:snapToGrid w:val="0"/>
                <w:color w:val="auto"/>
                <w:sz w:val="18"/>
                <w:szCs w:val="20"/>
                <w:lang w:val="zh-CN"/>
              </w:rP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683E1A">
            <w:pPr>
              <w:jc w:val="center"/>
              <w:rPr>
                <w:snapToGrid w:val="0"/>
                <w:color w:val="auto"/>
                <w:sz w:val="18"/>
                <w:szCs w:val="20"/>
                <w:lang w:val="zh-CN"/>
              </w:rPr>
            </w:pPr>
          </w:p>
        </w:tc>
        <w:tc>
          <w:tcPr>
            <w:tcW w:w="0" w:type="auto"/>
            <w:gridSpan w:val="14"/>
            <w:tcBorders>
              <w:top w:val="single" w:color="auto" w:sz="4" w:space="0"/>
              <w:left w:val="single" w:color="auto" w:sz="4" w:space="0"/>
              <w:bottom w:val="single" w:color="auto" w:sz="4" w:space="0"/>
              <w:right w:val="nil"/>
            </w:tcBorders>
            <w:vAlign w:val="center"/>
          </w:tcPr>
          <w:p w14:paraId="35F0EC43">
            <w:pPr>
              <w:jc w:val="center"/>
              <w:rPr>
                <w:snapToGrid w:val="0"/>
                <w:color w:val="auto"/>
                <w:sz w:val="18"/>
                <w:szCs w:val="20"/>
                <w:lang w:val="zh-CN"/>
              </w:rPr>
            </w:pPr>
            <w:r>
              <w:rPr>
                <w:rFonts w:hint="eastAsia"/>
                <w:snapToGrid w:val="0"/>
                <w:color w:val="auto"/>
                <w:sz w:val="18"/>
                <w:szCs w:val="20"/>
                <w:lang w:val="zh-CN"/>
              </w:rPr>
              <w:t>最近环境敏感目标，到达时间</w:t>
            </w:r>
            <w:r>
              <w:rPr>
                <w:snapToGrid w:val="0"/>
                <w:color w:val="auto"/>
                <w:sz w:val="18"/>
                <w:szCs w:val="20"/>
                <w:lang w:val="zh-CN"/>
              </w:rPr>
              <w:t>d</w:t>
            </w:r>
          </w:p>
        </w:tc>
      </w:tr>
      <w:tr w14:paraId="061B1DC1">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auto" w:sz="4" w:space="0"/>
              <w:left w:val="nil"/>
              <w:bottom w:val="single" w:color="auto" w:sz="4" w:space="0"/>
              <w:right w:val="single" w:color="auto" w:sz="4" w:space="0"/>
            </w:tcBorders>
            <w:vAlign w:val="center"/>
          </w:tcPr>
          <w:p w14:paraId="12A9365B">
            <w:pPr>
              <w:jc w:val="center"/>
              <w:rPr>
                <w:snapToGrid w:val="0"/>
                <w:color w:val="auto"/>
                <w:sz w:val="18"/>
                <w:szCs w:val="20"/>
                <w:lang w:val="zh-CN"/>
              </w:rPr>
            </w:pPr>
            <w:r>
              <w:rPr>
                <w:rFonts w:hint="eastAsia"/>
                <w:snapToGrid w:val="0"/>
                <w:color w:val="auto"/>
                <w:sz w:val="18"/>
                <w:szCs w:val="20"/>
                <w:lang w:val="zh-CN"/>
              </w:rPr>
              <w:t>重点风险防范措施</w:t>
            </w:r>
          </w:p>
        </w:tc>
        <w:tc>
          <w:tcPr>
            <w:tcW w:w="0" w:type="auto"/>
            <w:gridSpan w:val="14"/>
            <w:vAlign w:val="center"/>
          </w:tcPr>
          <w:p w14:paraId="259C7883">
            <w:pPr>
              <w:rPr>
                <w:color w:val="auto"/>
                <w:sz w:val="20"/>
                <w:szCs w:val="20"/>
              </w:rPr>
            </w:pPr>
            <w:r>
              <w:rPr>
                <w:rFonts w:hint="eastAsia"/>
                <w:color w:val="auto"/>
                <w:sz w:val="20"/>
                <w:szCs w:val="20"/>
              </w:rPr>
              <w:t>（1）项目场底清理后场底基础进行30cm厚的改性压实粘土压实防渗，防渗后其防渗性能能够小于渗透系数为1.0×10</w:t>
            </w:r>
            <w:r>
              <w:rPr>
                <w:rFonts w:hint="eastAsia"/>
                <w:color w:val="auto"/>
                <w:sz w:val="20"/>
                <w:szCs w:val="20"/>
                <w:vertAlign w:val="superscript"/>
              </w:rPr>
              <w:t>-5</w:t>
            </w:r>
            <w:r>
              <w:rPr>
                <w:rFonts w:hint="eastAsia"/>
                <w:color w:val="auto"/>
                <w:sz w:val="20"/>
                <w:szCs w:val="20"/>
              </w:rPr>
              <w:t>cm/s且厚度为0.75m的天然基础层；淋溶水暂存池采取防渗措施，渗透系数应小于1</w:t>
            </w:r>
            <w:r>
              <w:rPr>
                <w:color w:val="auto"/>
                <w:sz w:val="20"/>
                <w:szCs w:val="20"/>
              </w:rPr>
              <w:t>×10</w:t>
            </w:r>
            <w:r>
              <w:rPr>
                <w:color w:val="auto"/>
                <w:sz w:val="20"/>
                <w:szCs w:val="20"/>
                <w:vertAlign w:val="superscript"/>
              </w:rPr>
              <w:t>-7</w:t>
            </w:r>
            <w:r>
              <w:rPr>
                <w:color w:val="auto"/>
                <w:sz w:val="20"/>
                <w:szCs w:val="20"/>
              </w:rPr>
              <w:t>cm/s。</w:t>
            </w:r>
          </w:p>
          <w:p w14:paraId="02CB45F3">
            <w:pPr>
              <w:rPr>
                <w:color w:val="auto"/>
                <w:sz w:val="20"/>
                <w:szCs w:val="20"/>
              </w:rPr>
            </w:pPr>
            <w:r>
              <w:rPr>
                <w:rFonts w:hint="eastAsia"/>
                <w:color w:val="auto"/>
                <w:sz w:val="20"/>
                <w:szCs w:val="20"/>
              </w:rPr>
              <w:t>（2）作业时做好淋溶水导排管道的铺设工作，保证其不堵塞、不破裂，正常运转；淋溶水导排系统在初期若发现有淋溶水淌出，应立即停止作业，进行修补。</w:t>
            </w:r>
          </w:p>
          <w:p w14:paraId="1D87B794">
            <w:pPr>
              <w:rPr>
                <w:color w:val="auto"/>
                <w:sz w:val="20"/>
                <w:szCs w:val="20"/>
              </w:rPr>
            </w:pPr>
            <w:r>
              <w:rPr>
                <w:rFonts w:hint="eastAsia"/>
                <w:color w:val="auto"/>
                <w:sz w:val="20"/>
                <w:szCs w:val="20"/>
              </w:rPr>
              <w:t>（3）项目在回填区周边设置了</w:t>
            </w:r>
            <w:r>
              <w:rPr>
                <w:color w:val="auto"/>
                <w:sz w:val="20"/>
                <w:szCs w:val="20"/>
              </w:rPr>
              <w:t>3</w:t>
            </w:r>
            <w:r>
              <w:rPr>
                <w:rFonts w:hint="eastAsia"/>
                <w:color w:val="auto"/>
                <w:sz w:val="20"/>
                <w:szCs w:val="20"/>
              </w:rPr>
              <w:t>口地下水监测井，应加强监控措施、增加监测频次，一旦数据异常，有污染迹象时，应及时查找原因，发现渗漏位置并采取补救措施，防止污染进一步扩散。</w:t>
            </w:r>
          </w:p>
          <w:p w14:paraId="7694AAF9">
            <w:pPr>
              <w:rPr>
                <w:snapToGrid w:val="0"/>
                <w:color w:val="auto"/>
                <w:sz w:val="20"/>
                <w:szCs w:val="20"/>
                <w:lang w:val="zh-CN"/>
              </w:rPr>
            </w:pPr>
            <w:r>
              <w:rPr>
                <w:rFonts w:hint="eastAsia"/>
                <w:color w:val="auto"/>
                <w:sz w:val="20"/>
                <w:szCs w:val="20"/>
              </w:rPr>
              <w:t>（4）本工程选用DN300和DN200的HDPE穿孔管作为淋溶水导排排水管，为保证淋溶水的及时排出，淋溶水提升井内1台设置Q=20m</w:t>
            </w:r>
            <w:r>
              <w:rPr>
                <w:rFonts w:hint="eastAsia"/>
                <w:color w:val="auto"/>
                <w:sz w:val="20"/>
                <w:szCs w:val="20"/>
                <w:vertAlign w:val="superscript"/>
              </w:rPr>
              <w:t>3</w:t>
            </w:r>
            <w:r>
              <w:rPr>
                <w:rFonts w:hint="eastAsia"/>
                <w:color w:val="auto"/>
                <w:sz w:val="20"/>
                <w:szCs w:val="20"/>
              </w:rPr>
              <w:t>/h，H=40m自冲搅拌型潜水提升泵，工作一台能够满足平均日淋溶水排除要求，淋溶水排污泵采用液位自动控制，自动启闭水泵，配电使用远程自动控制系统。采取上述措施后，可将淋溶水渗漏等风险降至可接受水平。</w:t>
            </w:r>
          </w:p>
        </w:tc>
      </w:tr>
      <w:tr w14:paraId="624784E3">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2"/>
            <w:tcBorders>
              <w:top w:val="single" w:color="auto" w:sz="4" w:space="0"/>
              <w:left w:val="nil"/>
              <w:bottom w:val="single" w:color="auto" w:sz="4" w:space="0"/>
              <w:right w:val="single" w:color="auto" w:sz="4" w:space="0"/>
            </w:tcBorders>
            <w:vAlign w:val="center"/>
          </w:tcPr>
          <w:p w14:paraId="402A17A0">
            <w:pPr>
              <w:jc w:val="center"/>
              <w:rPr>
                <w:snapToGrid w:val="0"/>
                <w:color w:val="auto"/>
                <w:sz w:val="18"/>
                <w:szCs w:val="20"/>
              </w:rPr>
            </w:pPr>
            <w:r>
              <w:rPr>
                <w:rFonts w:hint="eastAsia"/>
                <w:snapToGrid w:val="0"/>
                <w:color w:val="auto"/>
                <w:sz w:val="18"/>
                <w:szCs w:val="20"/>
                <w:lang w:val="zh-CN"/>
              </w:rPr>
              <w:t>评价结论与建议</w:t>
            </w:r>
          </w:p>
        </w:tc>
        <w:tc>
          <w:tcPr>
            <w:tcW w:w="0" w:type="auto"/>
            <w:gridSpan w:val="14"/>
            <w:tcBorders>
              <w:top w:val="single" w:color="auto" w:sz="4" w:space="0"/>
              <w:left w:val="single" w:color="auto" w:sz="4" w:space="0"/>
              <w:bottom w:val="single" w:color="auto" w:sz="4" w:space="0"/>
              <w:right w:val="nil"/>
            </w:tcBorders>
            <w:vAlign w:val="center"/>
          </w:tcPr>
          <w:p w14:paraId="36B115C3">
            <w:pPr>
              <w:rPr>
                <w:snapToGrid w:val="0"/>
                <w:color w:val="auto"/>
                <w:sz w:val="18"/>
                <w:szCs w:val="20"/>
                <w:lang w:val="zh-CN"/>
              </w:rPr>
            </w:pPr>
            <w:r>
              <w:rPr>
                <w:rFonts w:hint="eastAsia"/>
                <w:snapToGrid w:val="0"/>
                <w:color w:val="auto"/>
                <w:sz w:val="18"/>
                <w:szCs w:val="20"/>
                <w:lang w:val="zh-CN"/>
              </w:rPr>
              <w:t>根据以上评价分析，通过采取以上各项风险防范措施，可降低各种事故的发生，降低对周围环境的不利影响，环境风险在可接受范围内。</w:t>
            </w:r>
          </w:p>
        </w:tc>
      </w:tr>
      <w:tr w14:paraId="5E78211E">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0" w:type="auto"/>
            <w:gridSpan w:val="16"/>
            <w:tcBorders>
              <w:top w:val="single" w:color="auto" w:sz="4" w:space="0"/>
              <w:left w:val="nil"/>
              <w:right w:val="nil"/>
            </w:tcBorders>
            <w:vAlign w:val="center"/>
          </w:tcPr>
          <w:p w14:paraId="23675913">
            <w:pPr>
              <w:jc w:val="center"/>
              <w:rPr>
                <w:snapToGrid w:val="0"/>
                <w:color w:val="auto"/>
                <w:sz w:val="18"/>
                <w:szCs w:val="20"/>
                <w:lang w:val="zh-CN"/>
              </w:rPr>
            </w:pPr>
            <w:r>
              <w:rPr>
                <w:rFonts w:hint="eastAsia"/>
                <w:snapToGrid w:val="0"/>
                <w:color w:val="auto"/>
                <w:sz w:val="18"/>
                <w:szCs w:val="20"/>
                <w:lang w:val="zh-CN"/>
              </w:rPr>
              <w:t>注：</w:t>
            </w:r>
            <w:r>
              <w:rPr>
                <w:snapToGrid w:val="0"/>
                <w:color w:val="auto"/>
                <w:sz w:val="18"/>
                <w:szCs w:val="20"/>
                <w:lang w:val="zh-CN"/>
              </w:rPr>
              <w:t>“□”</w:t>
            </w:r>
            <w:r>
              <w:rPr>
                <w:rFonts w:hint="eastAsia"/>
                <w:snapToGrid w:val="0"/>
                <w:color w:val="auto"/>
                <w:sz w:val="18"/>
                <w:szCs w:val="20"/>
                <w:lang w:val="zh-CN"/>
              </w:rPr>
              <w:t>为勾选项，</w:t>
            </w:r>
            <w:r>
              <w:rPr>
                <w:snapToGrid w:val="0"/>
                <w:color w:val="auto"/>
                <w:sz w:val="18"/>
                <w:szCs w:val="20"/>
                <w:lang w:val="zh-CN"/>
              </w:rPr>
              <w:t>“”</w:t>
            </w:r>
            <w:r>
              <w:rPr>
                <w:rFonts w:hint="eastAsia"/>
                <w:snapToGrid w:val="0"/>
                <w:color w:val="auto"/>
                <w:sz w:val="18"/>
                <w:szCs w:val="20"/>
                <w:lang w:val="zh-CN"/>
              </w:rPr>
              <w:t>为填写项。</w:t>
            </w:r>
          </w:p>
        </w:tc>
      </w:tr>
    </w:tbl>
    <w:p w14:paraId="3A9A724C">
      <w:pPr>
        <w:jc w:val="center"/>
        <w:rPr>
          <w:b/>
          <w:color w:val="auto"/>
          <w:sz w:val="24"/>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258F47BD">
      <w:pPr>
        <w:pStyle w:val="548"/>
        <w:rPr>
          <w:color w:val="auto"/>
        </w:rPr>
      </w:pPr>
      <w:bookmarkStart w:id="266" w:name="_Toc149054246"/>
      <w:r>
        <w:rPr>
          <w:rFonts w:hint="eastAsia"/>
          <w:color w:val="auto"/>
        </w:rPr>
        <w:t>附表4</w:t>
      </w:r>
      <w:r>
        <w:rPr>
          <w:color w:val="auto"/>
        </w:rPr>
        <w:t>土壤环境影响评价自查表</w:t>
      </w:r>
      <w:bookmarkEnd w:id="266"/>
    </w:p>
    <w:tbl>
      <w:tblPr>
        <w:tblStyle w:val="45"/>
        <w:tblW w:w="9150" w:type="dxa"/>
        <w:jc w:val="center"/>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0" w:type="dxa"/>
          <w:left w:w="0" w:type="dxa"/>
          <w:bottom w:w="0" w:type="dxa"/>
          <w:right w:w="0" w:type="dxa"/>
        </w:tblCellMar>
      </w:tblPr>
      <w:tblGrid>
        <w:gridCol w:w="413"/>
        <w:gridCol w:w="1642"/>
        <w:gridCol w:w="1384"/>
        <w:gridCol w:w="1505"/>
        <w:gridCol w:w="1588"/>
        <w:gridCol w:w="437"/>
        <w:gridCol w:w="218"/>
        <w:gridCol w:w="244"/>
        <w:gridCol w:w="918"/>
        <w:gridCol w:w="801"/>
      </w:tblGrid>
      <w:tr w14:paraId="12858F3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2055" w:type="dxa"/>
            <w:gridSpan w:val="2"/>
            <w:tcBorders>
              <w:top w:val="single" w:color="000000" w:sz="12" w:space="0"/>
              <w:left w:val="single" w:color="000000" w:sz="12" w:space="0"/>
              <w:bottom w:val="single" w:color="000000" w:sz="4" w:space="0"/>
              <w:right w:val="single" w:color="000000" w:sz="4" w:space="0"/>
            </w:tcBorders>
            <w:vAlign w:val="center"/>
          </w:tcPr>
          <w:p w14:paraId="1F8EA7D6">
            <w:pPr>
              <w:jc w:val="center"/>
              <w:rPr>
                <w:color w:val="auto"/>
                <w:sz w:val="18"/>
                <w:szCs w:val="18"/>
              </w:rPr>
            </w:pPr>
            <w:r>
              <w:rPr>
                <w:color w:val="auto"/>
                <w:sz w:val="18"/>
                <w:szCs w:val="18"/>
              </w:rPr>
              <w:t>工作内容</w:t>
            </w:r>
          </w:p>
        </w:tc>
        <w:tc>
          <w:tcPr>
            <w:tcW w:w="6294" w:type="dxa"/>
            <w:gridSpan w:val="7"/>
            <w:tcBorders>
              <w:top w:val="single" w:color="000000" w:sz="12" w:space="0"/>
              <w:left w:val="single" w:color="000000" w:sz="4" w:space="0"/>
              <w:bottom w:val="single" w:color="000000" w:sz="4" w:space="0"/>
              <w:right w:val="single" w:color="000000" w:sz="4" w:space="0"/>
            </w:tcBorders>
            <w:vAlign w:val="center"/>
          </w:tcPr>
          <w:p w14:paraId="75BA7293">
            <w:pPr>
              <w:jc w:val="center"/>
              <w:rPr>
                <w:color w:val="auto"/>
                <w:sz w:val="18"/>
                <w:szCs w:val="18"/>
              </w:rPr>
            </w:pPr>
            <w:r>
              <w:rPr>
                <w:color w:val="auto"/>
                <w:sz w:val="18"/>
                <w:szCs w:val="18"/>
              </w:rPr>
              <w:t>完成情况</w:t>
            </w:r>
          </w:p>
        </w:tc>
        <w:tc>
          <w:tcPr>
            <w:tcW w:w="801" w:type="dxa"/>
            <w:tcBorders>
              <w:top w:val="single" w:color="000000" w:sz="12" w:space="0"/>
              <w:left w:val="single" w:color="000000" w:sz="4" w:space="0"/>
              <w:bottom w:val="single" w:color="000000" w:sz="4" w:space="0"/>
              <w:right w:val="single" w:color="000000" w:sz="12" w:space="0"/>
            </w:tcBorders>
            <w:vAlign w:val="center"/>
          </w:tcPr>
          <w:p w14:paraId="41D49113">
            <w:pPr>
              <w:jc w:val="center"/>
              <w:rPr>
                <w:color w:val="auto"/>
                <w:sz w:val="18"/>
                <w:szCs w:val="18"/>
              </w:rPr>
            </w:pPr>
            <w:r>
              <w:rPr>
                <w:color w:val="auto"/>
                <w:sz w:val="18"/>
                <w:szCs w:val="18"/>
              </w:rPr>
              <w:t>备注</w:t>
            </w:r>
          </w:p>
        </w:tc>
      </w:tr>
      <w:tr w14:paraId="6472341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jc w:val="center"/>
        </w:trPr>
        <w:tc>
          <w:tcPr>
            <w:tcW w:w="413" w:type="dxa"/>
            <w:vMerge w:val="restart"/>
            <w:tcBorders>
              <w:top w:val="single" w:color="000000" w:sz="4" w:space="0"/>
              <w:left w:val="single" w:color="000000" w:sz="12" w:space="0"/>
              <w:bottom w:val="single" w:color="000000" w:sz="6" w:space="0"/>
              <w:right w:val="single" w:color="000000" w:sz="4" w:space="0"/>
            </w:tcBorders>
            <w:vAlign w:val="center"/>
          </w:tcPr>
          <w:p w14:paraId="6602B744">
            <w:pPr>
              <w:autoSpaceDE w:val="0"/>
              <w:autoSpaceDN w:val="0"/>
              <w:ind w:right="106"/>
              <w:jc w:val="center"/>
              <w:rPr>
                <w:color w:val="auto"/>
                <w:sz w:val="18"/>
                <w:szCs w:val="22"/>
                <w:lang w:eastAsia="en-US" w:bidi="en-US"/>
              </w:rPr>
            </w:pPr>
            <w:r>
              <w:rPr>
                <w:color w:val="auto"/>
                <w:sz w:val="18"/>
                <w:szCs w:val="22"/>
                <w:lang w:eastAsia="en-US" w:bidi="en-US"/>
              </w:rPr>
              <w:t>影响识别</w:t>
            </w:r>
          </w:p>
        </w:tc>
        <w:tc>
          <w:tcPr>
            <w:tcW w:w="1642" w:type="dxa"/>
            <w:tcBorders>
              <w:top w:val="single" w:color="000000" w:sz="4" w:space="0"/>
              <w:left w:val="single" w:color="000000" w:sz="4" w:space="0"/>
              <w:bottom w:val="single" w:color="000000" w:sz="4" w:space="0"/>
              <w:right w:val="single" w:color="000000" w:sz="4" w:space="0"/>
            </w:tcBorders>
            <w:vAlign w:val="center"/>
          </w:tcPr>
          <w:p w14:paraId="7CBE90CA">
            <w:pPr>
              <w:autoSpaceDE w:val="0"/>
              <w:autoSpaceDN w:val="0"/>
              <w:ind w:right="83"/>
              <w:jc w:val="center"/>
              <w:rPr>
                <w:color w:val="auto"/>
                <w:sz w:val="18"/>
                <w:szCs w:val="22"/>
                <w:lang w:eastAsia="en-US" w:bidi="en-US"/>
              </w:rPr>
            </w:pPr>
            <w:r>
              <w:rPr>
                <w:color w:val="auto"/>
                <w:sz w:val="18"/>
                <w:szCs w:val="22"/>
                <w:lang w:eastAsia="en-US" w:bidi="en-US"/>
              </w:rPr>
              <w:t>影响类型</w:t>
            </w:r>
          </w:p>
        </w:tc>
        <w:tc>
          <w:tcPr>
            <w:tcW w:w="6294" w:type="dxa"/>
            <w:gridSpan w:val="7"/>
            <w:tcBorders>
              <w:top w:val="single" w:color="000000" w:sz="4" w:space="0"/>
              <w:left w:val="single" w:color="000000" w:sz="4" w:space="0"/>
              <w:bottom w:val="single" w:color="000000" w:sz="4" w:space="0"/>
              <w:right w:val="single" w:color="000000" w:sz="4" w:space="0"/>
            </w:tcBorders>
            <w:vAlign w:val="center"/>
          </w:tcPr>
          <w:p w14:paraId="5928405F">
            <w:pPr>
              <w:autoSpaceDE w:val="0"/>
              <w:autoSpaceDN w:val="0"/>
              <w:jc w:val="center"/>
              <w:rPr>
                <w:color w:val="auto"/>
                <w:sz w:val="18"/>
                <w:szCs w:val="22"/>
                <w:lang w:bidi="en-US"/>
              </w:rPr>
            </w:pPr>
            <w:r>
              <w:rPr>
                <w:color w:val="auto"/>
                <w:sz w:val="18"/>
                <w:szCs w:val="22"/>
                <w:lang w:bidi="en-US"/>
              </w:rPr>
              <w:t>污染影响型</w:t>
            </w:r>
            <w:r>
              <w:rPr>
                <w:color w:val="auto"/>
                <w:sz w:val="18"/>
                <w:szCs w:val="18"/>
              </w:rPr>
              <w:sym w:font="Wingdings" w:char="00FE"/>
            </w:r>
            <w:r>
              <w:rPr>
                <w:color w:val="auto"/>
                <w:sz w:val="18"/>
                <w:szCs w:val="22"/>
                <w:lang w:bidi="en-US"/>
              </w:rPr>
              <w:t>；生态影响型□；两种兼有□</w:t>
            </w:r>
          </w:p>
        </w:tc>
        <w:tc>
          <w:tcPr>
            <w:tcW w:w="801" w:type="dxa"/>
            <w:tcBorders>
              <w:top w:val="single" w:color="000000" w:sz="4" w:space="0"/>
              <w:left w:val="single" w:color="000000" w:sz="4" w:space="0"/>
              <w:bottom w:val="single" w:color="000000" w:sz="4" w:space="0"/>
              <w:right w:val="single" w:color="000000" w:sz="12" w:space="0"/>
            </w:tcBorders>
            <w:vAlign w:val="center"/>
          </w:tcPr>
          <w:p w14:paraId="774BF6F4">
            <w:pPr>
              <w:autoSpaceDE w:val="0"/>
              <w:autoSpaceDN w:val="0"/>
              <w:jc w:val="center"/>
              <w:rPr>
                <w:color w:val="auto"/>
                <w:sz w:val="18"/>
                <w:szCs w:val="22"/>
                <w:lang w:bidi="en-US"/>
              </w:rPr>
            </w:pPr>
          </w:p>
        </w:tc>
      </w:tr>
      <w:tr w14:paraId="3D91987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278"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4C9B7A33">
            <w:pPr>
              <w:widowControl/>
              <w:jc w:val="left"/>
              <w:rPr>
                <w:color w:val="auto"/>
                <w:sz w:val="18"/>
                <w:szCs w:val="22"/>
                <w:lang w:bidi="en-US"/>
              </w:rPr>
            </w:pPr>
          </w:p>
        </w:tc>
        <w:tc>
          <w:tcPr>
            <w:tcW w:w="1642" w:type="dxa"/>
            <w:tcBorders>
              <w:top w:val="single" w:color="000000" w:sz="4" w:space="0"/>
              <w:left w:val="single" w:color="000000" w:sz="6" w:space="0"/>
              <w:bottom w:val="single" w:color="000000" w:sz="4" w:space="0"/>
              <w:right w:val="single" w:color="000000" w:sz="6" w:space="0"/>
            </w:tcBorders>
            <w:vAlign w:val="center"/>
          </w:tcPr>
          <w:p w14:paraId="32E7EA27">
            <w:pPr>
              <w:autoSpaceDE w:val="0"/>
              <w:autoSpaceDN w:val="0"/>
              <w:ind w:right="83"/>
              <w:jc w:val="center"/>
              <w:rPr>
                <w:color w:val="auto"/>
                <w:sz w:val="18"/>
                <w:szCs w:val="22"/>
                <w:lang w:eastAsia="en-US" w:bidi="en-US"/>
              </w:rPr>
            </w:pPr>
            <w:r>
              <w:rPr>
                <w:color w:val="auto"/>
                <w:sz w:val="18"/>
                <w:szCs w:val="22"/>
                <w:lang w:eastAsia="en-US" w:bidi="en-US"/>
              </w:rPr>
              <w:t>土地利用类型</w:t>
            </w:r>
          </w:p>
        </w:tc>
        <w:tc>
          <w:tcPr>
            <w:tcW w:w="6294" w:type="dxa"/>
            <w:gridSpan w:val="7"/>
            <w:tcBorders>
              <w:top w:val="single" w:color="000000" w:sz="4" w:space="0"/>
              <w:left w:val="single" w:color="000000" w:sz="6" w:space="0"/>
              <w:bottom w:val="single" w:color="000000" w:sz="6" w:space="0"/>
              <w:right w:val="single" w:color="000000" w:sz="6" w:space="0"/>
            </w:tcBorders>
            <w:vAlign w:val="center"/>
          </w:tcPr>
          <w:p w14:paraId="0C2CD6EB">
            <w:pPr>
              <w:autoSpaceDE w:val="0"/>
              <w:autoSpaceDN w:val="0"/>
              <w:jc w:val="center"/>
              <w:rPr>
                <w:color w:val="auto"/>
                <w:sz w:val="18"/>
                <w:szCs w:val="22"/>
                <w:lang w:bidi="en-US"/>
              </w:rPr>
            </w:pPr>
            <w:r>
              <w:rPr>
                <w:color w:val="auto"/>
                <w:sz w:val="18"/>
                <w:szCs w:val="22"/>
                <w:lang w:bidi="en-US"/>
              </w:rPr>
              <w:t>建设用地</w:t>
            </w:r>
            <w:r>
              <w:rPr>
                <w:color w:val="auto"/>
                <w:sz w:val="18"/>
                <w:szCs w:val="18"/>
              </w:rPr>
              <w:sym w:font="Wingdings" w:char="00FE"/>
            </w:r>
            <w:r>
              <w:rPr>
                <w:color w:val="auto"/>
                <w:sz w:val="18"/>
                <w:szCs w:val="22"/>
                <w:lang w:bidi="en-US"/>
              </w:rPr>
              <w:t>；农用地</w:t>
            </w:r>
            <w:r>
              <w:rPr>
                <w:rFonts w:hint="eastAsia"/>
                <w:color w:val="auto"/>
                <w:sz w:val="18"/>
                <w:szCs w:val="22"/>
                <w:lang w:eastAsia="zh-CN" w:bidi="en-US"/>
              </w:rPr>
              <w:t>☑</w:t>
            </w:r>
            <w:r>
              <w:rPr>
                <w:color w:val="auto"/>
                <w:sz w:val="18"/>
                <w:szCs w:val="22"/>
                <w:lang w:bidi="en-US"/>
              </w:rPr>
              <w:t>；未利用地□</w:t>
            </w:r>
          </w:p>
        </w:tc>
        <w:tc>
          <w:tcPr>
            <w:tcW w:w="801" w:type="dxa"/>
            <w:tcBorders>
              <w:top w:val="single" w:color="000000" w:sz="4" w:space="0"/>
              <w:left w:val="single" w:color="000000" w:sz="6" w:space="0"/>
              <w:bottom w:val="single" w:color="000000" w:sz="4" w:space="0"/>
              <w:right w:val="single" w:color="000000" w:sz="12" w:space="0"/>
            </w:tcBorders>
            <w:vAlign w:val="center"/>
          </w:tcPr>
          <w:p w14:paraId="055D0788">
            <w:pPr>
              <w:autoSpaceDE w:val="0"/>
              <w:autoSpaceDN w:val="0"/>
              <w:jc w:val="center"/>
              <w:rPr>
                <w:color w:val="auto"/>
                <w:sz w:val="18"/>
                <w:szCs w:val="22"/>
                <w:lang w:bidi="en-US"/>
              </w:rPr>
            </w:pPr>
          </w:p>
        </w:tc>
      </w:tr>
      <w:tr w14:paraId="6D7D763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4A9A1E8B">
            <w:pPr>
              <w:widowControl/>
              <w:jc w:val="left"/>
              <w:rPr>
                <w:color w:val="auto"/>
                <w:sz w:val="18"/>
                <w:szCs w:val="22"/>
                <w:lang w:bidi="en-US"/>
              </w:rPr>
            </w:pPr>
          </w:p>
        </w:tc>
        <w:tc>
          <w:tcPr>
            <w:tcW w:w="1642" w:type="dxa"/>
            <w:tcBorders>
              <w:top w:val="single" w:color="000000" w:sz="4" w:space="0"/>
              <w:left w:val="single" w:color="000000" w:sz="6" w:space="0"/>
              <w:bottom w:val="single" w:color="000000" w:sz="6" w:space="0"/>
              <w:right w:val="single" w:color="000000" w:sz="6" w:space="0"/>
            </w:tcBorders>
            <w:vAlign w:val="center"/>
          </w:tcPr>
          <w:p w14:paraId="31BED55B">
            <w:pPr>
              <w:autoSpaceDE w:val="0"/>
              <w:autoSpaceDN w:val="0"/>
              <w:ind w:right="83"/>
              <w:jc w:val="center"/>
              <w:rPr>
                <w:color w:val="auto"/>
                <w:sz w:val="18"/>
                <w:szCs w:val="22"/>
                <w:lang w:eastAsia="en-US" w:bidi="en-US"/>
              </w:rPr>
            </w:pPr>
            <w:r>
              <w:rPr>
                <w:color w:val="auto"/>
                <w:sz w:val="18"/>
                <w:szCs w:val="22"/>
                <w:lang w:eastAsia="en-US" w:bidi="en-US"/>
              </w:rPr>
              <w:t>占地规模</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34E31E58">
            <w:pPr>
              <w:tabs>
                <w:tab w:val="left" w:pos="1370"/>
              </w:tabs>
              <w:autoSpaceDE w:val="0"/>
              <w:autoSpaceDN w:val="0"/>
              <w:jc w:val="center"/>
              <w:rPr>
                <w:color w:val="auto"/>
                <w:sz w:val="11"/>
                <w:szCs w:val="22"/>
                <w:lang w:eastAsia="en-US" w:bidi="en-US"/>
              </w:rPr>
            </w:pPr>
            <w:r>
              <w:rPr>
                <w:color w:val="auto"/>
                <w:sz w:val="18"/>
                <w:szCs w:val="22"/>
                <w:lang w:eastAsia="en-US" w:bidi="en-US"/>
              </w:rPr>
              <w:t>（</w:t>
            </w:r>
            <w:r>
              <w:rPr>
                <w:rFonts w:hint="eastAsia"/>
                <w:color w:val="auto"/>
                <w:sz w:val="18"/>
                <w:szCs w:val="22"/>
                <w:lang w:val="en-US" w:eastAsia="zh-CN" w:bidi="en-US"/>
              </w:rPr>
              <w:t>7.8594</w:t>
            </w:r>
            <w:r>
              <w:rPr>
                <w:color w:val="auto"/>
                <w:sz w:val="18"/>
                <w:szCs w:val="22"/>
                <w:lang w:eastAsia="en-US" w:bidi="en-US"/>
              </w:rPr>
              <w:t>）hm</w:t>
            </w:r>
            <w:r>
              <w:rPr>
                <w:color w:val="auto"/>
                <w:position w:val="6"/>
                <w:sz w:val="11"/>
                <w:szCs w:val="22"/>
                <w:lang w:eastAsia="en-US" w:bidi="en-US"/>
              </w:rPr>
              <w:t>2</w:t>
            </w:r>
          </w:p>
        </w:tc>
        <w:tc>
          <w:tcPr>
            <w:tcW w:w="801" w:type="dxa"/>
            <w:tcBorders>
              <w:top w:val="single" w:color="000000" w:sz="4" w:space="0"/>
              <w:left w:val="single" w:color="000000" w:sz="6" w:space="0"/>
              <w:bottom w:val="single" w:color="000000" w:sz="6" w:space="0"/>
              <w:right w:val="single" w:color="000000" w:sz="12" w:space="0"/>
            </w:tcBorders>
            <w:vAlign w:val="center"/>
          </w:tcPr>
          <w:p w14:paraId="4DD078CF">
            <w:pPr>
              <w:autoSpaceDE w:val="0"/>
              <w:autoSpaceDN w:val="0"/>
              <w:jc w:val="center"/>
              <w:rPr>
                <w:color w:val="auto"/>
                <w:sz w:val="18"/>
                <w:szCs w:val="22"/>
                <w:lang w:eastAsia="en-US" w:bidi="en-US"/>
              </w:rPr>
            </w:pPr>
          </w:p>
        </w:tc>
      </w:tr>
      <w:tr w14:paraId="429CED7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69577085">
            <w:pPr>
              <w:widowControl/>
              <w:jc w:val="left"/>
              <w:rPr>
                <w:color w:val="auto"/>
                <w:sz w:val="18"/>
                <w:szCs w:val="22"/>
                <w:lang w:eastAsia="en-US"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4E5CB8EE">
            <w:pPr>
              <w:autoSpaceDE w:val="0"/>
              <w:autoSpaceDN w:val="0"/>
              <w:ind w:right="83"/>
              <w:jc w:val="center"/>
              <w:rPr>
                <w:color w:val="auto"/>
                <w:sz w:val="18"/>
                <w:szCs w:val="22"/>
                <w:lang w:eastAsia="en-US" w:bidi="en-US"/>
              </w:rPr>
            </w:pPr>
            <w:r>
              <w:rPr>
                <w:color w:val="auto"/>
                <w:sz w:val="18"/>
                <w:szCs w:val="22"/>
                <w:lang w:eastAsia="en-US" w:bidi="en-US"/>
              </w:rPr>
              <w:t>敏感目标信息</w:t>
            </w:r>
          </w:p>
        </w:tc>
        <w:tc>
          <w:tcPr>
            <w:tcW w:w="4914" w:type="dxa"/>
            <w:gridSpan w:val="4"/>
            <w:tcBorders>
              <w:top w:val="single" w:color="000000" w:sz="6" w:space="0"/>
              <w:left w:val="single" w:color="000000" w:sz="6" w:space="0"/>
              <w:bottom w:val="single" w:color="000000" w:sz="6" w:space="0"/>
              <w:right w:val="nil"/>
            </w:tcBorders>
            <w:vAlign w:val="center"/>
          </w:tcPr>
          <w:p w14:paraId="2D3D8F94">
            <w:pPr>
              <w:jc w:val="center"/>
              <w:rPr>
                <w:color w:val="auto"/>
                <w:sz w:val="18"/>
                <w:szCs w:val="18"/>
              </w:rPr>
            </w:pPr>
            <w:r>
              <w:rPr>
                <w:color w:val="auto"/>
                <w:sz w:val="18"/>
                <w:szCs w:val="18"/>
              </w:rPr>
              <w:t>敏感目标（农田）、方位（</w:t>
            </w:r>
            <w:r>
              <w:rPr>
                <w:rFonts w:hint="eastAsia"/>
                <w:color w:val="auto"/>
                <w:sz w:val="18"/>
                <w:szCs w:val="18"/>
                <w:lang w:eastAsia="zh-CN"/>
              </w:rPr>
              <w:t>东、南、西、北</w:t>
            </w:r>
            <w:r>
              <w:rPr>
                <w:color w:val="auto"/>
                <w:sz w:val="18"/>
                <w:szCs w:val="18"/>
              </w:rPr>
              <w:t>）、距离（</w:t>
            </w:r>
            <w:r>
              <w:rPr>
                <w:rFonts w:hint="eastAsia"/>
                <w:color w:val="auto"/>
                <w:sz w:val="18"/>
                <w:szCs w:val="18"/>
              </w:rPr>
              <w:t>紧邻</w:t>
            </w:r>
            <w:r>
              <w:rPr>
                <w:color w:val="auto"/>
                <w:sz w:val="18"/>
                <w:szCs w:val="18"/>
              </w:rPr>
              <w:t>）</w:t>
            </w:r>
          </w:p>
        </w:tc>
        <w:tc>
          <w:tcPr>
            <w:tcW w:w="462" w:type="dxa"/>
            <w:gridSpan w:val="2"/>
            <w:tcBorders>
              <w:top w:val="single" w:color="000000" w:sz="6" w:space="0"/>
              <w:left w:val="nil"/>
              <w:bottom w:val="single" w:color="000000" w:sz="6" w:space="0"/>
              <w:right w:val="nil"/>
            </w:tcBorders>
            <w:vAlign w:val="center"/>
          </w:tcPr>
          <w:p w14:paraId="1A7C8B4E">
            <w:pPr>
              <w:jc w:val="center"/>
              <w:rPr>
                <w:color w:val="auto"/>
                <w:sz w:val="18"/>
                <w:szCs w:val="18"/>
              </w:rPr>
            </w:pPr>
          </w:p>
        </w:tc>
        <w:tc>
          <w:tcPr>
            <w:tcW w:w="918" w:type="dxa"/>
            <w:tcBorders>
              <w:top w:val="single" w:color="000000" w:sz="6" w:space="0"/>
              <w:left w:val="nil"/>
              <w:bottom w:val="single" w:color="000000" w:sz="6" w:space="0"/>
              <w:right w:val="single" w:color="000000" w:sz="6" w:space="0"/>
            </w:tcBorders>
            <w:vAlign w:val="center"/>
          </w:tcPr>
          <w:p w14:paraId="0F8E90A9">
            <w:pPr>
              <w:jc w:val="center"/>
              <w:rPr>
                <w:color w:val="auto"/>
                <w:sz w:val="18"/>
                <w:szCs w:val="18"/>
              </w:rPr>
            </w:pPr>
          </w:p>
        </w:tc>
        <w:tc>
          <w:tcPr>
            <w:tcW w:w="801" w:type="dxa"/>
            <w:tcBorders>
              <w:top w:val="single" w:color="000000" w:sz="6" w:space="0"/>
              <w:left w:val="single" w:color="000000" w:sz="6" w:space="0"/>
              <w:bottom w:val="single" w:color="000000" w:sz="6" w:space="0"/>
              <w:right w:val="single" w:color="000000" w:sz="12" w:space="0"/>
            </w:tcBorders>
            <w:vAlign w:val="center"/>
          </w:tcPr>
          <w:p w14:paraId="45B77A72">
            <w:pPr>
              <w:autoSpaceDE w:val="0"/>
              <w:autoSpaceDN w:val="0"/>
              <w:jc w:val="center"/>
              <w:rPr>
                <w:color w:val="auto"/>
                <w:sz w:val="18"/>
                <w:szCs w:val="22"/>
                <w:lang w:bidi="en-US"/>
              </w:rPr>
            </w:pPr>
          </w:p>
        </w:tc>
      </w:tr>
      <w:tr w14:paraId="1643C3D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7BD940F0">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6F52EFDE">
            <w:pPr>
              <w:autoSpaceDE w:val="0"/>
              <w:autoSpaceDN w:val="0"/>
              <w:ind w:right="83"/>
              <w:jc w:val="center"/>
              <w:rPr>
                <w:color w:val="auto"/>
                <w:sz w:val="18"/>
                <w:szCs w:val="22"/>
                <w:lang w:eastAsia="en-US" w:bidi="en-US"/>
              </w:rPr>
            </w:pPr>
            <w:r>
              <w:rPr>
                <w:color w:val="auto"/>
                <w:sz w:val="18"/>
                <w:szCs w:val="22"/>
                <w:lang w:eastAsia="en-US" w:bidi="en-US"/>
              </w:rPr>
              <w:t>影响途径</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1A771520">
            <w:pPr>
              <w:autoSpaceDE w:val="0"/>
              <w:autoSpaceDN w:val="0"/>
              <w:jc w:val="center"/>
              <w:rPr>
                <w:color w:val="auto"/>
                <w:sz w:val="18"/>
                <w:szCs w:val="22"/>
                <w:lang w:bidi="en-US"/>
              </w:rPr>
            </w:pPr>
            <w:r>
              <w:rPr>
                <w:color w:val="auto"/>
                <w:sz w:val="18"/>
                <w:szCs w:val="22"/>
                <w:lang w:bidi="en-US"/>
              </w:rPr>
              <w:t>大气沉降</w:t>
            </w:r>
            <w:r>
              <w:rPr>
                <w:color w:val="auto"/>
              </w:rPr>
              <w:sym w:font="Wingdings" w:char="00A8"/>
            </w:r>
            <w:r>
              <w:rPr>
                <w:color w:val="auto"/>
                <w:sz w:val="18"/>
                <w:szCs w:val="22"/>
                <w:lang w:bidi="en-US"/>
              </w:rPr>
              <w:t>；地面漫流□；垂直入渗</w:t>
            </w:r>
            <w:r>
              <w:rPr>
                <w:color w:val="auto"/>
              </w:rPr>
              <w:sym w:font="Wingdings" w:char="00FE"/>
            </w:r>
            <w:r>
              <w:rPr>
                <w:color w:val="auto"/>
                <w:sz w:val="18"/>
                <w:szCs w:val="22"/>
                <w:lang w:bidi="en-US"/>
              </w:rPr>
              <w:t>；地下水位□；其他（）</w:t>
            </w:r>
          </w:p>
        </w:tc>
        <w:tc>
          <w:tcPr>
            <w:tcW w:w="801" w:type="dxa"/>
            <w:tcBorders>
              <w:top w:val="single" w:color="000000" w:sz="6" w:space="0"/>
              <w:left w:val="single" w:color="000000" w:sz="6" w:space="0"/>
              <w:bottom w:val="single" w:color="000000" w:sz="6" w:space="0"/>
              <w:right w:val="single" w:color="000000" w:sz="12" w:space="0"/>
            </w:tcBorders>
            <w:vAlign w:val="center"/>
          </w:tcPr>
          <w:p w14:paraId="25CFDDF2">
            <w:pPr>
              <w:autoSpaceDE w:val="0"/>
              <w:autoSpaceDN w:val="0"/>
              <w:jc w:val="center"/>
              <w:rPr>
                <w:color w:val="auto"/>
                <w:sz w:val="18"/>
                <w:szCs w:val="22"/>
                <w:lang w:bidi="en-US"/>
              </w:rPr>
            </w:pPr>
          </w:p>
        </w:tc>
      </w:tr>
      <w:tr w14:paraId="0C86A0A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1FF928AE">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5590BAD7">
            <w:pPr>
              <w:autoSpaceDE w:val="0"/>
              <w:autoSpaceDN w:val="0"/>
              <w:ind w:right="80"/>
              <w:jc w:val="center"/>
              <w:rPr>
                <w:color w:val="auto"/>
                <w:sz w:val="18"/>
                <w:szCs w:val="22"/>
                <w:lang w:eastAsia="en-US" w:bidi="en-US"/>
              </w:rPr>
            </w:pPr>
            <w:r>
              <w:rPr>
                <w:color w:val="auto"/>
                <w:sz w:val="18"/>
                <w:szCs w:val="22"/>
                <w:lang w:eastAsia="en-US" w:bidi="en-US"/>
              </w:rPr>
              <w:t>全部污染物</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0D5DDC3F">
            <w:pPr>
              <w:autoSpaceDE w:val="0"/>
              <w:autoSpaceDN w:val="0"/>
              <w:jc w:val="center"/>
              <w:rPr>
                <w:color w:val="auto"/>
                <w:sz w:val="18"/>
                <w:szCs w:val="18"/>
                <w:lang w:bidi="en-US"/>
              </w:rPr>
            </w:pPr>
          </w:p>
        </w:tc>
        <w:tc>
          <w:tcPr>
            <w:tcW w:w="801" w:type="dxa"/>
            <w:tcBorders>
              <w:top w:val="single" w:color="000000" w:sz="6" w:space="0"/>
              <w:left w:val="single" w:color="000000" w:sz="6" w:space="0"/>
              <w:bottom w:val="single" w:color="000000" w:sz="6" w:space="0"/>
              <w:right w:val="single" w:color="000000" w:sz="12" w:space="0"/>
            </w:tcBorders>
            <w:vAlign w:val="center"/>
          </w:tcPr>
          <w:p w14:paraId="1D5FF7CA">
            <w:pPr>
              <w:autoSpaceDE w:val="0"/>
              <w:autoSpaceDN w:val="0"/>
              <w:jc w:val="center"/>
              <w:rPr>
                <w:color w:val="auto"/>
                <w:sz w:val="18"/>
                <w:szCs w:val="22"/>
                <w:lang w:bidi="en-US"/>
              </w:rPr>
            </w:pPr>
          </w:p>
        </w:tc>
      </w:tr>
      <w:tr w14:paraId="2C5B237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7683D59D">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0194D932">
            <w:pPr>
              <w:autoSpaceDE w:val="0"/>
              <w:autoSpaceDN w:val="0"/>
              <w:ind w:right="83"/>
              <w:jc w:val="center"/>
              <w:rPr>
                <w:color w:val="auto"/>
                <w:sz w:val="18"/>
                <w:szCs w:val="22"/>
                <w:lang w:eastAsia="en-US" w:bidi="en-US"/>
              </w:rPr>
            </w:pPr>
            <w:r>
              <w:rPr>
                <w:color w:val="auto"/>
                <w:sz w:val="18"/>
                <w:szCs w:val="22"/>
                <w:lang w:eastAsia="en-US" w:bidi="en-US"/>
              </w:rPr>
              <w:t>特征因子</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00CAC829">
            <w:pPr>
              <w:pStyle w:val="84"/>
              <w:rPr>
                <w:color w:val="auto"/>
                <w:sz w:val="18"/>
                <w:szCs w:val="18"/>
              </w:rPr>
            </w:pPr>
          </w:p>
        </w:tc>
        <w:tc>
          <w:tcPr>
            <w:tcW w:w="801" w:type="dxa"/>
            <w:tcBorders>
              <w:top w:val="single" w:color="000000" w:sz="6" w:space="0"/>
              <w:left w:val="single" w:color="000000" w:sz="6" w:space="0"/>
              <w:bottom w:val="single" w:color="000000" w:sz="6" w:space="0"/>
              <w:right w:val="single" w:color="000000" w:sz="12" w:space="0"/>
            </w:tcBorders>
            <w:vAlign w:val="center"/>
          </w:tcPr>
          <w:p w14:paraId="146F8E16">
            <w:pPr>
              <w:autoSpaceDE w:val="0"/>
              <w:autoSpaceDN w:val="0"/>
              <w:jc w:val="center"/>
              <w:rPr>
                <w:color w:val="auto"/>
                <w:sz w:val="18"/>
                <w:szCs w:val="22"/>
                <w:lang w:bidi="en-US"/>
              </w:rPr>
            </w:pPr>
          </w:p>
        </w:tc>
      </w:tr>
      <w:tr w14:paraId="2DCD193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0"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04B8ABC0">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3F8DA05D">
            <w:pPr>
              <w:autoSpaceDE w:val="0"/>
              <w:autoSpaceDN w:val="0"/>
              <w:ind w:right="83"/>
              <w:jc w:val="center"/>
              <w:rPr>
                <w:color w:val="auto"/>
                <w:sz w:val="18"/>
                <w:szCs w:val="22"/>
                <w:lang w:bidi="en-US"/>
              </w:rPr>
            </w:pPr>
            <w:r>
              <w:rPr>
                <w:color w:val="auto"/>
                <w:sz w:val="18"/>
                <w:szCs w:val="22"/>
                <w:lang w:bidi="en-US"/>
              </w:rPr>
              <w:t>所属土壤环境影响评价项目类别</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13250BF6">
            <w:pPr>
              <w:autoSpaceDE w:val="0"/>
              <w:autoSpaceDN w:val="0"/>
              <w:ind w:left="110"/>
              <w:jc w:val="center"/>
              <w:rPr>
                <w:color w:val="auto"/>
                <w:sz w:val="18"/>
                <w:szCs w:val="22"/>
                <w:lang w:bidi="en-US"/>
              </w:rPr>
            </w:pPr>
            <w:r>
              <w:rPr>
                <w:color w:val="auto"/>
                <w:sz w:val="18"/>
                <w:szCs w:val="22"/>
                <w:lang w:bidi="en-US"/>
              </w:rPr>
              <w:t>Ⅰ类□；Ⅱ类</w:t>
            </w:r>
            <w:r>
              <w:rPr>
                <w:color w:val="auto"/>
              </w:rPr>
              <w:sym w:font="Wingdings" w:char="00FE"/>
            </w:r>
            <w:r>
              <w:rPr>
                <w:color w:val="auto"/>
                <w:sz w:val="18"/>
                <w:szCs w:val="22"/>
                <w:lang w:bidi="en-US"/>
              </w:rPr>
              <w:t>；Ⅲ类□；Ⅳ类□</w:t>
            </w:r>
          </w:p>
        </w:tc>
        <w:tc>
          <w:tcPr>
            <w:tcW w:w="801" w:type="dxa"/>
            <w:tcBorders>
              <w:top w:val="single" w:color="000000" w:sz="6" w:space="0"/>
              <w:left w:val="single" w:color="000000" w:sz="6" w:space="0"/>
              <w:bottom w:val="single" w:color="000000" w:sz="6" w:space="0"/>
              <w:right w:val="single" w:color="000000" w:sz="12" w:space="0"/>
            </w:tcBorders>
            <w:vAlign w:val="center"/>
          </w:tcPr>
          <w:p w14:paraId="249B9053">
            <w:pPr>
              <w:autoSpaceDE w:val="0"/>
              <w:autoSpaceDN w:val="0"/>
              <w:jc w:val="center"/>
              <w:rPr>
                <w:color w:val="auto"/>
                <w:sz w:val="18"/>
                <w:szCs w:val="22"/>
                <w:lang w:bidi="en-US"/>
              </w:rPr>
            </w:pPr>
          </w:p>
        </w:tc>
      </w:tr>
      <w:tr w14:paraId="66BED31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8" w:space="0"/>
              <w:left w:val="single" w:color="000000" w:sz="12" w:space="0"/>
              <w:bottom w:val="single" w:color="000000" w:sz="6" w:space="0"/>
              <w:right w:val="single" w:color="000000" w:sz="6" w:space="0"/>
            </w:tcBorders>
            <w:vAlign w:val="center"/>
          </w:tcPr>
          <w:p w14:paraId="63BD60F5">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6FF6D023">
            <w:pPr>
              <w:autoSpaceDE w:val="0"/>
              <w:autoSpaceDN w:val="0"/>
              <w:ind w:right="83"/>
              <w:jc w:val="center"/>
              <w:rPr>
                <w:color w:val="auto"/>
                <w:sz w:val="18"/>
                <w:szCs w:val="22"/>
                <w:lang w:eastAsia="en-US" w:bidi="en-US"/>
              </w:rPr>
            </w:pPr>
            <w:r>
              <w:rPr>
                <w:color w:val="auto"/>
                <w:sz w:val="18"/>
                <w:szCs w:val="22"/>
                <w:lang w:eastAsia="en-US" w:bidi="en-US"/>
              </w:rPr>
              <w:t>敏感程度</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37074DE4">
            <w:pPr>
              <w:autoSpaceDE w:val="0"/>
              <w:autoSpaceDN w:val="0"/>
              <w:ind w:left="110"/>
              <w:jc w:val="center"/>
              <w:rPr>
                <w:color w:val="auto"/>
                <w:sz w:val="18"/>
                <w:szCs w:val="22"/>
                <w:lang w:bidi="en-US"/>
              </w:rPr>
            </w:pPr>
            <w:r>
              <w:rPr>
                <w:color w:val="auto"/>
                <w:sz w:val="18"/>
                <w:szCs w:val="22"/>
                <w:lang w:bidi="en-US"/>
              </w:rPr>
              <w:t>敏感</w:t>
            </w:r>
            <w:r>
              <w:rPr>
                <w:color w:val="auto"/>
              </w:rPr>
              <w:sym w:font="Wingdings" w:char="00FE"/>
            </w:r>
            <w:r>
              <w:rPr>
                <w:color w:val="auto"/>
                <w:sz w:val="18"/>
                <w:szCs w:val="22"/>
                <w:lang w:bidi="en-US"/>
              </w:rPr>
              <w:t>；较敏感□；不敏感□</w:t>
            </w:r>
          </w:p>
        </w:tc>
        <w:tc>
          <w:tcPr>
            <w:tcW w:w="801" w:type="dxa"/>
            <w:tcBorders>
              <w:top w:val="single" w:color="000000" w:sz="6" w:space="0"/>
              <w:left w:val="single" w:color="000000" w:sz="6" w:space="0"/>
              <w:bottom w:val="single" w:color="000000" w:sz="6" w:space="0"/>
              <w:right w:val="single" w:color="000000" w:sz="12" w:space="0"/>
            </w:tcBorders>
            <w:vAlign w:val="center"/>
          </w:tcPr>
          <w:p w14:paraId="71A64112">
            <w:pPr>
              <w:autoSpaceDE w:val="0"/>
              <w:autoSpaceDN w:val="0"/>
              <w:jc w:val="center"/>
              <w:rPr>
                <w:color w:val="auto"/>
                <w:sz w:val="18"/>
                <w:szCs w:val="22"/>
                <w:lang w:bidi="en-US"/>
              </w:rPr>
            </w:pPr>
          </w:p>
        </w:tc>
      </w:tr>
      <w:tr w14:paraId="2E40818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2055" w:type="dxa"/>
            <w:gridSpan w:val="2"/>
            <w:tcBorders>
              <w:top w:val="single" w:color="000000" w:sz="6" w:space="0"/>
              <w:left w:val="single" w:color="000000" w:sz="12" w:space="0"/>
              <w:bottom w:val="single" w:color="000000" w:sz="6" w:space="0"/>
              <w:right w:val="single" w:color="000000" w:sz="6" w:space="0"/>
            </w:tcBorders>
            <w:vAlign w:val="center"/>
          </w:tcPr>
          <w:p w14:paraId="331A721D">
            <w:pPr>
              <w:autoSpaceDE w:val="0"/>
              <w:autoSpaceDN w:val="0"/>
              <w:jc w:val="center"/>
              <w:rPr>
                <w:color w:val="auto"/>
                <w:sz w:val="18"/>
                <w:szCs w:val="22"/>
                <w:lang w:eastAsia="en-US" w:bidi="en-US"/>
              </w:rPr>
            </w:pPr>
            <w:r>
              <w:rPr>
                <w:color w:val="auto"/>
                <w:sz w:val="18"/>
                <w:szCs w:val="22"/>
                <w:lang w:eastAsia="en-US" w:bidi="en-US"/>
              </w:rPr>
              <w:t>评价工作等级</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47DED810">
            <w:pPr>
              <w:autoSpaceDE w:val="0"/>
              <w:autoSpaceDN w:val="0"/>
              <w:ind w:left="110"/>
              <w:jc w:val="center"/>
              <w:rPr>
                <w:color w:val="auto"/>
                <w:sz w:val="18"/>
                <w:szCs w:val="22"/>
                <w:lang w:bidi="en-US"/>
              </w:rPr>
            </w:pPr>
            <w:r>
              <w:rPr>
                <w:color w:val="auto"/>
                <w:sz w:val="18"/>
                <w:szCs w:val="22"/>
                <w:lang w:bidi="en-US"/>
              </w:rPr>
              <w:t>一级□；二级</w:t>
            </w:r>
            <w:r>
              <w:rPr>
                <w:color w:val="auto"/>
              </w:rPr>
              <w:sym w:font="Wingdings" w:char="00FE"/>
            </w:r>
            <w:r>
              <w:rPr>
                <w:color w:val="auto"/>
                <w:sz w:val="18"/>
                <w:szCs w:val="22"/>
                <w:lang w:bidi="en-US"/>
              </w:rPr>
              <w:t>；三级□</w:t>
            </w:r>
          </w:p>
        </w:tc>
        <w:tc>
          <w:tcPr>
            <w:tcW w:w="801" w:type="dxa"/>
            <w:tcBorders>
              <w:top w:val="single" w:color="000000" w:sz="6" w:space="0"/>
              <w:left w:val="single" w:color="000000" w:sz="6" w:space="0"/>
              <w:bottom w:val="single" w:color="000000" w:sz="6" w:space="0"/>
              <w:right w:val="single" w:color="000000" w:sz="12" w:space="0"/>
            </w:tcBorders>
            <w:vAlign w:val="center"/>
          </w:tcPr>
          <w:p w14:paraId="3740DB4E">
            <w:pPr>
              <w:autoSpaceDE w:val="0"/>
              <w:autoSpaceDN w:val="0"/>
              <w:jc w:val="center"/>
              <w:rPr>
                <w:color w:val="auto"/>
                <w:sz w:val="18"/>
                <w:szCs w:val="22"/>
                <w:lang w:bidi="en-US"/>
              </w:rPr>
            </w:pPr>
          </w:p>
        </w:tc>
      </w:tr>
      <w:tr w14:paraId="6DBA90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jc w:val="center"/>
        </w:trPr>
        <w:tc>
          <w:tcPr>
            <w:tcW w:w="413" w:type="dxa"/>
            <w:vMerge w:val="restart"/>
            <w:tcBorders>
              <w:top w:val="single" w:color="000000" w:sz="6" w:space="0"/>
              <w:left w:val="single" w:color="000000" w:sz="12" w:space="0"/>
              <w:bottom w:val="single" w:color="000000" w:sz="6" w:space="0"/>
              <w:right w:val="single" w:color="000000" w:sz="6" w:space="0"/>
            </w:tcBorders>
            <w:vAlign w:val="center"/>
          </w:tcPr>
          <w:p w14:paraId="0A7CD3B3">
            <w:pPr>
              <w:autoSpaceDE w:val="0"/>
              <w:autoSpaceDN w:val="0"/>
              <w:jc w:val="center"/>
              <w:rPr>
                <w:color w:val="auto"/>
                <w:sz w:val="18"/>
                <w:szCs w:val="22"/>
                <w:lang w:eastAsia="en-US" w:bidi="en-US"/>
              </w:rPr>
            </w:pPr>
            <w:r>
              <w:rPr>
                <w:color w:val="auto"/>
                <w:sz w:val="18"/>
                <w:szCs w:val="22"/>
                <w:lang w:eastAsia="en-US" w:bidi="en-US"/>
              </w:rPr>
              <w:t>现状调查内容</w:t>
            </w:r>
          </w:p>
        </w:tc>
        <w:tc>
          <w:tcPr>
            <w:tcW w:w="1642" w:type="dxa"/>
            <w:tcBorders>
              <w:top w:val="single" w:color="000000" w:sz="6" w:space="0"/>
              <w:left w:val="single" w:color="000000" w:sz="6" w:space="0"/>
              <w:bottom w:val="single" w:color="000000" w:sz="6" w:space="0"/>
              <w:right w:val="single" w:color="000000" w:sz="6" w:space="0"/>
            </w:tcBorders>
            <w:vAlign w:val="center"/>
          </w:tcPr>
          <w:p w14:paraId="3B68EE4A">
            <w:pPr>
              <w:autoSpaceDE w:val="0"/>
              <w:autoSpaceDN w:val="0"/>
              <w:ind w:right="83"/>
              <w:jc w:val="center"/>
              <w:rPr>
                <w:color w:val="auto"/>
                <w:sz w:val="18"/>
                <w:szCs w:val="22"/>
                <w:lang w:eastAsia="en-US" w:bidi="en-US"/>
              </w:rPr>
            </w:pPr>
            <w:r>
              <w:rPr>
                <w:color w:val="auto"/>
                <w:sz w:val="18"/>
                <w:szCs w:val="22"/>
                <w:lang w:eastAsia="en-US" w:bidi="en-US"/>
              </w:rPr>
              <w:t>资料收集</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486D9CFA">
            <w:pPr>
              <w:autoSpaceDE w:val="0"/>
              <w:autoSpaceDN w:val="0"/>
              <w:ind w:left="110"/>
              <w:jc w:val="center"/>
              <w:rPr>
                <w:color w:val="auto"/>
                <w:sz w:val="18"/>
                <w:szCs w:val="22"/>
                <w:lang w:eastAsia="en-US" w:bidi="en-US"/>
              </w:rPr>
            </w:pPr>
            <w:r>
              <w:rPr>
                <w:color w:val="auto"/>
                <w:sz w:val="18"/>
                <w:szCs w:val="22"/>
                <w:lang w:eastAsia="en-US" w:bidi="en-US"/>
              </w:rPr>
              <w:t>a）</w:t>
            </w:r>
            <w:r>
              <w:rPr>
                <w:color w:val="auto"/>
              </w:rPr>
              <w:sym w:font="Wingdings" w:char="00A8"/>
            </w:r>
            <w:r>
              <w:rPr>
                <w:color w:val="auto"/>
                <w:sz w:val="18"/>
                <w:szCs w:val="22"/>
                <w:lang w:eastAsia="en-US" w:bidi="en-US"/>
              </w:rPr>
              <w:t>；b）</w:t>
            </w:r>
            <w:r>
              <w:rPr>
                <w:color w:val="auto"/>
              </w:rPr>
              <w:sym w:font="Wingdings" w:char="00A8"/>
            </w:r>
            <w:r>
              <w:rPr>
                <w:color w:val="auto"/>
                <w:sz w:val="18"/>
                <w:szCs w:val="22"/>
                <w:lang w:eastAsia="en-US" w:bidi="en-US"/>
              </w:rPr>
              <w:t>；c）</w:t>
            </w:r>
            <w:r>
              <w:rPr>
                <w:color w:val="auto"/>
              </w:rPr>
              <w:sym w:font="Wingdings" w:char="00A8"/>
            </w:r>
            <w:r>
              <w:rPr>
                <w:color w:val="auto"/>
                <w:sz w:val="18"/>
                <w:szCs w:val="22"/>
                <w:lang w:eastAsia="en-US" w:bidi="en-US"/>
              </w:rPr>
              <w:t>；d）</w:t>
            </w:r>
            <w:r>
              <w:rPr>
                <w:color w:val="auto"/>
              </w:rPr>
              <w:sym w:font="Wingdings" w:char="00A8"/>
            </w:r>
          </w:p>
        </w:tc>
        <w:tc>
          <w:tcPr>
            <w:tcW w:w="801" w:type="dxa"/>
            <w:tcBorders>
              <w:top w:val="single" w:color="000000" w:sz="6" w:space="0"/>
              <w:left w:val="single" w:color="000000" w:sz="6" w:space="0"/>
              <w:bottom w:val="single" w:color="000000" w:sz="6" w:space="0"/>
              <w:right w:val="single" w:color="000000" w:sz="12" w:space="0"/>
            </w:tcBorders>
            <w:vAlign w:val="center"/>
          </w:tcPr>
          <w:p w14:paraId="2CFC75FF">
            <w:pPr>
              <w:autoSpaceDE w:val="0"/>
              <w:autoSpaceDN w:val="0"/>
              <w:jc w:val="center"/>
              <w:rPr>
                <w:color w:val="auto"/>
                <w:sz w:val="18"/>
                <w:szCs w:val="22"/>
                <w:lang w:eastAsia="en-US" w:bidi="en-US"/>
              </w:rPr>
            </w:pPr>
          </w:p>
        </w:tc>
      </w:tr>
      <w:tr w14:paraId="4794715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4F3656D3">
            <w:pPr>
              <w:widowControl/>
              <w:jc w:val="left"/>
              <w:rPr>
                <w:color w:val="auto"/>
                <w:sz w:val="18"/>
                <w:szCs w:val="22"/>
                <w:lang w:eastAsia="en-US"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010F8A04">
            <w:pPr>
              <w:autoSpaceDE w:val="0"/>
              <w:autoSpaceDN w:val="0"/>
              <w:ind w:right="83"/>
              <w:jc w:val="center"/>
              <w:rPr>
                <w:color w:val="auto"/>
                <w:sz w:val="18"/>
                <w:szCs w:val="22"/>
                <w:lang w:eastAsia="en-US" w:bidi="en-US"/>
              </w:rPr>
            </w:pPr>
            <w:r>
              <w:rPr>
                <w:color w:val="auto"/>
                <w:sz w:val="18"/>
                <w:szCs w:val="22"/>
                <w:lang w:eastAsia="en-US" w:bidi="en-US"/>
              </w:rPr>
              <w:t>理化特性</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037C64A6">
            <w:pPr>
              <w:autoSpaceDE w:val="0"/>
              <w:autoSpaceDN w:val="0"/>
              <w:jc w:val="center"/>
              <w:rPr>
                <w:color w:val="auto"/>
                <w:sz w:val="18"/>
                <w:szCs w:val="22"/>
                <w:lang w:bidi="en-US"/>
              </w:rPr>
            </w:pPr>
          </w:p>
        </w:tc>
        <w:tc>
          <w:tcPr>
            <w:tcW w:w="801" w:type="dxa"/>
            <w:tcBorders>
              <w:top w:val="single" w:color="000000" w:sz="6" w:space="0"/>
              <w:left w:val="single" w:color="000000" w:sz="6" w:space="0"/>
              <w:bottom w:val="single" w:color="000000" w:sz="6" w:space="0"/>
              <w:right w:val="single" w:color="000000" w:sz="12" w:space="0"/>
            </w:tcBorders>
            <w:vAlign w:val="center"/>
          </w:tcPr>
          <w:p w14:paraId="244E6EB1">
            <w:pPr>
              <w:jc w:val="center"/>
              <w:rPr>
                <w:color w:val="auto"/>
                <w:sz w:val="18"/>
                <w:szCs w:val="22"/>
                <w:lang w:bidi="en-US"/>
              </w:rPr>
            </w:pPr>
          </w:p>
        </w:tc>
      </w:tr>
      <w:tr w14:paraId="1EE14A3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5AF9FD5D">
            <w:pPr>
              <w:widowControl/>
              <w:jc w:val="left"/>
              <w:rPr>
                <w:color w:val="auto"/>
                <w:sz w:val="18"/>
                <w:szCs w:val="22"/>
                <w:lang w:bidi="en-US"/>
              </w:rPr>
            </w:pPr>
          </w:p>
        </w:tc>
        <w:tc>
          <w:tcPr>
            <w:tcW w:w="1642" w:type="dxa"/>
            <w:vMerge w:val="restart"/>
            <w:tcBorders>
              <w:top w:val="single" w:color="000000" w:sz="6" w:space="0"/>
              <w:left w:val="single" w:color="000000" w:sz="6" w:space="0"/>
              <w:bottom w:val="single" w:color="000000" w:sz="6" w:space="0"/>
              <w:right w:val="single" w:color="000000" w:sz="6" w:space="0"/>
            </w:tcBorders>
            <w:vAlign w:val="center"/>
          </w:tcPr>
          <w:p w14:paraId="443154C9">
            <w:pPr>
              <w:autoSpaceDE w:val="0"/>
              <w:autoSpaceDN w:val="0"/>
              <w:jc w:val="center"/>
              <w:rPr>
                <w:color w:val="auto"/>
                <w:sz w:val="18"/>
                <w:szCs w:val="22"/>
                <w:lang w:eastAsia="en-US" w:bidi="en-US"/>
              </w:rPr>
            </w:pPr>
            <w:r>
              <w:rPr>
                <w:color w:val="auto"/>
                <w:sz w:val="18"/>
                <w:szCs w:val="22"/>
                <w:lang w:eastAsia="en-US" w:bidi="en-US"/>
              </w:rPr>
              <w:t>现状监测点位</w:t>
            </w:r>
          </w:p>
        </w:tc>
        <w:tc>
          <w:tcPr>
            <w:tcW w:w="1384" w:type="dxa"/>
            <w:tcBorders>
              <w:top w:val="single" w:color="000000" w:sz="6" w:space="0"/>
              <w:left w:val="single" w:color="000000" w:sz="6" w:space="0"/>
              <w:bottom w:val="single" w:color="000000" w:sz="4" w:space="0"/>
              <w:right w:val="single" w:color="000000" w:sz="4" w:space="0"/>
            </w:tcBorders>
            <w:vAlign w:val="center"/>
          </w:tcPr>
          <w:p w14:paraId="2034BA12">
            <w:pPr>
              <w:autoSpaceDE w:val="0"/>
              <w:autoSpaceDN w:val="0"/>
              <w:jc w:val="center"/>
              <w:rPr>
                <w:color w:val="auto"/>
                <w:sz w:val="18"/>
                <w:szCs w:val="22"/>
                <w:lang w:eastAsia="en-US" w:bidi="en-US"/>
              </w:rPr>
            </w:pPr>
          </w:p>
        </w:tc>
        <w:tc>
          <w:tcPr>
            <w:tcW w:w="1505" w:type="dxa"/>
            <w:tcBorders>
              <w:top w:val="single" w:color="000000" w:sz="6" w:space="0"/>
              <w:left w:val="single" w:color="000000" w:sz="4" w:space="0"/>
              <w:bottom w:val="single" w:color="000000" w:sz="4" w:space="0"/>
              <w:right w:val="single" w:color="000000" w:sz="4" w:space="0"/>
            </w:tcBorders>
            <w:vAlign w:val="center"/>
          </w:tcPr>
          <w:p w14:paraId="3146B9DE">
            <w:pPr>
              <w:autoSpaceDE w:val="0"/>
              <w:autoSpaceDN w:val="0"/>
              <w:jc w:val="center"/>
              <w:rPr>
                <w:color w:val="auto"/>
                <w:sz w:val="18"/>
                <w:szCs w:val="22"/>
                <w:lang w:eastAsia="en-US" w:bidi="en-US"/>
              </w:rPr>
            </w:pPr>
            <w:r>
              <w:rPr>
                <w:color w:val="auto"/>
                <w:sz w:val="18"/>
                <w:szCs w:val="22"/>
                <w:lang w:eastAsia="en-US" w:bidi="en-US"/>
              </w:rPr>
              <w:t>占地范围内</w:t>
            </w:r>
          </w:p>
        </w:tc>
        <w:tc>
          <w:tcPr>
            <w:tcW w:w="2243" w:type="dxa"/>
            <w:gridSpan w:val="3"/>
            <w:tcBorders>
              <w:top w:val="single" w:color="000000" w:sz="6" w:space="0"/>
              <w:left w:val="single" w:color="000000" w:sz="4" w:space="0"/>
              <w:bottom w:val="single" w:color="000000" w:sz="4" w:space="0"/>
              <w:right w:val="single" w:color="000000" w:sz="4" w:space="0"/>
            </w:tcBorders>
            <w:vAlign w:val="center"/>
          </w:tcPr>
          <w:p w14:paraId="267F9220">
            <w:pPr>
              <w:autoSpaceDE w:val="0"/>
              <w:autoSpaceDN w:val="0"/>
              <w:jc w:val="center"/>
              <w:rPr>
                <w:color w:val="auto"/>
                <w:sz w:val="18"/>
                <w:szCs w:val="22"/>
                <w:lang w:eastAsia="en-US" w:bidi="en-US"/>
              </w:rPr>
            </w:pPr>
            <w:r>
              <w:rPr>
                <w:color w:val="auto"/>
                <w:sz w:val="18"/>
                <w:szCs w:val="22"/>
                <w:lang w:eastAsia="en-US" w:bidi="en-US"/>
              </w:rPr>
              <w:t>占地范围外</w:t>
            </w:r>
          </w:p>
        </w:tc>
        <w:tc>
          <w:tcPr>
            <w:tcW w:w="1162" w:type="dxa"/>
            <w:gridSpan w:val="2"/>
            <w:tcBorders>
              <w:top w:val="single" w:color="000000" w:sz="6" w:space="0"/>
              <w:left w:val="single" w:color="000000" w:sz="4" w:space="0"/>
              <w:bottom w:val="single" w:color="000000" w:sz="4" w:space="0"/>
              <w:right w:val="single" w:color="000000" w:sz="6" w:space="0"/>
            </w:tcBorders>
            <w:vAlign w:val="center"/>
          </w:tcPr>
          <w:p w14:paraId="0F8B51A6">
            <w:pPr>
              <w:autoSpaceDE w:val="0"/>
              <w:autoSpaceDN w:val="0"/>
              <w:jc w:val="center"/>
              <w:rPr>
                <w:color w:val="auto"/>
                <w:sz w:val="18"/>
                <w:szCs w:val="22"/>
                <w:lang w:eastAsia="en-US" w:bidi="en-US"/>
              </w:rPr>
            </w:pPr>
            <w:r>
              <w:rPr>
                <w:color w:val="auto"/>
                <w:sz w:val="18"/>
                <w:szCs w:val="22"/>
                <w:lang w:eastAsia="en-US" w:bidi="en-US"/>
              </w:rPr>
              <w:t>深度</w:t>
            </w:r>
          </w:p>
        </w:tc>
        <w:tc>
          <w:tcPr>
            <w:tcW w:w="801" w:type="dxa"/>
            <w:vMerge w:val="restart"/>
            <w:tcBorders>
              <w:top w:val="single" w:color="000000" w:sz="6" w:space="0"/>
              <w:left w:val="single" w:color="000000" w:sz="6" w:space="0"/>
              <w:bottom w:val="single" w:color="000000" w:sz="6" w:space="0"/>
              <w:right w:val="single" w:color="000000" w:sz="12" w:space="0"/>
            </w:tcBorders>
            <w:vAlign w:val="center"/>
          </w:tcPr>
          <w:p w14:paraId="79887248">
            <w:pPr>
              <w:autoSpaceDE w:val="0"/>
              <w:autoSpaceDN w:val="0"/>
              <w:jc w:val="center"/>
              <w:rPr>
                <w:color w:val="auto"/>
                <w:sz w:val="18"/>
                <w:szCs w:val="22"/>
                <w:lang w:eastAsia="en-US" w:bidi="en-US"/>
              </w:rPr>
            </w:pPr>
          </w:p>
        </w:tc>
      </w:tr>
      <w:tr w14:paraId="690821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1"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6BE12F3D">
            <w:pPr>
              <w:widowControl/>
              <w:jc w:val="left"/>
              <w:rPr>
                <w:color w:val="auto"/>
                <w:sz w:val="18"/>
                <w:szCs w:val="22"/>
                <w:lang w:eastAsia="en-US" w:bidi="en-US"/>
              </w:rPr>
            </w:pPr>
          </w:p>
        </w:tc>
        <w:tc>
          <w:tcPr>
            <w:tcW w:w="1642" w:type="dxa"/>
            <w:vMerge w:val="continue"/>
            <w:tcBorders>
              <w:top w:val="single" w:color="000000" w:sz="6" w:space="0"/>
              <w:left w:val="single" w:color="000000" w:sz="6" w:space="0"/>
              <w:bottom w:val="single" w:color="000000" w:sz="6" w:space="0"/>
              <w:right w:val="single" w:color="000000" w:sz="6" w:space="0"/>
            </w:tcBorders>
            <w:vAlign w:val="center"/>
          </w:tcPr>
          <w:p w14:paraId="1E8492AF">
            <w:pPr>
              <w:widowControl/>
              <w:jc w:val="left"/>
              <w:rPr>
                <w:color w:val="auto"/>
                <w:sz w:val="18"/>
                <w:szCs w:val="22"/>
                <w:lang w:eastAsia="en-US" w:bidi="en-US"/>
              </w:rPr>
            </w:pPr>
          </w:p>
        </w:tc>
        <w:tc>
          <w:tcPr>
            <w:tcW w:w="1384" w:type="dxa"/>
            <w:tcBorders>
              <w:top w:val="single" w:color="000000" w:sz="4" w:space="0"/>
              <w:left w:val="single" w:color="000000" w:sz="6" w:space="0"/>
              <w:bottom w:val="single" w:color="000000" w:sz="4" w:space="0"/>
              <w:right w:val="single" w:color="000000" w:sz="4" w:space="0"/>
            </w:tcBorders>
            <w:vAlign w:val="center"/>
          </w:tcPr>
          <w:p w14:paraId="7B08F404">
            <w:pPr>
              <w:autoSpaceDE w:val="0"/>
              <w:autoSpaceDN w:val="0"/>
              <w:ind w:right="225"/>
              <w:jc w:val="center"/>
              <w:rPr>
                <w:color w:val="auto"/>
                <w:sz w:val="18"/>
                <w:szCs w:val="22"/>
                <w:lang w:eastAsia="en-US" w:bidi="en-US"/>
              </w:rPr>
            </w:pPr>
            <w:r>
              <w:rPr>
                <w:color w:val="auto"/>
                <w:sz w:val="18"/>
                <w:szCs w:val="22"/>
                <w:lang w:eastAsia="en-US" w:bidi="en-US"/>
              </w:rPr>
              <w:t>表层样点数</w:t>
            </w:r>
          </w:p>
        </w:tc>
        <w:tc>
          <w:tcPr>
            <w:tcW w:w="1505" w:type="dxa"/>
            <w:tcBorders>
              <w:top w:val="single" w:color="000000" w:sz="4" w:space="0"/>
              <w:left w:val="single" w:color="000000" w:sz="4" w:space="0"/>
              <w:bottom w:val="single" w:color="000000" w:sz="4" w:space="0"/>
              <w:right w:val="single" w:color="000000" w:sz="4" w:space="0"/>
            </w:tcBorders>
            <w:vAlign w:val="center"/>
          </w:tcPr>
          <w:p w14:paraId="3396F99D">
            <w:pPr>
              <w:autoSpaceDE w:val="0"/>
              <w:autoSpaceDN w:val="0"/>
              <w:jc w:val="center"/>
              <w:rPr>
                <w:rFonts w:hint="eastAsia" w:eastAsia="宋体"/>
                <w:color w:val="auto"/>
                <w:sz w:val="18"/>
                <w:szCs w:val="22"/>
                <w:lang w:eastAsia="zh-CN" w:bidi="en-US"/>
              </w:rPr>
            </w:pPr>
            <w:r>
              <w:rPr>
                <w:rFonts w:hint="eastAsia"/>
                <w:color w:val="auto"/>
                <w:sz w:val="18"/>
                <w:szCs w:val="22"/>
                <w:lang w:val="en-US" w:eastAsia="zh-CN" w:bidi="en-US"/>
              </w:rPr>
              <w:t>1</w:t>
            </w:r>
          </w:p>
        </w:tc>
        <w:tc>
          <w:tcPr>
            <w:tcW w:w="2243" w:type="dxa"/>
            <w:gridSpan w:val="3"/>
            <w:tcBorders>
              <w:top w:val="single" w:color="000000" w:sz="4" w:space="0"/>
              <w:left w:val="single" w:color="000000" w:sz="4" w:space="0"/>
              <w:bottom w:val="single" w:color="000000" w:sz="4" w:space="0"/>
              <w:right w:val="single" w:color="000000" w:sz="4" w:space="0"/>
            </w:tcBorders>
            <w:vAlign w:val="center"/>
          </w:tcPr>
          <w:p w14:paraId="62EDB3CA">
            <w:pPr>
              <w:autoSpaceDE w:val="0"/>
              <w:autoSpaceDN w:val="0"/>
              <w:jc w:val="center"/>
              <w:rPr>
                <w:rFonts w:hint="eastAsia" w:eastAsia="宋体"/>
                <w:color w:val="auto"/>
                <w:sz w:val="18"/>
                <w:szCs w:val="22"/>
                <w:lang w:eastAsia="zh-CN" w:bidi="en-US"/>
              </w:rPr>
            </w:pPr>
            <w:r>
              <w:rPr>
                <w:rFonts w:hint="eastAsia"/>
                <w:color w:val="auto"/>
                <w:sz w:val="18"/>
                <w:szCs w:val="22"/>
                <w:lang w:val="en-US" w:eastAsia="zh-CN" w:bidi="en-US"/>
              </w:rPr>
              <w:t>5</w:t>
            </w:r>
          </w:p>
        </w:tc>
        <w:tc>
          <w:tcPr>
            <w:tcW w:w="1162" w:type="dxa"/>
            <w:gridSpan w:val="2"/>
            <w:tcBorders>
              <w:top w:val="single" w:color="000000" w:sz="4" w:space="0"/>
              <w:left w:val="single" w:color="000000" w:sz="4" w:space="0"/>
              <w:bottom w:val="single" w:color="000000" w:sz="4" w:space="0"/>
              <w:right w:val="single" w:color="000000" w:sz="6" w:space="0"/>
            </w:tcBorders>
            <w:vAlign w:val="center"/>
          </w:tcPr>
          <w:p w14:paraId="6E29D702">
            <w:pPr>
              <w:autoSpaceDE w:val="0"/>
              <w:autoSpaceDN w:val="0"/>
              <w:jc w:val="center"/>
              <w:rPr>
                <w:color w:val="auto"/>
                <w:sz w:val="18"/>
                <w:szCs w:val="22"/>
                <w:lang w:bidi="en-US"/>
              </w:rPr>
            </w:pPr>
            <w:r>
              <w:rPr>
                <w:color w:val="auto"/>
                <w:sz w:val="18"/>
                <w:szCs w:val="22"/>
                <w:lang w:bidi="en-US"/>
              </w:rPr>
              <w:t>0~0.</w:t>
            </w:r>
            <w:r>
              <w:rPr>
                <w:rFonts w:hint="eastAsia"/>
                <w:color w:val="auto"/>
                <w:sz w:val="18"/>
                <w:szCs w:val="22"/>
                <w:lang w:val="en-US" w:eastAsia="zh-CN" w:bidi="en-US"/>
              </w:rPr>
              <w:t>5</w:t>
            </w:r>
            <w:r>
              <w:rPr>
                <w:color w:val="auto"/>
                <w:sz w:val="18"/>
                <w:szCs w:val="22"/>
                <w:lang w:bidi="en-US"/>
              </w:rPr>
              <w:t>m</w:t>
            </w:r>
          </w:p>
        </w:tc>
        <w:tc>
          <w:tcPr>
            <w:tcW w:w="801" w:type="dxa"/>
            <w:vMerge w:val="continue"/>
            <w:tcBorders>
              <w:top w:val="single" w:color="000000" w:sz="6" w:space="0"/>
              <w:left w:val="single" w:color="000000" w:sz="6" w:space="0"/>
              <w:bottom w:val="single" w:color="000000" w:sz="6" w:space="0"/>
              <w:right w:val="single" w:color="000000" w:sz="12" w:space="0"/>
            </w:tcBorders>
            <w:vAlign w:val="center"/>
          </w:tcPr>
          <w:p w14:paraId="6C80A967">
            <w:pPr>
              <w:widowControl/>
              <w:jc w:val="left"/>
              <w:rPr>
                <w:color w:val="auto"/>
                <w:sz w:val="18"/>
                <w:szCs w:val="22"/>
                <w:lang w:eastAsia="en-US" w:bidi="en-US"/>
              </w:rPr>
            </w:pPr>
          </w:p>
        </w:tc>
      </w:tr>
      <w:tr w14:paraId="625E422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2"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52DF08CF">
            <w:pPr>
              <w:widowControl/>
              <w:jc w:val="left"/>
              <w:rPr>
                <w:color w:val="auto"/>
                <w:sz w:val="18"/>
                <w:szCs w:val="22"/>
                <w:lang w:eastAsia="en-US" w:bidi="en-US"/>
              </w:rPr>
            </w:pPr>
          </w:p>
        </w:tc>
        <w:tc>
          <w:tcPr>
            <w:tcW w:w="1642" w:type="dxa"/>
            <w:vMerge w:val="continue"/>
            <w:tcBorders>
              <w:top w:val="single" w:color="000000" w:sz="6" w:space="0"/>
              <w:left w:val="single" w:color="000000" w:sz="6" w:space="0"/>
              <w:bottom w:val="single" w:color="000000" w:sz="6" w:space="0"/>
              <w:right w:val="single" w:color="000000" w:sz="6" w:space="0"/>
            </w:tcBorders>
            <w:vAlign w:val="center"/>
          </w:tcPr>
          <w:p w14:paraId="14C8C5E8">
            <w:pPr>
              <w:widowControl/>
              <w:jc w:val="left"/>
              <w:rPr>
                <w:color w:val="auto"/>
                <w:sz w:val="18"/>
                <w:szCs w:val="22"/>
                <w:lang w:eastAsia="en-US" w:bidi="en-US"/>
              </w:rPr>
            </w:pPr>
          </w:p>
        </w:tc>
        <w:tc>
          <w:tcPr>
            <w:tcW w:w="1384" w:type="dxa"/>
            <w:tcBorders>
              <w:top w:val="single" w:color="000000" w:sz="4" w:space="0"/>
              <w:left w:val="single" w:color="000000" w:sz="6" w:space="0"/>
              <w:bottom w:val="single" w:color="000000" w:sz="6" w:space="0"/>
              <w:right w:val="single" w:color="000000" w:sz="4" w:space="0"/>
            </w:tcBorders>
            <w:vAlign w:val="center"/>
          </w:tcPr>
          <w:p w14:paraId="0A2A85E1">
            <w:pPr>
              <w:autoSpaceDE w:val="0"/>
              <w:autoSpaceDN w:val="0"/>
              <w:ind w:right="225"/>
              <w:jc w:val="center"/>
              <w:rPr>
                <w:color w:val="auto"/>
                <w:sz w:val="18"/>
                <w:szCs w:val="22"/>
                <w:lang w:eastAsia="en-US" w:bidi="en-US"/>
              </w:rPr>
            </w:pPr>
            <w:r>
              <w:rPr>
                <w:color w:val="auto"/>
                <w:sz w:val="18"/>
                <w:szCs w:val="22"/>
                <w:lang w:eastAsia="en-US" w:bidi="en-US"/>
              </w:rPr>
              <w:t>柱状样点数</w:t>
            </w:r>
          </w:p>
        </w:tc>
        <w:tc>
          <w:tcPr>
            <w:tcW w:w="1505" w:type="dxa"/>
            <w:tcBorders>
              <w:top w:val="single" w:color="000000" w:sz="4" w:space="0"/>
              <w:left w:val="single" w:color="000000" w:sz="4" w:space="0"/>
              <w:bottom w:val="single" w:color="000000" w:sz="6" w:space="0"/>
              <w:right w:val="single" w:color="000000" w:sz="4" w:space="0"/>
            </w:tcBorders>
            <w:vAlign w:val="center"/>
          </w:tcPr>
          <w:p w14:paraId="5B4A1A89">
            <w:pPr>
              <w:autoSpaceDE w:val="0"/>
              <w:autoSpaceDN w:val="0"/>
              <w:jc w:val="center"/>
              <w:rPr>
                <w:rFonts w:hint="eastAsia" w:eastAsia="宋体"/>
                <w:color w:val="auto"/>
                <w:sz w:val="18"/>
                <w:szCs w:val="22"/>
                <w:lang w:eastAsia="zh-CN" w:bidi="en-US"/>
              </w:rPr>
            </w:pPr>
            <w:r>
              <w:rPr>
                <w:rFonts w:hint="eastAsia"/>
                <w:color w:val="auto"/>
                <w:sz w:val="18"/>
                <w:szCs w:val="22"/>
                <w:lang w:val="en-US" w:eastAsia="zh-CN" w:bidi="en-US"/>
              </w:rPr>
              <w:t>5</w:t>
            </w:r>
          </w:p>
        </w:tc>
        <w:tc>
          <w:tcPr>
            <w:tcW w:w="2243" w:type="dxa"/>
            <w:gridSpan w:val="3"/>
            <w:tcBorders>
              <w:top w:val="single" w:color="000000" w:sz="4" w:space="0"/>
              <w:left w:val="single" w:color="000000" w:sz="4" w:space="0"/>
              <w:bottom w:val="single" w:color="000000" w:sz="6" w:space="0"/>
              <w:right w:val="single" w:color="000000" w:sz="4" w:space="0"/>
            </w:tcBorders>
            <w:vAlign w:val="center"/>
          </w:tcPr>
          <w:p w14:paraId="246EF01F">
            <w:pPr>
              <w:autoSpaceDE w:val="0"/>
              <w:autoSpaceDN w:val="0"/>
              <w:jc w:val="center"/>
              <w:rPr>
                <w:color w:val="auto"/>
                <w:sz w:val="18"/>
                <w:szCs w:val="22"/>
                <w:lang w:bidi="en-US"/>
              </w:rPr>
            </w:pPr>
            <w:r>
              <w:rPr>
                <w:color w:val="auto"/>
                <w:sz w:val="18"/>
                <w:szCs w:val="22"/>
                <w:lang w:bidi="en-US"/>
              </w:rPr>
              <w:t>/</w:t>
            </w:r>
          </w:p>
        </w:tc>
        <w:tc>
          <w:tcPr>
            <w:tcW w:w="1162" w:type="dxa"/>
            <w:gridSpan w:val="2"/>
            <w:tcBorders>
              <w:top w:val="single" w:color="000000" w:sz="4" w:space="0"/>
              <w:left w:val="single" w:color="000000" w:sz="4" w:space="0"/>
              <w:bottom w:val="single" w:color="000000" w:sz="6" w:space="0"/>
              <w:right w:val="single" w:color="000000" w:sz="6" w:space="0"/>
            </w:tcBorders>
            <w:vAlign w:val="center"/>
          </w:tcPr>
          <w:p w14:paraId="65B46CC5">
            <w:pPr>
              <w:autoSpaceDE w:val="0"/>
              <w:autoSpaceDN w:val="0"/>
              <w:jc w:val="center"/>
              <w:rPr>
                <w:color w:val="auto"/>
                <w:sz w:val="18"/>
                <w:szCs w:val="18"/>
                <w:lang w:eastAsia="en-US" w:bidi="en-US"/>
              </w:rPr>
            </w:pPr>
            <w:r>
              <w:rPr>
                <w:color w:val="auto"/>
                <w:sz w:val="18"/>
                <w:szCs w:val="18"/>
              </w:rPr>
              <w:t>0~</w:t>
            </w:r>
            <w:r>
              <w:rPr>
                <w:rFonts w:hint="eastAsia"/>
                <w:color w:val="auto"/>
                <w:sz w:val="18"/>
                <w:szCs w:val="18"/>
                <w:lang w:val="en-US" w:eastAsia="zh-CN"/>
              </w:rPr>
              <w:t>4.5</w:t>
            </w:r>
            <w:r>
              <w:rPr>
                <w:color w:val="auto"/>
                <w:sz w:val="18"/>
                <w:szCs w:val="18"/>
              </w:rPr>
              <w:t>m</w:t>
            </w:r>
          </w:p>
        </w:tc>
        <w:tc>
          <w:tcPr>
            <w:tcW w:w="801" w:type="dxa"/>
            <w:vMerge w:val="continue"/>
            <w:tcBorders>
              <w:top w:val="single" w:color="000000" w:sz="6" w:space="0"/>
              <w:left w:val="single" w:color="000000" w:sz="6" w:space="0"/>
              <w:bottom w:val="single" w:color="000000" w:sz="6" w:space="0"/>
              <w:right w:val="single" w:color="000000" w:sz="12" w:space="0"/>
            </w:tcBorders>
            <w:vAlign w:val="center"/>
          </w:tcPr>
          <w:p w14:paraId="70293F7B">
            <w:pPr>
              <w:widowControl/>
              <w:jc w:val="left"/>
              <w:rPr>
                <w:color w:val="auto"/>
                <w:sz w:val="18"/>
                <w:szCs w:val="22"/>
                <w:lang w:eastAsia="en-US" w:bidi="en-US"/>
              </w:rPr>
            </w:pPr>
          </w:p>
        </w:tc>
      </w:tr>
      <w:tr w14:paraId="6BE92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7869DC0E">
            <w:pPr>
              <w:widowControl/>
              <w:jc w:val="left"/>
              <w:rPr>
                <w:color w:val="auto"/>
                <w:sz w:val="18"/>
                <w:szCs w:val="22"/>
                <w:lang w:eastAsia="en-US"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4FB43B47">
            <w:pPr>
              <w:autoSpaceDE w:val="0"/>
              <w:autoSpaceDN w:val="0"/>
              <w:ind w:right="83"/>
              <w:jc w:val="center"/>
              <w:rPr>
                <w:color w:val="auto"/>
                <w:sz w:val="18"/>
                <w:szCs w:val="22"/>
                <w:lang w:eastAsia="en-US" w:bidi="en-US"/>
              </w:rPr>
            </w:pPr>
            <w:r>
              <w:rPr>
                <w:color w:val="auto"/>
                <w:sz w:val="18"/>
                <w:szCs w:val="22"/>
                <w:lang w:eastAsia="en-US" w:bidi="en-US"/>
              </w:rPr>
              <w:t>现状监测因子</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18E904D9">
            <w:pPr>
              <w:keepNext w:val="0"/>
              <w:keepLines w:val="0"/>
              <w:widowControl/>
              <w:suppressLineNumbers w:val="0"/>
              <w:jc w:val="left"/>
              <w:rPr>
                <w:rFonts w:hint="eastAsia" w:eastAsia="宋体"/>
                <w:color w:val="auto"/>
                <w:sz w:val="18"/>
                <w:szCs w:val="22"/>
                <w:lang w:val="en-US" w:eastAsia="zh-CN" w:bidi="en-US"/>
              </w:rPr>
            </w:pPr>
            <w:r>
              <w:rPr>
                <w:rFonts w:hint="default" w:ascii="Times New Roman" w:hAnsi="Times New Roman" w:eastAsia="宋体" w:cs="Times New Roman"/>
                <w:color w:val="auto"/>
                <w:kern w:val="0"/>
                <w:sz w:val="18"/>
                <w:szCs w:val="18"/>
                <w:lang w:val="en-US" w:eastAsia="zh-CN" w:bidi="ar"/>
              </w:rPr>
              <w:t xml:space="preserve">pH </w:t>
            </w:r>
            <w:r>
              <w:rPr>
                <w:rFonts w:hint="eastAsia" w:ascii="宋体" w:hAnsi="宋体" w:eastAsia="宋体" w:cs="宋体"/>
                <w:color w:val="auto"/>
                <w:kern w:val="0"/>
                <w:sz w:val="18"/>
                <w:szCs w:val="18"/>
                <w:lang w:val="en-US" w:eastAsia="zh-CN" w:bidi="ar"/>
              </w:rPr>
              <w:t>值、砷、镉、铬（六价）、铜、铅、汞、镍、四氯化碳、 氯仿、氯甲烷、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二氯乙烷、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二氯乙烷、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二氯 乙烯、顺</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 xml:space="preserve">2 </w:t>
            </w:r>
            <w:r>
              <w:rPr>
                <w:rFonts w:hint="eastAsia" w:ascii="宋体" w:hAnsi="宋体" w:eastAsia="宋体" w:cs="宋体"/>
                <w:color w:val="auto"/>
                <w:kern w:val="0"/>
                <w:sz w:val="18"/>
                <w:szCs w:val="18"/>
                <w:lang w:val="en-US" w:eastAsia="zh-CN" w:bidi="ar"/>
              </w:rPr>
              <w:t>二氯乙烯、反</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 xml:space="preserve">2 </w:t>
            </w:r>
            <w:r>
              <w:rPr>
                <w:rFonts w:hint="eastAsia" w:ascii="宋体" w:hAnsi="宋体" w:eastAsia="宋体" w:cs="宋体"/>
                <w:color w:val="auto"/>
                <w:kern w:val="0"/>
                <w:sz w:val="18"/>
                <w:szCs w:val="18"/>
                <w:lang w:val="en-US" w:eastAsia="zh-CN" w:bidi="ar"/>
              </w:rPr>
              <w:t>二氯乙烯、二氯甲烷、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 xml:space="preserve">， </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二氯丙烷、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四氯乙烷、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四氯乙烷、 四氯乙烯、</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三氯乙烷、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三氯乙烷、三氯乙 烯、</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3-</w:t>
            </w:r>
            <w:r>
              <w:rPr>
                <w:rFonts w:hint="eastAsia" w:ascii="宋体" w:hAnsi="宋体" w:eastAsia="宋体" w:cs="宋体"/>
                <w:color w:val="auto"/>
                <w:kern w:val="0"/>
                <w:sz w:val="18"/>
                <w:szCs w:val="18"/>
                <w:lang w:val="en-US" w:eastAsia="zh-CN" w:bidi="ar"/>
              </w:rPr>
              <w:t>三氯丙烷、氯乙烯、苯、氯苯、</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 xml:space="preserve">二氯苯、 </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4-</w:t>
            </w:r>
            <w:r>
              <w:rPr>
                <w:rFonts w:hint="eastAsia" w:ascii="宋体" w:hAnsi="宋体" w:eastAsia="宋体" w:cs="宋体"/>
                <w:color w:val="auto"/>
                <w:kern w:val="0"/>
                <w:sz w:val="18"/>
                <w:szCs w:val="18"/>
                <w:lang w:val="en-US" w:eastAsia="zh-CN" w:bidi="ar"/>
              </w:rPr>
              <w:t>二氯苯、乙苯、苯乙烯、甲苯、间二甲苯</w:t>
            </w:r>
            <w:r>
              <w:rPr>
                <w:rFonts w:hint="default" w:ascii="Times New Roman" w:hAnsi="Times New Roman" w:eastAsia="宋体" w:cs="Times New Roman"/>
                <w:color w:val="auto"/>
                <w:kern w:val="0"/>
                <w:sz w:val="18"/>
                <w:szCs w:val="18"/>
                <w:lang w:val="en-US" w:eastAsia="zh-CN" w:bidi="ar"/>
              </w:rPr>
              <w:t>+</w:t>
            </w:r>
            <w:r>
              <w:rPr>
                <w:rFonts w:hint="eastAsia" w:ascii="宋体" w:hAnsi="宋体" w:eastAsia="宋体" w:cs="宋体"/>
                <w:color w:val="auto"/>
                <w:kern w:val="0"/>
                <w:sz w:val="18"/>
                <w:szCs w:val="18"/>
                <w:lang w:val="en-US" w:eastAsia="zh-CN" w:bidi="ar"/>
              </w:rPr>
              <w:t>对二甲苯、 邻二甲苯、硝基苯、苯胺、</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氯酚、苯并</w:t>
            </w:r>
            <w:r>
              <w:rPr>
                <w:rFonts w:hint="default" w:ascii="Times New Roman" w:hAnsi="Times New Roman" w:eastAsia="宋体" w:cs="Times New Roman"/>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蔥、苯并</w:t>
            </w:r>
            <w:r>
              <w:rPr>
                <w:rFonts w:hint="default" w:ascii="Times New Roman" w:hAnsi="Times New Roman" w:eastAsia="宋体" w:cs="Times New Roman"/>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芘、 苯并</w:t>
            </w:r>
            <w:r>
              <w:rPr>
                <w:rFonts w:hint="default" w:ascii="Times New Roman" w:hAnsi="Times New Roman" w:eastAsia="宋体" w:cs="Times New Roman"/>
                <w:color w:val="auto"/>
                <w:kern w:val="0"/>
                <w:sz w:val="18"/>
                <w:szCs w:val="18"/>
                <w:lang w:val="en-US" w:eastAsia="zh-CN" w:bidi="ar"/>
              </w:rPr>
              <w:t>[b]</w:t>
            </w:r>
            <w:r>
              <w:rPr>
                <w:rFonts w:hint="eastAsia" w:ascii="宋体" w:hAnsi="宋体" w:eastAsia="宋体" w:cs="宋体"/>
                <w:color w:val="auto"/>
                <w:kern w:val="0"/>
                <w:sz w:val="18"/>
                <w:szCs w:val="18"/>
                <w:lang w:val="en-US" w:eastAsia="zh-CN" w:bidi="ar"/>
              </w:rPr>
              <w:t>荧蔥、苯并</w:t>
            </w:r>
            <w:r>
              <w:rPr>
                <w:rFonts w:hint="default" w:ascii="Times New Roman" w:hAnsi="Times New Roman" w:eastAsia="宋体" w:cs="Times New Roman"/>
                <w:color w:val="auto"/>
                <w:kern w:val="0"/>
                <w:sz w:val="18"/>
                <w:szCs w:val="18"/>
                <w:lang w:val="en-US" w:eastAsia="zh-CN" w:bidi="ar"/>
              </w:rPr>
              <w:t>[k]</w:t>
            </w:r>
            <w:r>
              <w:rPr>
                <w:rFonts w:hint="eastAsia" w:ascii="宋体" w:hAnsi="宋体" w:eastAsia="宋体" w:cs="宋体"/>
                <w:color w:val="auto"/>
                <w:kern w:val="0"/>
                <w:sz w:val="18"/>
                <w:szCs w:val="18"/>
                <w:lang w:val="en-US" w:eastAsia="zh-CN" w:bidi="ar"/>
              </w:rPr>
              <w:t>荧蔥、䓛、二苯并</w:t>
            </w:r>
            <w:r>
              <w:rPr>
                <w:rFonts w:hint="default" w:ascii="Times New Roman" w:hAnsi="Times New Roman" w:eastAsia="宋体" w:cs="Times New Roman"/>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h]</w:t>
            </w:r>
            <w:r>
              <w:rPr>
                <w:rFonts w:hint="eastAsia" w:ascii="宋体" w:hAnsi="宋体" w:eastAsia="宋体" w:cs="宋体"/>
                <w:color w:val="auto"/>
                <w:kern w:val="0"/>
                <w:sz w:val="18"/>
                <w:szCs w:val="18"/>
                <w:lang w:val="en-US" w:eastAsia="zh-CN" w:bidi="ar"/>
              </w:rPr>
              <w:t>蔥、茚并</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 xml:space="preserve">， </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3</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-cd]</w:t>
            </w:r>
            <w:r>
              <w:rPr>
                <w:rFonts w:hint="eastAsia" w:ascii="宋体" w:hAnsi="宋体" w:eastAsia="宋体" w:cs="宋体"/>
                <w:color w:val="auto"/>
                <w:kern w:val="0"/>
                <w:sz w:val="18"/>
                <w:szCs w:val="18"/>
                <w:lang w:val="en-US" w:eastAsia="zh-CN" w:bidi="ar"/>
              </w:rPr>
              <w:t>芘、萘、锌</w:t>
            </w:r>
          </w:p>
        </w:tc>
        <w:tc>
          <w:tcPr>
            <w:tcW w:w="801" w:type="dxa"/>
            <w:tcBorders>
              <w:top w:val="single" w:color="000000" w:sz="6" w:space="0"/>
              <w:left w:val="single" w:color="000000" w:sz="6" w:space="0"/>
              <w:bottom w:val="single" w:color="000000" w:sz="6" w:space="0"/>
              <w:right w:val="single" w:color="000000" w:sz="12" w:space="0"/>
            </w:tcBorders>
            <w:vAlign w:val="center"/>
          </w:tcPr>
          <w:p w14:paraId="287EFF46">
            <w:pPr>
              <w:autoSpaceDE w:val="0"/>
              <w:autoSpaceDN w:val="0"/>
              <w:jc w:val="center"/>
              <w:rPr>
                <w:color w:val="auto"/>
                <w:sz w:val="18"/>
                <w:szCs w:val="22"/>
                <w:lang w:bidi="en-US"/>
              </w:rPr>
            </w:pPr>
          </w:p>
        </w:tc>
      </w:tr>
      <w:tr w14:paraId="7467289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restart"/>
            <w:tcBorders>
              <w:top w:val="single" w:color="000000" w:sz="6" w:space="0"/>
              <w:left w:val="single" w:color="000000" w:sz="12" w:space="0"/>
              <w:bottom w:val="single" w:color="000000" w:sz="6" w:space="0"/>
              <w:right w:val="single" w:color="000000" w:sz="6" w:space="0"/>
            </w:tcBorders>
            <w:vAlign w:val="center"/>
          </w:tcPr>
          <w:p w14:paraId="2CFF20EB">
            <w:pPr>
              <w:autoSpaceDE w:val="0"/>
              <w:autoSpaceDN w:val="0"/>
              <w:jc w:val="center"/>
              <w:rPr>
                <w:color w:val="auto"/>
                <w:sz w:val="18"/>
                <w:szCs w:val="22"/>
                <w:lang w:eastAsia="en-US" w:bidi="en-US"/>
              </w:rPr>
            </w:pPr>
            <w:r>
              <w:rPr>
                <w:color w:val="auto"/>
                <w:sz w:val="18"/>
                <w:szCs w:val="22"/>
                <w:lang w:eastAsia="en-US" w:bidi="en-US"/>
              </w:rPr>
              <w:t>现状评价</w:t>
            </w:r>
          </w:p>
        </w:tc>
        <w:tc>
          <w:tcPr>
            <w:tcW w:w="1642" w:type="dxa"/>
            <w:tcBorders>
              <w:top w:val="single" w:color="000000" w:sz="6" w:space="0"/>
              <w:left w:val="single" w:color="000000" w:sz="6" w:space="0"/>
              <w:bottom w:val="single" w:color="000000" w:sz="6" w:space="0"/>
              <w:right w:val="single" w:color="000000" w:sz="6" w:space="0"/>
            </w:tcBorders>
            <w:vAlign w:val="center"/>
          </w:tcPr>
          <w:p w14:paraId="1820F994">
            <w:pPr>
              <w:autoSpaceDE w:val="0"/>
              <w:autoSpaceDN w:val="0"/>
              <w:ind w:right="83"/>
              <w:jc w:val="center"/>
              <w:rPr>
                <w:color w:val="auto"/>
                <w:sz w:val="18"/>
                <w:szCs w:val="22"/>
                <w:lang w:eastAsia="en-US" w:bidi="en-US"/>
              </w:rPr>
            </w:pPr>
            <w:r>
              <w:rPr>
                <w:color w:val="auto"/>
                <w:sz w:val="18"/>
                <w:szCs w:val="22"/>
                <w:lang w:eastAsia="en-US" w:bidi="en-US"/>
              </w:rPr>
              <w:t>评价因子</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61AB6523">
            <w:pPr>
              <w:autoSpaceDE w:val="0"/>
              <w:autoSpaceDN w:val="0"/>
              <w:jc w:val="center"/>
              <w:rPr>
                <w:color w:val="auto"/>
                <w:sz w:val="18"/>
                <w:szCs w:val="22"/>
                <w:lang w:bidi="en-US"/>
              </w:rPr>
            </w:pPr>
            <w:r>
              <w:rPr>
                <w:rFonts w:hint="default" w:ascii="Times New Roman" w:hAnsi="Times New Roman" w:eastAsia="宋体" w:cs="Times New Roman"/>
                <w:color w:val="auto"/>
                <w:kern w:val="0"/>
                <w:sz w:val="18"/>
                <w:szCs w:val="18"/>
                <w:lang w:val="en-US" w:eastAsia="zh-CN" w:bidi="ar"/>
              </w:rPr>
              <w:t xml:space="preserve">pH </w:t>
            </w:r>
            <w:r>
              <w:rPr>
                <w:rFonts w:hint="eastAsia" w:ascii="宋体" w:hAnsi="宋体" w:eastAsia="宋体" w:cs="宋体"/>
                <w:color w:val="auto"/>
                <w:kern w:val="0"/>
                <w:sz w:val="18"/>
                <w:szCs w:val="18"/>
                <w:lang w:val="en-US" w:eastAsia="zh-CN" w:bidi="ar"/>
              </w:rPr>
              <w:t>值、砷、镉、铬（六价）、铜、铅、汞、镍、四氯化碳、 氯仿、氯甲烷、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二氯乙烷、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二氯乙烷、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二氯 乙烯、顺</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 xml:space="preserve">2 </w:t>
            </w:r>
            <w:r>
              <w:rPr>
                <w:rFonts w:hint="eastAsia" w:ascii="宋体" w:hAnsi="宋体" w:eastAsia="宋体" w:cs="宋体"/>
                <w:color w:val="auto"/>
                <w:kern w:val="0"/>
                <w:sz w:val="18"/>
                <w:szCs w:val="18"/>
                <w:lang w:val="en-US" w:eastAsia="zh-CN" w:bidi="ar"/>
              </w:rPr>
              <w:t>二氯乙烯、反</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 xml:space="preserve">2 </w:t>
            </w:r>
            <w:r>
              <w:rPr>
                <w:rFonts w:hint="eastAsia" w:ascii="宋体" w:hAnsi="宋体" w:eastAsia="宋体" w:cs="宋体"/>
                <w:color w:val="auto"/>
                <w:kern w:val="0"/>
                <w:sz w:val="18"/>
                <w:szCs w:val="18"/>
                <w:lang w:val="en-US" w:eastAsia="zh-CN" w:bidi="ar"/>
              </w:rPr>
              <w:t>二氯乙烯、二氯甲烷、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 xml:space="preserve">， </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二氯丙烷、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四氯乙烷、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四氯乙烷、 四氯乙烯、</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三氯乙烷、</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三氯乙烷、三氯乙 烯、</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3-</w:t>
            </w:r>
            <w:r>
              <w:rPr>
                <w:rFonts w:hint="eastAsia" w:ascii="宋体" w:hAnsi="宋体" w:eastAsia="宋体" w:cs="宋体"/>
                <w:color w:val="auto"/>
                <w:kern w:val="0"/>
                <w:sz w:val="18"/>
                <w:szCs w:val="18"/>
                <w:lang w:val="en-US" w:eastAsia="zh-CN" w:bidi="ar"/>
              </w:rPr>
              <w:t>三氯丙烷、氯乙烯、苯、氯苯、</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 xml:space="preserve">二氯苯、 </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4-</w:t>
            </w:r>
            <w:r>
              <w:rPr>
                <w:rFonts w:hint="eastAsia" w:ascii="宋体" w:hAnsi="宋体" w:eastAsia="宋体" w:cs="宋体"/>
                <w:color w:val="auto"/>
                <w:kern w:val="0"/>
                <w:sz w:val="18"/>
                <w:szCs w:val="18"/>
                <w:lang w:val="en-US" w:eastAsia="zh-CN" w:bidi="ar"/>
              </w:rPr>
              <w:t>二氯苯、乙苯、苯乙烯、甲苯、间二甲苯</w:t>
            </w:r>
            <w:r>
              <w:rPr>
                <w:rFonts w:hint="default" w:ascii="Times New Roman" w:hAnsi="Times New Roman" w:eastAsia="宋体" w:cs="Times New Roman"/>
                <w:color w:val="auto"/>
                <w:kern w:val="0"/>
                <w:sz w:val="18"/>
                <w:szCs w:val="18"/>
                <w:lang w:val="en-US" w:eastAsia="zh-CN" w:bidi="ar"/>
              </w:rPr>
              <w:t>+</w:t>
            </w:r>
            <w:r>
              <w:rPr>
                <w:rFonts w:hint="eastAsia" w:ascii="宋体" w:hAnsi="宋体" w:eastAsia="宋体" w:cs="宋体"/>
                <w:color w:val="auto"/>
                <w:kern w:val="0"/>
                <w:sz w:val="18"/>
                <w:szCs w:val="18"/>
                <w:lang w:val="en-US" w:eastAsia="zh-CN" w:bidi="ar"/>
              </w:rPr>
              <w:t>对二甲苯、 邻二甲苯、硝基苯、苯胺、</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氯酚、苯并</w:t>
            </w:r>
            <w:r>
              <w:rPr>
                <w:rFonts w:hint="default" w:ascii="Times New Roman" w:hAnsi="Times New Roman" w:eastAsia="宋体" w:cs="Times New Roman"/>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蔥、苯并</w:t>
            </w:r>
            <w:r>
              <w:rPr>
                <w:rFonts w:hint="default" w:ascii="Times New Roman" w:hAnsi="Times New Roman" w:eastAsia="宋体" w:cs="Times New Roman"/>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芘、 苯并</w:t>
            </w:r>
            <w:r>
              <w:rPr>
                <w:rFonts w:hint="default" w:ascii="Times New Roman" w:hAnsi="Times New Roman" w:eastAsia="宋体" w:cs="Times New Roman"/>
                <w:color w:val="auto"/>
                <w:kern w:val="0"/>
                <w:sz w:val="18"/>
                <w:szCs w:val="18"/>
                <w:lang w:val="en-US" w:eastAsia="zh-CN" w:bidi="ar"/>
              </w:rPr>
              <w:t>[b]</w:t>
            </w:r>
            <w:r>
              <w:rPr>
                <w:rFonts w:hint="eastAsia" w:ascii="宋体" w:hAnsi="宋体" w:eastAsia="宋体" w:cs="宋体"/>
                <w:color w:val="auto"/>
                <w:kern w:val="0"/>
                <w:sz w:val="18"/>
                <w:szCs w:val="18"/>
                <w:lang w:val="en-US" w:eastAsia="zh-CN" w:bidi="ar"/>
              </w:rPr>
              <w:t>荧蔥、苯并</w:t>
            </w:r>
            <w:r>
              <w:rPr>
                <w:rFonts w:hint="default" w:ascii="Times New Roman" w:hAnsi="Times New Roman" w:eastAsia="宋体" w:cs="Times New Roman"/>
                <w:color w:val="auto"/>
                <w:kern w:val="0"/>
                <w:sz w:val="18"/>
                <w:szCs w:val="18"/>
                <w:lang w:val="en-US" w:eastAsia="zh-CN" w:bidi="ar"/>
              </w:rPr>
              <w:t>[k]</w:t>
            </w:r>
            <w:r>
              <w:rPr>
                <w:rFonts w:hint="eastAsia" w:ascii="宋体" w:hAnsi="宋体" w:eastAsia="宋体" w:cs="宋体"/>
                <w:color w:val="auto"/>
                <w:kern w:val="0"/>
                <w:sz w:val="18"/>
                <w:szCs w:val="18"/>
                <w:lang w:val="en-US" w:eastAsia="zh-CN" w:bidi="ar"/>
              </w:rPr>
              <w:t>荧蔥、䓛、二苯并</w:t>
            </w:r>
            <w:r>
              <w:rPr>
                <w:rFonts w:hint="default" w:ascii="Times New Roman" w:hAnsi="Times New Roman" w:eastAsia="宋体" w:cs="Times New Roman"/>
                <w:color w:val="auto"/>
                <w:kern w:val="0"/>
                <w:sz w:val="18"/>
                <w:szCs w:val="18"/>
                <w:lang w:val="en-US" w:eastAsia="zh-CN" w:bidi="ar"/>
              </w:rPr>
              <w:t>[a</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h]</w:t>
            </w:r>
            <w:r>
              <w:rPr>
                <w:rFonts w:hint="eastAsia" w:ascii="宋体" w:hAnsi="宋体" w:eastAsia="宋体" w:cs="宋体"/>
                <w:color w:val="auto"/>
                <w:kern w:val="0"/>
                <w:sz w:val="18"/>
                <w:szCs w:val="18"/>
                <w:lang w:val="en-US" w:eastAsia="zh-CN" w:bidi="ar"/>
              </w:rPr>
              <w:t>蔥、茚并</w:t>
            </w:r>
            <w:r>
              <w:rPr>
                <w:rFonts w:hint="default" w:ascii="Times New Roman" w:hAnsi="Times New Roman" w:eastAsia="宋体" w:cs="Times New Roman"/>
                <w:color w:val="auto"/>
                <w:kern w:val="0"/>
                <w:sz w:val="18"/>
                <w:szCs w:val="18"/>
                <w:lang w:val="en-US" w:eastAsia="zh-CN" w:bidi="ar"/>
              </w:rPr>
              <w:t>[1</w:t>
            </w:r>
            <w:r>
              <w:rPr>
                <w:rFonts w:hint="eastAsia" w:ascii="宋体" w:hAnsi="宋体" w:eastAsia="宋体" w:cs="宋体"/>
                <w:color w:val="auto"/>
                <w:kern w:val="0"/>
                <w:sz w:val="18"/>
                <w:szCs w:val="18"/>
                <w:lang w:val="en-US" w:eastAsia="zh-CN" w:bidi="ar"/>
              </w:rPr>
              <w:t xml:space="preserve">， </w:t>
            </w:r>
            <w:r>
              <w:rPr>
                <w:rFonts w:hint="default" w:ascii="Times New Roman" w:hAnsi="Times New Roman" w:eastAsia="宋体" w:cs="Times New Roman"/>
                <w:color w:val="auto"/>
                <w:kern w:val="0"/>
                <w:sz w:val="18"/>
                <w:szCs w:val="18"/>
                <w:lang w:val="en-US" w:eastAsia="zh-CN" w:bidi="ar"/>
              </w:rPr>
              <w:t>2</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3</w:t>
            </w:r>
            <w:r>
              <w:rPr>
                <w:rFonts w:hint="eastAsia" w:ascii="宋体" w:hAnsi="宋体" w:eastAsia="宋体" w:cs="宋体"/>
                <w:color w:val="auto"/>
                <w:kern w:val="0"/>
                <w:sz w:val="18"/>
                <w:szCs w:val="18"/>
                <w:lang w:val="en-US" w:eastAsia="zh-CN" w:bidi="ar"/>
              </w:rPr>
              <w:t>，</w:t>
            </w:r>
            <w:r>
              <w:rPr>
                <w:rFonts w:hint="default" w:ascii="Times New Roman" w:hAnsi="Times New Roman" w:eastAsia="宋体" w:cs="Times New Roman"/>
                <w:color w:val="auto"/>
                <w:kern w:val="0"/>
                <w:sz w:val="18"/>
                <w:szCs w:val="18"/>
                <w:lang w:val="en-US" w:eastAsia="zh-CN" w:bidi="ar"/>
              </w:rPr>
              <w:t>-cd]</w:t>
            </w:r>
            <w:r>
              <w:rPr>
                <w:rFonts w:hint="eastAsia" w:ascii="宋体" w:hAnsi="宋体" w:eastAsia="宋体" w:cs="宋体"/>
                <w:color w:val="auto"/>
                <w:kern w:val="0"/>
                <w:sz w:val="18"/>
                <w:szCs w:val="18"/>
                <w:lang w:val="en-US" w:eastAsia="zh-CN" w:bidi="ar"/>
              </w:rPr>
              <w:t>芘、萘、锌</w:t>
            </w:r>
          </w:p>
        </w:tc>
        <w:tc>
          <w:tcPr>
            <w:tcW w:w="801" w:type="dxa"/>
            <w:tcBorders>
              <w:top w:val="single" w:color="000000" w:sz="6" w:space="0"/>
              <w:left w:val="single" w:color="000000" w:sz="6" w:space="0"/>
              <w:bottom w:val="single" w:color="000000" w:sz="6" w:space="0"/>
              <w:right w:val="single" w:color="000000" w:sz="12" w:space="0"/>
            </w:tcBorders>
            <w:vAlign w:val="center"/>
          </w:tcPr>
          <w:p w14:paraId="11F549F5">
            <w:pPr>
              <w:autoSpaceDE w:val="0"/>
              <w:autoSpaceDN w:val="0"/>
              <w:jc w:val="center"/>
              <w:rPr>
                <w:color w:val="auto"/>
                <w:sz w:val="18"/>
                <w:szCs w:val="22"/>
                <w:lang w:bidi="en-US"/>
              </w:rPr>
            </w:pPr>
          </w:p>
        </w:tc>
      </w:tr>
      <w:tr w14:paraId="3C3F0F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5B8A976C">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30C6165A">
            <w:pPr>
              <w:autoSpaceDE w:val="0"/>
              <w:autoSpaceDN w:val="0"/>
              <w:ind w:right="83"/>
              <w:jc w:val="center"/>
              <w:rPr>
                <w:color w:val="auto"/>
                <w:sz w:val="18"/>
                <w:szCs w:val="22"/>
                <w:lang w:eastAsia="en-US" w:bidi="en-US"/>
              </w:rPr>
            </w:pPr>
            <w:r>
              <w:rPr>
                <w:color w:val="auto"/>
                <w:sz w:val="18"/>
                <w:szCs w:val="22"/>
                <w:lang w:eastAsia="en-US" w:bidi="en-US"/>
              </w:rPr>
              <w:t>评价标准</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3BDA3574">
            <w:pPr>
              <w:jc w:val="center"/>
              <w:rPr>
                <w:color w:val="auto"/>
                <w:sz w:val="18"/>
                <w:szCs w:val="22"/>
                <w:lang w:bidi="en-US"/>
              </w:rPr>
            </w:pPr>
            <w:r>
              <w:rPr>
                <w:snapToGrid w:val="0"/>
                <w:color w:val="auto"/>
                <w:sz w:val="18"/>
                <w:szCs w:val="18"/>
              </w:rPr>
              <w:t>GB 15618</w:t>
            </w:r>
            <w:r>
              <w:rPr>
                <w:color w:val="auto"/>
              </w:rPr>
              <w:sym w:font="Wingdings" w:char="00FE"/>
            </w:r>
            <w:r>
              <w:rPr>
                <w:snapToGrid w:val="0"/>
                <w:color w:val="auto"/>
                <w:sz w:val="18"/>
                <w:szCs w:val="18"/>
              </w:rPr>
              <w:t>；GB 36600</w:t>
            </w:r>
            <w:r>
              <w:rPr>
                <w:color w:val="auto"/>
              </w:rPr>
              <w:sym w:font="Wingdings" w:char="00FE"/>
            </w:r>
            <w:r>
              <w:rPr>
                <w:snapToGrid w:val="0"/>
                <w:color w:val="auto"/>
                <w:sz w:val="18"/>
                <w:szCs w:val="18"/>
              </w:rPr>
              <w:t>；表D.1</w:t>
            </w:r>
            <w:r>
              <w:rPr>
                <w:color w:val="auto"/>
                <w:sz w:val="18"/>
                <w:szCs w:val="22"/>
                <w:lang w:bidi="en-US"/>
              </w:rPr>
              <w:t>□</w:t>
            </w:r>
            <w:r>
              <w:rPr>
                <w:snapToGrid w:val="0"/>
                <w:color w:val="auto"/>
                <w:sz w:val="18"/>
                <w:szCs w:val="18"/>
              </w:rPr>
              <w:t>；表 D.2</w:t>
            </w:r>
            <w:r>
              <w:rPr>
                <w:color w:val="auto"/>
                <w:sz w:val="18"/>
                <w:szCs w:val="22"/>
                <w:lang w:bidi="en-US"/>
              </w:rPr>
              <w:t>□</w:t>
            </w:r>
            <w:r>
              <w:rPr>
                <w:snapToGrid w:val="0"/>
                <w:color w:val="auto"/>
                <w:sz w:val="18"/>
                <w:szCs w:val="18"/>
              </w:rPr>
              <w:t>；其他（）</w:t>
            </w:r>
          </w:p>
        </w:tc>
        <w:tc>
          <w:tcPr>
            <w:tcW w:w="801" w:type="dxa"/>
            <w:tcBorders>
              <w:top w:val="single" w:color="000000" w:sz="6" w:space="0"/>
              <w:left w:val="single" w:color="000000" w:sz="6" w:space="0"/>
              <w:bottom w:val="single" w:color="000000" w:sz="6" w:space="0"/>
              <w:right w:val="single" w:color="000000" w:sz="12" w:space="0"/>
            </w:tcBorders>
            <w:vAlign w:val="center"/>
          </w:tcPr>
          <w:p w14:paraId="049C24F8">
            <w:pPr>
              <w:autoSpaceDE w:val="0"/>
              <w:autoSpaceDN w:val="0"/>
              <w:jc w:val="center"/>
              <w:rPr>
                <w:color w:val="auto"/>
                <w:sz w:val="18"/>
                <w:szCs w:val="22"/>
                <w:lang w:bidi="en-US"/>
              </w:rPr>
            </w:pPr>
          </w:p>
        </w:tc>
      </w:tr>
      <w:tr w14:paraId="159C17D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402"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545229B3">
            <w:pPr>
              <w:widowControl/>
              <w:jc w:val="left"/>
              <w:rPr>
                <w:color w:val="auto"/>
                <w:sz w:val="18"/>
                <w:szCs w:val="22"/>
                <w:lang w:eastAsia="en-US"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244FE007">
            <w:pPr>
              <w:autoSpaceDE w:val="0"/>
              <w:autoSpaceDN w:val="0"/>
              <w:ind w:right="83"/>
              <w:jc w:val="center"/>
              <w:rPr>
                <w:color w:val="auto"/>
                <w:sz w:val="18"/>
                <w:szCs w:val="22"/>
                <w:lang w:eastAsia="en-US" w:bidi="en-US"/>
              </w:rPr>
            </w:pPr>
            <w:r>
              <w:rPr>
                <w:color w:val="auto"/>
                <w:sz w:val="18"/>
                <w:szCs w:val="22"/>
                <w:lang w:eastAsia="en-US" w:bidi="en-US"/>
              </w:rPr>
              <w:t>现状评价结论</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4C64384A">
            <w:pPr>
              <w:autoSpaceDE w:val="0"/>
              <w:autoSpaceDN w:val="0"/>
              <w:jc w:val="center"/>
              <w:rPr>
                <w:color w:val="auto"/>
                <w:sz w:val="18"/>
                <w:szCs w:val="22"/>
                <w:lang w:bidi="en-US"/>
              </w:rPr>
            </w:pPr>
            <w:r>
              <w:rPr>
                <w:color w:val="auto"/>
                <w:sz w:val="18"/>
                <w:szCs w:val="22"/>
                <w:lang w:bidi="en-US"/>
              </w:rPr>
              <w:t>监测因子均满足相应标准要求</w:t>
            </w:r>
          </w:p>
        </w:tc>
        <w:tc>
          <w:tcPr>
            <w:tcW w:w="801" w:type="dxa"/>
            <w:tcBorders>
              <w:top w:val="single" w:color="000000" w:sz="6" w:space="0"/>
              <w:left w:val="single" w:color="000000" w:sz="6" w:space="0"/>
              <w:bottom w:val="single" w:color="000000" w:sz="6" w:space="0"/>
              <w:right w:val="single" w:color="000000" w:sz="12" w:space="0"/>
            </w:tcBorders>
            <w:vAlign w:val="center"/>
          </w:tcPr>
          <w:p w14:paraId="00A13141">
            <w:pPr>
              <w:autoSpaceDE w:val="0"/>
              <w:autoSpaceDN w:val="0"/>
              <w:jc w:val="center"/>
              <w:rPr>
                <w:color w:val="auto"/>
                <w:sz w:val="18"/>
                <w:szCs w:val="22"/>
                <w:lang w:bidi="en-US"/>
              </w:rPr>
            </w:pPr>
          </w:p>
        </w:tc>
      </w:tr>
      <w:tr w14:paraId="738310E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0" w:hRule="atLeast"/>
          <w:jc w:val="center"/>
        </w:trPr>
        <w:tc>
          <w:tcPr>
            <w:tcW w:w="413" w:type="dxa"/>
            <w:vMerge w:val="restart"/>
            <w:tcBorders>
              <w:top w:val="single" w:color="000000" w:sz="6" w:space="0"/>
              <w:left w:val="single" w:color="000000" w:sz="12" w:space="0"/>
              <w:bottom w:val="single" w:color="000000" w:sz="6" w:space="0"/>
              <w:right w:val="single" w:color="000000" w:sz="6" w:space="0"/>
            </w:tcBorders>
            <w:vAlign w:val="center"/>
          </w:tcPr>
          <w:p w14:paraId="45686AF6">
            <w:pPr>
              <w:autoSpaceDE w:val="0"/>
              <w:autoSpaceDN w:val="0"/>
              <w:jc w:val="center"/>
              <w:rPr>
                <w:color w:val="auto"/>
                <w:sz w:val="18"/>
                <w:szCs w:val="22"/>
                <w:lang w:eastAsia="en-US" w:bidi="en-US"/>
              </w:rPr>
            </w:pPr>
            <w:r>
              <w:rPr>
                <w:color w:val="auto"/>
                <w:sz w:val="18"/>
                <w:szCs w:val="22"/>
                <w:lang w:eastAsia="en-US" w:bidi="en-US"/>
              </w:rPr>
              <w:t>影响预测</w:t>
            </w:r>
          </w:p>
        </w:tc>
        <w:tc>
          <w:tcPr>
            <w:tcW w:w="1642" w:type="dxa"/>
            <w:tcBorders>
              <w:top w:val="single" w:color="000000" w:sz="6" w:space="0"/>
              <w:left w:val="single" w:color="000000" w:sz="6" w:space="0"/>
              <w:bottom w:val="single" w:color="000000" w:sz="6" w:space="0"/>
              <w:right w:val="single" w:color="000000" w:sz="6" w:space="0"/>
            </w:tcBorders>
            <w:vAlign w:val="center"/>
          </w:tcPr>
          <w:p w14:paraId="24350FB2">
            <w:pPr>
              <w:autoSpaceDE w:val="0"/>
              <w:autoSpaceDN w:val="0"/>
              <w:ind w:right="83"/>
              <w:jc w:val="center"/>
              <w:rPr>
                <w:color w:val="auto"/>
                <w:sz w:val="18"/>
                <w:szCs w:val="22"/>
                <w:lang w:eastAsia="en-US" w:bidi="en-US"/>
              </w:rPr>
            </w:pPr>
            <w:r>
              <w:rPr>
                <w:color w:val="auto"/>
                <w:sz w:val="18"/>
                <w:szCs w:val="22"/>
                <w:lang w:eastAsia="en-US" w:bidi="en-US"/>
              </w:rPr>
              <w:t>预测因子</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45529659">
            <w:pPr>
              <w:autoSpaceDE w:val="0"/>
              <w:autoSpaceDN w:val="0"/>
              <w:jc w:val="center"/>
              <w:rPr>
                <w:rFonts w:hint="eastAsia" w:eastAsia="宋体"/>
                <w:color w:val="auto"/>
                <w:sz w:val="18"/>
                <w:szCs w:val="22"/>
                <w:lang w:eastAsia="zh-CN" w:bidi="en-US"/>
              </w:rPr>
            </w:pPr>
            <w:r>
              <w:rPr>
                <w:rFonts w:hint="eastAsia"/>
                <w:color w:val="auto"/>
                <w:sz w:val="18"/>
                <w:szCs w:val="22"/>
                <w:lang w:eastAsia="zh-CN" w:bidi="en-US"/>
              </w:rPr>
              <w:t>铅、氟化物</w:t>
            </w:r>
          </w:p>
        </w:tc>
        <w:tc>
          <w:tcPr>
            <w:tcW w:w="801" w:type="dxa"/>
            <w:tcBorders>
              <w:top w:val="single" w:color="000000" w:sz="6" w:space="0"/>
              <w:left w:val="single" w:color="000000" w:sz="6" w:space="0"/>
              <w:bottom w:val="single" w:color="000000" w:sz="6" w:space="0"/>
              <w:right w:val="single" w:color="000000" w:sz="12" w:space="0"/>
            </w:tcBorders>
            <w:vAlign w:val="center"/>
          </w:tcPr>
          <w:p w14:paraId="7C9E8094">
            <w:pPr>
              <w:autoSpaceDE w:val="0"/>
              <w:autoSpaceDN w:val="0"/>
              <w:jc w:val="center"/>
              <w:rPr>
                <w:color w:val="auto"/>
                <w:sz w:val="18"/>
                <w:szCs w:val="22"/>
                <w:lang w:eastAsia="en-US" w:bidi="en-US"/>
              </w:rPr>
            </w:pPr>
          </w:p>
        </w:tc>
      </w:tr>
      <w:tr w14:paraId="51D2D5F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2C66B764">
            <w:pPr>
              <w:widowControl/>
              <w:jc w:val="left"/>
              <w:rPr>
                <w:color w:val="auto"/>
                <w:sz w:val="18"/>
                <w:szCs w:val="22"/>
                <w:lang w:eastAsia="en-US"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19B3AE2B">
            <w:pPr>
              <w:autoSpaceDE w:val="0"/>
              <w:autoSpaceDN w:val="0"/>
              <w:ind w:right="83"/>
              <w:jc w:val="center"/>
              <w:rPr>
                <w:color w:val="auto"/>
                <w:sz w:val="18"/>
                <w:szCs w:val="22"/>
                <w:lang w:eastAsia="en-US" w:bidi="en-US"/>
              </w:rPr>
            </w:pPr>
            <w:r>
              <w:rPr>
                <w:color w:val="auto"/>
                <w:sz w:val="18"/>
                <w:szCs w:val="22"/>
                <w:lang w:eastAsia="en-US" w:bidi="en-US"/>
              </w:rPr>
              <w:t>预测方法</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6993B95A">
            <w:pPr>
              <w:tabs>
                <w:tab w:val="left" w:pos="2930"/>
              </w:tabs>
              <w:autoSpaceDE w:val="0"/>
              <w:autoSpaceDN w:val="0"/>
              <w:jc w:val="center"/>
              <w:rPr>
                <w:color w:val="auto"/>
                <w:sz w:val="18"/>
                <w:szCs w:val="22"/>
                <w:lang w:bidi="en-US"/>
              </w:rPr>
            </w:pPr>
            <w:r>
              <w:rPr>
                <w:color w:val="auto"/>
                <w:sz w:val="18"/>
                <w:szCs w:val="22"/>
                <w:lang w:bidi="en-US"/>
              </w:rPr>
              <w:t>附录</w:t>
            </w:r>
            <w:r>
              <w:rPr>
                <w:color w:val="auto"/>
                <w:spacing w:val="-46"/>
                <w:sz w:val="18"/>
                <w:szCs w:val="22"/>
                <w:lang w:bidi="en-US"/>
              </w:rPr>
              <w:t xml:space="preserve"> </w:t>
            </w:r>
            <w:r>
              <w:rPr>
                <w:color w:val="auto"/>
                <w:sz w:val="18"/>
                <w:szCs w:val="22"/>
                <w:lang w:bidi="en-US"/>
              </w:rPr>
              <w:t>E</w:t>
            </w:r>
            <w:r>
              <w:rPr>
                <w:color w:val="auto"/>
              </w:rPr>
              <w:sym w:font="Wingdings" w:char="00FE"/>
            </w:r>
            <w:r>
              <w:rPr>
                <w:color w:val="auto"/>
                <w:sz w:val="18"/>
                <w:szCs w:val="22"/>
                <w:lang w:bidi="en-US"/>
              </w:rPr>
              <w:t>；附录</w:t>
            </w:r>
            <w:r>
              <w:rPr>
                <w:color w:val="auto"/>
                <w:spacing w:val="-45"/>
                <w:sz w:val="18"/>
                <w:szCs w:val="22"/>
                <w:lang w:bidi="en-US"/>
              </w:rPr>
              <w:t xml:space="preserve"> </w:t>
            </w:r>
            <w:r>
              <w:rPr>
                <w:color w:val="auto"/>
                <w:sz w:val="18"/>
                <w:szCs w:val="22"/>
                <w:lang w:bidi="en-US"/>
              </w:rPr>
              <w:t>F□；其他（</w:t>
            </w:r>
            <w:r>
              <w:rPr>
                <w:color w:val="auto"/>
                <w:sz w:val="18"/>
                <w:szCs w:val="22"/>
                <w:lang w:bidi="en-US"/>
              </w:rPr>
              <w:tab/>
            </w:r>
            <w:r>
              <w:rPr>
                <w:color w:val="auto"/>
                <w:sz w:val="18"/>
                <w:szCs w:val="22"/>
                <w:lang w:bidi="en-US"/>
              </w:rPr>
              <w:t>）</w:t>
            </w:r>
          </w:p>
        </w:tc>
        <w:tc>
          <w:tcPr>
            <w:tcW w:w="801" w:type="dxa"/>
            <w:tcBorders>
              <w:top w:val="single" w:color="000000" w:sz="6" w:space="0"/>
              <w:left w:val="single" w:color="000000" w:sz="6" w:space="0"/>
              <w:bottom w:val="single" w:color="000000" w:sz="6" w:space="0"/>
              <w:right w:val="single" w:color="000000" w:sz="12" w:space="0"/>
            </w:tcBorders>
            <w:vAlign w:val="center"/>
          </w:tcPr>
          <w:p w14:paraId="5F4DFEC6">
            <w:pPr>
              <w:autoSpaceDE w:val="0"/>
              <w:autoSpaceDN w:val="0"/>
              <w:jc w:val="center"/>
              <w:rPr>
                <w:color w:val="auto"/>
                <w:sz w:val="18"/>
                <w:szCs w:val="22"/>
                <w:lang w:bidi="en-US"/>
              </w:rPr>
            </w:pPr>
          </w:p>
        </w:tc>
      </w:tr>
      <w:tr w14:paraId="63C8C44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20"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329F4719">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01A20E58">
            <w:pPr>
              <w:autoSpaceDE w:val="0"/>
              <w:autoSpaceDN w:val="0"/>
              <w:ind w:right="83"/>
              <w:jc w:val="center"/>
              <w:rPr>
                <w:color w:val="auto"/>
                <w:sz w:val="18"/>
                <w:szCs w:val="22"/>
                <w:lang w:eastAsia="en-US" w:bidi="en-US"/>
              </w:rPr>
            </w:pPr>
            <w:r>
              <w:rPr>
                <w:color w:val="auto"/>
                <w:sz w:val="18"/>
                <w:szCs w:val="22"/>
                <w:lang w:eastAsia="en-US" w:bidi="en-US"/>
              </w:rPr>
              <w:t>预测分析内容</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65C169BC">
            <w:pPr>
              <w:tabs>
                <w:tab w:val="left" w:pos="1639"/>
              </w:tabs>
              <w:autoSpaceDE w:val="0"/>
              <w:autoSpaceDN w:val="0"/>
              <w:jc w:val="center"/>
              <w:rPr>
                <w:color w:val="auto"/>
                <w:sz w:val="18"/>
                <w:szCs w:val="22"/>
                <w:lang w:bidi="en-US"/>
              </w:rPr>
            </w:pPr>
            <w:r>
              <w:rPr>
                <w:color w:val="auto"/>
                <w:sz w:val="18"/>
                <w:szCs w:val="22"/>
                <w:lang w:bidi="en-US"/>
              </w:rPr>
              <w:t>影响范围（项目占地范围内）</w:t>
            </w:r>
          </w:p>
          <w:p w14:paraId="6C63C666">
            <w:pPr>
              <w:tabs>
                <w:tab w:val="left" w:pos="1639"/>
              </w:tabs>
              <w:autoSpaceDE w:val="0"/>
              <w:autoSpaceDN w:val="0"/>
              <w:jc w:val="center"/>
              <w:rPr>
                <w:color w:val="auto"/>
                <w:sz w:val="18"/>
                <w:szCs w:val="22"/>
                <w:lang w:bidi="en-US"/>
              </w:rPr>
            </w:pPr>
            <w:r>
              <w:rPr>
                <w:color w:val="auto"/>
                <w:sz w:val="18"/>
                <w:szCs w:val="22"/>
                <w:lang w:bidi="en-US"/>
              </w:rPr>
              <w:t>影响程度（</w:t>
            </w:r>
            <w:r>
              <w:rPr>
                <w:color w:val="auto"/>
                <w:sz w:val="18"/>
                <w:szCs w:val="18"/>
              </w:rPr>
              <w:t xml:space="preserve">   小     </w:t>
            </w:r>
            <w:r>
              <w:rPr>
                <w:color w:val="auto"/>
                <w:sz w:val="18"/>
                <w:szCs w:val="22"/>
                <w:lang w:bidi="en-US"/>
              </w:rPr>
              <w:t>）</w:t>
            </w:r>
          </w:p>
        </w:tc>
        <w:tc>
          <w:tcPr>
            <w:tcW w:w="801" w:type="dxa"/>
            <w:tcBorders>
              <w:top w:val="single" w:color="000000" w:sz="6" w:space="0"/>
              <w:left w:val="single" w:color="000000" w:sz="6" w:space="0"/>
              <w:bottom w:val="single" w:color="000000" w:sz="6" w:space="0"/>
              <w:right w:val="single" w:color="000000" w:sz="12" w:space="0"/>
            </w:tcBorders>
            <w:vAlign w:val="center"/>
          </w:tcPr>
          <w:p w14:paraId="1ED237B5">
            <w:pPr>
              <w:autoSpaceDE w:val="0"/>
              <w:autoSpaceDN w:val="0"/>
              <w:jc w:val="center"/>
              <w:rPr>
                <w:color w:val="auto"/>
                <w:sz w:val="18"/>
                <w:szCs w:val="22"/>
                <w:lang w:bidi="en-US"/>
              </w:rPr>
            </w:pPr>
          </w:p>
        </w:tc>
      </w:tr>
      <w:tr w14:paraId="62E8BDE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98"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486B691C">
            <w:pPr>
              <w:widowControl/>
              <w:jc w:val="left"/>
              <w:rPr>
                <w:color w:val="auto"/>
                <w:sz w:val="18"/>
                <w:szCs w:val="22"/>
                <w:lang w:bidi="en-US"/>
              </w:rPr>
            </w:pPr>
          </w:p>
        </w:tc>
        <w:tc>
          <w:tcPr>
            <w:tcW w:w="1642" w:type="dxa"/>
            <w:tcBorders>
              <w:top w:val="single" w:color="000000" w:sz="6" w:space="0"/>
              <w:left w:val="single" w:color="000000" w:sz="6" w:space="0"/>
              <w:bottom w:val="single" w:color="000000" w:sz="6" w:space="0"/>
              <w:right w:val="single" w:color="000000" w:sz="6" w:space="0"/>
            </w:tcBorders>
            <w:vAlign w:val="center"/>
          </w:tcPr>
          <w:p w14:paraId="47711C09">
            <w:pPr>
              <w:autoSpaceDE w:val="0"/>
              <w:autoSpaceDN w:val="0"/>
              <w:ind w:right="83"/>
              <w:jc w:val="center"/>
              <w:rPr>
                <w:color w:val="auto"/>
                <w:sz w:val="18"/>
                <w:szCs w:val="22"/>
                <w:lang w:eastAsia="en-US" w:bidi="en-US"/>
              </w:rPr>
            </w:pPr>
            <w:r>
              <w:rPr>
                <w:color w:val="auto"/>
                <w:sz w:val="18"/>
                <w:szCs w:val="22"/>
                <w:lang w:eastAsia="en-US" w:bidi="en-US"/>
              </w:rPr>
              <w:t>预测结论</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02E52C3F">
            <w:pPr>
              <w:autoSpaceDE w:val="0"/>
              <w:autoSpaceDN w:val="0"/>
              <w:jc w:val="center"/>
              <w:rPr>
                <w:color w:val="auto"/>
                <w:sz w:val="18"/>
                <w:szCs w:val="22"/>
                <w:lang w:bidi="en-US"/>
              </w:rPr>
            </w:pPr>
            <w:r>
              <w:rPr>
                <w:color w:val="auto"/>
                <w:sz w:val="18"/>
                <w:szCs w:val="22"/>
                <w:lang w:bidi="en-US"/>
              </w:rPr>
              <w:t>达标结论：a）</w:t>
            </w:r>
            <w:r>
              <w:rPr>
                <w:color w:val="auto"/>
              </w:rPr>
              <w:sym w:font="Wingdings" w:char="00FE"/>
            </w:r>
            <w:r>
              <w:rPr>
                <w:color w:val="auto"/>
                <w:sz w:val="18"/>
                <w:szCs w:val="22"/>
                <w:lang w:bidi="en-US"/>
              </w:rPr>
              <w:t>；b）□；c）□不达标结论：a）□；b）□</w:t>
            </w:r>
          </w:p>
        </w:tc>
        <w:tc>
          <w:tcPr>
            <w:tcW w:w="801" w:type="dxa"/>
            <w:tcBorders>
              <w:top w:val="single" w:color="000000" w:sz="6" w:space="0"/>
              <w:left w:val="single" w:color="000000" w:sz="6" w:space="0"/>
              <w:bottom w:val="single" w:color="000000" w:sz="6" w:space="0"/>
              <w:right w:val="single" w:color="000000" w:sz="12" w:space="0"/>
            </w:tcBorders>
            <w:vAlign w:val="center"/>
          </w:tcPr>
          <w:p w14:paraId="65BF1B7D">
            <w:pPr>
              <w:autoSpaceDE w:val="0"/>
              <w:autoSpaceDN w:val="0"/>
              <w:jc w:val="center"/>
              <w:rPr>
                <w:color w:val="auto"/>
                <w:sz w:val="18"/>
                <w:szCs w:val="22"/>
                <w:lang w:bidi="en-US"/>
              </w:rPr>
            </w:pPr>
          </w:p>
        </w:tc>
      </w:tr>
      <w:tr w14:paraId="50FDA94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restart"/>
            <w:tcBorders>
              <w:top w:val="single" w:color="000000" w:sz="6" w:space="0"/>
              <w:left w:val="single" w:color="000000" w:sz="12" w:space="0"/>
              <w:bottom w:val="single" w:color="000000" w:sz="6" w:space="0"/>
              <w:right w:val="single" w:color="000000" w:sz="6" w:space="0"/>
            </w:tcBorders>
            <w:vAlign w:val="center"/>
          </w:tcPr>
          <w:p w14:paraId="2E78AA33">
            <w:pPr>
              <w:autoSpaceDE w:val="0"/>
              <w:autoSpaceDN w:val="0"/>
              <w:jc w:val="center"/>
              <w:rPr>
                <w:color w:val="auto"/>
                <w:sz w:val="18"/>
                <w:szCs w:val="22"/>
                <w:lang w:eastAsia="en-US" w:bidi="en-US"/>
              </w:rPr>
            </w:pPr>
            <w:r>
              <w:rPr>
                <w:color w:val="auto"/>
                <w:sz w:val="18"/>
                <w:szCs w:val="22"/>
                <w:lang w:eastAsia="en-US" w:bidi="en-US"/>
              </w:rPr>
              <w:t>防治措施</w:t>
            </w:r>
          </w:p>
        </w:tc>
        <w:tc>
          <w:tcPr>
            <w:tcW w:w="1642" w:type="dxa"/>
            <w:tcBorders>
              <w:top w:val="single" w:color="000000" w:sz="6" w:space="0"/>
              <w:left w:val="single" w:color="000000" w:sz="6" w:space="0"/>
              <w:bottom w:val="single" w:color="000000" w:sz="6" w:space="0"/>
              <w:right w:val="single" w:color="000000" w:sz="6" w:space="0"/>
            </w:tcBorders>
            <w:vAlign w:val="center"/>
          </w:tcPr>
          <w:p w14:paraId="121413D2">
            <w:pPr>
              <w:autoSpaceDE w:val="0"/>
              <w:autoSpaceDN w:val="0"/>
              <w:ind w:right="83"/>
              <w:jc w:val="center"/>
              <w:rPr>
                <w:color w:val="auto"/>
                <w:sz w:val="18"/>
                <w:szCs w:val="22"/>
                <w:lang w:eastAsia="en-US" w:bidi="en-US"/>
              </w:rPr>
            </w:pPr>
            <w:r>
              <w:rPr>
                <w:color w:val="auto"/>
                <w:sz w:val="18"/>
                <w:szCs w:val="22"/>
                <w:lang w:eastAsia="en-US" w:bidi="en-US"/>
              </w:rPr>
              <w:t>防控措施</w:t>
            </w:r>
          </w:p>
        </w:tc>
        <w:tc>
          <w:tcPr>
            <w:tcW w:w="6294" w:type="dxa"/>
            <w:gridSpan w:val="7"/>
            <w:tcBorders>
              <w:top w:val="single" w:color="000000" w:sz="6" w:space="0"/>
              <w:left w:val="single" w:color="000000" w:sz="6" w:space="0"/>
              <w:bottom w:val="single" w:color="000000" w:sz="6" w:space="0"/>
              <w:right w:val="single" w:color="000000" w:sz="6" w:space="0"/>
            </w:tcBorders>
            <w:vAlign w:val="center"/>
          </w:tcPr>
          <w:p w14:paraId="57E1D1AD">
            <w:pPr>
              <w:ind w:left="54"/>
              <w:jc w:val="center"/>
              <w:rPr>
                <w:color w:val="auto"/>
                <w:sz w:val="18"/>
                <w:szCs w:val="18"/>
              </w:rPr>
            </w:pPr>
            <w:r>
              <w:rPr>
                <w:color w:val="auto"/>
                <w:sz w:val="18"/>
                <w:szCs w:val="18"/>
              </w:rPr>
              <w:t>土壤环境质量现状保障</w:t>
            </w:r>
            <w:r>
              <w:rPr>
                <w:color w:val="auto"/>
              </w:rPr>
              <w:sym w:font="Wingdings" w:char="00FE"/>
            </w:r>
            <w:r>
              <w:rPr>
                <w:color w:val="auto"/>
                <w:sz w:val="18"/>
                <w:szCs w:val="18"/>
              </w:rPr>
              <w:t>；源头控制</w:t>
            </w:r>
            <w:r>
              <w:rPr>
                <w:color w:val="auto"/>
              </w:rPr>
              <w:sym w:font="Wingdings" w:char="00FE"/>
            </w:r>
            <w:r>
              <w:rPr>
                <w:color w:val="auto"/>
                <w:sz w:val="18"/>
                <w:szCs w:val="18"/>
              </w:rPr>
              <w:t>；过程防控</w:t>
            </w:r>
            <w:r>
              <w:rPr>
                <w:color w:val="auto"/>
                <w:sz w:val="18"/>
                <w:szCs w:val="22"/>
                <w:lang w:bidi="en-US"/>
              </w:rPr>
              <w:t>□</w:t>
            </w:r>
            <w:r>
              <w:rPr>
                <w:color w:val="auto"/>
                <w:sz w:val="18"/>
                <w:szCs w:val="18"/>
              </w:rPr>
              <w:t>；其它（）</w:t>
            </w:r>
          </w:p>
        </w:tc>
        <w:tc>
          <w:tcPr>
            <w:tcW w:w="801" w:type="dxa"/>
            <w:tcBorders>
              <w:top w:val="single" w:color="000000" w:sz="6" w:space="0"/>
              <w:left w:val="single" w:color="000000" w:sz="6" w:space="0"/>
              <w:bottom w:val="single" w:color="000000" w:sz="6" w:space="0"/>
              <w:right w:val="single" w:color="000000" w:sz="12" w:space="0"/>
            </w:tcBorders>
            <w:vAlign w:val="center"/>
          </w:tcPr>
          <w:p w14:paraId="4494E3CE">
            <w:pPr>
              <w:autoSpaceDE w:val="0"/>
              <w:autoSpaceDN w:val="0"/>
              <w:jc w:val="center"/>
              <w:rPr>
                <w:color w:val="auto"/>
                <w:sz w:val="18"/>
                <w:szCs w:val="22"/>
                <w:lang w:bidi="en-US"/>
              </w:rPr>
            </w:pPr>
          </w:p>
        </w:tc>
      </w:tr>
      <w:tr w14:paraId="18D885A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11"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380839FC">
            <w:pPr>
              <w:widowControl/>
              <w:jc w:val="left"/>
              <w:rPr>
                <w:color w:val="auto"/>
                <w:sz w:val="18"/>
                <w:szCs w:val="22"/>
                <w:lang w:bidi="en-US"/>
              </w:rPr>
            </w:pPr>
          </w:p>
        </w:tc>
        <w:tc>
          <w:tcPr>
            <w:tcW w:w="1642" w:type="dxa"/>
            <w:vMerge w:val="restart"/>
            <w:tcBorders>
              <w:top w:val="single" w:color="000000" w:sz="6" w:space="0"/>
              <w:left w:val="single" w:color="000000" w:sz="6" w:space="0"/>
              <w:bottom w:val="single" w:color="000000" w:sz="4" w:space="0"/>
              <w:right w:val="single" w:color="000000" w:sz="6" w:space="0"/>
            </w:tcBorders>
            <w:vAlign w:val="center"/>
          </w:tcPr>
          <w:p w14:paraId="654CD1B3">
            <w:pPr>
              <w:autoSpaceDE w:val="0"/>
              <w:autoSpaceDN w:val="0"/>
              <w:jc w:val="center"/>
              <w:rPr>
                <w:color w:val="auto"/>
                <w:sz w:val="18"/>
                <w:szCs w:val="22"/>
                <w:lang w:eastAsia="en-US" w:bidi="en-US"/>
              </w:rPr>
            </w:pPr>
            <w:r>
              <w:rPr>
                <w:color w:val="auto"/>
                <w:sz w:val="18"/>
                <w:szCs w:val="22"/>
                <w:lang w:eastAsia="en-US" w:bidi="en-US"/>
              </w:rPr>
              <w:t>跟踪监测</w:t>
            </w:r>
          </w:p>
        </w:tc>
        <w:tc>
          <w:tcPr>
            <w:tcW w:w="2889" w:type="dxa"/>
            <w:gridSpan w:val="2"/>
            <w:tcBorders>
              <w:top w:val="single" w:color="000000" w:sz="6" w:space="0"/>
              <w:left w:val="single" w:color="000000" w:sz="6" w:space="0"/>
              <w:bottom w:val="single" w:color="000000" w:sz="6" w:space="0"/>
              <w:right w:val="single" w:color="000000" w:sz="4" w:space="0"/>
            </w:tcBorders>
            <w:vAlign w:val="center"/>
          </w:tcPr>
          <w:p w14:paraId="127DDD1E">
            <w:pPr>
              <w:jc w:val="center"/>
              <w:rPr>
                <w:color w:val="auto"/>
                <w:sz w:val="18"/>
                <w:szCs w:val="18"/>
              </w:rPr>
            </w:pPr>
            <w:r>
              <w:rPr>
                <w:color w:val="auto"/>
                <w:sz w:val="18"/>
                <w:szCs w:val="18"/>
              </w:rPr>
              <w:t>监测点数</w:t>
            </w:r>
          </w:p>
        </w:tc>
        <w:tc>
          <w:tcPr>
            <w:tcW w:w="1588" w:type="dxa"/>
            <w:tcBorders>
              <w:top w:val="single" w:color="000000" w:sz="6" w:space="0"/>
              <w:left w:val="single" w:color="000000" w:sz="4" w:space="0"/>
              <w:bottom w:val="single" w:color="000000" w:sz="6" w:space="0"/>
              <w:right w:val="single" w:color="000000" w:sz="4" w:space="0"/>
            </w:tcBorders>
            <w:vAlign w:val="center"/>
          </w:tcPr>
          <w:p w14:paraId="5DC8CDA9">
            <w:pPr>
              <w:autoSpaceDE w:val="0"/>
              <w:autoSpaceDN w:val="0"/>
              <w:jc w:val="center"/>
              <w:rPr>
                <w:color w:val="auto"/>
                <w:sz w:val="18"/>
                <w:szCs w:val="18"/>
                <w:lang w:eastAsia="en-US" w:bidi="en-US"/>
              </w:rPr>
            </w:pPr>
            <w:r>
              <w:rPr>
                <w:color w:val="auto"/>
                <w:sz w:val="18"/>
                <w:szCs w:val="18"/>
                <w:lang w:eastAsia="en-US" w:bidi="en-US"/>
              </w:rPr>
              <w:t>监测指标</w:t>
            </w:r>
          </w:p>
        </w:tc>
        <w:tc>
          <w:tcPr>
            <w:tcW w:w="1817" w:type="dxa"/>
            <w:gridSpan w:val="4"/>
            <w:tcBorders>
              <w:top w:val="single" w:color="000000" w:sz="6" w:space="0"/>
              <w:left w:val="single" w:color="000000" w:sz="4" w:space="0"/>
              <w:bottom w:val="single" w:color="000000" w:sz="6" w:space="0"/>
              <w:right w:val="single" w:color="000000" w:sz="6" w:space="0"/>
            </w:tcBorders>
            <w:vAlign w:val="center"/>
          </w:tcPr>
          <w:p w14:paraId="25CD40D9">
            <w:pPr>
              <w:autoSpaceDE w:val="0"/>
              <w:autoSpaceDN w:val="0"/>
              <w:jc w:val="center"/>
              <w:rPr>
                <w:color w:val="auto"/>
                <w:sz w:val="18"/>
                <w:szCs w:val="18"/>
                <w:lang w:eastAsia="en-US" w:bidi="en-US"/>
              </w:rPr>
            </w:pPr>
            <w:r>
              <w:rPr>
                <w:color w:val="auto"/>
                <w:sz w:val="18"/>
                <w:szCs w:val="18"/>
                <w:lang w:eastAsia="en-US" w:bidi="en-US"/>
              </w:rPr>
              <w:t>监测频次</w:t>
            </w:r>
          </w:p>
        </w:tc>
        <w:tc>
          <w:tcPr>
            <w:tcW w:w="801" w:type="dxa"/>
            <w:vMerge w:val="restart"/>
            <w:tcBorders>
              <w:top w:val="single" w:color="000000" w:sz="6" w:space="0"/>
              <w:left w:val="single" w:color="000000" w:sz="6" w:space="0"/>
              <w:bottom w:val="single" w:color="000000" w:sz="6" w:space="0"/>
              <w:right w:val="single" w:color="000000" w:sz="12" w:space="0"/>
            </w:tcBorders>
            <w:vAlign w:val="center"/>
          </w:tcPr>
          <w:p w14:paraId="221F3350">
            <w:pPr>
              <w:autoSpaceDE w:val="0"/>
              <w:autoSpaceDN w:val="0"/>
              <w:jc w:val="center"/>
              <w:rPr>
                <w:color w:val="auto"/>
                <w:sz w:val="18"/>
                <w:szCs w:val="22"/>
                <w:lang w:eastAsia="en-US" w:bidi="en-US"/>
              </w:rPr>
            </w:pPr>
          </w:p>
        </w:tc>
      </w:tr>
      <w:tr w14:paraId="1852B07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08"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59674357">
            <w:pPr>
              <w:widowControl/>
              <w:jc w:val="left"/>
              <w:rPr>
                <w:color w:val="auto"/>
                <w:sz w:val="18"/>
                <w:szCs w:val="22"/>
                <w:lang w:eastAsia="en-US" w:bidi="en-US"/>
              </w:rPr>
            </w:pPr>
          </w:p>
        </w:tc>
        <w:tc>
          <w:tcPr>
            <w:tcW w:w="1642" w:type="dxa"/>
            <w:vMerge w:val="continue"/>
            <w:tcBorders>
              <w:top w:val="single" w:color="000000" w:sz="6" w:space="0"/>
              <w:left w:val="single" w:color="000000" w:sz="6" w:space="0"/>
              <w:bottom w:val="single" w:color="000000" w:sz="4" w:space="0"/>
              <w:right w:val="single" w:color="000000" w:sz="6" w:space="0"/>
            </w:tcBorders>
            <w:vAlign w:val="center"/>
          </w:tcPr>
          <w:p w14:paraId="148DA4FE">
            <w:pPr>
              <w:widowControl/>
              <w:jc w:val="left"/>
              <w:rPr>
                <w:color w:val="auto"/>
                <w:sz w:val="18"/>
                <w:szCs w:val="22"/>
                <w:lang w:eastAsia="en-US" w:bidi="en-US"/>
              </w:rPr>
            </w:pPr>
          </w:p>
        </w:tc>
        <w:tc>
          <w:tcPr>
            <w:tcW w:w="2889" w:type="dxa"/>
            <w:gridSpan w:val="2"/>
            <w:tcBorders>
              <w:top w:val="single" w:color="000000" w:sz="6" w:space="0"/>
              <w:left w:val="single" w:color="000000" w:sz="6" w:space="0"/>
              <w:bottom w:val="single" w:color="000000" w:sz="4" w:space="0"/>
              <w:right w:val="single" w:color="000000" w:sz="4" w:space="0"/>
            </w:tcBorders>
            <w:vAlign w:val="center"/>
          </w:tcPr>
          <w:p w14:paraId="2F19213F">
            <w:pPr>
              <w:autoSpaceDE w:val="0"/>
              <w:autoSpaceDN w:val="0"/>
              <w:jc w:val="center"/>
              <w:rPr>
                <w:color w:val="auto"/>
                <w:sz w:val="18"/>
                <w:szCs w:val="18"/>
                <w:lang w:bidi="en-US"/>
              </w:rPr>
            </w:pPr>
            <w:r>
              <w:rPr>
                <w:color w:val="auto"/>
                <w:sz w:val="18"/>
                <w:szCs w:val="18"/>
                <w:lang w:bidi="en-US"/>
              </w:rPr>
              <w:t>1</w:t>
            </w:r>
          </w:p>
        </w:tc>
        <w:tc>
          <w:tcPr>
            <w:tcW w:w="1588" w:type="dxa"/>
            <w:tcBorders>
              <w:top w:val="single" w:color="000000" w:sz="6" w:space="0"/>
              <w:left w:val="single" w:color="000000" w:sz="4" w:space="0"/>
              <w:bottom w:val="single" w:color="000000" w:sz="4" w:space="0"/>
              <w:right w:val="single" w:color="000000" w:sz="4" w:space="0"/>
            </w:tcBorders>
            <w:vAlign w:val="center"/>
          </w:tcPr>
          <w:p w14:paraId="3571FF31">
            <w:pPr>
              <w:autoSpaceDE w:val="0"/>
              <w:autoSpaceDN w:val="0"/>
              <w:adjustRightInd w:val="0"/>
              <w:snapToGrid w:val="0"/>
              <w:rPr>
                <w:color w:val="auto"/>
                <w:sz w:val="18"/>
                <w:szCs w:val="18"/>
                <w:lang w:bidi="en-US"/>
              </w:rPr>
            </w:pPr>
            <w:r>
              <w:rPr>
                <w:color w:val="auto"/>
                <w:sz w:val="18"/>
                <w:szCs w:val="18"/>
              </w:rPr>
              <w:t>pH、镉、汞、砷、铜、铅、铬、镍</w:t>
            </w:r>
            <w:r>
              <w:rPr>
                <w:rFonts w:hint="eastAsia"/>
                <w:color w:val="auto"/>
                <w:sz w:val="18"/>
                <w:szCs w:val="18"/>
              </w:rPr>
              <w:t>、锌</w:t>
            </w:r>
          </w:p>
        </w:tc>
        <w:tc>
          <w:tcPr>
            <w:tcW w:w="1817" w:type="dxa"/>
            <w:gridSpan w:val="4"/>
            <w:tcBorders>
              <w:top w:val="single" w:color="000000" w:sz="6" w:space="0"/>
              <w:left w:val="single" w:color="000000" w:sz="4" w:space="0"/>
              <w:bottom w:val="single" w:color="000000" w:sz="4" w:space="0"/>
              <w:right w:val="single" w:color="000000" w:sz="6" w:space="0"/>
            </w:tcBorders>
            <w:vAlign w:val="center"/>
          </w:tcPr>
          <w:p w14:paraId="28B42A6D">
            <w:pPr>
              <w:autoSpaceDE w:val="0"/>
              <w:autoSpaceDN w:val="0"/>
              <w:jc w:val="center"/>
              <w:rPr>
                <w:color w:val="auto"/>
                <w:sz w:val="18"/>
                <w:szCs w:val="18"/>
                <w:lang w:bidi="en-US"/>
              </w:rPr>
            </w:pPr>
            <w:r>
              <w:rPr>
                <w:rFonts w:hint="eastAsia"/>
                <w:color w:val="auto"/>
                <w:sz w:val="18"/>
                <w:szCs w:val="18"/>
                <w:lang w:bidi="en-US"/>
              </w:rPr>
              <w:t>1</w:t>
            </w:r>
            <w:r>
              <w:rPr>
                <w:color w:val="auto"/>
                <w:sz w:val="18"/>
                <w:szCs w:val="18"/>
                <w:lang w:bidi="en-US"/>
              </w:rPr>
              <w:t>年一次</w:t>
            </w:r>
          </w:p>
        </w:tc>
        <w:tc>
          <w:tcPr>
            <w:tcW w:w="801" w:type="dxa"/>
            <w:vMerge w:val="continue"/>
            <w:tcBorders>
              <w:top w:val="single" w:color="000000" w:sz="6" w:space="0"/>
              <w:left w:val="single" w:color="000000" w:sz="6" w:space="0"/>
              <w:bottom w:val="single" w:color="000000" w:sz="6" w:space="0"/>
              <w:right w:val="single" w:color="000000" w:sz="12" w:space="0"/>
            </w:tcBorders>
            <w:vAlign w:val="center"/>
          </w:tcPr>
          <w:p w14:paraId="5D594975">
            <w:pPr>
              <w:widowControl/>
              <w:jc w:val="left"/>
              <w:rPr>
                <w:color w:val="auto"/>
                <w:sz w:val="18"/>
                <w:szCs w:val="22"/>
                <w:lang w:eastAsia="en-US" w:bidi="en-US"/>
              </w:rPr>
            </w:pPr>
          </w:p>
        </w:tc>
      </w:tr>
      <w:tr w14:paraId="3C75E075">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21" w:hRule="atLeast"/>
          <w:jc w:val="center"/>
        </w:trPr>
        <w:tc>
          <w:tcPr>
            <w:tcW w:w="413" w:type="dxa"/>
            <w:vMerge w:val="continue"/>
            <w:tcBorders>
              <w:top w:val="single" w:color="000000" w:sz="6" w:space="0"/>
              <w:left w:val="single" w:color="000000" w:sz="12" w:space="0"/>
              <w:bottom w:val="single" w:color="000000" w:sz="6" w:space="0"/>
              <w:right w:val="single" w:color="000000" w:sz="6" w:space="0"/>
            </w:tcBorders>
            <w:vAlign w:val="center"/>
          </w:tcPr>
          <w:p w14:paraId="30388D91">
            <w:pPr>
              <w:widowControl/>
              <w:jc w:val="left"/>
              <w:rPr>
                <w:color w:val="auto"/>
                <w:sz w:val="18"/>
                <w:szCs w:val="22"/>
                <w:lang w:eastAsia="en-US" w:bidi="en-US"/>
              </w:rPr>
            </w:pPr>
          </w:p>
        </w:tc>
        <w:tc>
          <w:tcPr>
            <w:tcW w:w="1642" w:type="dxa"/>
            <w:tcBorders>
              <w:top w:val="single" w:color="000000" w:sz="4" w:space="0"/>
              <w:left w:val="single" w:color="000000" w:sz="6" w:space="0"/>
              <w:bottom w:val="single" w:color="000000" w:sz="6" w:space="0"/>
              <w:right w:val="single" w:color="000000" w:sz="6" w:space="0"/>
            </w:tcBorders>
            <w:vAlign w:val="center"/>
          </w:tcPr>
          <w:p w14:paraId="4512B2FB">
            <w:pPr>
              <w:autoSpaceDE w:val="0"/>
              <w:autoSpaceDN w:val="0"/>
              <w:ind w:right="83"/>
              <w:jc w:val="center"/>
              <w:rPr>
                <w:color w:val="auto"/>
                <w:sz w:val="18"/>
                <w:szCs w:val="22"/>
                <w:lang w:eastAsia="en-US" w:bidi="en-US"/>
              </w:rPr>
            </w:pPr>
            <w:r>
              <w:rPr>
                <w:color w:val="auto"/>
                <w:sz w:val="18"/>
                <w:szCs w:val="22"/>
                <w:lang w:eastAsia="en-US" w:bidi="en-US"/>
              </w:rPr>
              <w:t>信息公开指标</w:t>
            </w:r>
          </w:p>
        </w:tc>
        <w:tc>
          <w:tcPr>
            <w:tcW w:w="6294" w:type="dxa"/>
            <w:gridSpan w:val="7"/>
            <w:tcBorders>
              <w:top w:val="single" w:color="000000" w:sz="4" w:space="0"/>
              <w:left w:val="single" w:color="000000" w:sz="6" w:space="0"/>
              <w:bottom w:val="single" w:color="000000" w:sz="6" w:space="0"/>
              <w:right w:val="single" w:color="000000" w:sz="6" w:space="0"/>
            </w:tcBorders>
            <w:vAlign w:val="center"/>
          </w:tcPr>
          <w:p w14:paraId="6087C2A9">
            <w:pPr>
              <w:rPr>
                <w:color w:val="auto"/>
                <w:sz w:val="18"/>
                <w:szCs w:val="18"/>
              </w:rPr>
            </w:pPr>
            <w:r>
              <w:rPr>
                <w:color w:val="auto"/>
                <w:sz w:val="18"/>
                <w:szCs w:val="18"/>
              </w:rPr>
              <w:t>按照《企业事业单位环境信息公开办法》（环保部第31号令）等法律法规及技术规范要求执行</w:t>
            </w:r>
          </w:p>
        </w:tc>
        <w:tc>
          <w:tcPr>
            <w:tcW w:w="801" w:type="dxa"/>
            <w:vMerge w:val="continue"/>
            <w:tcBorders>
              <w:top w:val="single" w:color="000000" w:sz="6" w:space="0"/>
              <w:left w:val="single" w:color="000000" w:sz="6" w:space="0"/>
              <w:bottom w:val="single" w:color="000000" w:sz="6" w:space="0"/>
              <w:right w:val="single" w:color="000000" w:sz="12" w:space="0"/>
            </w:tcBorders>
            <w:vAlign w:val="center"/>
          </w:tcPr>
          <w:p w14:paraId="4F13F5DC">
            <w:pPr>
              <w:widowControl/>
              <w:jc w:val="left"/>
              <w:rPr>
                <w:color w:val="auto"/>
                <w:sz w:val="18"/>
                <w:szCs w:val="22"/>
                <w:lang w:bidi="en-US"/>
              </w:rPr>
            </w:pPr>
          </w:p>
        </w:tc>
      </w:tr>
      <w:tr w14:paraId="4DBC0F9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PrEx>
        <w:trPr>
          <w:trHeight w:val="310" w:hRule="atLeast"/>
          <w:jc w:val="center"/>
        </w:trPr>
        <w:tc>
          <w:tcPr>
            <w:tcW w:w="2055" w:type="dxa"/>
            <w:gridSpan w:val="2"/>
            <w:tcBorders>
              <w:top w:val="single" w:color="000000" w:sz="6" w:space="0"/>
              <w:left w:val="single" w:color="000000" w:sz="12" w:space="0"/>
              <w:bottom w:val="single" w:color="000000" w:sz="8" w:space="0"/>
              <w:right w:val="single" w:color="000000" w:sz="6" w:space="0"/>
            </w:tcBorders>
            <w:vAlign w:val="center"/>
          </w:tcPr>
          <w:p w14:paraId="038B082F">
            <w:pPr>
              <w:autoSpaceDE w:val="0"/>
              <w:autoSpaceDN w:val="0"/>
              <w:jc w:val="center"/>
              <w:rPr>
                <w:color w:val="auto"/>
                <w:sz w:val="18"/>
                <w:szCs w:val="22"/>
                <w:lang w:eastAsia="en-US" w:bidi="en-US"/>
              </w:rPr>
            </w:pPr>
            <w:r>
              <w:rPr>
                <w:color w:val="auto"/>
                <w:sz w:val="18"/>
                <w:szCs w:val="22"/>
                <w:lang w:eastAsia="en-US" w:bidi="en-US"/>
              </w:rPr>
              <w:t>评价结论</w:t>
            </w:r>
          </w:p>
        </w:tc>
        <w:tc>
          <w:tcPr>
            <w:tcW w:w="6294" w:type="dxa"/>
            <w:gridSpan w:val="7"/>
            <w:tcBorders>
              <w:top w:val="single" w:color="000000" w:sz="6" w:space="0"/>
              <w:left w:val="single" w:color="000000" w:sz="6" w:space="0"/>
              <w:bottom w:val="single" w:color="000000" w:sz="8" w:space="0"/>
              <w:right w:val="single" w:color="000000" w:sz="6" w:space="0"/>
            </w:tcBorders>
            <w:vAlign w:val="center"/>
          </w:tcPr>
          <w:p w14:paraId="4EB8D65B">
            <w:pPr>
              <w:autoSpaceDE w:val="0"/>
              <w:autoSpaceDN w:val="0"/>
              <w:jc w:val="center"/>
              <w:rPr>
                <w:color w:val="auto"/>
                <w:sz w:val="18"/>
                <w:szCs w:val="22"/>
                <w:lang w:bidi="en-US"/>
              </w:rPr>
            </w:pPr>
            <w:r>
              <w:rPr>
                <w:color w:val="auto"/>
                <w:sz w:val="18"/>
                <w:szCs w:val="22"/>
                <w:lang w:bidi="en-US"/>
              </w:rPr>
              <w:t>土壤环境影响可接受</w:t>
            </w:r>
          </w:p>
        </w:tc>
        <w:tc>
          <w:tcPr>
            <w:tcW w:w="801" w:type="dxa"/>
            <w:tcBorders>
              <w:top w:val="single" w:color="000000" w:sz="6" w:space="0"/>
              <w:left w:val="single" w:color="000000" w:sz="6" w:space="0"/>
              <w:bottom w:val="single" w:color="000000" w:sz="8" w:space="0"/>
              <w:right w:val="single" w:color="000000" w:sz="12" w:space="0"/>
            </w:tcBorders>
            <w:vAlign w:val="center"/>
          </w:tcPr>
          <w:p w14:paraId="3D27F3C1">
            <w:pPr>
              <w:autoSpaceDE w:val="0"/>
              <w:autoSpaceDN w:val="0"/>
              <w:jc w:val="center"/>
              <w:rPr>
                <w:color w:val="auto"/>
                <w:sz w:val="18"/>
                <w:szCs w:val="22"/>
                <w:lang w:eastAsia="en-US" w:bidi="en-US"/>
              </w:rPr>
            </w:pPr>
          </w:p>
        </w:tc>
      </w:tr>
      <w:tr w14:paraId="6F9D4ED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698" w:hRule="atLeast"/>
          <w:jc w:val="center"/>
        </w:trPr>
        <w:tc>
          <w:tcPr>
            <w:tcW w:w="9150" w:type="dxa"/>
            <w:gridSpan w:val="10"/>
            <w:tcBorders>
              <w:top w:val="single" w:color="000000" w:sz="8" w:space="0"/>
              <w:left w:val="single" w:color="000000" w:sz="12" w:space="0"/>
              <w:bottom w:val="single" w:color="000000" w:sz="12" w:space="0"/>
              <w:right w:val="single" w:color="000000" w:sz="12" w:space="0"/>
            </w:tcBorders>
            <w:vAlign w:val="center"/>
          </w:tcPr>
          <w:p w14:paraId="4DAB2D78">
            <w:pPr>
              <w:autoSpaceDE w:val="0"/>
              <w:autoSpaceDN w:val="0"/>
              <w:ind w:left="468"/>
              <w:rPr>
                <w:color w:val="auto"/>
                <w:sz w:val="18"/>
                <w:szCs w:val="22"/>
                <w:lang w:bidi="en-US"/>
              </w:rPr>
            </w:pPr>
            <w:r>
              <w:rPr>
                <w:color w:val="auto"/>
                <w:sz w:val="18"/>
                <w:szCs w:val="22"/>
                <w:lang w:bidi="en-US"/>
              </w:rPr>
              <w:t>注 1：“□”为勾选项，可√；“（ ）”为内容填写项；“备注”为其他补充内容。</w:t>
            </w:r>
          </w:p>
          <w:p w14:paraId="420056FB">
            <w:pPr>
              <w:autoSpaceDE w:val="0"/>
              <w:autoSpaceDN w:val="0"/>
              <w:ind w:left="468"/>
              <w:rPr>
                <w:color w:val="auto"/>
                <w:sz w:val="18"/>
                <w:szCs w:val="22"/>
                <w:lang w:bidi="en-US"/>
              </w:rPr>
            </w:pPr>
            <w:r>
              <w:rPr>
                <w:color w:val="auto"/>
                <w:sz w:val="18"/>
                <w:szCs w:val="22"/>
                <w:lang w:bidi="en-US"/>
              </w:rPr>
              <w:t>注 2：需要分别开展土壤环境影响评级工作的，分别填写自查表。</w:t>
            </w:r>
          </w:p>
        </w:tc>
      </w:tr>
    </w:tbl>
    <w:p w14:paraId="6DDC34A4">
      <w:pPr>
        <w:jc w:val="center"/>
        <w:rPr>
          <w:b/>
          <w:color w:val="auto"/>
          <w:sz w:val="24"/>
        </w:rPr>
      </w:pPr>
    </w:p>
    <w:p w14:paraId="188701A0">
      <w:pPr>
        <w:pStyle w:val="18"/>
        <w:rPr>
          <w:color w:val="auto"/>
        </w:rPr>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pPr>
    </w:p>
    <w:p w14:paraId="5ADB1E39">
      <w:pPr>
        <w:keepNext/>
        <w:keepLines/>
        <w:adjustRightInd w:val="0"/>
        <w:snapToGrid w:val="0"/>
        <w:spacing w:line="500" w:lineRule="exact"/>
        <w:outlineLvl w:val="1"/>
        <w:rPr>
          <w:rFonts w:eastAsia="黑体"/>
          <w:bCs/>
          <w:snapToGrid w:val="0"/>
          <w:color w:val="auto"/>
          <w:kern w:val="0"/>
          <w:sz w:val="28"/>
          <w:szCs w:val="32"/>
        </w:rPr>
      </w:pPr>
      <w:bookmarkStart w:id="267" w:name="_Toc140149470"/>
      <w:bookmarkStart w:id="268" w:name="_Toc12914"/>
      <w:bookmarkStart w:id="269" w:name="_Toc149054247"/>
      <w:r>
        <w:rPr>
          <w:rFonts w:eastAsia="黑体"/>
          <w:bCs/>
          <w:snapToGrid w:val="0"/>
          <w:color w:val="auto"/>
          <w:kern w:val="0"/>
          <w:sz w:val="28"/>
          <w:szCs w:val="32"/>
        </w:rPr>
        <w:t>附表</w:t>
      </w:r>
      <w:r>
        <w:rPr>
          <w:rFonts w:hint="eastAsia" w:eastAsia="黑体"/>
          <w:bCs/>
          <w:snapToGrid w:val="0"/>
          <w:color w:val="auto"/>
          <w:kern w:val="0"/>
          <w:sz w:val="28"/>
          <w:szCs w:val="32"/>
        </w:rPr>
        <w:t>5</w:t>
      </w:r>
      <w:r>
        <w:rPr>
          <w:rFonts w:eastAsia="黑体"/>
          <w:bCs/>
          <w:snapToGrid w:val="0"/>
          <w:color w:val="auto"/>
          <w:kern w:val="0"/>
          <w:sz w:val="28"/>
          <w:szCs w:val="32"/>
        </w:rPr>
        <w:t>声环境影响评价自查表</w:t>
      </w:r>
      <w:bookmarkEnd w:id="267"/>
      <w:bookmarkEnd w:id="268"/>
      <w:bookmarkEnd w:id="269"/>
    </w:p>
    <w:tbl>
      <w:tblPr>
        <w:tblStyle w:val="761"/>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82"/>
        <w:gridCol w:w="1352"/>
        <w:gridCol w:w="904"/>
        <w:gridCol w:w="434"/>
        <w:gridCol w:w="53"/>
        <w:gridCol w:w="463"/>
        <w:gridCol w:w="914"/>
        <w:gridCol w:w="20"/>
        <w:gridCol w:w="500"/>
        <w:gridCol w:w="382"/>
        <w:gridCol w:w="480"/>
        <w:gridCol w:w="570"/>
        <w:gridCol w:w="1052"/>
      </w:tblGrid>
      <w:tr w14:paraId="2A1E76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526" w:type="pct"/>
            <w:gridSpan w:val="2"/>
            <w:vAlign w:val="center"/>
          </w:tcPr>
          <w:p w14:paraId="184DC4BC">
            <w:pPr>
              <w:jc w:val="center"/>
              <w:rPr>
                <w:rFonts w:ascii="Times New Roman" w:hAnsi="Times New Roman"/>
                <w:color w:val="auto"/>
              </w:rPr>
            </w:pPr>
            <w:r>
              <w:rPr>
                <w:rFonts w:ascii="Times New Roman" w:hAnsi="Times New Roman"/>
                <w:color w:val="auto"/>
              </w:rPr>
              <w:t>工作内容</w:t>
            </w:r>
          </w:p>
        </w:tc>
        <w:tc>
          <w:tcPr>
            <w:tcW w:w="3473" w:type="pct"/>
            <w:gridSpan w:val="11"/>
            <w:vAlign w:val="center"/>
          </w:tcPr>
          <w:p w14:paraId="0BFD2C9F">
            <w:pPr>
              <w:jc w:val="center"/>
              <w:rPr>
                <w:rFonts w:ascii="Times New Roman" w:hAnsi="Times New Roman"/>
                <w:color w:val="auto"/>
              </w:rPr>
            </w:pPr>
            <w:r>
              <w:rPr>
                <w:rFonts w:ascii="Times New Roman" w:hAnsi="Times New Roman"/>
                <w:color w:val="auto"/>
              </w:rPr>
              <w:t>自查项目</w:t>
            </w:r>
          </w:p>
        </w:tc>
      </w:tr>
      <w:tr w14:paraId="13AA4D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restart"/>
            <w:vAlign w:val="center"/>
          </w:tcPr>
          <w:p w14:paraId="2A09F6D0">
            <w:pPr>
              <w:jc w:val="center"/>
              <w:rPr>
                <w:rFonts w:ascii="Times New Roman" w:hAnsi="Times New Roman"/>
                <w:color w:val="auto"/>
              </w:rPr>
            </w:pPr>
            <w:r>
              <w:rPr>
                <w:rFonts w:ascii="Times New Roman" w:hAnsi="Times New Roman"/>
                <w:color w:val="auto"/>
              </w:rPr>
              <w:t>评价等级与范围</w:t>
            </w:r>
          </w:p>
        </w:tc>
        <w:tc>
          <w:tcPr>
            <w:tcW w:w="814" w:type="pct"/>
            <w:vAlign w:val="center"/>
          </w:tcPr>
          <w:p w14:paraId="7E18FDAC">
            <w:pPr>
              <w:jc w:val="center"/>
              <w:rPr>
                <w:rFonts w:ascii="Times New Roman" w:hAnsi="Times New Roman"/>
                <w:color w:val="auto"/>
              </w:rPr>
            </w:pPr>
            <w:r>
              <w:rPr>
                <w:rFonts w:ascii="Times New Roman" w:hAnsi="Times New Roman"/>
                <w:color w:val="auto"/>
              </w:rPr>
              <w:t>评价等级</w:t>
            </w:r>
          </w:p>
        </w:tc>
        <w:tc>
          <w:tcPr>
            <w:tcW w:w="3473" w:type="pct"/>
            <w:gridSpan w:val="11"/>
            <w:vAlign w:val="center"/>
          </w:tcPr>
          <w:p w14:paraId="2CC884C0">
            <w:pPr>
              <w:rPr>
                <w:rFonts w:ascii="Times New Roman" w:hAnsi="Times New Roman"/>
                <w:color w:val="auto"/>
              </w:rPr>
            </w:pPr>
            <w:r>
              <w:rPr>
                <w:rFonts w:ascii="Times New Roman" w:hAnsi="Times New Roman"/>
                <w:color w:val="auto"/>
              </w:rPr>
              <w:t>一级□            二级</w:t>
            </w:r>
            <w:r>
              <w:rPr>
                <w:rFonts w:ascii="Times New Roman" w:hAnsi="Times New Roman"/>
                <w:color w:val="auto"/>
              </w:rPr>
              <w:sym w:font="Wingdings 2" w:char="0052"/>
            </w:r>
            <w:r>
              <w:rPr>
                <w:rFonts w:ascii="Times New Roman" w:hAnsi="Times New Roman"/>
                <w:color w:val="auto"/>
              </w:rPr>
              <w:t xml:space="preserve">                三级</w:t>
            </w:r>
            <w:r>
              <w:rPr>
                <w:rFonts w:ascii="Times New Roman" w:hAnsi="Times New Roman"/>
                <w:color w:val="auto"/>
              </w:rPr>
              <w:sym w:font="Wingdings 2" w:char="00A3"/>
            </w:r>
          </w:p>
        </w:tc>
      </w:tr>
      <w:tr w14:paraId="179CD81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664F6751">
            <w:pPr>
              <w:jc w:val="center"/>
              <w:rPr>
                <w:rFonts w:ascii="Times New Roman" w:hAnsi="Times New Roman"/>
                <w:color w:val="auto"/>
              </w:rPr>
            </w:pPr>
          </w:p>
        </w:tc>
        <w:tc>
          <w:tcPr>
            <w:tcW w:w="814" w:type="pct"/>
            <w:vAlign w:val="center"/>
          </w:tcPr>
          <w:p w14:paraId="1DB587FA">
            <w:pPr>
              <w:jc w:val="center"/>
              <w:rPr>
                <w:rFonts w:ascii="Times New Roman" w:hAnsi="Times New Roman"/>
                <w:color w:val="auto"/>
              </w:rPr>
            </w:pPr>
            <w:r>
              <w:rPr>
                <w:rFonts w:ascii="Times New Roman" w:hAnsi="Times New Roman"/>
                <w:color w:val="auto"/>
              </w:rPr>
              <w:t>评价范围</w:t>
            </w:r>
          </w:p>
        </w:tc>
        <w:tc>
          <w:tcPr>
            <w:tcW w:w="3473" w:type="pct"/>
            <w:gridSpan w:val="11"/>
            <w:vAlign w:val="center"/>
          </w:tcPr>
          <w:p w14:paraId="174DC232">
            <w:pPr>
              <w:rPr>
                <w:rFonts w:ascii="Times New Roman" w:hAnsi="Times New Roman"/>
                <w:color w:val="auto"/>
              </w:rPr>
            </w:pPr>
            <w:r>
              <w:rPr>
                <w:rFonts w:ascii="Times New Roman" w:hAnsi="Times New Roman"/>
                <w:color w:val="auto"/>
              </w:rPr>
              <w:t>200m</w:t>
            </w:r>
            <w:r>
              <w:rPr>
                <w:rFonts w:ascii="Times New Roman" w:hAnsi="Times New Roman"/>
                <w:color w:val="auto"/>
              </w:rPr>
              <w:sym w:font="Wingdings 2" w:char="0052"/>
            </w:r>
            <w:r>
              <w:rPr>
                <w:rFonts w:ascii="Times New Roman" w:hAnsi="Times New Roman"/>
                <w:color w:val="auto"/>
              </w:rPr>
              <w:t xml:space="preserve">           大于200m</w:t>
            </w:r>
            <w:r>
              <w:rPr>
                <w:rFonts w:ascii="Times New Roman" w:hAnsi="Times New Roman"/>
                <w:color w:val="auto"/>
              </w:rPr>
              <w:sym w:font="Wingdings 2" w:char="00A3"/>
            </w:r>
            <w:r>
              <w:rPr>
                <w:rFonts w:ascii="Times New Roman" w:hAnsi="Times New Roman"/>
                <w:color w:val="auto"/>
              </w:rPr>
              <w:t xml:space="preserve">             小于200m□</w:t>
            </w:r>
          </w:p>
        </w:tc>
      </w:tr>
      <w:tr w14:paraId="69D4B3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Align w:val="center"/>
          </w:tcPr>
          <w:p w14:paraId="3E2CCF41">
            <w:pPr>
              <w:jc w:val="center"/>
              <w:rPr>
                <w:rFonts w:ascii="Times New Roman" w:hAnsi="Times New Roman"/>
                <w:color w:val="auto"/>
              </w:rPr>
            </w:pPr>
            <w:r>
              <w:rPr>
                <w:rFonts w:ascii="Times New Roman" w:hAnsi="Times New Roman"/>
                <w:color w:val="auto"/>
              </w:rPr>
              <w:t>评价因子</w:t>
            </w:r>
          </w:p>
        </w:tc>
        <w:tc>
          <w:tcPr>
            <w:tcW w:w="814" w:type="pct"/>
            <w:vAlign w:val="center"/>
          </w:tcPr>
          <w:p w14:paraId="68E40D9E">
            <w:pPr>
              <w:jc w:val="center"/>
              <w:rPr>
                <w:rFonts w:ascii="Times New Roman" w:hAnsi="Times New Roman"/>
                <w:color w:val="auto"/>
              </w:rPr>
            </w:pPr>
            <w:r>
              <w:rPr>
                <w:rFonts w:ascii="Times New Roman" w:hAnsi="Times New Roman"/>
                <w:color w:val="auto"/>
              </w:rPr>
              <w:t>评价因子</w:t>
            </w:r>
          </w:p>
        </w:tc>
        <w:tc>
          <w:tcPr>
            <w:tcW w:w="3473" w:type="pct"/>
            <w:gridSpan w:val="11"/>
            <w:vAlign w:val="center"/>
          </w:tcPr>
          <w:p w14:paraId="4F41ACFA">
            <w:pPr>
              <w:rPr>
                <w:rFonts w:ascii="Times New Roman" w:hAnsi="Times New Roman"/>
                <w:color w:val="auto"/>
              </w:rPr>
            </w:pPr>
            <w:r>
              <w:rPr>
                <w:rFonts w:ascii="Times New Roman" w:hAnsi="Times New Roman"/>
                <w:color w:val="auto"/>
              </w:rPr>
              <w:t>等效连续A声级</w:t>
            </w:r>
            <w:r>
              <w:rPr>
                <w:rFonts w:ascii="Times New Roman" w:hAnsi="Times New Roman"/>
                <w:color w:val="auto"/>
              </w:rPr>
              <w:sym w:font="Wingdings 2" w:char="0052"/>
            </w:r>
            <w:r>
              <w:rPr>
                <w:rFonts w:ascii="Times New Roman" w:hAnsi="Times New Roman"/>
                <w:color w:val="auto"/>
              </w:rPr>
              <w:t xml:space="preserve">   最大A声级□  计权等效连续感觉噪声级□</w:t>
            </w:r>
          </w:p>
        </w:tc>
      </w:tr>
      <w:tr w14:paraId="251882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Align w:val="center"/>
          </w:tcPr>
          <w:p w14:paraId="15E5510E">
            <w:pPr>
              <w:jc w:val="center"/>
              <w:rPr>
                <w:rFonts w:ascii="Times New Roman" w:hAnsi="Times New Roman"/>
                <w:color w:val="auto"/>
              </w:rPr>
            </w:pPr>
            <w:r>
              <w:rPr>
                <w:rFonts w:ascii="Times New Roman" w:hAnsi="Times New Roman"/>
                <w:color w:val="auto"/>
              </w:rPr>
              <w:t>评价标准</w:t>
            </w:r>
          </w:p>
        </w:tc>
        <w:tc>
          <w:tcPr>
            <w:tcW w:w="814" w:type="pct"/>
            <w:vAlign w:val="center"/>
          </w:tcPr>
          <w:p w14:paraId="6F7EE859">
            <w:pPr>
              <w:jc w:val="center"/>
              <w:rPr>
                <w:rFonts w:ascii="Times New Roman" w:hAnsi="Times New Roman"/>
                <w:color w:val="auto"/>
              </w:rPr>
            </w:pPr>
            <w:r>
              <w:rPr>
                <w:rFonts w:ascii="Times New Roman" w:hAnsi="Times New Roman"/>
                <w:color w:val="auto"/>
              </w:rPr>
              <w:t>评价标准</w:t>
            </w:r>
          </w:p>
        </w:tc>
        <w:tc>
          <w:tcPr>
            <w:tcW w:w="3473" w:type="pct"/>
            <w:gridSpan w:val="11"/>
            <w:vAlign w:val="center"/>
          </w:tcPr>
          <w:p w14:paraId="2DA28FD5">
            <w:pPr>
              <w:rPr>
                <w:rFonts w:ascii="Times New Roman" w:hAnsi="Times New Roman"/>
                <w:color w:val="auto"/>
              </w:rPr>
            </w:pPr>
            <w:r>
              <w:rPr>
                <w:rFonts w:ascii="Times New Roman" w:hAnsi="Times New Roman"/>
                <w:color w:val="auto"/>
              </w:rPr>
              <w:t>国家标准</w:t>
            </w:r>
            <w:r>
              <w:rPr>
                <w:rFonts w:ascii="Times New Roman" w:hAnsi="Times New Roman"/>
                <w:color w:val="auto"/>
              </w:rPr>
              <w:sym w:font="Wingdings 2" w:char="0052"/>
            </w:r>
            <w:r>
              <w:rPr>
                <w:rFonts w:ascii="Times New Roman" w:hAnsi="Times New Roman"/>
                <w:color w:val="auto"/>
              </w:rPr>
              <w:t xml:space="preserve">       地方标准□             国外标准□</w:t>
            </w:r>
          </w:p>
        </w:tc>
      </w:tr>
      <w:tr w14:paraId="7F77DD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restart"/>
            <w:vAlign w:val="center"/>
          </w:tcPr>
          <w:p w14:paraId="5F76A560">
            <w:pPr>
              <w:jc w:val="center"/>
              <w:rPr>
                <w:rFonts w:ascii="Times New Roman" w:hAnsi="Times New Roman"/>
                <w:color w:val="auto"/>
              </w:rPr>
            </w:pPr>
            <w:r>
              <w:rPr>
                <w:rFonts w:ascii="Times New Roman" w:hAnsi="Times New Roman"/>
                <w:color w:val="auto"/>
              </w:rPr>
              <w:t>现状评价</w:t>
            </w:r>
          </w:p>
        </w:tc>
        <w:tc>
          <w:tcPr>
            <w:tcW w:w="814" w:type="pct"/>
            <w:vAlign w:val="center"/>
          </w:tcPr>
          <w:p w14:paraId="40BB4BBD">
            <w:pPr>
              <w:jc w:val="center"/>
              <w:rPr>
                <w:rFonts w:ascii="Times New Roman" w:hAnsi="Times New Roman"/>
                <w:color w:val="auto"/>
              </w:rPr>
            </w:pPr>
            <w:r>
              <w:rPr>
                <w:rFonts w:ascii="Times New Roman" w:hAnsi="Times New Roman"/>
                <w:color w:val="auto"/>
              </w:rPr>
              <w:t>环境功能区</w:t>
            </w:r>
          </w:p>
        </w:tc>
        <w:tc>
          <w:tcPr>
            <w:tcW w:w="544" w:type="pct"/>
            <w:vAlign w:val="center"/>
          </w:tcPr>
          <w:p w14:paraId="36009FF1">
            <w:pPr>
              <w:rPr>
                <w:rFonts w:ascii="Times New Roman" w:hAnsi="Times New Roman"/>
                <w:color w:val="auto"/>
              </w:rPr>
            </w:pPr>
            <w:r>
              <w:rPr>
                <w:rFonts w:ascii="Times New Roman" w:hAnsi="Times New Roman"/>
                <w:color w:val="auto"/>
              </w:rPr>
              <w:t>0类区</w:t>
            </w:r>
            <w:r>
              <w:rPr>
                <w:rFonts w:ascii="Times New Roman" w:hAnsi="Times New Roman"/>
                <w:color w:val="auto"/>
              </w:rPr>
              <w:sym w:font="Wingdings 2" w:char="00A3"/>
            </w:r>
          </w:p>
        </w:tc>
        <w:tc>
          <w:tcPr>
            <w:tcW w:w="572" w:type="pct"/>
            <w:gridSpan w:val="3"/>
            <w:vAlign w:val="center"/>
          </w:tcPr>
          <w:p w14:paraId="512F8AA9">
            <w:pPr>
              <w:rPr>
                <w:rFonts w:ascii="Times New Roman" w:hAnsi="Times New Roman"/>
                <w:color w:val="auto"/>
              </w:rPr>
            </w:pPr>
            <w:r>
              <w:rPr>
                <w:rFonts w:ascii="Times New Roman" w:hAnsi="Times New Roman"/>
                <w:color w:val="auto"/>
              </w:rPr>
              <w:t>1类区</w:t>
            </w:r>
            <w:r>
              <w:rPr>
                <w:rFonts w:ascii="Times New Roman" w:hAnsi="Times New Roman"/>
                <w:color w:val="auto"/>
              </w:rPr>
              <w:sym w:font="Wingdings 2" w:char="00A3"/>
            </w:r>
          </w:p>
        </w:tc>
        <w:tc>
          <w:tcPr>
            <w:tcW w:w="550" w:type="pct"/>
            <w:vAlign w:val="center"/>
          </w:tcPr>
          <w:p w14:paraId="08E4D0D3">
            <w:pPr>
              <w:rPr>
                <w:rFonts w:ascii="Times New Roman" w:hAnsi="Times New Roman"/>
                <w:color w:val="auto"/>
              </w:rPr>
            </w:pPr>
            <w:r>
              <w:rPr>
                <w:rFonts w:ascii="Times New Roman" w:hAnsi="Times New Roman"/>
                <w:color w:val="auto"/>
              </w:rPr>
              <w:t>2类区</w:t>
            </w:r>
            <w:r>
              <w:rPr>
                <w:rFonts w:ascii="Times New Roman" w:hAnsi="Times New Roman"/>
                <w:color w:val="auto"/>
              </w:rPr>
              <w:sym w:font="Wingdings 2" w:char="0052"/>
            </w:r>
          </w:p>
        </w:tc>
        <w:tc>
          <w:tcPr>
            <w:tcW w:w="543" w:type="pct"/>
            <w:gridSpan w:val="3"/>
            <w:vAlign w:val="center"/>
          </w:tcPr>
          <w:p w14:paraId="388DAA19">
            <w:pPr>
              <w:rPr>
                <w:rFonts w:ascii="Times New Roman" w:hAnsi="Times New Roman"/>
                <w:color w:val="auto"/>
              </w:rPr>
            </w:pPr>
            <w:r>
              <w:rPr>
                <w:rFonts w:ascii="Times New Roman" w:hAnsi="Times New Roman"/>
                <w:color w:val="auto"/>
              </w:rPr>
              <w:t>3类区</w:t>
            </w:r>
            <w:r>
              <w:rPr>
                <w:rFonts w:ascii="Times New Roman" w:hAnsi="Times New Roman"/>
                <w:color w:val="auto"/>
              </w:rPr>
              <w:sym w:font="Wingdings 2" w:char="00A3"/>
            </w:r>
          </w:p>
        </w:tc>
        <w:tc>
          <w:tcPr>
            <w:tcW w:w="632" w:type="pct"/>
            <w:gridSpan w:val="2"/>
            <w:vAlign w:val="center"/>
          </w:tcPr>
          <w:p w14:paraId="0177E745">
            <w:pPr>
              <w:rPr>
                <w:rFonts w:ascii="Times New Roman" w:hAnsi="Times New Roman"/>
                <w:color w:val="auto"/>
              </w:rPr>
            </w:pPr>
            <w:r>
              <w:rPr>
                <w:rFonts w:ascii="Times New Roman" w:hAnsi="Times New Roman"/>
                <w:color w:val="auto"/>
              </w:rPr>
              <w:t>4a类区</w:t>
            </w:r>
            <w:r>
              <w:rPr>
                <w:rFonts w:ascii="Times New Roman" w:hAnsi="Times New Roman"/>
                <w:color w:val="auto"/>
              </w:rPr>
              <w:sym w:font="Wingdings 2" w:char="00A3"/>
            </w:r>
          </w:p>
        </w:tc>
        <w:tc>
          <w:tcPr>
            <w:tcW w:w="629" w:type="pct"/>
            <w:vAlign w:val="center"/>
          </w:tcPr>
          <w:p w14:paraId="240C855B">
            <w:pPr>
              <w:rPr>
                <w:rFonts w:ascii="Times New Roman" w:hAnsi="Times New Roman"/>
                <w:color w:val="auto"/>
              </w:rPr>
            </w:pPr>
            <w:r>
              <w:rPr>
                <w:rFonts w:ascii="Times New Roman" w:hAnsi="Times New Roman"/>
                <w:color w:val="auto"/>
              </w:rPr>
              <w:t>4b类区</w:t>
            </w:r>
            <w:r>
              <w:rPr>
                <w:rFonts w:ascii="Times New Roman" w:hAnsi="Times New Roman"/>
                <w:color w:val="auto"/>
              </w:rPr>
              <w:sym w:font="Wingdings 2" w:char="00A3"/>
            </w:r>
          </w:p>
        </w:tc>
      </w:tr>
      <w:tr w14:paraId="57AC52C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6315BC02">
            <w:pPr>
              <w:rPr>
                <w:rFonts w:ascii="Times New Roman" w:hAnsi="Times New Roman"/>
                <w:color w:val="auto"/>
              </w:rPr>
            </w:pPr>
          </w:p>
        </w:tc>
        <w:tc>
          <w:tcPr>
            <w:tcW w:w="814" w:type="pct"/>
            <w:vAlign w:val="center"/>
          </w:tcPr>
          <w:p w14:paraId="02A90AF0">
            <w:pPr>
              <w:jc w:val="center"/>
              <w:rPr>
                <w:rFonts w:ascii="Times New Roman" w:hAnsi="Times New Roman"/>
                <w:color w:val="auto"/>
              </w:rPr>
            </w:pPr>
            <w:r>
              <w:rPr>
                <w:rFonts w:ascii="Times New Roman" w:hAnsi="Times New Roman"/>
                <w:color w:val="auto"/>
              </w:rPr>
              <w:t>评价年度</w:t>
            </w:r>
          </w:p>
        </w:tc>
        <w:tc>
          <w:tcPr>
            <w:tcW w:w="803" w:type="pct"/>
            <w:gridSpan w:val="2"/>
            <w:vAlign w:val="center"/>
          </w:tcPr>
          <w:p w14:paraId="5A2D8E65">
            <w:pPr>
              <w:rPr>
                <w:rFonts w:ascii="Times New Roman" w:hAnsi="Times New Roman"/>
                <w:color w:val="auto"/>
              </w:rPr>
            </w:pPr>
            <w:r>
              <w:rPr>
                <w:rFonts w:ascii="Times New Roman" w:hAnsi="Times New Roman"/>
                <w:color w:val="auto"/>
              </w:rPr>
              <w:t>初期</w:t>
            </w:r>
            <w:r>
              <w:rPr>
                <w:rFonts w:ascii="Times New Roman" w:hAnsi="Times New Roman"/>
                <w:color w:val="auto"/>
              </w:rPr>
              <w:sym w:font="Wingdings 2" w:char="0052"/>
            </w:r>
          </w:p>
        </w:tc>
        <w:tc>
          <w:tcPr>
            <w:tcW w:w="873" w:type="pct"/>
            <w:gridSpan w:val="4"/>
            <w:vAlign w:val="center"/>
          </w:tcPr>
          <w:p w14:paraId="3CAC93A7">
            <w:pPr>
              <w:rPr>
                <w:rFonts w:ascii="Times New Roman" w:hAnsi="Times New Roman"/>
                <w:color w:val="auto"/>
              </w:rPr>
            </w:pPr>
            <w:r>
              <w:rPr>
                <w:rFonts w:ascii="Times New Roman" w:hAnsi="Times New Roman"/>
                <w:color w:val="auto"/>
              </w:rPr>
              <w:t>近期</w:t>
            </w:r>
            <w:r>
              <w:rPr>
                <w:rFonts w:ascii="Times New Roman" w:hAnsi="Times New Roman"/>
                <w:color w:val="auto"/>
              </w:rPr>
              <w:sym w:font="Wingdings 2" w:char="00A3"/>
            </w:r>
          </w:p>
        </w:tc>
        <w:tc>
          <w:tcPr>
            <w:tcW w:w="820" w:type="pct"/>
            <w:gridSpan w:val="3"/>
            <w:vAlign w:val="center"/>
          </w:tcPr>
          <w:p w14:paraId="12C6F4A2">
            <w:pPr>
              <w:rPr>
                <w:rFonts w:ascii="Times New Roman" w:hAnsi="Times New Roman"/>
                <w:color w:val="auto"/>
              </w:rPr>
            </w:pPr>
            <w:r>
              <w:rPr>
                <w:rFonts w:ascii="Times New Roman" w:hAnsi="Times New Roman"/>
                <w:color w:val="auto"/>
              </w:rPr>
              <w:t>中期</w:t>
            </w:r>
            <w:r>
              <w:rPr>
                <w:rFonts w:ascii="Times New Roman" w:hAnsi="Times New Roman"/>
                <w:color w:val="auto"/>
              </w:rPr>
              <w:sym w:font="Wingdings 2" w:char="00A3"/>
            </w:r>
          </w:p>
        </w:tc>
        <w:tc>
          <w:tcPr>
            <w:tcW w:w="975" w:type="pct"/>
            <w:gridSpan w:val="2"/>
            <w:vAlign w:val="center"/>
          </w:tcPr>
          <w:p w14:paraId="43D7A792">
            <w:pPr>
              <w:rPr>
                <w:rFonts w:ascii="Times New Roman" w:hAnsi="Times New Roman"/>
                <w:color w:val="auto"/>
              </w:rPr>
            </w:pPr>
            <w:r>
              <w:rPr>
                <w:rFonts w:ascii="Times New Roman" w:hAnsi="Times New Roman"/>
                <w:color w:val="auto"/>
              </w:rPr>
              <w:t>远期</w:t>
            </w:r>
            <w:r>
              <w:rPr>
                <w:rFonts w:ascii="Times New Roman" w:hAnsi="Times New Roman"/>
                <w:color w:val="auto"/>
              </w:rPr>
              <w:sym w:font="Wingdings 2" w:char="00A3"/>
            </w:r>
          </w:p>
        </w:tc>
      </w:tr>
      <w:tr w14:paraId="23000F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1A74A7E7">
            <w:pPr>
              <w:rPr>
                <w:rFonts w:ascii="Times New Roman" w:hAnsi="Times New Roman"/>
                <w:color w:val="auto"/>
              </w:rPr>
            </w:pPr>
          </w:p>
        </w:tc>
        <w:tc>
          <w:tcPr>
            <w:tcW w:w="814" w:type="pct"/>
            <w:vAlign w:val="center"/>
          </w:tcPr>
          <w:p w14:paraId="36560E8D">
            <w:pPr>
              <w:jc w:val="center"/>
              <w:rPr>
                <w:rFonts w:ascii="Times New Roman" w:hAnsi="Times New Roman"/>
                <w:color w:val="auto"/>
              </w:rPr>
            </w:pPr>
            <w:r>
              <w:rPr>
                <w:rFonts w:ascii="Times New Roman" w:hAnsi="Times New Roman"/>
                <w:color w:val="auto"/>
              </w:rPr>
              <w:t>现状调查方法</w:t>
            </w:r>
          </w:p>
        </w:tc>
        <w:tc>
          <w:tcPr>
            <w:tcW w:w="805" w:type="pct"/>
            <w:gridSpan w:val="2"/>
            <w:vAlign w:val="center"/>
          </w:tcPr>
          <w:p w14:paraId="5A25E2BA">
            <w:pPr>
              <w:rPr>
                <w:rFonts w:ascii="Times New Roman" w:hAnsi="Times New Roman"/>
                <w:color w:val="auto"/>
              </w:rPr>
            </w:pPr>
            <w:r>
              <w:rPr>
                <w:rFonts w:ascii="Times New Roman" w:hAnsi="Times New Roman"/>
                <w:color w:val="auto"/>
              </w:rPr>
              <w:t>现场实测法</w:t>
            </w:r>
            <w:r>
              <w:rPr>
                <w:rFonts w:ascii="Times New Roman" w:hAnsi="Times New Roman"/>
                <w:color w:val="auto"/>
              </w:rPr>
              <w:sym w:font="Wingdings 2" w:char="0052"/>
            </w:r>
          </w:p>
        </w:tc>
        <w:tc>
          <w:tcPr>
            <w:tcW w:w="1692" w:type="pct"/>
            <w:gridSpan w:val="7"/>
            <w:vAlign w:val="center"/>
          </w:tcPr>
          <w:p w14:paraId="1F2D9C4B">
            <w:pPr>
              <w:rPr>
                <w:rFonts w:ascii="Times New Roman" w:hAnsi="Times New Roman"/>
                <w:color w:val="auto"/>
              </w:rPr>
            </w:pPr>
            <w:r>
              <w:rPr>
                <w:rFonts w:ascii="Times New Roman" w:hAnsi="Times New Roman"/>
                <w:color w:val="auto"/>
              </w:rPr>
              <w:t>现场实测加模型计算法</w:t>
            </w:r>
            <w:r>
              <w:rPr>
                <w:rFonts w:ascii="Times New Roman" w:hAnsi="Times New Roman"/>
                <w:color w:val="auto"/>
              </w:rPr>
              <w:sym w:font="Wingdings 2" w:char="00A3"/>
            </w:r>
          </w:p>
        </w:tc>
        <w:tc>
          <w:tcPr>
            <w:tcW w:w="975" w:type="pct"/>
            <w:gridSpan w:val="2"/>
            <w:vAlign w:val="center"/>
          </w:tcPr>
          <w:p w14:paraId="3B737533">
            <w:pPr>
              <w:rPr>
                <w:rFonts w:ascii="Times New Roman" w:hAnsi="Times New Roman"/>
                <w:color w:val="auto"/>
              </w:rPr>
            </w:pPr>
            <w:r>
              <w:rPr>
                <w:rFonts w:ascii="Times New Roman" w:hAnsi="Times New Roman"/>
                <w:color w:val="auto"/>
              </w:rPr>
              <w:t>收集资料</w:t>
            </w:r>
            <w:r>
              <w:rPr>
                <w:rFonts w:ascii="Times New Roman" w:hAnsi="Times New Roman"/>
                <w:color w:val="auto"/>
              </w:rPr>
              <w:sym w:font="Wingdings 2" w:char="00A3"/>
            </w:r>
          </w:p>
        </w:tc>
      </w:tr>
      <w:tr w14:paraId="235254A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71F66B62">
            <w:pPr>
              <w:rPr>
                <w:rFonts w:ascii="Times New Roman" w:hAnsi="Times New Roman"/>
                <w:color w:val="auto"/>
              </w:rPr>
            </w:pPr>
          </w:p>
        </w:tc>
        <w:tc>
          <w:tcPr>
            <w:tcW w:w="814" w:type="pct"/>
            <w:vAlign w:val="center"/>
          </w:tcPr>
          <w:p w14:paraId="7A61356F">
            <w:pPr>
              <w:jc w:val="center"/>
              <w:rPr>
                <w:rFonts w:ascii="Times New Roman" w:hAnsi="Times New Roman"/>
                <w:color w:val="auto"/>
              </w:rPr>
            </w:pPr>
            <w:r>
              <w:rPr>
                <w:rFonts w:ascii="Times New Roman" w:hAnsi="Times New Roman"/>
                <w:color w:val="auto"/>
              </w:rPr>
              <w:t>现状评价</w:t>
            </w:r>
          </w:p>
        </w:tc>
        <w:tc>
          <w:tcPr>
            <w:tcW w:w="3473" w:type="pct"/>
            <w:gridSpan w:val="11"/>
            <w:vAlign w:val="center"/>
          </w:tcPr>
          <w:p w14:paraId="584AB36E">
            <w:pPr>
              <w:rPr>
                <w:rFonts w:ascii="Times New Roman" w:hAnsi="Times New Roman"/>
                <w:color w:val="auto"/>
              </w:rPr>
            </w:pPr>
            <w:r>
              <w:rPr>
                <w:rFonts w:ascii="Times New Roman" w:hAnsi="Times New Roman"/>
                <w:color w:val="auto"/>
              </w:rPr>
              <w:t>达标百分比</w:t>
            </w:r>
          </w:p>
        </w:tc>
      </w:tr>
      <w:tr w14:paraId="26FE6C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Align w:val="center"/>
          </w:tcPr>
          <w:p w14:paraId="63B8D38C">
            <w:pPr>
              <w:rPr>
                <w:rFonts w:ascii="Times New Roman" w:hAnsi="Times New Roman"/>
                <w:color w:val="auto"/>
              </w:rPr>
            </w:pPr>
            <w:r>
              <w:rPr>
                <w:rFonts w:ascii="Times New Roman" w:hAnsi="Times New Roman"/>
                <w:color w:val="auto"/>
              </w:rPr>
              <w:t>噪声源调查</w:t>
            </w:r>
          </w:p>
        </w:tc>
        <w:tc>
          <w:tcPr>
            <w:tcW w:w="814" w:type="pct"/>
            <w:vAlign w:val="center"/>
          </w:tcPr>
          <w:p w14:paraId="0C5C263A">
            <w:pPr>
              <w:jc w:val="center"/>
              <w:rPr>
                <w:rFonts w:ascii="Times New Roman" w:hAnsi="Times New Roman"/>
                <w:color w:val="auto"/>
              </w:rPr>
            </w:pPr>
            <w:r>
              <w:rPr>
                <w:rFonts w:ascii="Times New Roman" w:hAnsi="Times New Roman"/>
                <w:color w:val="auto"/>
              </w:rPr>
              <w:t>噪声源调查</w:t>
            </w:r>
          </w:p>
          <w:p w14:paraId="75D928DD">
            <w:pPr>
              <w:jc w:val="center"/>
              <w:rPr>
                <w:rFonts w:ascii="Times New Roman" w:hAnsi="Times New Roman"/>
                <w:color w:val="auto"/>
              </w:rPr>
            </w:pPr>
            <w:r>
              <w:rPr>
                <w:rFonts w:ascii="Times New Roman" w:hAnsi="Times New Roman"/>
                <w:color w:val="auto"/>
              </w:rPr>
              <w:t>方法</w:t>
            </w:r>
          </w:p>
        </w:tc>
        <w:tc>
          <w:tcPr>
            <w:tcW w:w="3473" w:type="pct"/>
            <w:gridSpan w:val="11"/>
            <w:vAlign w:val="center"/>
          </w:tcPr>
          <w:p w14:paraId="45F0039E">
            <w:pPr>
              <w:rPr>
                <w:rFonts w:ascii="Times New Roman" w:hAnsi="Times New Roman"/>
                <w:color w:val="auto"/>
              </w:rPr>
            </w:pPr>
            <w:r>
              <w:rPr>
                <w:rFonts w:ascii="Times New Roman" w:hAnsi="Times New Roman"/>
                <w:color w:val="auto"/>
              </w:rPr>
              <w:t>现场实测</w:t>
            </w:r>
            <w:r>
              <w:rPr>
                <w:rFonts w:ascii="Times New Roman" w:hAnsi="Times New Roman"/>
                <w:color w:val="auto"/>
              </w:rPr>
              <w:sym w:font="Wingdings 2" w:char="00A3"/>
            </w:r>
            <w:r>
              <w:rPr>
                <w:rFonts w:ascii="Times New Roman" w:hAnsi="Times New Roman"/>
                <w:color w:val="auto"/>
              </w:rPr>
              <w:t xml:space="preserve">        已有资料</w:t>
            </w:r>
            <w:r>
              <w:rPr>
                <w:rFonts w:ascii="Times New Roman" w:hAnsi="Times New Roman"/>
                <w:color w:val="auto"/>
              </w:rPr>
              <w:sym w:font="Wingdings 2" w:char="0052"/>
            </w:r>
            <w:r>
              <w:rPr>
                <w:rFonts w:ascii="Times New Roman" w:hAnsi="Times New Roman"/>
                <w:color w:val="auto"/>
              </w:rPr>
              <w:t xml:space="preserve">       研究成果</w:t>
            </w:r>
            <w:r>
              <w:rPr>
                <w:rFonts w:ascii="Times New Roman" w:hAnsi="Times New Roman"/>
                <w:color w:val="auto"/>
              </w:rPr>
              <w:sym w:font="Wingdings 2" w:char="00A3"/>
            </w:r>
          </w:p>
        </w:tc>
      </w:tr>
      <w:tr w14:paraId="236BC5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restart"/>
            <w:vAlign w:val="center"/>
          </w:tcPr>
          <w:p w14:paraId="2AAFA0BA">
            <w:pPr>
              <w:rPr>
                <w:rFonts w:ascii="Times New Roman" w:hAnsi="Times New Roman"/>
                <w:color w:val="auto"/>
              </w:rPr>
            </w:pPr>
            <w:r>
              <w:rPr>
                <w:rFonts w:ascii="Times New Roman" w:hAnsi="Times New Roman"/>
                <w:color w:val="auto"/>
              </w:rPr>
              <w:t>声环境影响预测与评价</w:t>
            </w:r>
          </w:p>
        </w:tc>
        <w:tc>
          <w:tcPr>
            <w:tcW w:w="814" w:type="pct"/>
            <w:vAlign w:val="center"/>
          </w:tcPr>
          <w:p w14:paraId="146DBB5B">
            <w:pPr>
              <w:rPr>
                <w:rFonts w:ascii="Times New Roman" w:hAnsi="Times New Roman"/>
                <w:color w:val="auto"/>
              </w:rPr>
            </w:pPr>
            <w:r>
              <w:rPr>
                <w:rFonts w:ascii="Times New Roman" w:hAnsi="Times New Roman"/>
                <w:color w:val="auto"/>
              </w:rPr>
              <w:t>预测模型</w:t>
            </w:r>
          </w:p>
        </w:tc>
        <w:tc>
          <w:tcPr>
            <w:tcW w:w="3473" w:type="pct"/>
            <w:gridSpan w:val="11"/>
            <w:vAlign w:val="center"/>
          </w:tcPr>
          <w:p w14:paraId="178B9547">
            <w:pPr>
              <w:rPr>
                <w:rFonts w:ascii="Times New Roman" w:hAnsi="Times New Roman"/>
                <w:color w:val="auto"/>
              </w:rPr>
            </w:pPr>
            <w:r>
              <w:rPr>
                <w:rFonts w:ascii="Times New Roman" w:hAnsi="Times New Roman"/>
                <w:color w:val="auto"/>
              </w:rPr>
              <w:t>导则推荐模型</w:t>
            </w:r>
            <w:r>
              <w:rPr>
                <w:rFonts w:ascii="Times New Roman" w:hAnsi="Times New Roman"/>
                <w:color w:val="auto"/>
              </w:rPr>
              <w:sym w:font="Wingdings 2" w:char="0052"/>
            </w:r>
            <w:r>
              <w:rPr>
                <w:rFonts w:ascii="Times New Roman" w:hAnsi="Times New Roman"/>
                <w:color w:val="auto"/>
              </w:rPr>
              <w:t xml:space="preserve">       其他</w:t>
            </w:r>
            <w:r>
              <w:rPr>
                <w:rFonts w:ascii="Times New Roman" w:hAnsi="Times New Roman"/>
                <w:color w:val="auto"/>
              </w:rPr>
              <w:sym w:font="Wingdings 2" w:char="00A3"/>
            </w:r>
            <w:r>
              <w:rPr>
                <w:rFonts w:ascii="Times New Roman" w:hAnsi="Times New Roman"/>
                <w:color w:val="auto"/>
                <w:u w:val="single"/>
              </w:rPr>
              <w:t xml:space="preserve">         </w:t>
            </w:r>
          </w:p>
        </w:tc>
      </w:tr>
      <w:tr w14:paraId="64E005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4A46675A">
            <w:pPr>
              <w:rPr>
                <w:rFonts w:ascii="Times New Roman" w:hAnsi="Times New Roman"/>
                <w:color w:val="auto"/>
              </w:rPr>
            </w:pPr>
          </w:p>
        </w:tc>
        <w:tc>
          <w:tcPr>
            <w:tcW w:w="814" w:type="pct"/>
            <w:vAlign w:val="center"/>
          </w:tcPr>
          <w:p w14:paraId="2A4EDC0E">
            <w:pPr>
              <w:rPr>
                <w:rFonts w:ascii="Times New Roman" w:hAnsi="Times New Roman"/>
                <w:color w:val="auto"/>
              </w:rPr>
            </w:pPr>
            <w:r>
              <w:rPr>
                <w:rFonts w:ascii="Times New Roman" w:hAnsi="Times New Roman"/>
                <w:color w:val="auto"/>
              </w:rPr>
              <w:t>预测范围</w:t>
            </w:r>
          </w:p>
        </w:tc>
        <w:tc>
          <w:tcPr>
            <w:tcW w:w="3473" w:type="pct"/>
            <w:gridSpan w:val="11"/>
            <w:vAlign w:val="center"/>
          </w:tcPr>
          <w:p w14:paraId="3BB1CE9B">
            <w:pPr>
              <w:rPr>
                <w:rFonts w:ascii="Times New Roman" w:hAnsi="Times New Roman"/>
                <w:color w:val="auto"/>
              </w:rPr>
            </w:pPr>
            <w:r>
              <w:rPr>
                <w:rFonts w:ascii="Times New Roman" w:hAnsi="Times New Roman"/>
                <w:color w:val="auto"/>
              </w:rPr>
              <w:t>200m</w:t>
            </w:r>
            <w:r>
              <w:rPr>
                <w:rFonts w:ascii="Times New Roman" w:hAnsi="Times New Roman"/>
                <w:color w:val="auto"/>
              </w:rPr>
              <w:sym w:font="Wingdings 2" w:char="0052"/>
            </w:r>
            <w:r>
              <w:rPr>
                <w:rFonts w:ascii="Times New Roman" w:hAnsi="Times New Roman"/>
                <w:color w:val="auto"/>
              </w:rPr>
              <w:t xml:space="preserve">           大于200m</w:t>
            </w:r>
            <w:r>
              <w:rPr>
                <w:rFonts w:ascii="Times New Roman" w:hAnsi="Times New Roman"/>
                <w:color w:val="auto"/>
              </w:rPr>
              <w:sym w:font="Wingdings 2" w:char="00A3"/>
            </w:r>
            <w:r>
              <w:rPr>
                <w:rFonts w:ascii="Times New Roman" w:hAnsi="Times New Roman"/>
                <w:color w:val="auto"/>
              </w:rPr>
              <w:t xml:space="preserve">             小于200m□</w:t>
            </w:r>
          </w:p>
        </w:tc>
      </w:tr>
      <w:tr w14:paraId="74ED47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330A2283">
            <w:pPr>
              <w:rPr>
                <w:rFonts w:ascii="Times New Roman" w:hAnsi="Times New Roman"/>
                <w:color w:val="auto"/>
              </w:rPr>
            </w:pPr>
          </w:p>
        </w:tc>
        <w:tc>
          <w:tcPr>
            <w:tcW w:w="814" w:type="pct"/>
            <w:vAlign w:val="center"/>
          </w:tcPr>
          <w:p w14:paraId="14B829FA">
            <w:pPr>
              <w:rPr>
                <w:rFonts w:ascii="Times New Roman" w:hAnsi="Times New Roman"/>
                <w:color w:val="auto"/>
              </w:rPr>
            </w:pPr>
            <w:r>
              <w:rPr>
                <w:rFonts w:ascii="Times New Roman" w:hAnsi="Times New Roman"/>
                <w:color w:val="auto"/>
              </w:rPr>
              <w:t>预测因子</w:t>
            </w:r>
          </w:p>
        </w:tc>
        <w:tc>
          <w:tcPr>
            <w:tcW w:w="3473" w:type="pct"/>
            <w:gridSpan w:val="11"/>
            <w:vAlign w:val="center"/>
          </w:tcPr>
          <w:p w14:paraId="68B9E678">
            <w:pPr>
              <w:rPr>
                <w:rFonts w:ascii="Times New Roman" w:hAnsi="Times New Roman"/>
                <w:color w:val="auto"/>
              </w:rPr>
            </w:pPr>
            <w:r>
              <w:rPr>
                <w:rFonts w:ascii="Times New Roman" w:hAnsi="Times New Roman"/>
                <w:color w:val="auto"/>
              </w:rPr>
              <w:t>等效连续A声级</w:t>
            </w:r>
            <w:r>
              <w:rPr>
                <w:rFonts w:ascii="Times New Roman" w:hAnsi="Times New Roman"/>
                <w:color w:val="auto"/>
              </w:rPr>
              <w:sym w:font="Wingdings 2" w:char="0052"/>
            </w:r>
            <w:r>
              <w:rPr>
                <w:rFonts w:ascii="Times New Roman" w:hAnsi="Times New Roman"/>
                <w:color w:val="auto"/>
              </w:rPr>
              <w:t xml:space="preserve">   最大A声级□  计权等效连续感觉噪声级□</w:t>
            </w:r>
          </w:p>
        </w:tc>
      </w:tr>
      <w:tr w14:paraId="1F2A45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2658C1A6">
            <w:pPr>
              <w:rPr>
                <w:rFonts w:ascii="Times New Roman" w:hAnsi="Times New Roman"/>
                <w:color w:val="auto"/>
              </w:rPr>
            </w:pPr>
          </w:p>
        </w:tc>
        <w:tc>
          <w:tcPr>
            <w:tcW w:w="814" w:type="pct"/>
            <w:vAlign w:val="center"/>
          </w:tcPr>
          <w:p w14:paraId="66D2D435">
            <w:pPr>
              <w:rPr>
                <w:rFonts w:ascii="Times New Roman" w:hAnsi="Times New Roman"/>
                <w:color w:val="auto"/>
              </w:rPr>
            </w:pPr>
            <w:r>
              <w:rPr>
                <w:rFonts w:ascii="Times New Roman" w:hAnsi="Times New Roman"/>
                <w:color w:val="auto"/>
              </w:rPr>
              <w:t>厂界噪声贡献值</w:t>
            </w:r>
          </w:p>
        </w:tc>
        <w:tc>
          <w:tcPr>
            <w:tcW w:w="3473" w:type="pct"/>
            <w:gridSpan w:val="11"/>
            <w:vAlign w:val="center"/>
          </w:tcPr>
          <w:p w14:paraId="1C7AA71A">
            <w:pPr>
              <w:rPr>
                <w:rFonts w:ascii="Times New Roman" w:hAnsi="Times New Roman"/>
                <w:color w:val="auto"/>
              </w:rPr>
            </w:pPr>
            <w:r>
              <w:rPr>
                <w:rFonts w:ascii="Times New Roman" w:hAnsi="Times New Roman"/>
                <w:color w:val="auto"/>
              </w:rPr>
              <w:t>达标</w:t>
            </w:r>
            <w:r>
              <w:rPr>
                <w:rFonts w:ascii="Times New Roman" w:hAnsi="Times New Roman"/>
                <w:color w:val="auto"/>
              </w:rPr>
              <w:sym w:font="Wingdings 2" w:char="0052"/>
            </w:r>
            <w:r>
              <w:rPr>
                <w:rFonts w:ascii="Times New Roman" w:hAnsi="Times New Roman"/>
                <w:color w:val="auto"/>
              </w:rPr>
              <w:t xml:space="preserve">           不达标</w:t>
            </w:r>
            <w:r>
              <w:rPr>
                <w:rFonts w:ascii="Times New Roman" w:hAnsi="Times New Roman"/>
                <w:color w:val="auto"/>
              </w:rPr>
              <w:sym w:font="Wingdings 2" w:char="00A3"/>
            </w:r>
          </w:p>
        </w:tc>
      </w:tr>
      <w:tr w14:paraId="5826F1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0B397EB3">
            <w:pPr>
              <w:rPr>
                <w:rFonts w:ascii="Times New Roman" w:hAnsi="Times New Roman"/>
                <w:color w:val="auto"/>
              </w:rPr>
            </w:pPr>
          </w:p>
        </w:tc>
        <w:tc>
          <w:tcPr>
            <w:tcW w:w="814" w:type="pct"/>
            <w:vAlign w:val="center"/>
          </w:tcPr>
          <w:p w14:paraId="1D65737D">
            <w:pPr>
              <w:rPr>
                <w:rFonts w:ascii="Times New Roman" w:hAnsi="Times New Roman"/>
                <w:color w:val="auto"/>
              </w:rPr>
            </w:pPr>
            <w:r>
              <w:rPr>
                <w:rFonts w:ascii="Times New Roman" w:hAnsi="Times New Roman"/>
                <w:color w:val="auto"/>
              </w:rPr>
              <w:t>声环境保护目标处噪声值</w:t>
            </w:r>
          </w:p>
        </w:tc>
        <w:tc>
          <w:tcPr>
            <w:tcW w:w="3473" w:type="pct"/>
            <w:gridSpan w:val="11"/>
            <w:vAlign w:val="center"/>
          </w:tcPr>
          <w:p w14:paraId="2D143213">
            <w:pPr>
              <w:rPr>
                <w:rFonts w:ascii="Times New Roman" w:hAnsi="Times New Roman"/>
                <w:color w:val="auto"/>
              </w:rPr>
            </w:pPr>
            <w:r>
              <w:rPr>
                <w:rFonts w:ascii="Times New Roman" w:hAnsi="Times New Roman"/>
                <w:color w:val="auto"/>
              </w:rPr>
              <w:t>达标</w:t>
            </w:r>
            <w:r>
              <w:rPr>
                <w:rFonts w:hint="eastAsia" w:ascii="Times New Roman" w:hAnsi="Times New Roman"/>
                <w:color w:val="auto"/>
              </w:rPr>
              <w:t xml:space="preserve"> </w:t>
            </w:r>
            <w:r>
              <w:rPr>
                <w:rFonts w:ascii="Times New Roman" w:hAnsi="Times New Roman"/>
                <w:color w:val="auto"/>
              </w:rPr>
              <w:sym w:font="Wingdings 2" w:char="00A3"/>
            </w:r>
            <w:r>
              <w:rPr>
                <w:rFonts w:ascii="Times New Roman" w:hAnsi="Times New Roman"/>
                <w:color w:val="auto"/>
              </w:rPr>
              <w:t xml:space="preserve">           不达标</w:t>
            </w:r>
            <w:r>
              <w:rPr>
                <w:rFonts w:ascii="Times New Roman" w:hAnsi="Times New Roman"/>
                <w:color w:val="auto"/>
              </w:rPr>
              <w:sym w:font="Wingdings 2" w:char="00A3"/>
            </w:r>
          </w:p>
        </w:tc>
      </w:tr>
      <w:tr w14:paraId="78351A1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restart"/>
            <w:vAlign w:val="center"/>
          </w:tcPr>
          <w:p w14:paraId="5AEF598C">
            <w:pPr>
              <w:rPr>
                <w:rFonts w:ascii="Times New Roman" w:hAnsi="Times New Roman"/>
                <w:color w:val="auto"/>
              </w:rPr>
            </w:pPr>
            <w:r>
              <w:rPr>
                <w:rFonts w:ascii="Times New Roman" w:hAnsi="Times New Roman"/>
                <w:color w:val="auto"/>
              </w:rPr>
              <w:t>环境监测计划</w:t>
            </w:r>
          </w:p>
        </w:tc>
        <w:tc>
          <w:tcPr>
            <w:tcW w:w="814" w:type="pct"/>
            <w:vAlign w:val="center"/>
          </w:tcPr>
          <w:p w14:paraId="32615171">
            <w:pPr>
              <w:rPr>
                <w:rFonts w:ascii="Times New Roman" w:hAnsi="Times New Roman"/>
                <w:color w:val="auto"/>
              </w:rPr>
            </w:pPr>
            <w:r>
              <w:rPr>
                <w:rFonts w:ascii="Times New Roman" w:hAnsi="Times New Roman"/>
                <w:color w:val="auto"/>
              </w:rPr>
              <w:t>排放监测</w:t>
            </w:r>
          </w:p>
        </w:tc>
        <w:tc>
          <w:tcPr>
            <w:tcW w:w="3473" w:type="pct"/>
            <w:gridSpan w:val="11"/>
            <w:vAlign w:val="center"/>
          </w:tcPr>
          <w:p w14:paraId="119D7DEF">
            <w:pPr>
              <w:rPr>
                <w:rFonts w:ascii="Times New Roman" w:hAnsi="Times New Roman"/>
                <w:color w:val="auto"/>
              </w:rPr>
            </w:pPr>
            <w:r>
              <w:rPr>
                <w:rFonts w:ascii="Times New Roman" w:hAnsi="Times New Roman"/>
                <w:color w:val="auto"/>
              </w:rPr>
              <w:t>厂界监测</w:t>
            </w:r>
            <w:r>
              <w:rPr>
                <w:rFonts w:ascii="Times New Roman" w:hAnsi="Times New Roman"/>
                <w:color w:val="auto"/>
              </w:rPr>
              <w:sym w:font="Wingdings 2" w:char="0052"/>
            </w:r>
            <w:r>
              <w:rPr>
                <w:rFonts w:ascii="Times New Roman" w:hAnsi="Times New Roman"/>
                <w:color w:val="auto"/>
              </w:rPr>
              <w:t xml:space="preserve">  固定位置监测</w:t>
            </w:r>
            <w:r>
              <w:rPr>
                <w:rFonts w:ascii="Times New Roman" w:hAnsi="Times New Roman"/>
                <w:color w:val="auto"/>
              </w:rPr>
              <w:sym w:font="Wingdings 2" w:char="00A3"/>
            </w:r>
            <w:r>
              <w:rPr>
                <w:rFonts w:ascii="Times New Roman" w:hAnsi="Times New Roman"/>
                <w:color w:val="auto"/>
              </w:rPr>
              <w:t xml:space="preserve">  自动监测</w:t>
            </w:r>
            <w:r>
              <w:rPr>
                <w:rFonts w:ascii="Times New Roman" w:hAnsi="Times New Roman"/>
                <w:color w:val="auto"/>
              </w:rPr>
              <w:sym w:font="Wingdings 2" w:char="00A3"/>
            </w:r>
            <w:r>
              <w:rPr>
                <w:rFonts w:ascii="Times New Roman" w:hAnsi="Times New Roman"/>
                <w:color w:val="auto"/>
              </w:rPr>
              <w:t xml:space="preserve">  手动监测</w:t>
            </w:r>
            <w:r>
              <w:rPr>
                <w:rFonts w:ascii="Times New Roman" w:hAnsi="Times New Roman"/>
                <w:color w:val="auto"/>
              </w:rPr>
              <w:sym w:font="Wingdings 2" w:char="00A3"/>
            </w:r>
            <w:r>
              <w:rPr>
                <w:rFonts w:ascii="Times New Roman" w:hAnsi="Times New Roman"/>
                <w:color w:val="auto"/>
              </w:rPr>
              <w:t xml:space="preserve">  无监测</w:t>
            </w:r>
            <w:r>
              <w:rPr>
                <w:rFonts w:ascii="Times New Roman" w:hAnsi="Times New Roman"/>
                <w:color w:val="auto"/>
              </w:rPr>
              <w:sym w:font="Wingdings 2" w:char="00A3"/>
            </w:r>
          </w:p>
        </w:tc>
      </w:tr>
      <w:tr w14:paraId="046E65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Merge w:val="continue"/>
            <w:vAlign w:val="center"/>
          </w:tcPr>
          <w:p w14:paraId="7F21CA8F">
            <w:pPr>
              <w:rPr>
                <w:rFonts w:ascii="Times New Roman" w:hAnsi="Times New Roman"/>
                <w:color w:val="auto"/>
              </w:rPr>
            </w:pPr>
          </w:p>
        </w:tc>
        <w:tc>
          <w:tcPr>
            <w:tcW w:w="814" w:type="pct"/>
            <w:vAlign w:val="center"/>
          </w:tcPr>
          <w:p w14:paraId="7CF73A88">
            <w:pPr>
              <w:rPr>
                <w:rFonts w:ascii="Times New Roman" w:hAnsi="Times New Roman"/>
                <w:color w:val="auto"/>
              </w:rPr>
            </w:pPr>
            <w:r>
              <w:rPr>
                <w:rFonts w:ascii="Times New Roman" w:hAnsi="Times New Roman"/>
                <w:color w:val="auto"/>
              </w:rPr>
              <w:t>声环境保护目标处噪声监测</w:t>
            </w:r>
          </w:p>
        </w:tc>
        <w:tc>
          <w:tcPr>
            <w:tcW w:w="837" w:type="pct"/>
            <w:gridSpan w:val="3"/>
            <w:vAlign w:val="center"/>
          </w:tcPr>
          <w:p w14:paraId="5275AD77">
            <w:pPr>
              <w:rPr>
                <w:rFonts w:ascii="Times New Roman" w:hAnsi="Times New Roman"/>
                <w:color w:val="auto"/>
              </w:rPr>
            </w:pPr>
            <w:r>
              <w:rPr>
                <w:rFonts w:ascii="Times New Roman" w:hAnsi="Times New Roman"/>
                <w:color w:val="auto"/>
              </w:rPr>
              <w:t>监测因子：（</w:t>
            </w:r>
            <w:r>
              <w:rPr>
                <w:rFonts w:hint="eastAsia" w:ascii="Times New Roman" w:hAnsi="Times New Roman"/>
                <w:color w:val="auto"/>
              </w:rPr>
              <w:t xml:space="preserve"> </w:t>
            </w:r>
            <w:r>
              <w:rPr>
                <w:rFonts w:ascii="Times New Roman" w:hAnsi="Times New Roman"/>
                <w:color w:val="auto"/>
              </w:rPr>
              <w:t xml:space="preserve"> ）  </w:t>
            </w:r>
          </w:p>
        </w:tc>
        <w:tc>
          <w:tcPr>
            <w:tcW w:w="1142" w:type="pct"/>
            <w:gridSpan w:val="4"/>
            <w:vAlign w:val="center"/>
          </w:tcPr>
          <w:p w14:paraId="4A8D8048">
            <w:pPr>
              <w:rPr>
                <w:rFonts w:ascii="Times New Roman" w:hAnsi="Times New Roman"/>
                <w:color w:val="auto"/>
              </w:rPr>
            </w:pPr>
            <w:r>
              <w:rPr>
                <w:rFonts w:ascii="Times New Roman" w:hAnsi="Times New Roman"/>
                <w:color w:val="auto"/>
              </w:rPr>
              <w:t xml:space="preserve">监测点位数（ ） </w:t>
            </w:r>
          </w:p>
        </w:tc>
        <w:tc>
          <w:tcPr>
            <w:tcW w:w="1493" w:type="pct"/>
            <w:gridSpan w:val="4"/>
            <w:vAlign w:val="center"/>
          </w:tcPr>
          <w:p w14:paraId="0A9740A6">
            <w:pPr>
              <w:rPr>
                <w:rFonts w:ascii="Times New Roman" w:hAnsi="Times New Roman"/>
                <w:color w:val="auto"/>
              </w:rPr>
            </w:pPr>
            <w:r>
              <w:rPr>
                <w:rFonts w:ascii="Times New Roman" w:hAnsi="Times New Roman"/>
                <w:color w:val="auto"/>
              </w:rPr>
              <w:t>无监测</w:t>
            </w:r>
            <w:r>
              <w:rPr>
                <w:rFonts w:ascii="Times New Roman" w:hAnsi="Times New Roman"/>
                <w:color w:val="auto"/>
              </w:rPr>
              <w:sym w:font="Wingdings 2" w:char="0052"/>
            </w:r>
          </w:p>
        </w:tc>
      </w:tr>
      <w:tr w14:paraId="7BFAA8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712" w:type="pct"/>
            <w:vAlign w:val="center"/>
          </w:tcPr>
          <w:p w14:paraId="7CCCBE89">
            <w:pPr>
              <w:rPr>
                <w:rFonts w:ascii="Times New Roman" w:hAnsi="Times New Roman"/>
                <w:color w:val="auto"/>
              </w:rPr>
            </w:pPr>
            <w:r>
              <w:rPr>
                <w:rFonts w:ascii="Times New Roman" w:hAnsi="Times New Roman"/>
                <w:color w:val="auto"/>
              </w:rPr>
              <w:t>评价结论</w:t>
            </w:r>
          </w:p>
        </w:tc>
        <w:tc>
          <w:tcPr>
            <w:tcW w:w="814" w:type="pct"/>
            <w:vAlign w:val="center"/>
          </w:tcPr>
          <w:p w14:paraId="40CC72CE">
            <w:pPr>
              <w:rPr>
                <w:rFonts w:ascii="Times New Roman" w:hAnsi="Times New Roman"/>
                <w:color w:val="auto"/>
              </w:rPr>
            </w:pPr>
            <w:r>
              <w:rPr>
                <w:rFonts w:ascii="Times New Roman" w:hAnsi="Times New Roman"/>
                <w:color w:val="auto"/>
              </w:rPr>
              <w:t>环境影响</w:t>
            </w:r>
          </w:p>
        </w:tc>
        <w:tc>
          <w:tcPr>
            <w:tcW w:w="3473" w:type="pct"/>
            <w:gridSpan w:val="11"/>
            <w:vAlign w:val="center"/>
          </w:tcPr>
          <w:p w14:paraId="4ACF4867">
            <w:pPr>
              <w:rPr>
                <w:rFonts w:ascii="Times New Roman" w:hAnsi="Times New Roman"/>
                <w:color w:val="auto"/>
              </w:rPr>
            </w:pPr>
            <w:r>
              <w:rPr>
                <w:rFonts w:ascii="Times New Roman" w:hAnsi="Times New Roman"/>
                <w:color w:val="auto"/>
              </w:rPr>
              <w:t>可行</w:t>
            </w:r>
            <w:r>
              <w:rPr>
                <w:rFonts w:ascii="Times New Roman" w:hAnsi="Times New Roman"/>
                <w:color w:val="auto"/>
              </w:rPr>
              <w:sym w:font="Wingdings 2" w:char="0052"/>
            </w:r>
            <w:r>
              <w:rPr>
                <w:rFonts w:ascii="Times New Roman" w:hAnsi="Times New Roman"/>
                <w:color w:val="auto"/>
              </w:rPr>
              <w:t xml:space="preserve">              不可行</w:t>
            </w:r>
            <w:r>
              <w:rPr>
                <w:rFonts w:ascii="Times New Roman" w:hAnsi="Times New Roman"/>
                <w:color w:val="auto"/>
              </w:rPr>
              <w:sym w:font="Wingdings 2" w:char="00A3"/>
            </w:r>
          </w:p>
        </w:tc>
      </w:tr>
      <w:tr w14:paraId="1499CC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13"/>
            <w:vAlign w:val="center"/>
          </w:tcPr>
          <w:p w14:paraId="4C00A618">
            <w:pPr>
              <w:rPr>
                <w:rFonts w:ascii="Times New Roman" w:hAnsi="Times New Roman"/>
                <w:color w:val="auto"/>
              </w:rPr>
            </w:pPr>
            <w:r>
              <w:rPr>
                <w:rFonts w:ascii="Times New Roman" w:hAnsi="Times New Roman"/>
                <w:color w:val="auto"/>
              </w:rPr>
              <w:t>注：“</w:t>
            </w:r>
            <w:r>
              <w:rPr>
                <w:rFonts w:ascii="Times New Roman" w:hAnsi="Times New Roman"/>
                <w:color w:val="auto"/>
              </w:rPr>
              <w:sym w:font="Wingdings 2" w:char="00A3"/>
            </w:r>
            <w:r>
              <w:rPr>
                <w:rFonts w:ascii="Times New Roman" w:hAnsi="Times New Roman"/>
                <w:color w:val="auto"/>
              </w:rPr>
              <w:t>”为勾选项，可打“√”；（）为内容填写项</w:t>
            </w:r>
          </w:p>
        </w:tc>
      </w:tr>
    </w:tbl>
    <w:p w14:paraId="5E886E0E">
      <w:pPr>
        <w:rPr>
          <w:rFonts w:ascii="Calibri" w:hAnsi="Calibri"/>
          <w:color w:val="auto"/>
        </w:rPr>
      </w:pPr>
    </w:p>
    <w:p w14:paraId="6C696267">
      <w:pPr>
        <w:spacing w:line="360" w:lineRule="auto"/>
        <w:ind w:firstLine="480" w:firstLineChars="200"/>
        <w:rPr>
          <w:rFonts w:ascii="宋体" w:hAnsi="宋体" w:cs="宋体"/>
          <w:color w:val="auto"/>
          <w:sz w:val="24"/>
        </w:rPr>
        <w:sectPr>
          <w:pgSz w:w="11906" w:h="16838"/>
          <w:pgMar w:top="1440" w:right="1800" w:bottom="1440" w:left="1800" w:header="794" w:footer="907" w:gutter="0"/>
          <w:pgBorders>
            <w:top w:val="none" w:sz="0" w:space="0"/>
            <w:left w:val="none" w:sz="0" w:space="0"/>
            <w:bottom w:val="none" w:sz="0" w:space="0"/>
            <w:right w:val="none" w:sz="0" w:space="0"/>
          </w:pgBorders>
          <w:cols w:space="425" w:num="1"/>
          <w:docGrid w:type="linesAndChars" w:linePitch="326" w:charSpace="0"/>
        </w:sectPr>
      </w:pPr>
    </w:p>
    <w:p w14:paraId="2D2D53FD">
      <w:pPr>
        <w:keepNext/>
        <w:keepLines/>
        <w:adjustRightInd w:val="0"/>
        <w:snapToGrid w:val="0"/>
        <w:spacing w:line="500" w:lineRule="exact"/>
        <w:outlineLvl w:val="1"/>
        <w:rPr>
          <w:rFonts w:eastAsia="黑体"/>
          <w:bCs/>
          <w:snapToGrid w:val="0"/>
          <w:color w:val="auto"/>
          <w:kern w:val="0"/>
          <w:sz w:val="28"/>
          <w:szCs w:val="32"/>
        </w:rPr>
      </w:pPr>
      <w:bookmarkStart w:id="270" w:name="_Toc16799"/>
      <w:bookmarkStart w:id="271" w:name="_Toc149054248"/>
      <w:bookmarkStart w:id="272" w:name="_Toc140149471"/>
      <w:r>
        <w:rPr>
          <w:rFonts w:eastAsia="黑体"/>
          <w:bCs/>
          <w:snapToGrid w:val="0"/>
          <w:color w:val="auto"/>
          <w:kern w:val="0"/>
          <w:sz w:val="28"/>
          <w:szCs w:val="32"/>
        </w:rPr>
        <w:t>附</w:t>
      </w:r>
      <w:r>
        <w:rPr>
          <w:rFonts w:hint="eastAsia" w:eastAsia="黑体"/>
          <w:bCs/>
          <w:snapToGrid w:val="0"/>
          <w:color w:val="auto"/>
          <w:kern w:val="0"/>
          <w:sz w:val="28"/>
          <w:szCs w:val="32"/>
        </w:rPr>
        <w:t>表</w:t>
      </w:r>
      <w:r>
        <w:rPr>
          <w:rFonts w:eastAsia="黑体"/>
          <w:bCs/>
          <w:snapToGrid w:val="0"/>
          <w:color w:val="auto"/>
          <w:kern w:val="0"/>
          <w:sz w:val="28"/>
          <w:szCs w:val="32"/>
        </w:rPr>
        <w:t>6生态影响评价自查表</w:t>
      </w:r>
      <w:bookmarkEnd w:id="270"/>
      <w:bookmarkEnd w:id="271"/>
      <w:bookmarkEnd w:id="272"/>
    </w:p>
    <w:tbl>
      <w:tblPr>
        <w:tblStyle w:val="761"/>
        <w:tblW w:w="507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04"/>
        <w:gridCol w:w="1368"/>
        <w:gridCol w:w="6050"/>
      </w:tblGrid>
      <w:tr w14:paraId="374ED9E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08" w:type="pct"/>
            <w:gridSpan w:val="2"/>
            <w:vAlign w:val="center"/>
          </w:tcPr>
          <w:p w14:paraId="3F7AC6C0">
            <w:pPr>
              <w:pStyle w:val="84"/>
              <w:rPr>
                <w:rFonts w:ascii="Calibri" w:hAnsi="Calibri"/>
                <w:color w:val="auto"/>
                <w:lang w:bidi="zh-CN"/>
              </w:rPr>
            </w:pPr>
            <w:r>
              <w:rPr>
                <w:rFonts w:ascii="Calibri" w:hAnsi="Calibri"/>
                <w:color w:val="auto"/>
                <w:lang w:bidi="zh-CN"/>
              </w:rPr>
              <w:t>工作内容</w:t>
            </w:r>
          </w:p>
        </w:tc>
        <w:tc>
          <w:tcPr>
            <w:tcW w:w="3591" w:type="pct"/>
            <w:vAlign w:val="center"/>
          </w:tcPr>
          <w:p w14:paraId="6D151A66">
            <w:pPr>
              <w:pStyle w:val="84"/>
              <w:rPr>
                <w:rFonts w:ascii="Calibri" w:hAnsi="Calibri"/>
                <w:color w:val="auto"/>
                <w:lang w:bidi="zh-CN"/>
              </w:rPr>
            </w:pPr>
            <w:r>
              <w:rPr>
                <w:rFonts w:ascii="Calibri" w:hAnsi="Calibri"/>
                <w:color w:val="auto"/>
                <w:lang w:bidi="zh-CN"/>
              </w:rPr>
              <w:t>自查项目</w:t>
            </w:r>
          </w:p>
        </w:tc>
      </w:tr>
      <w:tr w14:paraId="5D38995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restart"/>
            <w:vAlign w:val="center"/>
          </w:tcPr>
          <w:p w14:paraId="51EF34CE">
            <w:pPr>
              <w:pStyle w:val="84"/>
              <w:rPr>
                <w:rFonts w:ascii="Calibri" w:hAnsi="Calibri"/>
                <w:color w:val="auto"/>
                <w:lang w:bidi="zh-CN"/>
              </w:rPr>
            </w:pPr>
            <w:r>
              <w:rPr>
                <w:rFonts w:ascii="Calibri" w:hAnsi="Calibri"/>
                <w:color w:val="auto"/>
                <w:lang w:bidi="zh-CN"/>
              </w:rPr>
              <w:t>生态影响识别</w:t>
            </w:r>
          </w:p>
        </w:tc>
        <w:tc>
          <w:tcPr>
            <w:tcW w:w="812" w:type="pct"/>
            <w:vAlign w:val="center"/>
          </w:tcPr>
          <w:p w14:paraId="0B4C77AC">
            <w:pPr>
              <w:pStyle w:val="84"/>
              <w:rPr>
                <w:rFonts w:ascii="Calibri" w:hAnsi="Calibri"/>
                <w:color w:val="auto"/>
                <w:lang w:bidi="zh-CN"/>
              </w:rPr>
            </w:pPr>
            <w:r>
              <w:rPr>
                <w:rFonts w:ascii="Calibri" w:hAnsi="Calibri"/>
                <w:color w:val="auto"/>
                <w:lang w:bidi="zh-CN"/>
              </w:rPr>
              <w:t>目标</w:t>
            </w:r>
          </w:p>
        </w:tc>
        <w:tc>
          <w:tcPr>
            <w:tcW w:w="3591" w:type="pct"/>
            <w:vAlign w:val="center"/>
          </w:tcPr>
          <w:p w14:paraId="4E47CEF7">
            <w:pPr>
              <w:pStyle w:val="84"/>
              <w:jc w:val="both"/>
              <w:rPr>
                <w:rFonts w:ascii="Calibri" w:hAnsi="Calibri"/>
                <w:color w:val="auto"/>
                <w:lang w:bidi="zh-CN"/>
              </w:rPr>
            </w:pPr>
            <w:r>
              <w:rPr>
                <w:rFonts w:ascii="Calibri" w:hAnsi="Calibri"/>
                <w:color w:val="auto"/>
                <w:lang w:bidi="zh-CN"/>
              </w:rPr>
              <w:t>重要物种□；国家公园□；自然保护区□；自然公园□；世界自然遗产□；生态保护红线□；重要生境□；其他具有重要生态功能、对保护生物多样性具有重要意义的区域□；其他</w:t>
            </w:r>
            <w:r>
              <w:rPr>
                <w:rFonts w:ascii="Calibri" w:hAnsi="Calibri"/>
                <w:color w:val="auto"/>
                <w:lang w:bidi="zh-CN"/>
              </w:rPr>
              <w:sym w:font="Wingdings 2" w:char="0052"/>
            </w:r>
          </w:p>
        </w:tc>
      </w:tr>
      <w:tr w14:paraId="2AB4606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750D442B">
            <w:pPr>
              <w:pStyle w:val="84"/>
              <w:rPr>
                <w:rFonts w:ascii="Calibri" w:hAnsi="Calibri"/>
                <w:color w:val="auto"/>
                <w:sz w:val="2"/>
                <w:szCs w:val="2"/>
              </w:rPr>
            </w:pPr>
          </w:p>
        </w:tc>
        <w:tc>
          <w:tcPr>
            <w:tcW w:w="812" w:type="pct"/>
            <w:vAlign w:val="center"/>
          </w:tcPr>
          <w:p w14:paraId="091D782C">
            <w:pPr>
              <w:pStyle w:val="84"/>
              <w:rPr>
                <w:rFonts w:ascii="Calibri" w:hAnsi="Calibri"/>
                <w:color w:val="auto"/>
                <w:lang w:bidi="zh-CN"/>
              </w:rPr>
            </w:pPr>
            <w:r>
              <w:rPr>
                <w:rFonts w:ascii="Calibri" w:hAnsi="Calibri"/>
                <w:color w:val="auto"/>
                <w:lang w:bidi="zh-CN"/>
              </w:rPr>
              <w:t>影响方式</w:t>
            </w:r>
          </w:p>
        </w:tc>
        <w:tc>
          <w:tcPr>
            <w:tcW w:w="3591" w:type="pct"/>
            <w:vAlign w:val="center"/>
          </w:tcPr>
          <w:p w14:paraId="32A86630">
            <w:pPr>
              <w:pStyle w:val="84"/>
              <w:rPr>
                <w:rFonts w:ascii="Calibri" w:hAnsi="Calibri"/>
                <w:color w:val="auto"/>
                <w:lang w:bidi="zh-CN"/>
              </w:rPr>
            </w:pPr>
            <w:r>
              <w:rPr>
                <w:rFonts w:ascii="Calibri" w:hAnsi="Calibri"/>
                <w:color w:val="auto"/>
                <w:lang w:bidi="zh-CN"/>
              </w:rPr>
              <w:t>工程占用</w:t>
            </w:r>
            <w:r>
              <w:rPr>
                <w:rFonts w:ascii="Calibri" w:hAnsi="Calibri"/>
                <w:color w:val="auto"/>
                <w:lang w:bidi="zh-CN"/>
              </w:rPr>
              <w:sym w:font="Wingdings 2" w:char="0052"/>
            </w:r>
            <w:r>
              <w:rPr>
                <w:rFonts w:ascii="Calibri" w:hAnsi="Calibri"/>
                <w:color w:val="auto"/>
                <w:lang w:bidi="zh-CN"/>
              </w:rPr>
              <w:t>；施工活动干扰</w:t>
            </w:r>
            <w:r>
              <w:rPr>
                <w:rFonts w:ascii="Calibri" w:hAnsi="Calibri"/>
                <w:color w:val="auto"/>
                <w:lang w:bidi="zh-CN"/>
              </w:rPr>
              <w:sym w:font="Wingdings 2" w:char="0052"/>
            </w:r>
            <w:r>
              <w:rPr>
                <w:rFonts w:ascii="Calibri" w:hAnsi="Calibri"/>
                <w:color w:val="auto"/>
                <w:lang w:bidi="zh-CN"/>
              </w:rPr>
              <w:t>；改变环境条件□；其他</w:t>
            </w:r>
            <w:r>
              <w:rPr>
                <w:rFonts w:ascii="Calibri" w:hAnsi="Calibri"/>
                <w:color w:val="auto"/>
                <w:lang w:bidi="zh-CN"/>
              </w:rPr>
              <w:sym w:font="Wingdings 2" w:char="0052"/>
            </w:r>
          </w:p>
        </w:tc>
      </w:tr>
      <w:tr w14:paraId="6642E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79AC57AF">
            <w:pPr>
              <w:pStyle w:val="84"/>
              <w:rPr>
                <w:rFonts w:ascii="Calibri" w:hAnsi="Calibri"/>
                <w:color w:val="auto"/>
                <w:sz w:val="2"/>
                <w:szCs w:val="2"/>
              </w:rPr>
            </w:pPr>
          </w:p>
        </w:tc>
        <w:tc>
          <w:tcPr>
            <w:tcW w:w="812" w:type="pct"/>
            <w:vAlign w:val="center"/>
          </w:tcPr>
          <w:p w14:paraId="69E62BEA">
            <w:pPr>
              <w:pStyle w:val="84"/>
              <w:rPr>
                <w:rFonts w:ascii="Calibri" w:hAnsi="Calibri"/>
                <w:color w:val="auto"/>
                <w:lang w:bidi="zh-CN"/>
              </w:rPr>
            </w:pPr>
            <w:r>
              <w:rPr>
                <w:rFonts w:ascii="Calibri" w:hAnsi="Calibri"/>
                <w:color w:val="auto"/>
                <w:lang w:bidi="zh-CN"/>
              </w:rPr>
              <w:t>评价因子</w:t>
            </w:r>
          </w:p>
        </w:tc>
        <w:tc>
          <w:tcPr>
            <w:tcW w:w="3591" w:type="pct"/>
            <w:vAlign w:val="center"/>
          </w:tcPr>
          <w:p w14:paraId="0DA84D5E">
            <w:pPr>
              <w:pStyle w:val="84"/>
              <w:jc w:val="both"/>
              <w:rPr>
                <w:rFonts w:ascii="Calibri" w:hAnsi="Calibri"/>
                <w:color w:val="auto"/>
                <w:lang w:bidi="zh-CN"/>
              </w:rPr>
            </w:pPr>
            <w:r>
              <w:rPr>
                <w:rFonts w:ascii="Calibri" w:hAnsi="Calibri"/>
                <w:color w:val="auto"/>
                <w:lang w:bidi="zh-CN"/>
              </w:rPr>
              <w:t>物种□（</w:t>
            </w:r>
            <w:r>
              <w:rPr>
                <w:rFonts w:ascii="Calibri" w:hAnsi="Calibri"/>
                <w:color w:val="auto"/>
                <w:lang w:bidi="zh-CN"/>
              </w:rPr>
              <w:tab/>
            </w:r>
            <w:r>
              <w:rPr>
                <w:rFonts w:ascii="Calibri" w:hAnsi="Calibri"/>
                <w:color w:val="auto"/>
                <w:lang w:bidi="zh-CN"/>
              </w:rPr>
              <w:t>）</w:t>
            </w:r>
          </w:p>
          <w:p w14:paraId="4D758B15">
            <w:pPr>
              <w:pStyle w:val="84"/>
              <w:jc w:val="both"/>
              <w:rPr>
                <w:rFonts w:ascii="Calibri" w:hAnsi="Calibri"/>
                <w:color w:val="auto"/>
                <w:lang w:bidi="zh-CN"/>
              </w:rPr>
            </w:pPr>
            <w:r>
              <w:rPr>
                <w:rFonts w:ascii="Calibri" w:hAnsi="Calibri"/>
                <w:color w:val="auto"/>
                <w:lang w:bidi="zh-CN"/>
              </w:rPr>
              <w:t>生境□（</w:t>
            </w:r>
            <w:r>
              <w:rPr>
                <w:rFonts w:ascii="Calibri" w:hAnsi="Calibri"/>
                <w:color w:val="auto"/>
                <w:lang w:bidi="zh-CN"/>
              </w:rPr>
              <w:tab/>
            </w:r>
            <w:r>
              <w:rPr>
                <w:rFonts w:ascii="Calibri" w:hAnsi="Calibri"/>
                <w:color w:val="auto"/>
                <w:lang w:bidi="zh-CN"/>
              </w:rPr>
              <w:t>）</w:t>
            </w:r>
          </w:p>
          <w:p w14:paraId="265EA2BF">
            <w:pPr>
              <w:pStyle w:val="84"/>
              <w:jc w:val="both"/>
              <w:rPr>
                <w:rFonts w:ascii="Calibri" w:hAnsi="Calibri"/>
                <w:color w:val="auto"/>
                <w:lang w:bidi="zh-CN"/>
              </w:rPr>
            </w:pPr>
            <w:r>
              <w:rPr>
                <w:rFonts w:ascii="Calibri" w:hAnsi="Calibri"/>
                <w:color w:val="auto"/>
                <w:lang w:bidi="zh-CN"/>
              </w:rPr>
              <w:t>生物群落□（</w:t>
            </w:r>
            <w:r>
              <w:rPr>
                <w:rFonts w:ascii="Calibri" w:hAnsi="Calibri"/>
                <w:color w:val="auto"/>
                <w:lang w:bidi="zh-CN"/>
              </w:rPr>
              <w:tab/>
            </w:r>
            <w:r>
              <w:rPr>
                <w:rFonts w:ascii="Calibri" w:hAnsi="Calibri"/>
                <w:color w:val="auto"/>
                <w:lang w:bidi="zh-CN"/>
              </w:rPr>
              <w:t>）</w:t>
            </w:r>
          </w:p>
          <w:p w14:paraId="29E28005">
            <w:pPr>
              <w:pStyle w:val="84"/>
              <w:jc w:val="both"/>
              <w:rPr>
                <w:rFonts w:ascii="Calibri" w:hAnsi="Calibri"/>
                <w:color w:val="auto"/>
                <w:lang w:bidi="zh-CN"/>
              </w:rPr>
            </w:pPr>
            <w:r>
              <w:rPr>
                <w:rFonts w:ascii="Calibri" w:hAnsi="Calibri"/>
                <w:color w:val="auto"/>
                <w:lang w:bidi="zh-CN"/>
              </w:rPr>
              <w:t>生态系统□（</w:t>
            </w:r>
            <w:r>
              <w:rPr>
                <w:rFonts w:ascii="Calibri" w:hAnsi="Calibri"/>
                <w:color w:val="auto"/>
                <w:lang w:bidi="zh-CN"/>
              </w:rPr>
              <w:tab/>
            </w:r>
            <w:r>
              <w:rPr>
                <w:rFonts w:ascii="Calibri" w:hAnsi="Calibri"/>
                <w:color w:val="auto"/>
                <w:lang w:bidi="zh-CN"/>
              </w:rPr>
              <w:t>）</w:t>
            </w:r>
          </w:p>
          <w:p w14:paraId="0BF21343">
            <w:pPr>
              <w:pStyle w:val="84"/>
              <w:jc w:val="both"/>
              <w:rPr>
                <w:rFonts w:ascii="Calibri" w:hAnsi="Calibri"/>
                <w:color w:val="auto"/>
                <w:lang w:bidi="zh-CN"/>
              </w:rPr>
            </w:pPr>
            <w:r>
              <w:rPr>
                <w:rFonts w:ascii="Calibri" w:hAnsi="Calibri"/>
                <w:color w:val="auto"/>
                <w:lang w:bidi="zh-CN"/>
              </w:rPr>
              <w:t>生物多样性□（</w:t>
            </w:r>
            <w:r>
              <w:rPr>
                <w:rFonts w:ascii="Calibri" w:hAnsi="Calibri"/>
                <w:color w:val="auto"/>
                <w:lang w:bidi="zh-CN"/>
              </w:rPr>
              <w:tab/>
            </w:r>
            <w:r>
              <w:rPr>
                <w:rFonts w:ascii="Calibri" w:hAnsi="Calibri"/>
                <w:color w:val="auto"/>
                <w:lang w:bidi="zh-CN"/>
              </w:rPr>
              <w:t>）</w:t>
            </w:r>
          </w:p>
          <w:p w14:paraId="6319B5AF">
            <w:pPr>
              <w:pStyle w:val="84"/>
              <w:jc w:val="both"/>
              <w:rPr>
                <w:rFonts w:ascii="Calibri" w:hAnsi="Calibri"/>
                <w:color w:val="auto"/>
                <w:lang w:bidi="zh-CN"/>
              </w:rPr>
            </w:pPr>
            <w:r>
              <w:rPr>
                <w:rFonts w:ascii="Calibri" w:hAnsi="Calibri"/>
                <w:color w:val="auto"/>
                <w:lang w:bidi="zh-CN"/>
              </w:rPr>
              <w:t>生态敏感区□（</w:t>
            </w:r>
            <w:r>
              <w:rPr>
                <w:rFonts w:ascii="Calibri" w:hAnsi="Calibri"/>
                <w:color w:val="auto"/>
                <w:lang w:bidi="zh-CN"/>
              </w:rPr>
              <w:tab/>
            </w:r>
          </w:p>
          <w:p w14:paraId="5A425468">
            <w:pPr>
              <w:pStyle w:val="84"/>
              <w:jc w:val="both"/>
              <w:rPr>
                <w:rFonts w:ascii="Calibri" w:hAnsi="Calibri"/>
                <w:color w:val="auto"/>
                <w:lang w:bidi="zh-CN"/>
              </w:rPr>
            </w:pPr>
            <w:r>
              <w:rPr>
                <w:rFonts w:ascii="Calibri" w:hAnsi="Calibri"/>
                <w:color w:val="auto"/>
                <w:lang w:bidi="zh-CN"/>
              </w:rPr>
              <w:t>自然景观□（</w:t>
            </w:r>
            <w:r>
              <w:rPr>
                <w:rFonts w:ascii="Calibri" w:hAnsi="Calibri"/>
                <w:color w:val="auto"/>
                <w:lang w:bidi="zh-CN"/>
              </w:rPr>
              <w:tab/>
            </w:r>
            <w:r>
              <w:rPr>
                <w:rFonts w:ascii="Calibri" w:hAnsi="Calibri"/>
                <w:color w:val="auto"/>
                <w:lang w:bidi="zh-CN"/>
              </w:rPr>
              <w:t>）</w:t>
            </w:r>
          </w:p>
          <w:p w14:paraId="608C6353">
            <w:pPr>
              <w:pStyle w:val="84"/>
              <w:jc w:val="both"/>
              <w:rPr>
                <w:rFonts w:ascii="Calibri" w:hAnsi="Calibri"/>
                <w:color w:val="auto"/>
                <w:lang w:bidi="zh-CN"/>
              </w:rPr>
            </w:pPr>
            <w:r>
              <w:rPr>
                <w:rFonts w:ascii="Calibri" w:hAnsi="Calibri"/>
                <w:color w:val="auto"/>
                <w:lang w:bidi="zh-CN"/>
              </w:rPr>
              <w:t>自然遗迹□（</w:t>
            </w:r>
            <w:r>
              <w:rPr>
                <w:rFonts w:ascii="Calibri" w:hAnsi="Calibri"/>
                <w:color w:val="auto"/>
                <w:lang w:bidi="zh-CN"/>
              </w:rPr>
              <w:tab/>
            </w:r>
            <w:r>
              <w:rPr>
                <w:rFonts w:ascii="Calibri" w:hAnsi="Calibri"/>
                <w:color w:val="auto"/>
                <w:lang w:bidi="zh-CN"/>
              </w:rPr>
              <w:t>）</w:t>
            </w:r>
          </w:p>
          <w:p w14:paraId="6FA79972">
            <w:pPr>
              <w:pStyle w:val="84"/>
              <w:jc w:val="both"/>
              <w:rPr>
                <w:rFonts w:ascii="Calibri" w:hAnsi="Calibri"/>
                <w:color w:val="auto"/>
                <w:lang w:bidi="zh-CN"/>
              </w:rPr>
            </w:pPr>
            <w:r>
              <w:rPr>
                <w:rFonts w:ascii="Calibri" w:hAnsi="Calibri"/>
                <w:color w:val="auto"/>
                <w:lang w:bidi="zh-CN"/>
              </w:rPr>
              <w:t>其他</w:t>
            </w:r>
            <w:r>
              <w:rPr>
                <w:rFonts w:ascii="Calibri" w:hAnsi="Calibri"/>
                <w:color w:val="auto"/>
                <w:lang w:bidi="zh-CN"/>
              </w:rPr>
              <w:sym w:font="Wingdings 2" w:char="0052"/>
            </w:r>
            <w:r>
              <w:rPr>
                <w:rFonts w:ascii="Calibri" w:hAnsi="Calibri"/>
                <w:color w:val="auto"/>
                <w:lang w:bidi="zh-CN"/>
              </w:rPr>
              <w:t>（</w:t>
            </w:r>
            <w:r>
              <w:rPr>
                <w:rFonts w:ascii="Calibri" w:hAnsi="Calibri"/>
                <w:color w:val="auto"/>
                <w:lang w:bidi="zh-CN"/>
              </w:rPr>
              <w:tab/>
            </w:r>
            <w:r>
              <w:rPr>
                <w:rFonts w:ascii="Calibri" w:hAnsi="Calibri"/>
                <w:color w:val="auto"/>
                <w:lang w:bidi="zh-CN"/>
              </w:rPr>
              <w:t>）</w:t>
            </w:r>
          </w:p>
        </w:tc>
      </w:tr>
      <w:tr w14:paraId="4C43BFB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08" w:type="pct"/>
            <w:gridSpan w:val="2"/>
            <w:vAlign w:val="center"/>
          </w:tcPr>
          <w:p w14:paraId="63EE944F">
            <w:pPr>
              <w:pStyle w:val="84"/>
              <w:rPr>
                <w:rFonts w:ascii="Calibri" w:hAnsi="Calibri"/>
                <w:color w:val="auto"/>
                <w:lang w:bidi="zh-CN"/>
              </w:rPr>
            </w:pPr>
            <w:r>
              <w:rPr>
                <w:rFonts w:ascii="Calibri" w:hAnsi="Calibri"/>
                <w:color w:val="auto"/>
                <w:lang w:bidi="zh-CN"/>
              </w:rPr>
              <w:t>评价等级</w:t>
            </w:r>
          </w:p>
        </w:tc>
        <w:tc>
          <w:tcPr>
            <w:tcW w:w="3591" w:type="pct"/>
            <w:vAlign w:val="center"/>
          </w:tcPr>
          <w:p w14:paraId="660AA472">
            <w:pPr>
              <w:pStyle w:val="84"/>
              <w:rPr>
                <w:rFonts w:ascii="Calibri" w:hAnsi="Calibri"/>
                <w:color w:val="auto"/>
                <w:lang w:bidi="zh-CN"/>
              </w:rPr>
            </w:pPr>
            <w:r>
              <w:rPr>
                <w:rFonts w:ascii="Calibri" w:hAnsi="Calibri"/>
                <w:color w:val="auto"/>
                <w:lang w:bidi="zh-CN"/>
              </w:rPr>
              <w:t>一级□      二级□     三级</w:t>
            </w:r>
            <w:r>
              <w:rPr>
                <w:rFonts w:ascii="Calibri" w:hAnsi="Calibri"/>
                <w:color w:val="auto"/>
                <w:lang w:bidi="zh-CN"/>
              </w:rPr>
              <w:sym w:font="Wingdings 2" w:char="0052"/>
            </w:r>
            <w:r>
              <w:rPr>
                <w:rFonts w:ascii="Calibri" w:hAnsi="Calibri"/>
                <w:color w:val="auto"/>
                <w:lang w:bidi="zh-CN"/>
              </w:rPr>
              <w:t xml:space="preserve">     生态影响简单分析□</w:t>
            </w:r>
          </w:p>
        </w:tc>
      </w:tr>
      <w:tr w14:paraId="71DF3D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08" w:type="pct"/>
            <w:gridSpan w:val="2"/>
            <w:vAlign w:val="center"/>
          </w:tcPr>
          <w:p w14:paraId="15209914">
            <w:pPr>
              <w:pStyle w:val="84"/>
              <w:rPr>
                <w:rFonts w:ascii="Calibri" w:hAnsi="Calibri"/>
                <w:color w:val="auto"/>
                <w:lang w:bidi="zh-CN"/>
              </w:rPr>
            </w:pPr>
            <w:r>
              <w:rPr>
                <w:rFonts w:ascii="Calibri" w:hAnsi="Calibri"/>
                <w:color w:val="auto"/>
                <w:lang w:bidi="zh-CN"/>
              </w:rPr>
              <w:t>评价范围</w:t>
            </w:r>
          </w:p>
        </w:tc>
        <w:tc>
          <w:tcPr>
            <w:tcW w:w="3591" w:type="pct"/>
            <w:vAlign w:val="center"/>
          </w:tcPr>
          <w:p w14:paraId="3EB070B4">
            <w:pPr>
              <w:pStyle w:val="84"/>
              <w:rPr>
                <w:rFonts w:ascii="Times New Roman" w:hAnsi="Times New Roman"/>
                <w:color w:val="auto"/>
                <w:lang w:bidi="zh-CN"/>
              </w:rPr>
            </w:pPr>
            <w:r>
              <w:rPr>
                <w:rFonts w:ascii="Times New Roman" w:hAnsi="Times New Roman"/>
                <w:color w:val="auto"/>
                <w:lang w:bidi="zh-CN"/>
              </w:rPr>
              <w:t>陆域面积</w:t>
            </w:r>
            <w:r>
              <w:rPr>
                <w:rFonts w:ascii="Times New Roman" w:hAnsi="Times New Roman"/>
                <w:color w:val="auto"/>
                <w:spacing w:val="-92"/>
                <w:lang w:bidi="zh-CN"/>
              </w:rPr>
              <w:t>：</w:t>
            </w:r>
            <w:r>
              <w:rPr>
                <w:rFonts w:ascii="Times New Roman" w:hAnsi="Times New Roman"/>
                <w:color w:val="auto"/>
                <w:lang w:bidi="zh-CN"/>
              </w:rPr>
              <w:t>（0.0</w:t>
            </w:r>
            <w:r>
              <w:rPr>
                <w:rFonts w:hint="eastAsia"/>
                <w:color w:val="auto"/>
                <w:lang w:bidi="zh-CN"/>
              </w:rPr>
              <w:t>78594</w:t>
            </w:r>
            <w:r>
              <w:rPr>
                <w:rFonts w:ascii="Times New Roman" w:hAnsi="Times New Roman"/>
                <w:color w:val="auto"/>
                <w:lang w:bidi="zh-CN"/>
              </w:rPr>
              <w:t>）</w:t>
            </w:r>
            <w:r>
              <w:rPr>
                <w:rFonts w:ascii="Times New Roman" w:hAnsi="Times New Roman" w:eastAsia="Times New Roman"/>
                <w:color w:val="auto"/>
                <w:spacing w:val="-2"/>
                <w:lang w:bidi="zh-CN"/>
              </w:rPr>
              <w:t>k</w:t>
            </w:r>
            <w:r>
              <w:rPr>
                <w:rFonts w:ascii="Times New Roman" w:hAnsi="Times New Roman" w:eastAsia="Times New Roman"/>
                <w:color w:val="auto"/>
                <w:spacing w:val="-4"/>
                <w:lang w:bidi="zh-CN"/>
              </w:rPr>
              <w:t>m</w:t>
            </w:r>
            <w:r>
              <w:rPr>
                <w:rFonts w:ascii="Times New Roman" w:hAnsi="Times New Roman" w:eastAsia="Times New Roman"/>
                <w:color w:val="auto"/>
                <w:w w:val="97"/>
                <w:vertAlign w:val="superscript"/>
                <w:lang w:bidi="zh-CN"/>
              </w:rPr>
              <w:t>2</w:t>
            </w:r>
            <w:r>
              <w:rPr>
                <w:rFonts w:ascii="Times New Roman" w:hAnsi="Times New Roman"/>
                <w:color w:val="auto"/>
                <w:lang w:bidi="zh-CN"/>
              </w:rPr>
              <w:t>；水</w:t>
            </w:r>
            <w:r>
              <w:rPr>
                <w:rFonts w:ascii="Times New Roman" w:hAnsi="Times New Roman"/>
                <w:color w:val="auto"/>
                <w:spacing w:val="2"/>
                <w:lang w:bidi="zh-CN"/>
              </w:rPr>
              <w:t>域</w:t>
            </w:r>
            <w:r>
              <w:rPr>
                <w:rFonts w:ascii="Times New Roman" w:hAnsi="Times New Roman"/>
                <w:color w:val="auto"/>
                <w:lang w:bidi="zh-CN"/>
              </w:rPr>
              <w:t>面积</w:t>
            </w:r>
            <w:r>
              <w:rPr>
                <w:rFonts w:ascii="Times New Roman" w:hAnsi="Times New Roman"/>
                <w:color w:val="auto"/>
              </w:rPr>
              <w:t>：（ ）</w:t>
            </w:r>
            <w:r>
              <w:rPr>
                <w:rFonts w:ascii="Times New Roman" w:hAnsi="Times New Roman" w:eastAsia="Times New Roman"/>
                <w:color w:val="auto"/>
                <w:lang w:bidi="zh-CN"/>
              </w:rPr>
              <w:t>km</w:t>
            </w:r>
            <w:r>
              <w:rPr>
                <w:rFonts w:ascii="Times New Roman" w:hAnsi="Times New Roman" w:eastAsia="Times New Roman"/>
                <w:color w:val="auto"/>
                <w:vertAlign w:val="superscript"/>
                <w:lang w:bidi="zh-CN"/>
              </w:rPr>
              <w:t>2</w:t>
            </w:r>
          </w:p>
        </w:tc>
      </w:tr>
      <w:tr w14:paraId="5839E0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restart"/>
            <w:vAlign w:val="center"/>
          </w:tcPr>
          <w:p w14:paraId="20D91CCD">
            <w:pPr>
              <w:pStyle w:val="84"/>
              <w:rPr>
                <w:rFonts w:ascii="Calibri" w:hAnsi="Calibri"/>
                <w:color w:val="auto"/>
                <w:lang w:bidi="zh-CN"/>
              </w:rPr>
            </w:pPr>
            <w:r>
              <w:rPr>
                <w:rFonts w:ascii="Calibri" w:hAnsi="Calibri"/>
                <w:color w:val="auto"/>
                <w:spacing w:val="-5"/>
                <w:lang w:bidi="zh-CN"/>
              </w:rPr>
              <w:t>生态现状</w:t>
            </w:r>
            <w:r>
              <w:rPr>
                <w:rFonts w:ascii="Calibri" w:hAnsi="Calibri"/>
                <w:color w:val="auto"/>
                <w:lang w:bidi="zh-CN"/>
              </w:rPr>
              <w:t>调查与评价</w:t>
            </w:r>
          </w:p>
        </w:tc>
        <w:tc>
          <w:tcPr>
            <w:tcW w:w="812" w:type="pct"/>
            <w:vAlign w:val="center"/>
          </w:tcPr>
          <w:p w14:paraId="1D54453A">
            <w:pPr>
              <w:pStyle w:val="84"/>
              <w:rPr>
                <w:rFonts w:ascii="Calibri" w:hAnsi="Calibri"/>
                <w:color w:val="auto"/>
                <w:lang w:bidi="zh-CN"/>
              </w:rPr>
            </w:pPr>
            <w:r>
              <w:rPr>
                <w:rFonts w:ascii="Calibri" w:hAnsi="Calibri"/>
                <w:color w:val="auto"/>
                <w:lang w:bidi="zh-CN"/>
              </w:rPr>
              <w:t>调查方法</w:t>
            </w:r>
          </w:p>
        </w:tc>
        <w:tc>
          <w:tcPr>
            <w:tcW w:w="3591" w:type="pct"/>
            <w:vAlign w:val="center"/>
          </w:tcPr>
          <w:p w14:paraId="5B14ADC6">
            <w:pPr>
              <w:pStyle w:val="84"/>
              <w:jc w:val="both"/>
              <w:rPr>
                <w:rFonts w:ascii="Calibri" w:hAnsi="Calibri"/>
                <w:color w:val="auto"/>
                <w:lang w:bidi="zh-CN"/>
              </w:rPr>
            </w:pPr>
            <w:r>
              <w:rPr>
                <w:rFonts w:ascii="Calibri" w:hAnsi="Calibri"/>
                <w:color w:val="auto"/>
                <w:lang w:bidi="zh-CN"/>
              </w:rPr>
              <w:t>资料收集</w:t>
            </w:r>
            <w:r>
              <w:rPr>
                <w:rFonts w:ascii="Calibri" w:hAnsi="Calibri"/>
                <w:color w:val="auto"/>
                <w:lang w:bidi="zh-CN"/>
              </w:rPr>
              <w:sym w:font="Wingdings 2" w:char="0052"/>
            </w:r>
            <w:r>
              <w:rPr>
                <w:rFonts w:ascii="Calibri" w:hAnsi="Calibri"/>
                <w:color w:val="auto"/>
                <w:lang w:bidi="zh-CN"/>
              </w:rPr>
              <w:t>；遥感调查□；调查样方、样线□；调查点位、断面□；专家和公众咨询法□；其他</w:t>
            </w:r>
            <w:r>
              <w:rPr>
                <w:rFonts w:ascii="Calibri" w:hAnsi="Calibri"/>
                <w:color w:val="auto"/>
                <w:lang w:bidi="zh-CN"/>
              </w:rPr>
              <w:sym w:font="Wingdings 2" w:char="0052"/>
            </w:r>
          </w:p>
        </w:tc>
      </w:tr>
      <w:tr w14:paraId="706D60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67DFB079">
            <w:pPr>
              <w:pStyle w:val="84"/>
              <w:rPr>
                <w:rFonts w:ascii="Calibri" w:hAnsi="Calibri"/>
                <w:color w:val="auto"/>
                <w:sz w:val="2"/>
                <w:szCs w:val="2"/>
              </w:rPr>
            </w:pPr>
          </w:p>
        </w:tc>
        <w:tc>
          <w:tcPr>
            <w:tcW w:w="812" w:type="pct"/>
            <w:vAlign w:val="center"/>
          </w:tcPr>
          <w:p w14:paraId="479BD583">
            <w:pPr>
              <w:pStyle w:val="84"/>
              <w:rPr>
                <w:rFonts w:ascii="Calibri" w:hAnsi="Calibri"/>
                <w:color w:val="auto"/>
                <w:lang w:bidi="zh-CN"/>
              </w:rPr>
            </w:pPr>
            <w:r>
              <w:rPr>
                <w:rFonts w:ascii="Calibri" w:hAnsi="Calibri"/>
                <w:color w:val="auto"/>
                <w:lang w:bidi="zh-CN"/>
              </w:rPr>
              <w:t>调查时间</w:t>
            </w:r>
          </w:p>
        </w:tc>
        <w:tc>
          <w:tcPr>
            <w:tcW w:w="3591" w:type="pct"/>
            <w:vAlign w:val="center"/>
          </w:tcPr>
          <w:p w14:paraId="60AE186F">
            <w:pPr>
              <w:pStyle w:val="84"/>
              <w:jc w:val="both"/>
              <w:rPr>
                <w:rFonts w:ascii="Calibri" w:hAnsi="Calibri"/>
                <w:color w:val="auto"/>
                <w:lang w:bidi="zh-CN"/>
              </w:rPr>
            </w:pPr>
            <w:r>
              <w:rPr>
                <w:rFonts w:ascii="Calibri" w:hAnsi="Calibri"/>
                <w:color w:val="auto"/>
                <w:lang w:bidi="zh-CN"/>
              </w:rPr>
              <w:t>春季</w:t>
            </w:r>
            <w:r>
              <w:rPr>
                <w:rFonts w:ascii="Calibri" w:hAnsi="Calibri"/>
                <w:color w:val="auto"/>
                <w:lang w:bidi="zh-CN"/>
              </w:rPr>
              <w:sym w:font="Wingdings 2" w:char="0052"/>
            </w:r>
            <w:r>
              <w:rPr>
                <w:rFonts w:ascii="Calibri" w:hAnsi="Calibri"/>
                <w:color w:val="auto"/>
                <w:lang w:bidi="zh-CN"/>
              </w:rPr>
              <w:t>；夏季</w:t>
            </w:r>
            <w:r>
              <w:rPr>
                <w:rFonts w:ascii="Calibri" w:hAnsi="Calibri"/>
                <w:color w:val="auto"/>
                <w:lang w:bidi="zh-CN"/>
              </w:rPr>
              <w:sym w:font="Wingdings 2" w:char="0052"/>
            </w:r>
            <w:r>
              <w:rPr>
                <w:rFonts w:ascii="Calibri" w:hAnsi="Calibri"/>
                <w:color w:val="auto"/>
                <w:lang w:bidi="zh-CN"/>
              </w:rPr>
              <w:t>；秋季</w:t>
            </w:r>
            <w:r>
              <w:rPr>
                <w:rFonts w:ascii="Calibri" w:hAnsi="Calibri"/>
                <w:color w:val="auto"/>
                <w:lang w:bidi="zh-CN"/>
              </w:rPr>
              <w:sym w:font="Wingdings 2" w:char="0052"/>
            </w:r>
            <w:r>
              <w:rPr>
                <w:rFonts w:ascii="Calibri" w:hAnsi="Calibri"/>
                <w:color w:val="auto"/>
                <w:lang w:bidi="zh-CN"/>
              </w:rPr>
              <w:t>；冬季</w:t>
            </w:r>
            <w:r>
              <w:rPr>
                <w:rFonts w:ascii="Calibri" w:hAnsi="Calibri"/>
                <w:color w:val="auto"/>
                <w:lang w:bidi="zh-CN"/>
              </w:rPr>
              <w:sym w:font="Wingdings 2" w:char="0052"/>
            </w:r>
            <w:r>
              <w:rPr>
                <w:rFonts w:ascii="Calibri" w:hAnsi="Calibri"/>
                <w:color w:val="auto"/>
                <w:lang w:bidi="zh-CN"/>
              </w:rPr>
              <w:t xml:space="preserve"> 丰水期□；枯水期□；平水期□</w:t>
            </w:r>
          </w:p>
        </w:tc>
      </w:tr>
      <w:tr w14:paraId="381935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5AF1D4D1">
            <w:pPr>
              <w:pStyle w:val="84"/>
              <w:rPr>
                <w:rFonts w:ascii="Calibri" w:hAnsi="Calibri"/>
                <w:color w:val="auto"/>
                <w:sz w:val="2"/>
                <w:szCs w:val="2"/>
              </w:rPr>
            </w:pPr>
          </w:p>
        </w:tc>
        <w:tc>
          <w:tcPr>
            <w:tcW w:w="812" w:type="pct"/>
            <w:vAlign w:val="center"/>
          </w:tcPr>
          <w:p w14:paraId="63951C47">
            <w:pPr>
              <w:pStyle w:val="84"/>
              <w:rPr>
                <w:rFonts w:ascii="Calibri" w:hAnsi="Calibri"/>
                <w:color w:val="auto"/>
                <w:lang w:bidi="zh-CN"/>
              </w:rPr>
            </w:pPr>
            <w:r>
              <w:rPr>
                <w:rFonts w:ascii="Calibri" w:hAnsi="Calibri"/>
                <w:color w:val="auto"/>
                <w:lang w:bidi="zh-CN"/>
              </w:rPr>
              <w:t>所在区域的</w:t>
            </w:r>
          </w:p>
          <w:p w14:paraId="0167F4F1">
            <w:pPr>
              <w:pStyle w:val="84"/>
              <w:rPr>
                <w:rFonts w:ascii="Calibri" w:hAnsi="Calibri"/>
                <w:color w:val="auto"/>
                <w:lang w:bidi="zh-CN"/>
              </w:rPr>
            </w:pPr>
            <w:r>
              <w:rPr>
                <w:rFonts w:ascii="Calibri" w:hAnsi="Calibri"/>
                <w:color w:val="auto"/>
                <w:lang w:bidi="zh-CN"/>
              </w:rPr>
              <w:t>生态问题</w:t>
            </w:r>
          </w:p>
        </w:tc>
        <w:tc>
          <w:tcPr>
            <w:tcW w:w="3591" w:type="pct"/>
            <w:vAlign w:val="center"/>
          </w:tcPr>
          <w:p w14:paraId="57FB75A9">
            <w:pPr>
              <w:pStyle w:val="84"/>
              <w:jc w:val="both"/>
              <w:rPr>
                <w:rFonts w:ascii="Calibri" w:hAnsi="Calibri"/>
                <w:color w:val="auto"/>
                <w:lang w:bidi="zh-CN"/>
              </w:rPr>
            </w:pPr>
            <w:r>
              <w:rPr>
                <w:rFonts w:ascii="Calibri" w:hAnsi="Calibri"/>
                <w:color w:val="auto"/>
                <w:lang w:bidi="zh-CN"/>
              </w:rPr>
              <w:t>水土流失□；沙漠化□；石漠化□；盐渍化□；生物入侵□；污染危害□；其他</w:t>
            </w:r>
            <w:r>
              <w:rPr>
                <w:rFonts w:ascii="Calibri" w:hAnsi="Calibri"/>
                <w:color w:val="auto"/>
                <w:lang w:bidi="zh-CN"/>
              </w:rPr>
              <w:sym w:font="Wingdings 2" w:char="0052"/>
            </w:r>
          </w:p>
        </w:tc>
      </w:tr>
      <w:tr w14:paraId="626DAC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596B610B">
            <w:pPr>
              <w:pStyle w:val="84"/>
              <w:rPr>
                <w:rFonts w:ascii="Calibri" w:hAnsi="Calibri"/>
                <w:color w:val="auto"/>
                <w:sz w:val="2"/>
                <w:szCs w:val="2"/>
              </w:rPr>
            </w:pPr>
          </w:p>
        </w:tc>
        <w:tc>
          <w:tcPr>
            <w:tcW w:w="812" w:type="pct"/>
            <w:vAlign w:val="center"/>
          </w:tcPr>
          <w:p w14:paraId="012CEAD4">
            <w:pPr>
              <w:pStyle w:val="84"/>
              <w:rPr>
                <w:rFonts w:ascii="Calibri" w:hAnsi="Calibri"/>
                <w:color w:val="auto"/>
                <w:lang w:bidi="zh-CN"/>
              </w:rPr>
            </w:pPr>
            <w:r>
              <w:rPr>
                <w:rFonts w:ascii="Calibri" w:hAnsi="Calibri"/>
                <w:color w:val="auto"/>
                <w:lang w:bidi="zh-CN"/>
              </w:rPr>
              <w:t>评价内容</w:t>
            </w:r>
          </w:p>
        </w:tc>
        <w:tc>
          <w:tcPr>
            <w:tcW w:w="3591" w:type="pct"/>
            <w:vAlign w:val="center"/>
          </w:tcPr>
          <w:p w14:paraId="0B8DB7E2">
            <w:pPr>
              <w:pStyle w:val="84"/>
              <w:jc w:val="both"/>
              <w:rPr>
                <w:rFonts w:ascii="Calibri" w:hAnsi="Calibri"/>
                <w:color w:val="auto"/>
                <w:lang w:bidi="zh-CN"/>
              </w:rPr>
            </w:pPr>
            <w:r>
              <w:rPr>
                <w:rFonts w:ascii="Calibri" w:hAnsi="Calibri"/>
                <w:color w:val="auto"/>
                <w:lang w:bidi="zh-CN"/>
              </w:rPr>
              <w:t>植被</w:t>
            </w:r>
            <w:r>
              <w:rPr>
                <w:rFonts w:ascii="Calibri" w:hAnsi="Calibri" w:eastAsia="Times New Roman"/>
                <w:color w:val="auto"/>
                <w:lang w:bidi="zh-CN"/>
              </w:rPr>
              <w:t>/</w:t>
            </w:r>
            <w:r>
              <w:rPr>
                <w:rFonts w:ascii="Calibri" w:hAnsi="Calibri"/>
                <w:color w:val="auto"/>
                <w:lang w:bidi="zh-CN"/>
              </w:rPr>
              <w:t>植物群落□；土地利用</w:t>
            </w:r>
            <w:r>
              <w:rPr>
                <w:rFonts w:ascii="Calibri" w:hAnsi="Calibri"/>
                <w:color w:val="auto"/>
                <w:lang w:bidi="zh-CN"/>
              </w:rPr>
              <w:sym w:font="Wingdings 2" w:char="0052"/>
            </w:r>
            <w:r>
              <w:rPr>
                <w:rFonts w:ascii="Calibri" w:hAnsi="Calibri"/>
                <w:color w:val="auto"/>
                <w:lang w:bidi="zh-CN"/>
              </w:rPr>
              <w:t>；生态系统□；生物多样性□；重要物种□；生态敏感区□；其他</w:t>
            </w:r>
            <w:r>
              <w:rPr>
                <w:rFonts w:ascii="Calibri" w:hAnsi="Calibri"/>
                <w:color w:val="auto"/>
                <w:lang w:bidi="zh-CN"/>
              </w:rPr>
              <w:sym w:font="Wingdings 2" w:char="0052"/>
            </w:r>
          </w:p>
        </w:tc>
      </w:tr>
      <w:tr w14:paraId="6E5839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restart"/>
            <w:vAlign w:val="center"/>
          </w:tcPr>
          <w:p w14:paraId="1F1A62F8">
            <w:pPr>
              <w:pStyle w:val="84"/>
              <w:rPr>
                <w:rFonts w:ascii="Calibri" w:hAnsi="Calibri"/>
                <w:color w:val="auto"/>
                <w:lang w:bidi="zh-CN"/>
              </w:rPr>
            </w:pPr>
            <w:r>
              <w:rPr>
                <w:rFonts w:ascii="Calibri" w:hAnsi="Calibri"/>
                <w:color w:val="auto"/>
                <w:spacing w:val="-5"/>
                <w:lang w:bidi="zh-CN"/>
              </w:rPr>
              <w:t>生态影响</w:t>
            </w:r>
            <w:r>
              <w:rPr>
                <w:rFonts w:ascii="Calibri" w:hAnsi="Calibri"/>
                <w:color w:val="auto"/>
                <w:lang w:bidi="zh-CN"/>
              </w:rPr>
              <w:t>预测与评价</w:t>
            </w:r>
          </w:p>
        </w:tc>
        <w:tc>
          <w:tcPr>
            <w:tcW w:w="812" w:type="pct"/>
            <w:vAlign w:val="center"/>
          </w:tcPr>
          <w:p w14:paraId="34CE00F6">
            <w:pPr>
              <w:pStyle w:val="84"/>
              <w:rPr>
                <w:rFonts w:ascii="Calibri" w:hAnsi="Calibri"/>
                <w:color w:val="auto"/>
                <w:lang w:bidi="zh-CN"/>
              </w:rPr>
            </w:pPr>
            <w:r>
              <w:rPr>
                <w:rFonts w:ascii="Calibri" w:hAnsi="Calibri"/>
                <w:color w:val="auto"/>
                <w:lang w:bidi="zh-CN"/>
              </w:rPr>
              <w:t>评价方法</w:t>
            </w:r>
          </w:p>
        </w:tc>
        <w:tc>
          <w:tcPr>
            <w:tcW w:w="3591" w:type="pct"/>
            <w:vAlign w:val="center"/>
          </w:tcPr>
          <w:p w14:paraId="192D23E5">
            <w:pPr>
              <w:pStyle w:val="84"/>
              <w:jc w:val="both"/>
              <w:rPr>
                <w:rFonts w:ascii="Calibri" w:hAnsi="Calibri"/>
                <w:color w:val="auto"/>
                <w:lang w:bidi="zh-CN"/>
              </w:rPr>
            </w:pPr>
            <w:r>
              <w:rPr>
                <w:rFonts w:ascii="Calibri" w:hAnsi="Calibri"/>
                <w:color w:val="auto"/>
                <w:lang w:bidi="zh-CN"/>
              </w:rPr>
              <w:t>定性</w:t>
            </w:r>
            <w:r>
              <w:rPr>
                <w:rFonts w:ascii="Calibri" w:hAnsi="Calibri"/>
                <w:color w:val="auto"/>
                <w:lang w:bidi="zh-CN"/>
              </w:rPr>
              <w:sym w:font="Wingdings 2" w:char="0052"/>
            </w:r>
            <w:r>
              <w:rPr>
                <w:rFonts w:ascii="Calibri" w:hAnsi="Calibri"/>
                <w:color w:val="auto"/>
                <w:lang w:bidi="zh-CN"/>
              </w:rPr>
              <w:t>；定性和定量□</w:t>
            </w:r>
          </w:p>
        </w:tc>
      </w:tr>
      <w:tr w14:paraId="038017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59FBE968">
            <w:pPr>
              <w:pStyle w:val="84"/>
              <w:rPr>
                <w:rFonts w:ascii="Calibri" w:hAnsi="Calibri"/>
                <w:color w:val="auto"/>
                <w:sz w:val="2"/>
                <w:szCs w:val="2"/>
              </w:rPr>
            </w:pPr>
          </w:p>
        </w:tc>
        <w:tc>
          <w:tcPr>
            <w:tcW w:w="812" w:type="pct"/>
            <w:vAlign w:val="center"/>
          </w:tcPr>
          <w:p w14:paraId="55B33914">
            <w:pPr>
              <w:pStyle w:val="84"/>
              <w:rPr>
                <w:rFonts w:ascii="Calibri" w:hAnsi="Calibri"/>
                <w:color w:val="auto"/>
                <w:lang w:bidi="zh-CN"/>
              </w:rPr>
            </w:pPr>
            <w:r>
              <w:rPr>
                <w:rFonts w:ascii="Calibri" w:hAnsi="Calibri"/>
                <w:color w:val="auto"/>
                <w:lang w:bidi="zh-CN"/>
              </w:rPr>
              <w:t>评价内容</w:t>
            </w:r>
          </w:p>
        </w:tc>
        <w:tc>
          <w:tcPr>
            <w:tcW w:w="3591" w:type="pct"/>
            <w:vAlign w:val="center"/>
          </w:tcPr>
          <w:p w14:paraId="5EB7AB3A">
            <w:pPr>
              <w:pStyle w:val="84"/>
              <w:jc w:val="both"/>
              <w:rPr>
                <w:rFonts w:ascii="Calibri" w:hAnsi="Calibri"/>
                <w:color w:val="auto"/>
                <w:lang w:bidi="zh-CN"/>
              </w:rPr>
            </w:pPr>
            <w:r>
              <w:rPr>
                <w:rFonts w:ascii="Calibri" w:hAnsi="Calibri"/>
                <w:color w:val="auto"/>
                <w:lang w:bidi="zh-CN"/>
              </w:rPr>
              <w:t>植被</w:t>
            </w:r>
            <w:r>
              <w:rPr>
                <w:rFonts w:ascii="Calibri" w:hAnsi="Calibri" w:eastAsia="Times New Roman"/>
                <w:color w:val="auto"/>
                <w:lang w:bidi="zh-CN"/>
              </w:rPr>
              <w:t>/</w:t>
            </w:r>
            <w:r>
              <w:rPr>
                <w:rFonts w:ascii="Calibri" w:hAnsi="Calibri"/>
                <w:color w:val="auto"/>
                <w:lang w:bidi="zh-CN"/>
              </w:rPr>
              <w:t>植物群落□；土地利用</w:t>
            </w:r>
            <w:r>
              <w:rPr>
                <w:rFonts w:ascii="Calibri" w:hAnsi="Calibri"/>
                <w:color w:val="auto"/>
                <w:lang w:bidi="zh-CN"/>
              </w:rPr>
              <w:sym w:font="Wingdings 2" w:char="0052"/>
            </w:r>
            <w:r>
              <w:rPr>
                <w:rFonts w:ascii="Calibri" w:hAnsi="Calibri"/>
                <w:color w:val="auto"/>
                <w:lang w:bidi="zh-CN"/>
              </w:rPr>
              <w:t>；生态系统□；生物多样性□；重要物种□；生态敏感区□；生物入侵风险□；其他</w:t>
            </w:r>
            <w:r>
              <w:rPr>
                <w:rFonts w:ascii="Calibri" w:hAnsi="Calibri"/>
                <w:color w:val="auto"/>
                <w:lang w:bidi="zh-CN"/>
              </w:rPr>
              <w:sym w:font="Wingdings 2" w:char="0052"/>
            </w:r>
          </w:p>
        </w:tc>
      </w:tr>
      <w:tr w14:paraId="773B33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restart"/>
            <w:vAlign w:val="center"/>
          </w:tcPr>
          <w:p w14:paraId="38BDB93E">
            <w:pPr>
              <w:pStyle w:val="84"/>
              <w:rPr>
                <w:rFonts w:ascii="Calibri" w:hAnsi="Calibri"/>
                <w:color w:val="auto"/>
                <w:lang w:bidi="zh-CN"/>
              </w:rPr>
            </w:pPr>
            <w:r>
              <w:rPr>
                <w:rFonts w:ascii="Calibri" w:hAnsi="Calibri"/>
                <w:color w:val="auto"/>
                <w:lang w:bidi="zh-CN"/>
              </w:rPr>
              <w:t>生态保护对策措施</w:t>
            </w:r>
          </w:p>
        </w:tc>
        <w:tc>
          <w:tcPr>
            <w:tcW w:w="812" w:type="pct"/>
            <w:vAlign w:val="center"/>
          </w:tcPr>
          <w:p w14:paraId="72975DD0">
            <w:pPr>
              <w:pStyle w:val="84"/>
              <w:rPr>
                <w:rFonts w:ascii="Calibri" w:hAnsi="Calibri"/>
                <w:color w:val="auto"/>
                <w:lang w:bidi="zh-CN"/>
              </w:rPr>
            </w:pPr>
            <w:r>
              <w:rPr>
                <w:rFonts w:ascii="Calibri" w:hAnsi="Calibri"/>
                <w:color w:val="auto"/>
                <w:lang w:bidi="zh-CN"/>
              </w:rPr>
              <w:t>对策措施</w:t>
            </w:r>
          </w:p>
        </w:tc>
        <w:tc>
          <w:tcPr>
            <w:tcW w:w="3591" w:type="pct"/>
            <w:vAlign w:val="center"/>
          </w:tcPr>
          <w:p w14:paraId="5AA1927A">
            <w:pPr>
              <w:pStyle w:val="84"/>
              <w:jc w:val="both"/>
              <w:rPr>
                <w:rFonts w:ascii="Calibri" w:hAnsi="Calibri"/>
                <w:color w:val="auto"/>
                <w:lang w:bidi="zh-CN"/>
              </w:rPr>
            </w:pPr>
            <w:r>
              <w:rPr>
                <w:rFonts w:ascii="Calibri" w:hAnsi="Calibri"/>
                <w:color w:val="auto"/>
                <w:lang w:bidi="zh-CN"/>
              </w:rPr>
              <w:t>避让□；减缓</w:t>
            </w:r>
            <w:r>
              <w:rPr>
                <w:rFonts w:ascii="Calibri" w:hAnsi="Calibri"/>
                <w:color w:val="auto"/>
                <w:lang w:bidi="zh-CN"/>
              </w:rPr>
              <w:sym w:font="Wingdings 2" w:char="0052"/>
            </w:r>
            <w:r>
              <w:rPr>
                <w:rFonts w:ascii="Calibri" w:hAnsi="Calibri"/>
                <w:color w:val="auto"/>
                <w:lang w:bidi="zh-CN"/>
              </w:rPr>
              <w:t>；生态修复</w:t>
            </w:r>
            <w:r>
              <w:rPr>
                <w:rFonts w:ascii="Calibri" w:hAnsi="Calibri"/>
                <w:color w:val="auto"/>
                <w:lang w:bidi="zh-CN"/>
              </w:rPr>
              <w:sym w:font="Wingdings 2" w:char="0052"/>
            </w:r>
            <w:r>
              <w:rPr>
                <w:rFonts w:ascii="Calibri" w:hAnsi="Calibri"/>
                <w:color w:val="auto"/>
                <w:lang w:bidi="zh-CN"/>
              </w:rPr>
              <w:t>；生态补偿□；科研□；其他</w:t>
            </w:r>
            <w:r>
              <w:rPr>
                <w:rFonts w:ascii="Calibri" w:hAnsi="Calibri"/>
                <w:color w:val="auto"/>
                <w:lang w:bidi="zh-CN"/>
              </w:rPr>
              <w:sym w:font="Wingdings 2" w:char="0052"/>
            </w:r>
          </w:p>
        </w:tc>
      </w:tr>
      <w:tr w14:paraId="05FB1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488F91D3">
            <w:pPr>
              <w:pStyle w:val="84"/>
              <w:rPr>
                <w:rFonts w:ascii="Calibri" w:hAnsi="Calibri"/>
                <w:color w:val="auto"/>
                <w:sz w:val="2"/>
                <w:szCs w:val="2"/>
              </w:rPr>
            </w:pPr>
          </w:p>
        </w:tc>
        <w:tc>
          <w:tcPr>
            <w:tcW w:w="812" w:type="pct"/>
            <w:vAlign w:val="center"/>
          </w:tcPr>
          <w:p w14:paraId="25BC526C">
            <w:pPr>
              <w:pStyle w:val="84"/>
              <w:rPr>
                <w:rFonts w:ascii="Calibri" w:hAnsi="Calibri"/>
                <w:color w:val="auto"/>
                <w:lang w:bidi="zh-CN"/>
              </w:rPr>
            </w:pPr>
            <w:r>
              <w:rPr>
                <w:rFonts w:ascii="Calibri" w:hAnsi="Calibri"/>
                <w:color w:val="auto"/>
                <w:lang w:bidi="zh-CN"/>
              </w:rPr>
              <w:t>生态监测计划</w:t>
            </w:r>
          </w:p>
        </w:tc>
        <w:tc>
          <w:tcPr>
            <w:tcW w:w="3591" w:type="pct"/>
            <w:vAlign w:val="center"/>
          </w:tcPr>
          <w:p w14:paraId="0DB7667B">
            <w:pPr>
              <w:pStyle w:val="84"/>
              <w:jc w:val="both"/>
              <w:rPr>
                <w:rFonts w:ascii="Calibri" w:hAnsi="Calibri"/>
                <w:color w:val="auto"/>
                <w:lang w:bidi="zh-CN"/>
              </w:rPr>
            </w:pPr>
            <w:r>
              <w:rPr>
                <w:rFonts w:ascii="Calibri" w:hAnsi="Calibri"/>
                <w:color w:val="auto"/>
                <w:lang w:bidi="zh-CN"/>
              </w:rPr>
              <w:t>全生命周期□；长期跟踪□；常规□；无</w:t>
            </w:r>
            <w:r>
              <w:rPr>
                <w:rFonts w:ascii="Calibri" w:hAnsi="Calibri"/>
                <w:color w:val="auto"/>
                <w:lang w:bidi="zh-CN"/>
              </w:rPr>
              <w:sym w:font="Wingdings 2" w:char="0052"/>
            </w:r>
          </w:p>
        </w:tc>
      </w:tr>
      <w:tr w14:paraId="48DB69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Merge w:val="continue"/>
            <w:vAlign w:val="center"/>
          </w:tcPr>
          <w:p w14:paraId="571D6531">
            <w:pPr>
              <w:pStyle w:val="84"/>
              <w:rPr>
                <w:rFonts w:ascii="Calibri" w:hAnsi="Calibri"/>
                <w:color w:val="auto"/>
                <w:sz w:val="2"/>
                <w:szCs w:val="2"/>
              </w:rPr>
            </w:pPr>
          </w:p>
        </w:tc>
        <w:tc>
          <w:tcPr>
            <w:tcW w:w="812" w:type="pct"/>
            <w:vAlign w:val="center"/>
          </w:tcPr>
          <w:p w14:paraId="73F23491">
            <w:pPr>
              <w:pStyle w:val="84"/>
              <w:rPr>
                <w:rFonts w:ascii="Calibri" w:hAnsi="Calibri"/>
                <w:color w:val="auto"/>
                <w:lang w:bidi="zh-CN"/>
              </w:rPr>
            </w:pPr>
            <w:r>
              <w:rPr>
                <w:rFonts w:ascii="Calibri" w:hAnsi="Calibri"/>
                <w:color w:val="auto"/>
                <w:lang w:bidi="zh-CN"/>
              </w:rPr>
              <w:t>环境管理</w:t>
            </w:r>
          </w:p>
        </w:tc>
        <w:tc>
          <w:tcPr>
            <w:tcW w:w="3591" w:type="pct"/>
            <w:vAlign w:val="center"/>
          </w:tcPr>
          <w:p w14:paraId="7F3F06DB">
            <w:pPr>
              <w:pStyle w:val="84"/>
              <w:jc w:val="both"/>
              <w:rPr>
                <w:rFonts w:ascii="Calibri" w:hAnsi="Calibri"/>
                <w:color w:val="auto"/>
                <w:lang w:bidi="zh-CN"/>
              </w:rPr>
            </w:pPr>
            <w:r>
              <w:rPr>
                <w:rFonts w:ascii="Calibri" w:hAnsi="Calibri"/>
                <w:color w:val="auto"/>
                <w:lang w:bidi="zh-CN"/>
              </w:rPr>
              <w:t>环境监理□；环境影响后评价□；其他</w:t>
            </w:r>
            <w:r>
              <w:rPr>
                <w:rFonts w:ascii="Calibri" w:hAnsi="Calibri"/>
                <w:color w:val="auto"/>
                <w:lang w:bidi="zh-CN"/>
              </w:rPr>
              <w:sym w:font="Wingdings 2" w:char="0052"/>
            </w:r>
          </w:p>
        </w:tc>
      </w:tr>
      <w:tr w14:paraId="310EE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96" w:type="pct"/>
            <w:vAlign w:val="center"/>
          </w:tcPr>
          <w:p w14:paraId="1935BF63">
            <w:pPr>
              <w:pStyle w:val="84"/>
              <w:rPr>
                <w:rFonts w:ascii="Calibri" w:hAnsi="Calibri"/>
                <w:color w:val="auto"/>
                <w:lang w:bidi="zh-CN"/>
              </w:rPr>
            </w:pPr>
            <w:r>
              <w:rPr>
                <w:rFonts w:ascii="Calibri" w:hAnsi="Calibri"/>
                <w:color w:val="auto"/>
                <w:lang w:bidi="zh-CN"/>
              </w:rPr>
              <w:t>评价结论</w:t>
            </w:r>
          </w:p>
        </w:tc>
        <w:tc>
          <w:tcPr>
            <w:tcW w:w="812" w:type="pct"/>
            <w:vAlign w:val="center"/>
          </w:tcPr>
          <w:p w14:paraId="67890278">
            <w:pPr>
              <w:pStyle w:val="84"/>
              <w:rPr>
                <w:rFonts w:ascii="Calibri" w:hAnsi="Calibri"/>
                <w:color w:val="auto"/>
                <w:lang w:bidi="zh-CN"/>
              </w:rPr>
            </w:pPr>
            <w:r>
              <w:rPr>
                <w:rFonts w:ascii="Calibri" w:hAnsi="Calibri"/>
                <w:color w:val="auto"/>
                <w:lang w:bidi="zh-CN"/>
              </w:rPr>
              <w:t>生态影响</w:t>
            </w:r>
          </w:p>
        </w:tc>
        <w:tc>
          <w:tcPr>
            <w:tcW w:w="3591" w:type="pct"/>
            <w:vAlign w:val="center"/>
          </w:tcPr>
          <w:p w14:paraId="1117E762">
            <w:pPr>
              <w:pStyle w:val="84"/>
              <w:jc w:val="both"/>
              <w:rPr>
                <w:rFonts w:ascii="Calibri" w:hAnsi="Calibri"/>
                <w:color w:val="auto"/>
                <w:lang w:bidi="zh-CN"/>
              </w:rPr>
            </w:pPr>
            <w:r>
              <w:rPr>
                <w:rFonts w:ascii="Calibri" w:hAnsi="Calibri"/>
                <w:color w:val="auto"/>
                <w:lang w:bidi="zh-CN"/>
              </w:rPr>
              <w:t>可行</w:t>
            </w:r>
            <w:r>
              <w:rPr>
                <w:rFonts w:ascii="Calibri" w:hAnsi="Calibri"/>
                <w:color w:val="auto"/>
                <w:lang w:bidi="zh-CN"/>
              </w:rPr>
              <w:sym w:font="Wingdings 2" w:char="0052"/>
            </w:r>
            <w:r>
              <w:rPr>
                <w:rFonts w:ascii="Calibri" w:hAnsi="Calibri"/>
                <w:color w:val="auto"/>
                <w:lang w:bidi="zh-CN"/>
              </w:rPr>
              <w:t>；不可行□</w:t>
            </w:r>
          </w:p>
        </w:tc>
      </w:tr>
      <w:tr w14:paraId="1C54A3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5000" w:type="pct"/>
            <w:gridSpan w:val="3"/>
            <w:vAlign w:val="center"/>
          </w:tcPr>
          <w:p w14:paraId="74C6B214">
            <w:pPr>
              <w:pStyle w:val="84"/>
              <w:jc w:val="left"/>
              <w:rPr>
                <w:rFonts w:ascii="Calibri" w:hAnsi="Calibri"/>
                <w:color w:val="auto"/>
                <w:lang w:bidi="zh-CN"/>
              </w:rPr>
            </w:pPr>
            <w:r>
              <w:rPr>
                <w:rFonts w:ascii="Calibri" w:hAnsi="Calibri"/>
                <w:color w:val="auto"/>
                <w:lang w:bidi="zh-CN"/>
              </w:rPr>
              <w:t>注：</w:t>
            </w:r>
            <w:r>
              <w:rPr>
                <w:rFonts w:ascii="Calibri" w:hAnsi="Calibri"/>
                <w:color w:val="auto"/>
                <w:spacing w:val="1"/>
                <w:lang w:bidi="zh-CN"/>
              </w:rPr>
              <w:t xml:space="preserve"> </w:t>
            </w:r>
            <w:r>
              <w:rPr>
                <w:rFonts w:ascii="Calibri" w:hAnsi="Calibri"/>
                <w:color w:val="auto"/>
                <w:lang w:bidi="zh-CN"/>
              </w:rPr>
              <w:t>“□”</w:t>
            </w:r>
            <w:r>
              <w:rPr>
                <w:rFonts w:ascii="Calibri" w:hAnsi="Calibri"/>
                <w:color w:val="auto"/>
                <w:spacing w:val="1"/>
                <w:lang w:bidi="zh-CN"/>
              </w:rPr>
              <w:t xml:space="preserve"> </w:t>
            </w:r>
            <w:r>
              <w:rPr>
                <w:rFonts w:ascii="Calibri" w:hAnsi="Calibri"/>
                <w:color w:val="auto"/>
                <w:lang w:bidi="zh-CN"/>
              </w:rPr>
              <w:t>为勾选项</w:t>
            </w:r>
            <w:r>
              <w:rPr>
                <w:rFonts w:ascii="Calibri" w:hAnsi="Calibri"/>
                <w:color w:val="auto"/>
                <w:spacing w:val="1"/>
                <w:lang w:bidi="zh-CN"/>
              </w:rPr>
              <w:t xml:space="preserve"> </w:t>
            </w:r>
            <w:r>
              <w:rPr>
                <w:rFonts w:ascii="Calibri" w:hAnsi="Calibri"/>
                <w:color w:val="auto"/>
                <w:lang w:bidi="zh-CN"/>
              </w:rPr>
              <w:t>，可√</w:t>
            </w:r>
            <w:r>
              <w:rPr>
                <w:rFonts w:ascii="Calibri" w:hAnsi="Calibri"/>
                <w:color w:val="auto"/>
                <w:spacing w:val="-1"/>
                <w:lang w:bidi="zh-CN"/>
              </w:rPr>
              <w:t xml:space="preserve"> </w:t>
            </w:r>
            <w:r>
              <w:rPr>
                <w:rFonts w:ascii="Calibri" w:hAnsi="Calibri"/>
                <w:color w:val="auto"/>
                <w:spacing w:val="-92"/>
                <w:lang w:bidi="zh-CN"/>
              </w:rPr>
              <w:t>；“</w:t>
            </w:r>
            <w:r>
              <w:rPr>
                <w:rFonts w:ascii="Calibri" w:hAnsi="Calibri"/>
                <w:color w:val="auto"/>
                <w:lang w:bidi="zh-CN"/>
              </w:rPr>
              <w:t>（</w:t>
            </w:r>
            <w:r>
              <w:rPr>
                <w:rFonts w:ascii="Calibri" w:hAnsi="Calibri"/>
                <w:color w:val="auto"/>
                <w:lang w:bidi="zh-CN"/>
              </w:rPr>
              <w:tab/>
            </w:r>
            <w:r>
              <w:rPr>
                <w:rFonts w:ascii="Calibri" w:hAnsi="Calibri"/>
                <w:color w:val="auto"/>
                <w:spacing w:val="-92"/>
                <w:lang w:bidi="zh-CN"/>
              </w:rPr>
              <w:t>）</w:t>
            </w:r>
            <w:r>
              <w:rPr>
                <w:rFonts w:ascii="Calibri" w:hAnsi="Calibri"/>
                <w:color w:val="auto"/>
                <w:lang w:bidi="zh-CN"/>
              </w:rPr>
              <w:t>”</w:t>
            </w:r>
            <w:r>
              <w:rPr>
                <w:rFonts w:ascii="Calibri" w:hAnsi="Calibri"/>
                <w:color w:val="auto"/>
                <w:spacing w:val="1"/>
                <w:lang w:bidi="zh-CN"/>
              </w:rPr>
              <w:t xml:space="preserve"> </w:t>
            </w:r>
            <w:r>
              <w:rPr>
                <w:rFonts w:ascii="Calibri" w:hAnsi="Calibri"/>
                <w:color w:val="auto"/>
                <w:lang w:bidi="zh-CN"/>
              </w:rPr>
              <w:t>为内容填写项。</w:t>
            </w:r>
          </w:p>
        </w:tc>
      </w:tr>
    </w:tbl>
    <w:p w14:paraId="3A905BCD">
      <w:pPr>
        <w:pStyle w:val="59"/>
        <w:spacing w:line="240" w:lineRule="auto"/>
        <w:ind w:firstLine="0" w:firstLineChars="0"/>
        <w:rPr>
          <w:color w:val="auto"/>
        </w:rPr>
      </w:pPr>
    </w:p>
    <w:p w14:paraId="2D53B0EF">
      <w:pPr>
        <w:spacing w:line="360" w:lineRule="auto"/>
        <w:jc w:val="center"/>
        <w:rPr>
          <w:color w:val="auto"/>
          <w:kern w:val="18"/>
          <w:sz w:val="24"/>
          <w:szCs w:val="21"/>
        </w:rPr>
      </w:pPr>
    </w:p>
    <w:sectPr>
      <w:pgSz w:w="11906" w:h="16838"/>
      <w:pgMar w:top="1440" w:right="1800" w:bottom="1440" w:left="1800" w:header="794" w:footer="907" w:gutter="0"/>
      <w:pgBorders>
        <w:top w:val="none" w:sz="0" w:space="0"/>
        <w:left w:val="none" w:sz="0" w:space="0"/>
        <w:bottom w:val="none" w:sz="0" w:space="0"/>
        <w:right w:val="none" w:sz="0" w:space="0"/>
      </w:pgBorders>
      <w:cols w:space="425" w:num="1"/>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美黑简体">
    <w:altName w:val="宋体"/>
    <w:panose1 w:val="00000000000000000000"/>
    <w:charset w:val="86"/>
    <w:family w:val="auto"/>
    <w:pitch w:val="default"/>
    <w:sig w:usb0="00000000" w:usb1="00000000" w:usb2="00000010" w:usb3="00000000" w:csb0="00040000" w:csb1="00000000"/>
  </w:font>
  <w:font w:name="昆仑仿宋">
    <w:altName w:val="宋体"/>
    <w:panose1 w:val="00000000000000000000"/>
    <w:charset w:val="86"/>
    <w:family w:val="modern"/>
    <w:pitch w:val="default"/>
    <w:sig w:usb0="00000000" w:usb1="00000000" w:usb2="00000010" w:usb3="00000000" w:csb0="00040000" w:csb1="00000000"/>
  </w:font>
  <w:font w:name="TimesNewRomanPSMT">
    <w:altName w:val="SJQY"/>
    <w:panose1 w:val="00000000000000000000"/>
    <w:charset w:val="00"/>
    <w:family w:val="roman"/>
    <w:pitch w:val="default"/>
    <w:sig w:usb0="00000000" w:usb1="00000000" w:usb2="00000000" w:usb3="00000000" w:csb0="00040001" w:csb1="00000000"/>
  </w:font>
  <w:font w:name="SJQY">
    <w:panose1 w:val="02010600030101010101"/>
    <w:charset w:val="86"/>
    <w:family w:val="auto"/>
    <w:pitch w:val="default"/>
    <w:sig w:usb0="00000003" w:usb1="080E0000" w:usb2="00000000" w:usb3="00000000" w:csb0="00040001" w:csb1="00000000"/>
  </w:font>
  <w:font w:name="幼圆">
    <w:panose1 w:val="02010509060101010101"/>
    <w:charset w:val="86"/>
    <w:family w:val="modern"/>
    <w:pitch w:val="default"/>
    <w:sig w:usb0="00000001" w:usb1="080E0000" w:usb2="00000000" w:usb3="00000000" w:csb0="00040000"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Arial Black">
    <w:panose1 w:val="020B0A04020102020204"/>
    <w:charset w:val="00"/>
    <w:family w:val="swiss"/>
    <w:pitch w:val="default"/>
    <w:sig w:usb0="A00002AF" w:usb1="400078FB" w:usb2="00000000" w:usb3="00000000" w:csb0="6000009F" w:csb1="DFD70000"/>
  </w:font>
  <w:font w:name="Financial  (MF)">
    <w:altName w:val="Times New Roman"/>
    <w:panose1 w:val="00000000000000000000"/>
    <w:charset w:val="00"/>
    <w:family w:val="roman"/>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TimesNewRoman">
    <w:altName w:val="Times New Roman"/>
    <w:panose1 w:val="00000000000000000000"/>
    <w:charset w:val="00"/>
    <w:family w:val="auto"/>
    <w:pitch w:val="default"/>
    <w:sig w:usb0="00000000" w:usb1="00000000" w:usb2="00000000" w:usb3="00000000" w:csb0="00000001" w:csb1="00000000"/>
  </w:font>
  <w:font w:name="Arial Unicode MS">
    <w:altName w:val="宋体"/>
    <w:panose1 w:val="020B0604020202020204"/>
    <w:charset w:val="86"/>
    <w:family w:val="swiss"/>
    <w:pitch w:val="default"/>
    <w:sig w:usb0="00000000" w:usb1="00000000" w:usb2="0000003F" w:usb3="00000000" w:csb0="603F01FF" w:csb1="FFFF0000"/>
  </w:font>
  <w:font w:name="Tms Rmn">
    <w:altName w:val="Segoe Print"/>
    <w:panose1 w:val="02020603040505020304"/>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体">
    <w:altName w:val="宋体"/>
    <w:panose1 w:val="00000000000000000000"/>
    <w:charset w:val="86"/>
    <w:family w:val="roman"/>
    <w:pitch w:val="default"/>
    <w:sig w:usb0="00000000" w:usb1="00000000" w:usb2="00000010" w:usb3="00000000" w:csb0="00040000" w:csb1="00000000"/>
  </w:font>
  <w:font w:name="Verdana">
    <w:panose1 w:val="020B0604030504040204"/>
    <w:charset w:val="00"/>
    <w:family w:val="swiss"/>
    <w:pitch w:val="default"/>
    <w:sig w:usb0="A00006FF" w:usb1="4000205B" w:usb2="00000010" w:usb3="00000000" w:csb0="2000019F" w:csb1="00000000"/>
  </w:font>
  <w:font w:name="MS Shell Dlg">
    <w:altName w:val="Microsoft Sans Serif"/>
    <w:panose1 w:val="020B0604020202020204"/>
    <w:charset w:val="00"/>
    <w:family w:val="swiss"/>
    <w:pitch w:val="default"/>
    <w:sig w:usb0="00000000" w:usb1="00000000" w:usb2="00000008" w:usb3="00000000" w:csb0="000101FF" w:csb1="00000000"/>
  </w:font>
  <w:font w:name="Microsoft Sans Serif">
    <w:panose1 w:val="020B0604020202020204"/>
    <w:charset w:val="00"/>
    <w:family w:val="auto"/>
    <w:pitch w:val="default"/>
    <w:sig w:usb0="E5002EFF" w:usb1="C000605B" w:usb2="00000029" w:usb3="00000000" w:csb0="200101FF" w:csb1="20280000"/>
  </w:font>
  <w:font w:name="汉鼎简书宋">
    <w:altName w:val="宋体"/>
    <w:panose1 w:val="00000000000000000000"/>
    <w:charset w:val="86"/>
    <w:family w:val="modern"/>
    <w:pitch w:val="default"/>
    <w:sig w:usb0="00000000" w:usb1="00000000" w:usb2="00000010" w:usb3="00000000" w:csb0="00040000" w:csb1="00000000"/>
  </w:font>
  <w:font w:name="TimesNewRomanPS-ItalicMT">
    <w:altName w:val="Times New Roman"/>
    <w:panose1 w:val="00000000000000000000"/>
    <w:charset w:val="00"/>
    <w:family w:val="roman"/>
    <w:pitch w:val="default"/>
    <w:sig w:usb0="00000000" w:usb1="00000000" w:usb2="00000000" w:usb3="00000000" w:csb0="00000000" w:csb1="00000000"/>
  </w:font>
  <w:font w:name="Helvetica">
    <w:altName w:val="Arial"/>
    <w:panose1 w:val="020B0604020202020204"/>
    <w:charset w:val="00"/>
    <w:family w:val="swiss"/>
    <w:pitch w:val="default"/>
    <w:sig w:usb0="00000000" w:usb1="00000000" w:usb2="00000009" w:usb3="00000000" w:csb0="000001FF" w:csb1="00000000"/>
  </w:font>
  <w:font w:name="SymbolMT">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等线">
    <w:panose1 w:val="02010600030101010101"/>
    <w:charset w:val="86"/>
    <w:family w:val="auto"/>
    <w:pitch w:val="default"/>
    <w:sig w:usb0="A00002BF" w:usb1="38CF7CFA" w:usb2="00000016" w:usb3="00000000" w:csb0="0004000F" w:csb1="00000000"/>
  </w:font>
  <w:font w:name="Segoe UI Symbol">
    <w:panose1 w:val="020B0502040204020203"/>
    <w:charset w:val="00"/>
    <w:family w:val="swiss"/>
    <w:pitch w:val="default"/>
    <w:sig w:usb0="800001E3" w:usb1="1200FFEF" w:usb2="00040000" w:usb3="04000000" w:csb0="00000001" w:csb1="40000000"/>
  </w:font>
  <w:font w:name="Cambria Math">
    <w:panose1 w:val="02040503050406030204"/>
    <w:charset w:val="00"/>
    <w:family w:val="roman"/>
    <w:pitch w:val="default"/>
    <w:sig w:usb0="E00006FF" w:usb1="420024FF" w:usb2="02000000" w:usb3="00000000" w:csb0="2000019F" w:csb1="00000000"/>
  </w:font>
  <w:font w:name="MS Mincho">
    <w:altName w:val="Yu Gothic UI"/>
    <w:panose1 w:val="02020609040205080304"/>
    <w:charset w:val="80"/>
    <w:family w:val="modern"/>
    <w:pitch w:val="default"/>
    <w:sig w:usb0="00000000" w:usb1="00000000" w:usb2="00000012" w:usb3="00000000" w:csb0="4002009F" w:csb1="DFD70000"/>
  </w:font>
  <w:font w:name="Yu Gothic UI">
    <w:panose1 w:val="020B0500000000000000"/>
    <w:charset w:val="80"/>
    <w:family w:val="auto"/>
    <w:pitch w:val="default"/>
    <w:sig w:usb0="E00002FF" w:usb1="2AC7FDFF" w:usb2="00000016" w:usb3="00000000" w:csb0="2002009F" w:csb1="00000000"/>
  </w:font>
  <w:font w:name="Wingdings 2">
    <w:panose1 w:val="05020102010507070707"/>
    <w:charset w:val="02"/>
    <w:family w:val="roman"/>
    <w:pitch w:val="default"/>
    <w:sig w:usb0="00000000" w:usb1="00000000" w:usb2="00000000" w:usb3="00000000" w:csb0="80000000"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858BE6">
    <w:pPr>
      <w:pStyle w:val="31"/>
      <w:jc w:val="center"/>
    </w:pPr>
  </w:p>
  <w:p w14:paraId="741DA8B8">
    <w:pPr>
      <w:pStyle w:val="3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F5D0D">
    <w:pPr>
      <w:pStyle w:val="31"/>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D6D058">
    <w:pPr>
      <w:pStyle w:val="31"/>
      <w:jc w:val="center"/>
    </w:pPr>
    <w:r>
      <w:fldChar w:fldCharType="begin"/>
    </w:r>
    <w:r>
      <w:instrText xml:space="preserve"> PAGE   \* MERGEFORMAT </w:instrText>
    </w:r>
    <w:r>
      <w:fldChar w:fldCharType="separate"/>
    </w:r>
    <w:r>
      <w:rPr>
        <w:lang w:val="zh-CN"/>
      </w:rPr>
      <w:t>2</w:t>
    </w:r>
    <w:r>
      <w:rPr>
        <w:lang w:val="zh-CN"/>
      </w:rPr>
      <w:fldChar w:fldCharType="end"/>
    </w:r>
  </w:p>
  <w:p w14:paraId="087BBE49"/>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11AE5">
    <w:pPr>
      <w:pStyle w:val="31"/>
      <w:tabs>
        <w:tab w:val="center" w:pos="4422"/>
        <w:tab w:val="right" w:pos="8844"/>
        <w:tab w:val="clear" w:pos="4153"/>
        <w:tab w:val="clear" w:pos="8306"/>
      </w:tabs>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72085" cy="131445"/>
              <wp:effectExtent l="0" t="0" r="635" b="0"/>
              <wp:wrapNone/>
              <wp:docPr id="1662565081" name="Text Box 1"/>
              <wp:cNvGraphicFramePr/>
              <a:graphic xmlns:a="http://schemas.openxmlformats.org/drawingml/2006/main">
                <a:graphicData uri="http://schemas.microsoft.com/office/word/2010/wordprocessingShape">
                  <wps:wsp>
                    <wps:cNvSpPr txBox="1">
                      <a:spLocks noChangeArrowheads="1"/>
                    </wps:cNvSpPr>
                    <wps:spPr bwMode="auto">
                      <a:xfrm>
                        <a:off x="0" y="0"/>
                        <a:ext cx="172085" cy="131445"/>
                      </a:xfrm>
                      <a:prstGeom prst="rect">
                        <a:avLst/>
                      </a:prstGeom>
                      <a:noFill/>
                      <a:ln>
                        <a:noFill/>
                      </a:ln>
                    </wps:spPr>
                    <wps:txbx>
                      <w:txbxContent>
                        <w:p w14:paraId="1DEE884E">
                          <w:pPr>
                            <w:pStyle w:val="31"/>
                          </w:pPr>
                          <w:r>
                            <w:fldChar w:fldCharType="begin"/>
                          </w:r>
                          <w:r>
                            <w:instrText xml:space="preserve"> PAGE  \* MERGEFORMAT </w:instrText>
                          </w:r>
                          <w:r>
                            <w:fldChar w:fldCharType="separate"/>
                          </w:r>
                          <w:r>
                            <w:t>185</w:t>
                          </w:r>
                          <w:r>
                            <w:fldChar w:fldCharType="end"/>
                          </w:r>
                        </w:p>
                      </w:txbxContent>
                    </wps:txbx>
                    <wps:bodyPr rot="0" vert="horz" wrap="none" lIns="0" tIns="0" rIns="0" bIns="0" anchor="t" anchorCtr="0" upright="1">
                      <a:spAutoFit/>
                    </wps:bodyPr>
                  </wps:wsp>
                </a:graphicData>
              </a:graphic>
            </wp:anchor>
          </w:drawing>
        </mc:Choice>
        <mc:Fallback>
          <w:pict>
            <v:shape id="Text Box 1" o:spid="_x0000_s1026" o:spt="202" type="#_x0000_t202" style="position:absolute;left:0pt;margin-top:0pt;height:10.35pt;width:13.55pt;mso-position-horizontal:center;mso-position-horizontal-relative:margin;mso-wrap-style:none;z-index:251661312;mso-width-relative:page;mso-height-relative:page;" filled="f" stroked="f" coordsize="21600,21600" o:gfxdata="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CUldDlzwAAAAMBAAAPAAAAAAAAAAEAIAAAACIAAABkcnMvZG93bnJldi54bWxQ&#10;SwECFAAUAAAACACHTuJAyyhOcAACAAAKBAAADgAAAAAAAAABACAAAAAeAQAAZHJzL2Uyb0RvYy54&#10;bWxQSwUGAAAAAAYABgBZAQAAkAUAAAAA&#10;">
              <v:fill on="f" focussize="0,0"/>
              <v:stroke on="f"/>
              <v:imagedata o:title=""/>
              <o:lock v:ext="edit" aspectratio="f"/>
              <v:textbox inset="0mm,0mm,0mm,0mm" style="mso-fit-shape-to-text:t;">
                <w:txbxContent>
                  <w:p w14:paraId="1DEE884E">
                    <w:pPr>
                      <w:pStyle w:val="31"/>
                    </w:pPr>
                    <w:r>
                      <w:fldChar w:fldCharType="begin"/>
                    </w:r>
                    <w:r>
                      <w:instrText xml:space="preserve"> PAGE  \* MERGEFORMAT </w:instrText>
                    </w:r>
                    <w:r>
                      <w:fldChar w:fldCharType="separate"/>
                    </w:r>
                    <w:r>
                      <w:t>185</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861559"/>
    </w:sdtPr>
    <w:sdtContent>
      <w:p w14:paraId="4CFE2927">
        <w:pPr>
          <w:pStyle w:val="31"/>
          <w:jc w:val="center"/>
        </w:pPr>
        <w:r>
          <w:fldChar w:fldCharType="begin"/>
        </w:r>
        <w:r>
          <w:instrText xml:space="preserve"> PAGE   \* MERGEFORMAT </w:instrText>
        </w:r>
        <w:r>
          <w:fldChar w:fldCharType="separate"/>
        </w:r>
        <w:r>
          <w:rPr>
            <w:lang w:val="zh-CN"/>
          </w:rPr>
          <w:t>218</w:t>
        </w:r>
        <w:r>
          <w:rPr>
            <w:lang w:val="zh-CN"/>
          </w:rPr>
          <w:fldChar w:fldCharType="end"/>
        </w:r>
      </w:p>
    </w:sdtContent>
  </w:sdt>
  <w:p w14:paraId="0FBD8579">
    <w:pPr>
      <w:pStyle w:val="31"/>
      <w:ind w:firstLine="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93EC26">
    <w:pPr>
      <w:pStyle w:val="31"/>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FB18A">
    <w:pPr>
      <w:pStyle w:val="31"/>
      <w:ind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917C19">
    <w:pPr>
      <w:jc w:val="center"/>
      <w:outlineLvl w:val="0"/>
      <w:rPr>
        <w:rFonts w:ascii="黑体" w:hAnsi="宋体" w:eastAsia="黑体"/>
        <w:sz w:val="18"/>
        <w:szCs w:val="18"/>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72E83A">
    <w:pPr>
      <w:pBdr>
        <w:bottom w:val="single" w:color="auto" w:sz="4" w:space="0"/>
      </w:pBdr>
      <w:jc w:val="center"/>
      <w:outlineLvl w:val="0"/>
      <w:rPr>
        <w:rFonts w:ascii="仿宋" w:hAnsi="仿宋" w:eastAsia="仿宋"/>
        <w:b/>
        <w:bCs/>
        <w:sz w:val="18"/>
        <w:szCs w:val="18"/>
      </w:rPr>
    </w:pPr>
    <w:r>
      <w:rPr>
        <w:rFonts w:hint="eastAsia" w:ascii="仿宋" w:hAnsi="仿宋" w:eastAsia="仿宋"/>
        <w:b/>
        <w:bCs/>
        <w:sz w:val="18"/>
        <w:szCs w:val="18"/>
        <w:lang w:eastAsia="zh-CN"/>
      </w:rPr>
      <w:t>鸡东县新泉采石场固废回填复垦项目</w:t>
    </w:r>
    <w:r>
      <w:rPr>
        <w:rFonts w:hint="eastAsia" w:ascii="仿宋" w:hAnsi="仿宋" w:eastAsia="仿宋"/>
        <w:b/>
        <w:bCs/>
        <w:sz w:val="18"/>
        <w:szCs w:val="18"/>
      </w:rPr>
      <w:t>环境影响报告书</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FA51FB">
    <w:pPr>
      <w:pBdr>
        <w:bottom w:val="single" w:color="auto" w:sz="4" w:space="0"/>
      </w:pBdr>
      <w:jc w:val="center"/>
      <w:outlineLvl w:val="0"/>
      <w:rPr>
        <w:rFonts w:ascii="仿宋" w:hAnsi="仿宋" w:eastAsia="仿宋"/>
        <w:b/>
        <w:bCs/>
        <w:sz w:val="18"/>
        <w:szCs w:val="18"/>
      </w:rPr>
    </w:pPr>
    <w:r>
      <w:rPr>
        <w:rFonts w:hint="eastAsia" w:ascii="仿宋" w:hAnsi="仿宋" w:eastAsia="仿宋"/>
        <w:b/>
        <w:bCs/>
        <w:sz w:val="18"/>
        <w:szCs w:val="18"/>
        <w:lang w:eastAsia="zh-CN"/>
      </w:rPr>
      <w:t>鸡东县新泉采石场固废回填复垦项目</w:t>
    </w:r>
    <w:r>
      <w:rPr>
        <w:rFonts w:hint="eastAsia" w:ascii="仿宋" w:hAnsi="仿宋" w:eastAsia="仿宋"/>
        <w:b/>
        <w:bCs/>
        <w:sz w:val="18"/>
        <w:szCs w:val="18"/>
      </w:rPr>
      <w:t>环境影响报告书</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5CA173">
    <w:pPr>
      <w:pStyle w:val="32"/>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9A29CD">
    <w:pPr>
      <w:pStyle w:val="3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DAD661"/>
    <w:multiLevelType w:val="singleLevel"/>
    <w:tmpl w:val="28DAD661"/>
    <w:lvl w:ilvl="0" w:tentative="0">
      <w:start w:val="1"/>
      <w:numFmt w:val="bullet"/>
      <w:pStyle w:val="26"/>
      <w:lvlText w:val=""/>
      <w:lvlJc w:val="left"/>
      <w:pPr>
        <w:tabs>
          <w:tab w:val="left" w:pos="2040"/>
        </w:tabs>
        <w:ind w:left="2040" w:hanging="360"/>
      </w:pPr>
      <w:rPr>
        <w:rFonts w:hint="default" w:ascii="Wingdings" w:hAnsi="Wingdings"/>
      </w:rPr>
    </w:lvl>
  </w:abstractNum>
  <w:abstractNum w:abstractNumId="1">
    <w:nsid w:val="2A554106"/>
    <w:multiLevelType w:val="singleLevel"/>
    <w:tmpl w:val="2A554106"/>
    <w:lvl w:ilvl="0" w:tentative="0">
      <w:start w:val="1"/>
      <w:numFmt w:val="bullet"/>
      <w:pStyle w:val="440"/>
      <w:lvlText w:val=""/>
      <w:lvlJc w:val="left"/>
      <w:pPr>
        <w:tabs>
          <w:tab w:val="left" w:pos="360"/>
        </w:tabs>
        <w:ind w:left="340" w:hanging="340"/>
      </w:pPr>
      <w:rPr>
        <w:rFonts w:hint="default" w:ascii="Wingdings" w:hAnsi="Wingdings"/>
        <w:sz w:val="21"/>
      </w:rPr>
    </w:lvl>
  </w:abstractNum>
  <w:abstractNum w:abstractNumId="2">
    <w:nsid w:val="2BC15394"/>
    <w:multiLevelType w:val="singleLevel"/>
    <w:tmpl w:val="2BC15394"/>
    <w:lvl w:ilvl="0" w:tentative="0">
      <w:start w:val="0"/>
      <w:numFmt w:val="none"/>
      <w:pStyle w:val="411"/>
      <w:lvlText w:val=""/>
      <w:lvlJc w:val="left"/>
      <w:pPr>
        <w:tabs>
          <w:tab w:val="left" w:pos="0"/>
        </w:tabs>
        <w:ind w:left="0" w:firstLine="0"/>
      </w:pPr>
      <w:rPr>
        <w:rFonts w:hint="default" w:ascii="Wingdings" w:hAnsi="Wingdings"/>
        <w:sz w:val="13"/>
      </w:rPr>
    </w:lvl>
  </w:abstractNum>
  <w:abstractNum w:abstractNumId="3">
    <w:nsid w:val="3991358E"/>
    <w:multiLevelType w:val="multilevel"/>
    <w:tmpl w:val="3991358E"/>
    <w:lvl w:ilvl="0" w:tentative="0">
      <w:start w:val="1"/>
      <w:numFmt w:val="japaneseCounting"/>
      <w:pStyle w:val="541"/>
      <w:lvlText w:val="%1、"/>
      <w:lvlJc w:val="left"/>
      <w:pPr>
        <w:tabs>
          <w:tab w:val="left" w:pos="360"/>
        </w:tabs>
        <w:ind w:left="36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pStyle w:val="228"/>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48DB4020"/>
    <w:multiLevelType w:val="singleLevel"/>
    <w:tmpl w:val="48DB4020"/>
    <w:lvl w:ilvl="0" w:tentative="0">
      <w:start w:val="1"/>
      <w:numFmt w:val="bullet"/>
      <w:pStyle w:val="353"/>
      <w:lvlText w:val=""/>
      <w:lvlJc w:val="left"/>
      <w:pPr>
        <w:tabs>
          <w:tab w:val="left" w:pos="567"/>
        </w:tabs>
        <w:ind w:left="0" w:firstLine="567"/>
      </w:pPr>
      <w:rPr>
        <w:rFonts w:hint="default" w:ascii="Symbol" w:hAnsi="Symbol"/>
      </w:rPr>
    </w:lvl>
  </w:abstractNum>
  <w:abstractNum w:abstractNumId="5">
    <w:nsid w:val="54797E26"/>
    <w:multiLevelType w:val="multilevel"/>
    <w:tmpl w:val="54797E26"/>
    <w:lvl w:ilvl="0" w:tentative="0">
      <w:start w:val="1"/>
      <w:numFmt w:val="decimalEnclosedCircle"/>
      <w:lvlText w:val="%1"/>
      <w:lvlJc w:val="left"/>
      <w:pPr>
        <w:ind w:left="360" w:hanging="360"/>
      </w:pPr>
      <w:rPr>
        <w:rFonts w:hint="default"/>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6">
    <w:nsid w:val="56094615"/>
    <w:multiLevelType w:val="singleLevel"/>
    <w:tmpl w:val="56094615"/>
    <w:lvl w:ilvl="0" w:tentative="0">
      <w:start w:val="1"/>
      <w:numFmt w:val="bullet"/>
      <w:pStyle w:val="354"/>
      <w:lvlText w:val=""/>
      <w:legacy w:legacy="1" w:legacySpace="0" w:legacyIndent="170"/>
      <w:lvlJc w:val="left"/>
      <w:pPr>
        <w:ind w:left="454" w:hanging="170"/>
      </w:pPr>
      <w:rPr>
        <w:rFonts w:hint="default" w:ascii="Symbol" w:hAnsi="Symbol"/>
      </w:rPr>
    </w:lvl>
  </w:abstractNum>
  <w:num w:numId="1">
    <w:abstractNumId w:val="0"/>
  </w:num>
  <w:num w:numId="2">
    <w:abstractNumId w:val="3"/>
  </w:num>
  <w:num w:numId="3">
    <w:abstractNumId w:val="4"/>
  </w:num>
  <w:num w:numId="4">
    <w:abstractNumId w:val="6"/>
  </w:num>
  <w:num w:numId="5">
    <w:abstractNumId w:val="2"/>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hideSpellingErrors/>
  <w:attachedTemplate r:id="rId1"/>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E5MjkzYjI4MGI2NTA3NjRjZmQzZGJhZjJjYmE3YmIifQ=="/>
  </w:docVars>
  <w:rsids>
    <w:rsidRoot w:val="00CD6827"/>
    <w:rsid w:val="0000015F"/>
    <w:rsid w:val="00000247"/>
    <w:rsid w:val="00000261"/>
    <w:rsid w:val="0000041D"/>
    <w:rsid w:val="00000955"/>
    <w:rsid w:val="000011B8"/>
    <w:rsid w:val="0000146A"/>
    <w:rsid w:val="00001D5A"/>
    <w:rsid w:val="00001DD1"/>
    <w:rsid w:val="00001DF9"/>
    <w:rsid w:val="00002043"/>
    <w:rsid w:val="000020FF"/>
    <w:rsid w:val="0000255E"/>
    <w:rsid w:val="000025FF"/>
    <w:rsid w:val="00002EDF"/>
    <w:rsid w:val="00003A27"/>
    <w:rsid w:val="00003ADD"/>
    <w:rsid w:val="00003DF8"/>
    <w:rsid w:val="000043FE"/>
    <w:rsid w:val="00004822"/>
    <w:rsid w:val="0000489C"/>
    <w:rsid w:val="00004DFD"/>
    <w:rsid w:val="00004E4E"/>
    <w:rsid w:val="000059C4"/>
    <w:rsid w:val="00005A28"/>
    <w:rsid w:val="00006EA1"/>
    <w:rsid w:val="00007252"/>
    <w:rsid w:val="00007648"/>
    <w:rsid w:val="000108E6"/>
    <w:rsid w:val="00010959"/>
    <w:rsid w:val="00010F8B"/>
    <w:rsid w:val="00011646"/>
    <w:rsid w:val="00011C2B"/>
    <w:rsid w:val="00011DDF"/>
    <w:rsid w:val="00011E25"/>
    <w:rsid w:val="00012939"/>
    <w:rsid w:val="00012C34"/>
    <w:rsid w:val="000130E3"/>
    <w:rsid w:val="0001378D"/>
    <w:rsid w:val="00013845"/>
    <w:rsid w:val="00014AF2"/>
    <w:rsid w:val="00015172"/>
    <w:rsid w:val="00015FD3"/>
    <w:rsid w:val="000160FE"/>
    <w:rsid w:val="000166C8"/>
    <w:rsid w:val="00016F39"/>
    <w:rsid w:val="00017D34"/>
    <w:rsid w:val="00020E53"/>
    <w:rsid w:val="00021497"/>
    <w:rsid w:val="00021C39"/>
    <w:rsid w:val="0002201F"/>
    <w:rsid w:val="00022108"/>
    <w:rsid w:val="000222BC"/>
    <w:rsid w:val="00022568"/>
    <w:rsid w:val="000228A3"/>
    <w:rsid w:val="0002364E"/>
    <w:rsid w:val="00023736"/>
    <w:rsid w:val="00023739"/>
    <w:rsid w:val="00023756"/>
    <w:rsid w:val="00023938"/>
    <w:rsid w:val="00023FC5"/>
    <w:rsid w:val="00024162"/>
    <w:rsid w:val="000241AF"/>
    <w:rsid w:val="000247BA"/>
    <w:rsid w:val="00024B71"/>
    <w:rsid w:val="0002518C"/>
    <w:rsid w:val="000251C1"/>
    <w:rsid w:val="00025E78"/>
    <w:rsid w:val="000262F5"/>
    <w:rsid w:val="00026517"/>
    <w:rsid w:val="00026977"/>
    <w:rsid w:val="00026E50"/>
    <w:rsid w:val="000272AF"/>
    <w:rsid w:val="000273BA"/>
    <w:rsid w:val="000273C1"/>
    <w:rsid w:val="0002753E"/>
    <w:rsid w:val="00027852"/>
    <w:rsid w:val="00027AB6"/>
    <w:rsid w:val="00027B9A"/>
    <w:rsid w:val="00027D37"/>
    <w:rsid w:val="00027E1C"/>
    <w:rsid w:val="00030300"/>
    <w:rsid w:val="000303AD"/>
    <w:rsid w:val="00030C80"/>
    <w:rsid w:val="00030D02"/>
    <w:rsid w:val="00030D22"/>
    <w:rsid w:val="00030D5B"/>
    <w:rsid w:val="000310B4"/>
    <w:rsid w:val="0003162C"/>
    <w:rsid w:val="00031767"/>
    <w:rsid w:val="00031DC9"/>
    <w:rsid w:val="0003272A"/>
    <w:rsid w:val="00032925"/>
    <w:rsid w:val="00032C6C"/>
    <w:rsid w:val="00033011"/>
    <w:rsid w:val="00033858"/>
    <w:rsid w:val="00033A63"/>
    <w:rsid w:val="00033AB4"/>
    <w:rsid w:val="00033CC7"/>
    <w:rsid w:val="00033E48"/>
    <w:rsid w:val="00033F4B"/>
    <w:rsid w:val="0003420D"/>
    <w:rsid w:val="000346DC"/>
    <w:rsid w:val="000347A9"/>
    <w:rsid w:val="00034D30"/>
    <w:rsid w:val="000351D2"/>
    <w:rsid w:val="00035448"/>
    <w:rsid w:val="00035553"/>
    <w:rsid w:val="00035B39"/>
    <w:rsid w:val="00035DCD"/>
    <w:rsid w:val="00036345"/>
    <w:rsid w:val="00036EE4"/>
    <w:rsid w:val="0003720B"/>
    <w:rsid w:val="000372B7"/>
    <w:rsid w:val="00037967"/>
    <w:rsid w:val="00037B8B"/>
    <w:rsid w:val="00040272"/>
    <w:rsid w:val="0004032D"/>
    <w:rsid w:val="00040954"/>
    <w:rsid w:val="00040DE8"/>
    <w:rsid w:val="00041001"/>
    <w:rsid w:val="0004165F"/>
    <w:rsid w:val="000416C4"/>
    <w:rsid w:val="000416FD"/>
    <w:rsid w:val="00041A53"/>
    <w:rsid w:val="00041B96"/>
    <w:rsid w:val="00041BE7"/>
    <w:rsid w:val="00042041"/>
    <w:rsid w:val="000421E3"/>
    <w:rsid w:val="000421F8"/>
    <w:rsid w:val="0004298C"/>
    <w:rsid w:val="00042A3C"/>
    <w:rsid w:val="00042E1E"/>
    <w:rsid w:val="000436D5"/>
    <w:rsid w:val="00043ECF"/>
    <w:rsid w:val="00044DAE"/>
    <w:rsid w:val="000459E1"/>
    <w:rsid w:val="00046128"/>
    <w:rsid w:val="000469EB"/>
    <w:rsid w:val="00046F5D"/>
    <w:rsid w:val="00047325"/>
    <w:rsid w:val="000477BF"/>
    <w:rsid w:val="00047D3E"/>
    <w:rsid w:val="00050290"/>
    <w:rsid w:val="00050923"/>
    <w:rsid w:val="000509C9"/>
    <w:rsid w:val="000514A8"/>
    <w:rsid w:val="000516C1"/>
    <w:rsid w:val="0005197C"/>
    <w:rsid w:val="00051B0A"/>
    <w:rsid w:val="00052487"/>
    <w:rsid w:val="000524AC"/>
    <w:rsid w:val="00052943"/>
    <w:rsid w:val="000530AE"/>
    <w:rsid w:val="000533A2"/>
    <w:rsid w:val="00053904"/>
    <w:rsid w:val="00053F42"/>
    <w:rsid w:val="0005436B"/>
    <w:rsid w:val="00054C89"/>
    <w:rsid w:val="000552E4"/>
    <w:rsid w:val="000555EB"/>
    <w:rsid w:val="00055C3B"/>
    <w:rsid w:val="00057153"/>
    <w:rsid w:val="000571D5"/>
    <w:rsid w:val="000579A0"/>
    <w:rsid w:val="00057CE1"/>
    <w:rsid w:val="00057D66"/>
    <w:rsid w:val="00060092"/>
    <w:rsid w:val="00060256"/>
    <w:rsid w:val="00060375"/>
    <w:rsid w:val="0006049A"/>
    <w:rsid w:val="000607CB"/>
    <w:rsid w:val="0006094F"/>
    <w:rsid w:val="00060B6A"/>
    <w:rsid w:val="000610BB"/>
    <w:rsid w:val="0006158B"/>
    <w:rsid w:val="00061B56"/>
    <w:rsid w:val="00061F49"/>
    <w:rsid w:val="00062182"/>
    <w:rsid w:val="000624A5"/>
    <w:rsid w:val="0006254D"/>
    <w:rsid w:val="000627D7"/>
    <w:rsid w:val="00062B0A"/>
    <w:rsid w:val="00062EAE"/>
    <w:rsid w:val="00062F43"/>
    <w:rsid w:val="000631F2"/>
    <w:rsid w:val="0006320E"/>
    <w:rsid w:val="00063443"/>
    <w:rsid w:val="00063E58"/>
    <w:rsid w:val="00064051"/>
    <w:rsid w:val="00064536"/>
    <w:rsid w:val="000649EB"/>
    <w:rsid w:val="00064B30"/>
    <w:rsid w:val="00065032"/>
    <w:rsid w:val="000659BE"/>
    <w:rsid w:val="00065F8A"/>
    <w:rsid w:val="000660FA"/>
    <w:rsid w:val="00067D3A"/>
    <w:rsid w:val="00067DF8"/>
    <w:rsid w:val="0007031B"/>
    <w:rsid w:val="00070496"/>
    <w:rsid w:val="00070A72"/>
    <w:rsid w:val="00070F53"/>
    <w:rsid w:val="00071280"/>
    <w:rsid w:val="00071654"/>
    <w:rsid w:val="00071F26"/>
    <w:rsid w:val="00071FD2"/>
    <w:rsid w:val="000729CC"/>
    <w:rsid w:val="00072A13"/>
    <w:rsid w:val="00072C37"/>
    <w:rsid w:val="00072CBD"/>
    <w:rsid w:val="00072E7C"/>
    <w:rsid w:val="0007326E"/>
    <w:rsid w:val="00073380"/>
    <w:rsid w:val="00073389"/>
    <w:rsid w:val="0007392C"/>
    <w:rsid w:val="00073BC0"/>
    <w:rsid w:val="00073C12"/>
    <w:rsid w:val="00073E64"/>
    <w:rsid w:val="00073E84"/>
    <w:rsid w:val="000741DF"/>
    <w:rsid w:val="0007422A"/>
    <w:rsid w:val="00075196"/>
    <w:rsid w:val="000759A8"/>
    <w:rsid w:val="00075D55"/>
    <w:rsid w:val="00075F9F"/>
    <w:rsid w:val="0007621C"/>
    <w:rsid w:val="000762A3"/>
    <w:rsid w:val="00076A17"/>
    <w:rsid w:val="0007708E"/>
    <w:rsid w:val="000770C0"/>
    <w:rsid w:val="0007715B"/>
    <w:rsid w:val="00077938"/>
    <w:rsid w:val="000804E9"/>
    <w:rsid w:val="000807A6"/>
    <w:rsid w:val="000809C6"/>
    <w:rsid w:val="00080DB3"/>
    <w:rsid w:val="0008135D"/>
    <w:rsid w:val="000819BF"/>
    <w:rsid w:val="0008228A"/>
    <w:rsid w:val="0008259F"/>
    <w:rsid w:val="00082BF2"/>
    <w:rsid w:val="00082E23"/>
    <w:rsid w:val="00083053"/>
    <w:rsid w:val="00083AC5"/>
    <w:rsid w:val="00084C2D"/>
    <w:rsid w:val="00084C56"/>
    <w:rsid w:val="0008512C"/>
    <w:rsid w:val="0008536B"/>
    <w:rsid w:val="000859A3"/>
    <w:rsid w:val="00086584"/>
    <w:rsid w:val="00086DE3"/>
    <w:rsid w:val="00087393"/>
    <w:rsid w:val="000876C3"/>
    <w:rsid w:val="00087C83"/>
    <w:rsid w:val="00087E07"/>
    <w:rsid w:val="0009000F"/>
    <w:rsid w:val="000902E0"/>
    <w:rsid w:val="00090F5F"/>
    <w:rsid w:val="0009123A"/>
    <w:rsid w:val="00091538"/>
    <w:rsid w:val="000915AA"/>
    <w:rsid w:val="00091797"/>
    <w:rsid w:val="00091B93"/>
    <w:rsid w:val="00091BEF"/>
    <w:rsid w:val="00091D02"/>
    <w:rsid w:val="00091ED6"/>
    <w:rsid w:val="00092387"/>
    <w:rsid w:val="00092636"/>
    <w:rsid w:val="00092727"/>
    <w:rsid w:val="00092D1B"/>
    <w:rsid w:val="000930EC"/>
    <w:rsid w:val="00093517"/>
    <w:rsid w:val="00093A4E"/>
    <w:rsid w:val="00093FC0"/>
    <w:rsid w:val="000940A0"/>
    <w:rsid w:val="00094278"/>
    <w:rsid w:val="00094DE6"/>
    <w:rsid w:val="000953DB"/>
    <w:rsid w:val="000953E5"/>
    <w:rsid w:val="00095ACD"/>
    <w:rsid w:val="00096EE3"/>
    <w:rsid w:val="00097A72"/>
    <w:rsid w:val="00097C15"/>
    <w:rsid w:val="00097C78"/>
    <w:rsid w:val="000A0197"/>
    <w:rsid w:val="000A0364"/>
    <w:rsid w:val="000A1439"/>
    <w:rsid w:val="000A1CA4"/>
    <w:rsid w:val="000A252B"/>
    <w:rsid w:val="000A276C"/>
    <w:rsid w:val="000A281D"/>
    <w:rsid w:val="000A2DA7"/>
    <w:rsid w:val="000A3798"/>
    <w:rsid w:val="000A3FB8"/>
    <w:rsid w:val="000A4333"/>
    <w:rsid w:val="000A4A5A"/>
    <w:rsid w:val="000A4D68"/>
    <w:rsid w:val="000A50AE"/>
    <w:rsid w:val="000A5AE1"/>
    <w:rsid w:val="000A5F4A"/>
    <w:rsid w:val="000A669A"/>
    <w:rsid w:val="000A66A1"/>
    <w:rsid w:val="000A6D0C"/>
    <w:rsid w:val="000A6D5A"/>
    <w:rsid w:val="000A6E6B"/>
    <w:rsid w:val="000A72A2"/>
    <w:rsid w:val="000A7925"/>
    <w:rsid w:val="000B00A4"/>
    <w:rsid w:val="000B0187"/>
    <w:rsid w:val="000B0320"/>
    <w:rsid w:val="000B070E"/>
    <w:rsid w:val="000B0978"/>
    <w:rsid w:val="000B0D93"/>
    <w:rsid w:val="000B2067"/>
    <w:rsid w:val="000B2355"/>
    <w:rsid w:val="000B28A5"/>
    <w:rsid w:val="000B2C06"/>
    <w:rsid w:val="000B2DE4"/>
    <w:rsid w:val="000B30B1"/>
    <w:rsid w:val="000B32BA"/>
    <w:rsid w:val="000B345C"/>
    <w:rsid w:val="000B37EA"/>
    <w:rsid w:val="000B37EB"/>
    <w:rsid w:val="000B4326"/>
    <w:rsid w:val="000B438A"/>
    <w:rsid w:val="000B4524"/>
    <w:rsid w:val="000B452E"/>
    <w:rsid w:val="000B48C9"/>
    <w:rsid w:val="000B4DB0"/>
    <w:rsid w:val="000B4FF2"/>
    <w:rsid w:val="000B5205"/>
    <w:rsid w:val="000B5243"/>
    <w:rsid w:val="000B5265"/>
    <w:rsid w:val="000B6633"/>
    <w:rsid w:val="000B6F81"/>
    <w:rsid w:val="000B77F1"/>
    <w:rsid w:val="000B7D08"/>
    <w:rsid w:val="000B7F44"/>
    <w:rsid w:val="000C0676"/>
    <w:rsid w:val="000C07EA"/>
    <w:rsid w:val="000C08DD"/>
    <w:rsid w:val="000C0CAD"/>
    <w:rsid w:val="000C0FA3"/>
    <w:rsid w:val="000C1C26"/>
    <w:rsid w:val="000C1DD4"/>
    <w:rsid w:val="000C2BA9"/>
    <w:rsid w:val="000C2DEB"/>
    <w:rsid w:val="000C2FC4"/>
    <w:rsid w:val="000C2FCC"/>
    <w:rsid w:val="000C3266"/>
    <w:rsid w:val="000C3500"/>
    <w:rsid w:val="000C3732"/>
    <w:rsid w:val="000C3FD6"/>
    <w:rsid w:val="000C4550"/>
    <w:rsid w:val="000C4767"/>
    <w:rsid w:val="000C4A00"/>
    <w:rsid w:val="000C4D9A"/>
    <w:rsid w:val="000C4E23"/>
    <w:rsid w:val="000C5234"/>
    <w:rsid w:val="000C53F7"/>
    <w:rsid w:val="000C56D6"/>
    <w:rsid w:val="000C5E9C"/>
    <w:rsid w:val="000C6013"/>
    <w:rsid w:val="000C62A1"/>
    <w:rsid w:val="000C6343"/>
    <w:rsid w:val="000C68D8"/>
    <w:rsid w:val="000C699C"/>
    <w:rsid w:val="000C6D0D"/>
    <w:rsid w:val="000C6DEB"/>
    <w:rsid w:val="000C75C0"/>
    <w:rsid w:val="000C7FBB"/>
    <w:rsid w:val="000D0361"/>
    <w:rsid w:val="000D0E61"/>
    <w:rsid w:val="000D0EE9"/>
    <w:rsid w:val="000D1F95"/>
    <w:rsid w:val="000D26B8"/>
    <w:rsid w:val="000D272A"/>
    <w:rsid w:val="000D2941"/>
    <w:rsid w:val="000D2CFC"/>
    <w:rsid w:val="000D3313"/>
    <w:rsid w:val="000D3A73"/>
    <w:rsid w:val="000D3ADD"/>
    <w:rsid w:val="000D3BC9"/>
    <w:rsid w:val="000D43F2"/>
    <w:rsid w:val="000D4A40"/>
    <w:rsid w:val="000D4B1B"/>
    <w:rsid w:val="000D4C13"/>
    <w:rsid w:val="000D5024"/>
    <w:rsid w:val="000D50B4"/>
    <w:rsid w:val="000D5222"/>
    <w:rsid w:val="000D560F"/>
    <w:rsid w:val="000D562E"/>
    <w:rsid w:val="000D58DC"/>
    <w:rsid w:val="000D5D78"/>
    <w:rsid w:val="000D6124"/>
    <w:rsid w:val="000D6158"/>
    <w:rsid w:val="000D634A"/>
    <w:rsid w:val="000D6CF6"/>
    <w:rsid w:val="000D6E03"/>
    <w:rsid w:val="000D6EFD"/>
    <w:rsid w:val="000D720B"/>
    <w:rsid w:val="000E00A3"/>
    <w:rsid w:val="000E0145"/>
    <w:rsid w:val="000E0303"/>
    <w:rsid w:val="000E0C4F"/>
    <w:rsid w:val="000E0FA1"/>
    <w:rsid w:val="000E1303"/>
    <w:rsid w:val="000E1827"/>
    <w:rsid w:val="000E1862"/>
    <w:rsid w:val="000E18B8"/>
    <w:rsid w:val="000E204C"/>
    <w:rsid w:val="000E2326"/>
    <w:rsid w:val="000E2541"/>
    <w:rsid w:val="000E25F0"/>
    <w:rsid w:val="000E27A5"/>
    <w:rsid w:val="000E342F"/>
    <w:rsid w:val="000E3562"/>
    <w:rsid w:val="000E3738"/>
    <w:rsid w:val="000E3835"/>
    <w:rsid w:val="000E3953"/>
    <w:rsid w:val="000E399B"/>
    <w:rsid w:val="000E3B67"/>
    <w:rsid w:val="000E410F"/>
    <w:rsid w:val="000E4C0B"/>
    <w:rsid w:val="000E4C1C"/>
    <w:rsid w:val="000E56AE"/>
    <w:rsid w:val="000E5A21"/>
    <w:rsid w:val="000E5DC0"/>
    <w:rsid w:val="000E6065"/>
    <w:rsid w:val="000E6710"/>
    <w:rsid w:val="000E681E"/>
    <w:rsid w:val="000E7094"/>
    <w:rsid w:val="000E78A6"/>
    <w:rsid w:val="000F1140"/>
    <w:rsid w:val="000F14D3"/>
    <w:rsid w:val="000F2080"/>
    <w:rsid w:val="000F264F"/>
    <w:rsid w:val="000F2AB7"/>
    <w:rsid w:val="000F2AD6"/>
    <w:rsid w:val="000F2AF5"/>
    <w:rsid w:val="000F2D4A"/>
    <w:rsid w:val="000F2E82"/>
    <w:rsid w:val="000F3327"/>
    <w:rsid w:val="000F355E"/>
    <w:rsid w:val="000F3621"/>
    <w:rsid w:val="000F390D"/>
    <w:rsid w:val="000F419A"/>
    <w:rsid w:val="000F4373"/>
    <w:rsid w:val="000F47F7"/>
    <w:rsid w:val="000F4831"/>
    <w:rsid w:val="000F4B28"/>
    <w:rsid w:val="000F4CFE"/>
    <w:rsid w:val="000F5327"/>
    <w:rsid w:val="000F5460"/>
    <w:rsid w:val="000F54D7"/>
    <w:rsid w:val="000F578F"/>
    <w:rsid w:val="000F58A2"/>
    <w:rsid w:val="000F631E"/>
    <w:rsid w:val="000F673D"/>
    <w:rsid w:val="000F69AE"/>
    <w:rsid w:val="000F702E"/>
    <w:rsid w:val="000F710C"/>
    <w:rsid w:val="000F76EC"/>
    <w:rsid w:val="000F7DBC"/>
    <w:rsid w:val="00100110"/>
    <w:rsid w:val="00100228"/>
    <w:rsid w:val="00100371"/>
    <w:rsid w:val="00100640"/>
    <w:rsid w:val="00100CF0"/>
    <w:rsid w:val="001014F7"/>
    <w:rsid w:val="001018C5"/>
    <w:rsid w:val="00101B3E"/>
    <w:rsid w:val="00101E2A"/>
    <w:rsid w:val="0010255F"/>
    <w:rsid w:val="0010268E"/>
    <w:rsid w:val="0010387F"/>
    <w:rsid w:val="00103D17"/>
    <w:rsid w:val="00103F59"/>
    <w:rsid w:val="0010412B"/>
    <w:rsid w:val="001042EF"/>
    <w:rsid w:val="001044CB"/>
    <w:rsid w:val="00105389"/>
    <w:rsid w:val="00105C26"/>
    <w:rsid w:val="00105D73"/>
    <w:rsid w:val="00105DC0"/>
    <w:rsid w:val="00105EAD"/>
    <w:rsid w:val="001062DE"/>
    <w:rsid w:val="00106D32"/>
    <w:rsid w:val="00106E01"/>
    <w:rsid w:val="00106E38"/>
    <w:rsid w:val="00107294"/>
    <w:rsid w:val="00107639"/>
    <w:rsid w:val="00107646"/>
    <w:rsid w:val="00107BFB"/>
    <w:rsid w:val="0011081D"/>
    <w:rsid w:val="001108A3"/>
    <w:rsid w:val="001109CC"/>
    <w:rsid w:val="00111010"/>
    <w:rsid w:val="00111075"/>
    <w:rsid w:val="001114FC"/>
    <w:rsid w:val="00111810"/>
    <w:rsid w:val="00111952"/>
    <w:rsid w:val="00111A63"/>
    <w:rsid w:val="00111B84"/>
    <w:rsid w:val="001122F9"/>
    <w:rsid w:val="0011257C"/>
    <w:rsid w:val="00112E6D"/>
    <w:rsid w:val="00112F1A"/>
    <w:rsid w:val="00113A59"/>
    <w:rsid w:val="00113FB0"/>
    <w:rsid w:val="00114024"/>
    <w:rsid w:val="00114251"/>
    <w:rsid w:val="00114AAF"/>
    <w:rsid w:val="00114B4D"/>
    <w:rsid w:val="00114C77"/>
    <w:rsid w:val="00114E6C"/>
    <w:rsid w:val="0011535B"/>
    <w:rsid w:val="00115550"/>
    <w:rsid w:val="001156E7"/>
    <w:rsid w:val="0011573E"/>
    <w:rsid w:val="001158EC"/>
    <w:rsid w:val="00115B23"/>
    <w:rsid w:val="00115FB0"/>
    <w:rsid w:val="001162AB"/>
    <w:rsid w:val="0011636C"/>
    <w:rsid w:val="001163F9"/>
    <w:rsid w:val="0011643F"/>
    <w:rsid w:val="00117526"/>
    <w:rsid w:val="00117AFE"/>
    <w:rsid w:val="00117BD5"/>
    <w:rsid w:val="0012003E"/>
    <w:rsid w:val="00120733"/>
    <w:rsid w:val="001207A6"/>
    <w:rsid w:val="001209E0"/>
    <w:rsid w:val="001210E8"/>
    <w:rsid w:val="0012143D"/>
    <w:rsid w:val="0012163A"/>
    <w:rsid w:val="00121B99"/>
    <w:rsid w:val="001220F6"/>
    <w:rsid w:val="001225C7"/>
    <w:rsid w:val="00123B4E"/>
    <w:rsid w:val="00123B5A"/>
    <w:rsid w:val="00123CBE"/>
    <w:rsid w:val="00123CD1"/>
    <w:rsid w:val="00123FDF"/>
    <w:rsid w:val="00124291"/>
    <w:rsid w:val="001247B4"/>
    <w:rsid w:val="00124F15"/>
    <w:rsid w:val="00125199"/>
    <w:rsid w:val="00125342"/>
    <w:rsid w:val="0012554B"/>
    <w:rsid w:val="00125741"/>
    <w:rsid w:val="00125A56"/>
    <w:rsid w:val="00125B5B"/>
    <w:rsid w:val="00125BC5"/>
    <w:rsid w:val="00125E79"/>
    <w:rsid w:val="00126AF5"/>
    <w:rsid w:val="00126D89"/>
    <w:rsid w:val="001272D6"/>
    <w:rsid w:val="0012757D"/>
    <w:rsid w:val="001279E7"/>
    <w:rsid w:val="00127AA6"/>
    <w:rsid w:val="00127B17"/>
    <w:rsid w:val="00127F86"/>
    <w:rsid w:val="00130508"/>
    <w:rsid w:val="0013095F"/>
    <w:rsid w:val="00130AC0"/>
    <w:rsid w:val="00130B87"/>
    <w:rsid w:val="00131003"/>
    <w:rsid w:val="0013119A"/>
    <w:rsid w:val="00131682"/>
    <w:rsid w:val="00131B34"/>
    <w:rsid w:val="00131B73"/>
    <w:rsid w:val="00131FEE"/>
    <w:rsid w:val="00132155"/>
    <w:rsid w:val="00132894"/>
    <w:rsid w:val="00132CBF"/>
    <w:rsid w:val="00132D3B"/>
    <w:rsid w:val="00132D69"/>
    <w:rsid w:val="00132ECB"/>
    <w:rsid w:val="00132FD2"/>
    <w:rsid w:val="0013352E"/>
    <w:rsid w:val="0013357F"/>
    <w:rsid w:val="00133767"/>
    <w:rsid w:val="0013385B"/>
    <w:rsid w:val="00133866"/>
    <w:rsid w:val="00133B55"/>
    <w:rsid w:val="00133C6A"/>
    <w:rsid w:val="001343B4"/>
    <w:rsid w:val="001353B1"/>
    <w:rsid w:val="001354D3"/>
    <w:rsid w:val="0013559D"/>
    <w:rsid w:val="0013584F"/>
    <w:rsid w:val="00135D3C"/>
    <w:rsid w:val="00135D71"/>
    <w:rsid w:val="0013623A"/>
    <w:rsid w:val="00137760"/>
    <w:rsid w:val="001400AB"/>
    <w:rsid w:val="00140516"/>
    <w:rsid w:val="0014064E"/>
    <w:rsid w:val="00140AF9"/>
    <w:rsid w:val="001412C0"/>
    <w:rsid w:val="001413FA"/>
    <w:rsid w:val="001414C0"/>
    <w:rsid w:val="00141899"/>
    <w:rsid w:val="00142615"/>
    <w:rsid w:val="00142B2B"/>
    <w:rsid w:val="001430B5"/>
    <w:rsid w:val="001434CD"/>
    <w:rsid w:val="00143C3B"/>
    <w:rsid w:val="00144082"/>
    <w:rsid w:val="0014436B"/>
    <w:rsid w:val="001446D4"/>
    <w:rsid w:val="00144BD4"/>
    <w:rsid w:val="00144E80"/>
    <w:rsid w:val="00145239"/>
    <w:rsid w:val="001452FC"/>
    <w:rsid w:val="001455D7"/>
    <w:rsid w:val="0014570F"/>
    <w:rsid w:val="001459BD"/>
    <w:rsid w:val="00145AB4"/>
    <w:rsid w:val="00145AD3"/>
    <w:rsid w:val="00145B43"/>
    <w:rsid w:val="001463E5"/>
    <w:rsid w:val="001468CA"/>
    <w:rsid w:val="001469E3"/>
    <w:rsid w:val="001469EC"/>
    <w:rsid w:val="001469F9"/>
    <w:rsid w:val="00147429"/>
    <w:rsid w:val="001475B5"/>
    <w:rsid w:val="00147690"/>
    <w:rsid w:val="00147B40"/>
    <w:rsid w:val="00147C4B"/>
    <w:rsid w:val="00150783"/>
    <w:rsid w:val="00150D31"/>
    <w:rsid w:val="00150FF9"/>
    <w:rsid w:val="001510BA"/>
    <w:rsid w:val="00151133"/>
    <w:rsid w:val="0015121C"/>
    <w:rsid w:val="0015149D"/>
    <w:rsid w:val="001515FE"/>
    <w:rsid w:val="00151BC2"/>
    <w:rsid w:val="00152591"/>
    <w:rsid w:val="0015271D"/>
    <w:rsid w:val="00152B2D"/>
    <w:rsid w:val="00152EAB"/>
    <w:rsid w:val="00153569"/>
    <w:rsid w:val="0015365C"/>
    <w:rsid w:val="001538E4"/>
    <w:rsid w:val="00153A98"/>
    <w:rsid w:val="00153BB1"/>
    <w:rsid w:val="00153CC4"/>
    <w:rsid w:val="00153E53"/>
    <w:rsid w:val="001544D3"/>
    <w:rsid w:val="00155408"/>
    <w:rsid w:val="0015541D"/>
    <w:rsid w:val="00155437"/>
    <w:rsid w:val="001558D7"/>
    <w:rsid w:val="00155967"/>
    <w:rsid w:val="001566DC"/>
    <w:rsid w:val="00156DEE"/>
    <w:rsid w:val="00156EF0"/>
    <w:rsid w:val="0015785B"/>
    <w:rsid w:val="0015797D"/>
    <w:rsid w:val="00157C33"/>
    <w:rsid w:val="00157FB4"/>
    <w:rsid w:val="00157FEA"/>
    <w:rsid w:val="001600A7"/>
    <w:rsid w:val="00160753"/>
    <w:rsid w:val="0016099C"/>
    <w:rsid w:val="001609AE"/>
    <w:rsid w:val="001611EF"/>
    <w:rsid w:val="00161BA0"/>
    <w:rsid w:val="00161E15"/>
    <w:rsid w:val="00161EBD"/>
    <w:rsid w:val="00161FDE"/>
    <w:rsid w:val="00162917"/>
    <w:rsid w:val="00162988"/>
    <w:rsid w:val="00163150"/>
    <w:rsid w:val="00163451"/>
    <w:rsid w:val="00163DEA"/>
    <w:rsid w:val="00164239"/>
    <w:rsid w:val="00164868"/>
    <w:rsid w:val="001648DE"/>
    <w:rsid w:val="001649F4"/>
    <w:rsid w:val="00165781"/>
    <w:rsid w:val="00165D60"/>
    <w:rsid w:val="00165E62"/>
    <w:rsid w:val="00165F2E"/>
    <w:rsid w:val="00165FE2"/>
    <w:rsid w:val="00166327"/>
    <w:rsid w:val="00166AFE"/>
    <w:rsid w:val="001670A5"/>
    <w:rsid w:val="001670B2"/>
    <w:rsid w:val="00167769"/>
    <w:rsid w:val="0016798D"/>
    <w:rsid w:val="00167BE3"/>
    <w:rsid w:val="00167D4A"/>
    <w:rsid w:val="001708FF"/>
    <w:rsid w:val="00170F4A"/>
    <w:rsid w:val="0017121B"/>
    <w:rsid w:val="00171CB0"/>
    <w:rsid w:val="00172191"/>
    <w:rsid w:val="00172818"/>
    <w:rsid w:val="0017298A"/>
    <w:rsid w:val="001732BB"/>
    <w:rsid w:val="0017334E"/>
    <w:rsid w:val="0017349B"/>
    <w:rsid w:val="001737B1"/>
    <w:rsid w:val="00173A6B"/>
    <w:rsid w:val="00173F8C"/>
    <w:rsid w:val="00174017"/>
    <w:rsid w:val="00174428"/>
    <w:rsid w:val="001745BB"/>
    <w:rsid w:val="0017496E"/>
    <w:rsid w:val="00174979"/>
    <w:rsid w:val="00174ADB"/>
    <w:rsid w:val="00175283"/>
    <w:rsid w:val="00175B12"/>
    <w:rsid w:val="00175C08"/>
    <w:rsid w:val="00176F17"/>
    <w:rsid w:val="001777ED"/>
    <w:rsid w:val="00177C79"/>
    <w:rsid w:val="00177E43"/>
    <w:rsid w:val="00180054"/>
    <w:rsid w:val="001800B9"/>
    <w:rsid w:val="00180683"/>
    <w:rsid w:val="0018095C"/>
    <w:rsid w:val="00180A00"/>
    <w:rsid w:val="00180C65"/>
    <w:rsid w:val="00180D7E"/>
    <w:rsid w:val="00181186"/>
    <w:rsid w:val="0018119A"/>
    <w:rsid w:val="00182056"/>
    <w:rsid w:val="001825F2"/>
    <w:rsid w:val="001831FE"/>
    <w:rsid w:val="0018335E"/>
    <w:rsid w:val="0018353D"/>
    <w:rsid w:val="0018377C"/>
    <w:rsid w:val="001837F5"/>
    <w:rsid w:val="00183EAC"/>
    <w:rsid w:val="00183FB3"/>
    <w:rsid w:val="001844E6"/>
    <w:rsid w:val="00184730"/>
    <w:rsid w:val="0018479C"/>
    <w:rsid w:val="00184850"/>
    <w:rsid w:val="00184F14"/>
    <w:rsid w:val="00184F48"/>
    <w:rsid w:val="00185634"/>
    <w:rsid w:val="001866C1"/>
    <w:rsid w:val="00187359"/>
    <w:rsid w:val="00187936"/>
    <w:rsid w:val="00187B82"/>
    <w:rsid w:val="00190BD5"/>
    <w:rsid w:val="00190EA8"/>
    <w:rsid w:val="001910EC"/>
    <w:rsid w:val="00191128"/>
    <w:rsid w:val="00191146"/>
    <w:rsid w:val="001911FC"/>
    <w:rsid w:val="001916AF"/>
    <w:rsid w:val="0019183D"/>
    <w:rsid w:val="00191A62"/>
    <w:rsid w:val="00191B99"/>
    <w:rsid w:val="00191D50"/>
    <w:rsid w:val="00192D17"/>
    <w:rsid w:val="00192F70"/>
    <w:rsid w:val="00193F5A"/>
    <w:rsid w:val="00194911"/>
    <w:rsid w:val="00194AEB"/>
    <w:rsid w:val="00194F13"/>
    <w:rsid w:val="001951AF"/>
    <w:rsid w:val="0019531D"/>
    <w:rsid w:val="00195D85"/>
    <w:rsid w:val="00196303"/>
    <w:rsid w:val="00196505"/>
    <w:rsid w:val="00196E41"/>
    <w:rsid w:val="001971E1"/>
    <w:rsid w:val="001971EB"/>
    <w:rsid w:val="001976B7"/>
    <w:rsid w:val="00197905"/>
    <w:rsid w:val="00197C82"/>
    <w:rsid w:val="00197E0D"/>
    <w:rsid w:val="001A01F1"/>
    <w:rsid w:val="001A040C"/>
    <w:rsid w:val="001A0842"/>
    <w:rsid w:val="001A1067"/>
    <w:rsid w:val="001A10E7"/>
    <w:rsid w:val="001A133B"/>
    <w:rsid w:val="001A1358"/>
    <w:rsid w:val="001A143E"/>
    <w:rsid w:val="001A158C"/>
    <w:rsid w:val="001A1AD3"/>
    <w:rsid w:val="001A1C91"/>
    <w:rsid w:val="001A2576"/>
    <w:rsid w:val="001A2793"/>
    <w:rsid w:val="001A2BE8"/>
    <w:rsid w:val="001A3636"/>
    <w:rsid w:val="001A37F5"/>
    <w:rsid w:val="001A3EE7"/>
    <w:rsid w:val="001A4288"/>
    <w:rsid w:val="001A485B"/>
    <w:rsid w:val="001A50DB"/>
    <w:rsid w:val="001A51EE"/>
    <w:rsid w:val="001A541C"/>
    <w:rsid w:val="001A58B3"/>
    <w:rsid w:val="001A5D17"/>
    <w:rsid w:val="001A614C"/>
    <w:rsid w:val="001A6338"/>
    <w:rsid w:val="001A6431"/>
    <w:rsid w:val="001A6B16"/>
    <w:rsid w:val="001A7594"/>
    <w:rsid w:val="001A7CB2"/>
    <w:rsid w:val="001A7F53"/>
    <w:rsid w:val="001B043D"/>
    <w:rsid w:val="001B0DAC"/>
    <w:rsid w:val="001B12F0"/>
    <w:rsid w:val="001B136C"/>
    <w:rsid w:val="001B1579"/>
    <w:rsid w:val="001B15AC"/>
    <w:rsid w:val="001B15B9"/>
    <w:rsid w:val="001B1CEF"/>
    <w:rsid w:val="001B2497"/>
    <w:rsid w:val="001B26DD"/>
    <w:rsid w:val="001B2EEC"/>
    <w:rsid w:val="001B2F5C"/>
    <w:rsid w:val="001B3D53"/>
    <w:rsid w:val="001B3D5D"/>
    <w:rsid w:val="001B3E02"/>
    <w:rsid w:val="001B4A90"/>
    <w:rsid w:val="001B50DD"/>
    <w:rsid w:val="001B6228"/>
    <w:rsid w:val="001B6FAE"/>
    <w:rsid w:val="001B75C1"/>
    <w:rsid w:val="001B7FF7"/>
    <w:rsid w:val="001C0146"/>
    <w:rsid w:val="001C019A"/>
    <w:rsid w:val="001C0B10"/>
    <w:rsid w:val="001C0F7A"/>
    <w:rsid w:val="001C11EF"/>
    <w:rsid w:val="001C1393"/>
    <w:rsid w:val="001C227D"/>
    <w:rsid w:val="001C2485"/>
    <w:rsid w:val="001C2887"/>
    <w:rsid w:val="001C2EDB"/>
    <w:rsid w:val="001C32E6"/>
    <w:rsid w:val="001C3600"/>
    <w:rsid w:val="001C39D8"/>
    <w:rsid w:val="001C44C1"/>
    <w:rsid w:val="001C513E"/>
    <w:rsid w:val="001C5145"/>
    <w:rsid w:val="001C5380"/>
    <w:rsid w:val="001C5F79"/>
    <w:rsid w:val="001C69F7"/>
    <w:rsid w:val="001C6A71"/>
    <w:rsid w:val="001C7287"/>
    <w:rsid w:val="001C7349"/>
    <w:rsid w:val="001C775C"/>
    <w:rsid w:val="001D1357"/>
    <w:rsid w:val="001D140A"/>
    <w:rsid w:val="001D182B"/>
    <w:rsid w:val="001D1830"/>
    <w:rsid w:val="001D18C9"/>
    <w:rsid w:val="001D1E40"/>
    <w:rsid w:val="001D2407"/>
    <w:rsid w:val="001D2E33"/>
    <w:rsid w:val="001D2F1C"/>
    <w:rsid w:val="001D2FF5"/>
    <w:rsid w:val="001D32B5"/>
    <w:rsid w:val="001D3634"/>
    <w:rsid w:val="001D3EBA"/>
    <w:rsid w:val="001D480F"/>
    <w:rsid w:val="001D4938"/>
    <w:rsid w:val="001D49D3"/>
    <w:rsid w:val="001D4DE1"/>
    <w:rsid w:val="001D5978"/>
    <w:rsid w:val="001D609A"/>
    <w:rsid w:val="001D667A"/>
    <w:rsid w:val="001D69A6"/>
    <w:rsid w:val="001D69D7"/>
    <w:rsid w:val="001D6AF3"/>
    <w:rsid w:val="001D6F39"/>
    <w:rsid w:val="001D7C01"/>
    <w:rsid w:val="001E08AC"/>
    <w:rsid w:val="001E0970"/>
    <w:rsid w:val="001E09F5"/>
    <w:rsid w:val="001E0DE7"/>
    <w:rsid w:val="001E0F72"/>
    <w:rsid w:val="001E10D5"/>
    <w:rsid w:val="001E17F3"/>
    <w:rsid w:val="001E1CF0"/>
    <w:rsid w:val="001E2052"/>
    <w:rsid w:val="001E2797"/>
    <w:rsid w:val="001E2AF0"/>
    <w:rsid w:val="001E2B4A"/>
    <w:rsid w:val="001E2FA1"/>
    <w:rsid w:val="001E30F7"/>
    <w:rsid w:val="001E3405"/>
    <w:rsid w:val="001E35EE"/>
    <w:rsid w:val="001E3640"/>
    <w:rsid w:val="001E3C5B"/>
    <w:rsid w:val="001E3E89"/>
    <w:rsid w:val="001E4042"/>
    <w:rsid w:val="001E4B1E"/>
    <w:rsid w:val="001E4B9B"/>
    <w:rsid w:val="001E564C"/>
    <w:rsid w:val="001E578F"/>
    <w:rsid w:val="001E58AC"/>
    <w:rsid w:val="001E5C32"/>
    <w:rsid w:val="001E5C52"/>
    <w:rsid w:val="001E6404"/>
    <w:rsid w:val="001E6984"/>
    <w:rsid w:val="001E6EA8"/>
    <w:rsid w:val="001E7889"/>
    <w:rsid w:val="001E7D11"/>
    <w:rsid w:val="001E7E76"/>
    <w:rsid w:val="001F058C"/>
    <w:rsid w:val="001F0E18"/>
    <w:rsid w:val="001F0F07"/>
    <w:rsid w:val="001F101E"/>
    <w:rsid w:val="001F1954"/>
    <w:rsid w:val="001F1D3F"/>
    <w:rsid w:val="001F1DAB"/>
    <w:rsid w:val="001F2740"/>
    <w:rsid w:val="001F2CEF"/>
    <w:rsid w:val="001F2E0E"/>
    <w:rsid w:val="001F35E7"/>
    <w:rsid w:val="001F3795"/>
    <w:rsid w:val="001F3FD7"/>
    <w:rsid w:val="001F4596"/>
    <w:rsid w:val="001F4857"/>
    <w:rsid w:val="001F4973"/>
    <w:rsid w:val="001F4C52"/>
    <w:rsid w:val="001F4CE5"/>
    <w:rsid w:val="001F4DAC"/>
    <w:rsid w:val="001F50F0"/>
    <w:rsid w:val="001F5411"/>
    <w:rsid w:val="001F5472"/>
    <w:rsid w:val="001F55DB"/>
    <w:rsid w:val="001F591D"/>
    <w:rsid w:val="001F59FA"/>
    <w:rsid w:val="001F68A4"/>
    <w:rsid w:val="001F78EF"/>
    <w:rsid w:val="001F7A93"/>
    <w:rsid w:val="001F7D7C"/>
    <w:rsid w:val="002002AC"/>
    <w:rsid w:val="002004A8"/>
    <w:rsid w:val="002007B6"/>
    <w:rsid w:val="002007D9"/>
    <w:rsid w:val="00200A34"/>
    <w:rsid w:val="00200E07"/>
    <w:rsid w:val="00201095"/>
    <w:rsid w:val="00201640"/>
    <w:rsid w:val="00201CC3"/>
    <w:rsid w:val="00201F63"/>
    <w:rsid w:val="0020203E"/>
    <w:rsid w:val="00202276"/>
    <w:rsid w:val="00202808"/>
    <w:rsid w:val="00203216"/>
    <w:rsid w:val="0020348C"/>
    <w:rsid w:val="0020351D"/>
    <w:rsid w:val="002040B5"/>
    <w:rsid w:val="002040F3"/>
    <w:rsid w:val="0020411D"/>
    <w:rsid w:val="002045F5"/>
    <w:rsid w:val="0020463E"/>
    <w:rsid w:val="002047F5"/>
    <w:rsid w:val="00204B83"/>
    <w:rsid w:val="002051B8"/>
    <w:rsid w:val="002052AF"/>
    <w:rsid w:val="00205A63"/>
    <w:rsid w:val="002060E7"/>
    <w:rsid w:val="002075F7"/>
    <w:rsid w:val="002076D7"/>
    <w:rsid w:val="002079B4"/>
    <w:rsid w:val="00207A2C"/>
    <w:rsid w:val="00207A39"/>
    <w:rsid w:val="00207A76"/>
    <w:rsid w:val="00207BDA"/>
    <w:rsid w:val="00210162"/>
    <w:rsid w:val="002103BE"/>
    <w:rsid w:val="002114E6"/>
    <w:rsid w:val="002117D7"/>
    <w:rsid w:val="0021183D"/>
    <w:rsid w:val="00211D80"/>
    <w:rsid w:val="00211DC4"/>
    <w:rsid w:val="00211EDF"/>
    <w:rsid w:val="00212008"/>
    <w:rsid w:val="002122CB"/>
    <w:rsid w:val="002122D0"/>
    <w:rsid w:val="002124D4"/>
    <w:rsid w:val="002127F5"/>
    <w:rsid w:val="00213217"/>
    <w:rsid w:val="00213305"/>
    <w:rsid w:val="00213D9A"/>
    <w:rsid w:val="002141C3"/>
    <w:rsid w:val="002149C7"/>
    <w:rsid w:val="00214D1C"/>
    <w:rsid w:val="00214D97"/>
    <w:rsid w:val="00215885"/>
    <w:rsid w:val="00215A9E"/>
    <w:rsid w:val="00215FB4"/>
    <w:rsid w:val="00217122"/>
    <w:rsid w:val="00217155"/>
    <w:rsid w:val="0021757E"/>
    <w:rsid w:val="00217582"/>
    <w:rsid w:val="00217F40"/>
    <w:rsid w:val="00217FD4"/>
    <w:rsid w:val="00220317"/>
    <w:rsid w:val="002203DA"/>
    <w:rsid w:val="002205EE"/>
    <w:rsid w:val="00220A73"/>
    <w:rsid w:val="00220AF3"/>
    <w:rsid w:val="00220BB6"/>
    <w:rsid w:val="00220D94"/>
    <w:rsid w:val="00221480"/>
    <w:rsid w:val="00221802"/>
    <w:rsid w:val="002218DE"/>
    <w:rsid w:val="00221C57"/>
    <w:rsid w:val="002222ED"/>
    <w:rsid w:val="002227EB"/>
    <w:rsid w:val="00222A2A"/>
    <w:rsid w:val="00222D5C"/>
    <w:rsid w:val="00222E5E"/>
    <w:rsid w:val="00223037"/>
    <w:rsid w:val="00223278"/>
    <w:rsid w:val="002237C8"/>
    <w:rsid w:val="00223B34"/>
    <w:rsid w:val="0022402D"/>
    <w:rsid w:val="00224483"/>
    <w:rsid w:val="002247A0"/>
    <w:rsid w:val="00224984"/>
    <w:rsid w:val="00224A63"/>
    <w:rsid w:val="002252BB"/>
    <w:rsid w:val="00225B25"/>
    <w:rsid w:val="00225BC7"/>
    <w:rsid w:val="00225E13"/>
    <w:rsid w:val="00226496"/>
    <w:rsid w:val="00226C35"/>
    <w:rsid w:val="00227729"/>
    <w:rsid w:val="0023005B"/>
    <w:rsid w:val="00230109"/>
    <w:rsid w:val="002302C3"/>
    <w:rsid w:val="002303E0"/>
    <w:rsid w:val="002306D8"/>
    <w:rsid w:val="0023081C"/>
    <w:rsid w:val="00230D2A"/>
    <w:rsid w:val="00230EEA"/>
    <w:rsid w:val="00230FBA"/>
    <w:rsid w:val="00231509"/>
    <w:rsid w:val="00231855"/>
    <w:rsid w:val="002319ED"/>
    <w:rsid w:val="00231B8E"/>
    <w:rsid w:val="002322B6"/>
    <w:rsid w:val="00232967"/>
    <w:rsid w:val="00232BAF"/>
    <w:rsid w:val="00232D25"/>
    <w:rsid w:val="0023309C"/>
    <w:rsid w:val="00233A2B"/>
    <w:rsid w:val="00233A81"/>
    <w:rsid w:val="002341A2"/>
    <w:rsid w:val="002347CE"/>
    <w:rsid w:val="00234C6A"/>
    <w:rsid w:val="002355E9"/>
    <w:rsid w:val="00235C80"/>
    <w:rsid w:val="00235D5A"/>
    <w:rsid w:val="00235E80"/>
    <w:rsid w:val="0023624A"/>
    <w:rsid w:val="00236A75"/>
    <w:rsid w:val="00236E0A"/>
    <w:rsid w:val="00237043"/>
    <w:rsid w:val="00237108"/>
    <w:rsid w:val="0023717C"/>
    <w:rsid w:val="002375B8"/>
    <w:rsid w:val="00237947"/>
    <w:rsid w:val="00237994"/>
    <w:rsid w:val="00237F25"/>
    <w:rsid w:val="002404B9"/>
    <w:rsid w:val="002405B1"/>
    <w:rsid w:val="00240669"/>
    <w:rsid w:val="00240A3D"/>
    <w:rsid w:val="002411A8"/>
    <w:rsid w:val="0024145D"/>
    <w:rsid w:val="00241BE1"/>
    <w:rsid w:val="00241D20"/>
    <w:rsid w:val="00241DCB"/>
    <w:rsid w:val="00241E08"/>
    <w:rsid w:val="002420F5"/>
    <w:rsid w:val="002423FA"/>
    <w:rsid w:val="00242912"/>
    <w:rsid w:val="00242A00"/>
    <w:rsid w:val="00242A1B"/>
    <w:rsid w:val="00242FF0"/>
    <w:rsid w:val="00243775"/>
    <w:rsid w:val="002438BD"/>
    <w:rsid w:val="0024418F"/>
    <w:rsid w:val="00244773"/>
    <w:rsid w:val="00244D05"/>
    <w:rsid w:val="0024507D"/>
    <w:rsid w:val="00245975"/>
    <w:rsid w:val="00245991"/>
    <w:rsid w:val="00245BEB"/>
    <w:rsid w:val="00245F34"/>
    <w:rsid w:val="002460D7"/>
    <w:rsid w:val="00246600"/>
    <w:rsid w:val="00246739"/>
    <w:rsid w:val="00246978"/>
    <w:rsid w:val="00246A19"/>
    <w:rsid w:val="00246C35"/>
    <w:rsid w:val="00246C48"/>
    <w:rsid w:val="0024775E"/>
    <w:rsid w:val="002478E2"/>
    <w:rsid w:val="00247E1B"/>
    <w:rsid w:val="00250283"/>
    <w:rsid w:val="002505E9"/>
    <w:rsid w:val="00250B22"/>
    <w:rsid w:val="00250E46"/>
    <w:rsid w:val="002513BD"/>
    <w:rsid w:val="002514E4"/>
    <w:rsid w:val="002515E9"/>
    <w:rsid w:val="002519B1"/>
    <w:rsid w:val="00251B10"/>
    <w:rsid w:val="00251C8E"/>
    <w:rsid w:val="00251CE8"/>
    <w:rsid w:val="00251D93"/>
    <w:rsid w:val="002525B0"/>
    <w:rsid w:val="00252C0F"/>
    <w:rsid w:val="00252D45"/>
    <w:rsid w:val="00252DBA"/>
    <w:rsid w:val="002532CF"/>
    <w:rsid w:val="00253491"/>
    <w:rsid w:val="002534D6"/>
    <w:rsid w:val="00253E71"/>
    <w:rsid w:val="00254023"/>
    <w:rsid w:val="00254371"/>
    <w:rsid w:val="002544DC"/>
    <w:rsid w:val="002548DB"/>
    <w:rsid w:val="00254B61"/>
    <w:rsid w:val="00254E21"/>
    <w:rsid w:val="00254F86"/>
    <w:rsid w:val="00255236"/>
    <w:rsid w:val="00255A80"/>
    <w:rsid w:val="00255B16"/>
    <w:rsid w:val="00256686"/>
    <w:rsid w:val="002568B3"/>
    <w:rsid w:val="002569EE"/>
    <w:rsid w:val="0025703F"/>
    <w:rsid w:val="00257585"/>
    <w:rsid w:val="00257AF2"/>
    <w:rsid w:val="00257C5B"/>
    <w:rsid w:val="00257D7A"/>
    <w:rsid w:val="00257E78"/>
    <w:rsid w:val="00260106"/>
    <w:rsid w:val="0026141D"/>
    <w:rsid w:val="00261CAE"/>
    <w:rsid w:val="00261F17"/>
    <w:rsid w:val="00262067"/>
    <w:rsid w:val="002623B1"/>
    <w:rsid w:val="002624C1"/>
    <w:rsid w:val="002625DD"/>
    <w:rsid w:val="002637A0"/>
    <w:rsid w:val="00263BF8"/>
    <w:rsid w:val="00264086"/>
    <w:rsid w:val="002641C1"/>
    <w:rsid w:val="00264389"/>
    <w:rsid w:val="00264449"/>
    <w:rsid w:val="002647BF"/>
    <w:rsid w:val="00264807"/>
    <w:rsid w:val="00264A62"/>
    <w:rsid w:val="002663D5"/>
    <w:rsid w:val="002667BC"/>
    <w:rsid w:val="00266A53"/>
    <w:rsid w:val="00270653"/>
    <w:rsid w:val="00270B6E"/>
    <w:rsid w:val="00270EBC"/>
    <w:rsid w:val="00271474"/>
    <w:rsid w:val="002716A8"/>
    <w:rsid w:val="00271DE6"/>
    <w:rsid w:val="00271DEA"/>
    <w:rsid w:val="00271E79"/>
    <w:rsid w:val="0027207F"/>
    <w:rsid w:val="002721A7"/>
    <w:rsid w:val="0027232E"/>
    <w:rsid w:val="00272511"/>
    <w:rsid w:val="00272639"/>
    <w:rsid w:val="00272757"/>
    <w:rsid w:val="002729E2"/>
    <w:rsid w:val="00272D06"/>
    <w:rsid w:val="00272E77"/>
    <w:rsid w:val="00272F08"/>
    <w:rsid w:val="0027313D"/>
    <w:rsid w:val="002738C1"/>
    <w:rsid w:val="002738F2"/>
    <w:rsid w:val="00273BCC"/>
    <w:rsid w:val="00273F8B"/>
    <w:rsid w:val="00274562"/>
    <w:rsid w:val="00274606"/>
    <w:rsid w:val="00274C85"/>
    <w:rsid w:val="002752CB"/>
    <w:rsid w:val="00275474"/>
    <w:rsid w:val="002755D3"/>
    <w:rsid w:val="0027596F"/>
    <w:rsid w:val="00275A05"/>
    <w:rsid w:val="00275BDD"/>
    <w:rsid w:val="00275DB3"/>
    <w:rsid w:val="00275EC0"/>
    <w:rsid w:val="00275FE5"/>
    <w:rsid w:val="0027663B"/>
    <w:rsid w:val="002768CE"/>
    <w:rsid w:val="0027745B"/>
    <w:rsid w:val="002777F7"/>
    <w:rsid w:val="0027786A"/>
    <w:rsid w:val="002778FD"/>
    <w:rsid w:val="00277A99"/>
    <w:rsid w:val="00277E40"/>
    <w:rsid w:val="00280455"/>
    <w:rsid w:val="00280518"/>
    <w:rsid w:val="0028065F"/>
    <w:rsid w:val="0028069A"/>
    <w:rsid w:val="00280D4D"/>
    <w:rsid w:val="00280D84"/>
    <w:rsid w:val="00280E26"/>
    <w:rsid w:val="002812F9"/>
    <w:rsid w:val="00281780"/>
    <w:rsid w:val="00281803"/>
    <w:rsid w:val="00281996"/>
    <w:rsid w:val="0028220C"/>
    <w:rsid w:val="002824EB"/>
    <w:rsid w:val="002826C7"/>
    <w:rsid w:val="0028272C"/>
    <w:rsid w:val="0028276A"/>
    <w:rsid w:val="00282C84"/>
    <w:rsid w:val="00282DCD"/>
    <w:rsid w:val="00282EDD"/>
    <w:rsid w:val="0028304F"/>
    <w:rsid w:val="002835AF"/>
    <w:rsid w:val="00283D4C"/>
    <w:rsid w:val="0028417C"/>
    <w:rsid w:val="00284D1B"/>
    <w:rsid w:val="00284F46"/>
    <w:rsid w:val="0028551E"/>
    <w:rsid w:val="002855A1"/>
    <w:rsid w:val="002860E1"/>
    <w:rsid w:val="00286AC9"/>
    <w:rsid w:val="00286FC7"/>
    <w:rsid w:val="00287F49"/>
    <w:rsid w:val="00287FAE"/>
    <w:rsid w:val="0029006A"/>
    <w:rsid w:val="002902B9"/>
    <w:rsid w:val="002904A5"/>
    <w:rsid w:val="002907F1"/>
    <w:rsid w:val="002909A5"/>
    <w:rsid w:val="002909A8"/>
    <w:rsid w:val="00290A8B"/>
    <w:rsid w:val="00290ABD"/>
    <w:rsid w:val="00290B38"/>
    <w:rsid w:val="00291093"/>
    <w:rsid w:val="00291479"/>
    <w:rsid w:val="00291866"/>
    <w:rsid w:val="0029196C"/>
    <w:rsid w:val="002919F9"/>
    <w:rsid w:val="00291EF1"/>
    <w:rsid w:val="00292263"/>
    <w:rsid w:val="00292401"/>
    <w:rsid w:val="00292794"/>
    <w:rsid w:val="002929C4"/>
    <w:rsid w:val="00292A89"/>
    <w:rsid w:val="00292AE0"/>
    <w:rsid w:val="00292B38"/>
    <w:rsid w:val="00292BF5"/>
    <w:rsid w:val="00292E11"/>
    <w:rsid w:val="0029323E"/>
    <w:rsid w:val="0029351D"/>
    <w:rsid w:val="00293D54"/>
    <w:rsid w:val="00294B3D"/>
    <w:rsid w:val="00294C04"/>
    <w:rsid w:val="00294DDF"/>
    <w:rsid w:val="002955CC"/>
    <w:rsid w:val="0029590F"/>
    <w:rsid w:val="00295AB9"/>
    <w:rsid w:val="002968E3"/>
    <w:rsid w:val="00296ED8"/>
    <w:rsid w:val="002970EA"/>
    <w:rsid w:val="00297A67"/>
    <w:rsid w:val="00297DD0"/>
    <w:rsid w:val="00297EA3"/>
    <w:rsid w:val="002A0734"/>
    <w:rsid w:val="002A0A5F"/>
    <w:rsid w:val="002A0BB1"/>
    <w:rsid w:val="002A123D"/>
    <w:rsid w:val="002A1482"/>
    <w:rsid w:val="002A1643"/>
    <w:rsid w:val="002A182D"/>
    <w:rsid w:val="002A23F3"/>
    <w:rsid w:val="002A25E0"/>
    <w:rsid w:val="002A2607"/>
    <w:rsid w:val="002A2727"/>
    <w:rsid w:val="002A2A85"/>
    <w:rsid w:val="002A2AB4"/>
    <w:rsid w:val="002A323C"/>
    <w:rsid w:val="002A40CB"/>
    <w:rsid w:val="002A445E"/>
    <w:rsid w:val="002A4878"/>
    <w:rsid w:val="002A4C30"/>
    <w:rsid w:val="002A4EE4"/>
    <w:rsid w:val="002A500B"/>
    <w:rsid w:val="002A50CF"/>
    <w:rsid w:val="002A5926"/>
    <w:rsid w:val="002A5965"/>
    <w:rsid w:val="002A65DE"/>
    <w:rsid w:val="002A6DFE"/>
    <w:rsid w:val="002A6E48"/>
    <w:rsid w:val="002A74CF"/>
    <w:rsid w:val="002A750F"/>
    <w:rsid w:val="002A75DA"/>
    <w:rsid w:val="002A7BCD"/>
    <w:rsid w:val="002B03E9"/>
    <w:rsid w:val="002B04D5"/>
    <w:rsid w:val="002B0E0D"/>
    <w:rsid w:val="002B1756"/>
    <w:rsid w:val="002B17CB"/>
    <w:rsid w:val="002B1AD7"/>
    <w:rsid w:val="002B20EB"/>
    <w:rsid w:val="002B27C5"/>
    <w:rsid w:val="002B2887"/>
    <w:rsid w:val="002B2AB5"/>
    <w:rsid w:val="002B2C9E"/>
    <w:rsid w:val="002B2D23"/>
    <w:rsid w:val="002B2D43"/>
    <w:rsid w:val="002B37BF"/>
    <w:rsid w:val="002B390D"/>
    <w:rsid w:val="002B39CA"/>
    <w:rsid w:val="002B3C19"/>
    <w:rsid w:val="002B3E31"/>
    <w:rsid w:val="002B3ECE"/>
    <w:rsid w:val="002B5476"/>
    <w:rsid w:val="002B5543"/>
    <w:rsid w:val="002B56C0"/>
    <w:rsid w:val="002B5F57"/>
    <w:rsid w:val="002B64A2"/>
    <w:rsid w:val="002B6D11"/>
    <w:rsid w:val="002B6F04"/>
    <w:rsid w:val="002B760A"/>
    <w:rsid w:val="002B77CC"/>
    <w:rsid w:val="002B784D"/>
    <w:rsid w:val="002B7A57"/>
    <w:rsid w:val="002B7BAA"/>
    <w:rsid w:val="002C0200"/>
    <w:rsid w:val="002C02A8"/>
    <w:rsid w:val="002C056C"/>
    <w:rsid w:val="002C0B2C"/>
    <w:rsid w:val="002C1E4C"/>
    <w:rsid w:val="002C2793"/>
    <w:rsid w:val="002C2A8E"/>
    <w:rsid w:val="002C305A"/>
    <w:rsid w:val="002C310A"/>
    <w:rsid w:val="002C3270"/>
    <w:rsid w:val="002C32D7"/>
    <w:rsid w:val="002C3999"/>
    <w:rsid w:val="002C403E"/>
    <w:rsid w:val="002C4071"/>
    <w:rsid w:val="002C4216"/>
    <w:rsid w:val="002C49F9"/>
    <w:rsid w:val="002C4B03"/>
    <w:rsid w:val="002C528D"/>
    <w:rsid w:val="002C5326"/>
    <w:rsid w:val="002C536F"/>
    <w:rsid w:val="002C5918"/>
    <w:rsid w:val="002C5931"/>
    <w:rsid w:val="002C5EBC"/>
    <w:rsid w:val="002C677E"/>
    <w:rsid w:val="002C6E84"/>
    <w:rsid w:val="002C6FA5"/>
    <w:rsid w:val="002C77A4"/>
    <w:rsid w:val="002C77A8"/>
    <w:rsid w:val="002C7BE1"/>
    <w:rsid w:val="002D0060"/>
    <w:rsid w:val="002D054D"/>
    <w:rsid w:val="002D0606"/>
    <w:rsid w:val="002D0AFB"/>
    <w:rsid w:val="002D10AF"/>
    <w:rsid w:val="002D16C1"/>
    <w:rsid w:val="002D1957"/>
    <w:rsid w:val="002D1E38"/>
    <w:rsid w:val="002D1F14"/>
    <w:rsid w:val="002D22BA"/>
    <w:rsid w:val="002D236C"/>
    <w:rsid w:val="002D2668"/>
    <w:rsid w:val="002D2814"/>
    <w:rsid w:val="002D2AB9"/>
    <w:rsid w:val="002D320D"/>
    <w:rsid w:val="002D3EE1"/>
    <w:rsid w:val="002D4210"/>
    <w:rsid w:val="002D4239"/>
    <w:rsid w:val="002D4336"/>
    <w:rsid w:val="002D43A3"/>
    <w:rsid w:val="002D4BB1"/>
    <w:rsid w:val="002D5021"/>
    <w:rsid w:val="002D5F71"/>
    <w:rsid w:val="002D6093"/>
    <w:rsid w:val="002D60D1"/>
    <w:rsid w:val="002D61D4"/>
    <w:rsid w:val="002D650A"/>
    <w:rsid w:val="002D65D5"/>
    <w:rsid w:val="002D6E70"/>
    <w:rsid w:val="002D6F5D"/>
    <w:rsid w:val="002D6FB8"/>
    <w:rsid w:val="002D7044"/>
    <w:rsid w:val="002E0102"/>
    <w:rsid w:val="002E03B6"/>
    <w:rsid w:val="002E0DC7"/>
    <w:rsid w:val="002E0E3E"/>
    <w:rsid w:val="002E124C"/>
    <w:rsid w:val="002E1830"/>
    <w:rsid w:val="002E1D52"/>
    <w:rsid w:val="002E230D"/>
    <w:rsid w:val="002E2788"/>
    <w:rsid w:val="002E292C"/>
    <w:rsid w:val="002E2B05"/>
    <w:rsid w:val="002E2F8E"/>
    <w:rsid w:val="002E3544"/>
    <w:rsid w:val="002E3C2D"/>
    <w:rsid w:val="002E47D9"/>
    <w:rsid w:val="002E4970"/>
    <w:rsid w:val="002E559F"/>
    <w:rsid w:val="002E5F9E"/>
    <w:rsid w:val="002E6031"/>
    <w:rsid w:val="002E618C"/>
    <w:rsid w:val="002E6352"/>
    <w:rsid w:val="002E6535"/>
    <w:rsid w:val="002E6545"/>
    <w:rsid w:val="002E683C"/>
    <w:rsid w:val="002E6BB5"/>
    <w:rsid w:val="002E6C9B"/>
    <w:rsid w:val="002E6D58"/>
    <w:rsid w:val="002E70EB"/>
    <w:rsid w:val="002E7707"/>
    <w:rsid w:val="002E7B9E"/>
    <w:rsid w:val="002E7BC8"/>
    <w:rsid w:val="002F01EF"/>
    <w:rsid w:val="002F0B32"/>
    <w:rsid w:val="002F119A"/>
    <w:rsid w:val="002F19BB"/>
    <w:rsid w:val="002F1ED0"/>
    <w:rsid w:val="002F27C9"/>
    <w:rsid w:val="002F292D"/>
    <w:rsid w:val="002F3059"/>
    <w:rsid w:val="002F3E9C"/>
    <w:rsid w:val="002F3EF2"/>
    <w:rsid w:val="002F4279"/>
    <w:rsid w:val="002F4428"/>
    <w:rsid w:val="002F4957"/>
    <w:rsid w:val="002F4A2C"/>
    <w:rsid w:val="002F5089"/>
    <w:rsid w:val="002F53C0"/>
    <w:rsid w:val="002F53F6"/>
    <w:rsid w:val="002F603B"/>
    <w:rsid w:val="002F6300"/>
    <w:rsid w:val="002F645C"/>
    <w:rsid w:val="002F67A6"/>
    <w:rsid w:val="002F681A"/>
    <w:rsid w:val="002F6ECB"/>
    <w:rsid w:val="002F7244"/>
    <w:rsid w:val="002F7D34"/>
    <w:rsid w:val="002F7E05"/>
    <w:rsid w:val="003005EB"/>
    <w:rsid w:val="003007C9"/>
    <w:rsid w:val="00300920"/>
    <w:rsid w:val="00300AA8"/>
    <w:rsid w:val="00301138"/>
    <w:rsid w:val="003012C7"/>
    <w:rsid w:val="0030150C"/>
    <w:rsid w:val="00301A7F"/>
    <w:rsid w:val="00301B2A"/>
    <w:rsid w:val="00301D68"/>
    <w:rsid w:val="00301F5C"/>
    <w:rsid w:val="00302442"/>
    <w:rsid w:val="003025E6"/>
    <w:rsid w:val="0030296C"/>
    <w:rsid w:val="00302A58"/>
    <w:rsid w:val="00302D4C"/>
    <w:rsid w:val="00303011"/>
    <w:rsid w:val="0030332F"/>
    <w:rsid w:val="00303561"/>
    <w:rsid w:val="003036D0"/>
    <w:rsid w:val="0030398A"/>
    <w:rsid w:val="00303D24"/>
    <w:rsid w:val="003042C3"/>
    <w:rsid w:val="00305521"/>
    <w:rsid w:val="00305B59"/>
    <w:rsid w:val="003066F9"/>
    <w:rsid w:val="00306A0F"/>
    <w:rsid w:val="00306AD6"/>
    <w:rsid w:val="00307226"/>
    <w:rsid w:val="00307303"/>
    <w:rsid w:val="00307338"/>
    <w:rsid w:val="00307353"/>
    <w:rsid w:val="00307359"/>
    <w:rsid w:val="00307E53"/>
    <w:rsid w:val="00307E5E"/>
    <w:rsid w:val="00307EA3"/>
    <w:rsid w:val="00307F7D"/>
    <w:rsid w:val="0031079E"/>
    <w:rsid w:val="00310856"/>
    <w:rsid w:val="00310AC0"/>
    <w:rsid w:val="00311298"/>
    <w:rsid w:val="003116D1"/>
    <w:rsid w:val="00311BCE"/>
    <w:rsid w:val="003128FE"/>
    <w:rsid w:val="00313094"/>
    <w:rsid w:val="00313198"/>
    <w:rsid w:val="00313383"/>
    <w:rsid w:val="00313654"/>
    <w:rsid w:val="00313D11"/>
    <w:rsid w:val="00313F6D"/>
    <w:rsid w:val="003140F0"/>
    <w:rsid w:val="0031412A"/>
    <w:rsid w:val="003143A6"/>
    <w:rsid w:val="00314BDC"/>
    <w:rsid w:val="00314E15"/>
    <w:rsid w:val="003153A6"/>
    <w:rsid w:val="003154B6"/>
    <w:rsid w:val="00315C08"/>
    <w:rsid w:val="00316730"/>
    <w:rsid w:val="00316B89"/>
    <w:rsid w:val="003170A6"/>
    <w:rsid w:val="00317D16"/>
    <w:rsid w:val="00317F6E"/>
    <w:rsid w:val="003200D5"/>
    <w:rsid w:val="00320134"/>
    <w:rsid w:val="00320630"/>
    <w:rsid w:val="00320663"/>
    <w:rsid w:val="0032101D"/>
    <w:rsid w:val="00321181"/>
    <w:rsid w:val="0032128B"/>
    <w:rsid w:val="003214FE"/>
    <w:rsid w:val="003219DE"/>
    <w:rsid w:val="00321BD1"/>
    <w:rsid w:val="0032209E"/>
    <w:rsid w:val="00322294"/>
    <w:rsid w:val="00322320"/>
    <w:rsid w:val="00322FF9"/>
    <w:rsid w:val="003230BF"/>
    <w:rsid w:val="0032313A"/>
    <w:rsid w:val="003232D4"/>
    <w:rsid w:val="003243C9"/>
    <w:rsid w:val="0032475F"/>
    <w:rsid w:val="003247B0"/>
    <w:rsid w:val="003248BA"/>
    <w:rsid w:val="00324ACF"/>
    <w:rsid w:val="00325863"/>
    <w:rsid w:val="00325F4B"/>
    <w:rsid w:val="0032654C"/>
    <w:rsid w:val="003266B2"/>
    <w:rsid w:val="00326C78"/>
    <w:rsid w:val="00326EE8"/>
    <w:rsid w:val="00327541"/>
    <w:rsid w:val="003275D0"/>
    <w:rsid w:val="00327987"/>
    <w:rsid w:val="003309F5"/>
    <w:rsid w:val="00330B09"/>
    <w:rsid w:val="003315EE"/>
    <w:rsid w:val="00332083"/>
    <w:rsid w:val="0033210D"/>
    <w:rsid w:val="00332404"/>
    <w:rsid w:val="0033289A"/>
    <w:rsid w:val="0033301F"/>
    <w:rsid w:val="003336A6"/>
    <w:rsid w:val="00333951"/>
    <w:rsid w:val="00333D62"/>
    <w:rsid w:val="00334296"/>
    <w:rsid w:val="0033445D"/>
    <w:rsid w:val="0033497D"/>
    <w:rsid w:val="00334C7B"/>
    <w:rsid w:val="00335491"/>
    <w:rsid w:val="003357E0"/>
    <w:rsid w:val="00335D32"/>
    <w:rsid w:val="00335D35"/>
    <w:rsid w:val="00336450"/>
    <w:rsid w:val="00336D01"/>
    <w:rsid w:val="00337856"/>
    <w:rsid w:val="00337E64"/>
    <w:rsid w:val="00341BC6"/>
    <w:rsid w:val="00341C3B"/>
    <w:rsid w:val="00341C77"/>
    <w:rsid w:val="00341DFC"/>
    <w:rsid w:val="003422D1"/>
    <w:rsid w:val="00342EA8"/>
    <w:rsid w:val="00343138"/>
    <w:rsid w:val="00343526"/>
    <w:rsid w:val="00344455"/>
    <w:rsid w:val="00344564"/>
    <w:rsid w:val="003448E6"/>
    <w:rsid w:val="00344C0D"/>
    <w:rsid w:val="00344F5D"/>
    <w:rsid w:val="003451D4"/>
    <w:rsid w:val="0034537D"/>
    <w:rsid w:val="00346046"/>
    <w:rsid w:val="003462AF"/>
    <w:rsid w:val="0034790D"/>
    <w:rsid w:val="00347C0E"/>
    <w:rsid w:val="00347D5E"/>
    <w:rsid w:val="00347F03"/>
    <w:rsid w:val="0035004C"/>
    <w:rsid w:val="00350401"/>
    <w:rsid w:val="003508F1"/>
    <w:rsid w:val="00350B6C"/>
    <w:rsid w:val="00350BE2"/>
    <w:rsid w:val="0035184D"/>
    <w:rsid w:val="003518C8"/>
    <w:rsid w:val="00351B1D"/>
    <w:rsid w:val="00351D63"/>
    <w:rsid w:val="003521AD"/>
    <w:rsid w:val="003521AE"/>
    <w:rsid w:val="00352495"/>
    <w:rsid w:val="00352862"/>
    <w:rsid w:val="003529BB"/>
    <w:rsid w:val="00352D35"/>
    <w:rsid w:val="00352F0F"/>
    <w:rsid w:val="003531D1"/>
    <w:rsid w:val="00353948"/>
    <w:rsid w:val="00353CF5"/>
    <w:rsid w:val="00353F14"/>
    <w:rsid w:val="003541A5"/>
    <w:rsid w:val="00354592"/>
    <w:rsid w:val="003549B2"/>
    <w:rsid w:val="00354BB2"/>
    <w:rsid w:val="00354E76"/>
    <w:rsid w:val="003559D6"/>
    <w:rsid w:val="00355AA9"/>
    <w:rsid w:val="00355D18"/>
    <w:rsid w:val="00355E40"/>
    <w:rsid w:val="00356307"/>
    <w:rsid w:val="0035666F"/>
    <w:rsid w:val="003566BA"/>
    <w:rsid w:val="00356729"/>
    <w:rsid w:val="003569D8"/>
    <w:rsid w:val="00356A5F"/>
    <w:rsid w:val="00356BE5"/>
    <w:rsid w:val="00356E66"/>
    <w:rsid w:val="0035736F"/>
    <w:rsid w:val="003573F8"/>
    <w:rsid w:val="00357556"/>
    <w:rsid w:val="00357EF3"/>
    <w:rsid w:val="00360050"/>
    <w:rsid w:val="00360071"/>
    <w:rsid w:val="00360079"/>
    <w:rsid w:val="00360637"/>
    <w:rsid w:val="0036094D"/>
    <w:rsid w:val="00360ABB"/>
    <w:rsid w:val="00360CB6"/>
    <w:rsid w:val="00361071"/>
    <w:rsid w:val="003613FC"/>
    <w:rsid w:val="0036143E"/>
    <w:rsid w:val="00361611"/>
    <w:rsid w:val="00361E5B"/>
    <w:rsid w:val="00361FD7"/>
    <w:rsid w:val="003625A3"/>
    <w:rsid w:val="003625DA"/>
    <w:rsid w:val="00362789"/>
    <w:rsid w:val="0036281F"/>
    <w:rsid w:val="003629C7"/>
    <w:rsid w:val="00362FFE"/>
    <w:rsid w:val="003634E8"/>
    <w:rsid w:val="003635D0"/>
    <w:rsid w:val="00363827"/>
    <w:rsid w:val="0036382E"/>
    <w:rsid w:val="003638B9"/>
    <w:rsid w:val="00363A04"/>
    <w:rsid w:val="00363BC2"/>
    <w:rsid w:val="003644DA"/>
    <w:rsid w:val="00364A87"/>
    <w:rsid w:val="00364DC1"/>
    <w:rsid w:val="003653C4"/>
    <w:rsid w:val="003657BD"/>
    <w:rsid w:val="00365C87"/>
    <w:rsid w:val="003666B2"/>
    <w:rsid w:val="0036739C"/>
    <w:rsid w:val="00367881"/>
    <w:rsid w:val="00367964"/>
    <w:rsid w:val="00367BA3"/>
    <w:rsid w:val="00367BE5"/>
    <w:rsid w:val="00367DAC"/>
    <w:rsid w:val="003701CE"/>
    <w:rsid w:val="00370E0E"/>
    <w:rsid w:val="0037111F"/>
    <w:rsid w:val="00371157"/>
    <w:rsid w:val="00371DDC"/>
    <w:rsid w:val="00371EDB"/>
    <w:rsid w:val="00371F54"/>
    <w:rsid w:val="003722CB"/>
    <w:rsid w:val="003724C7"/>
    <w:rsid w:val="00372594"/>
    <w:rsid w:val="0037293D"/>
    <w:rsid w:val="003736B4"/>
    <w:rsid w:val="0037372A"/>
    <w:rsid w:val="0037387F"/>
    <w:rsid w:val="003745D5"/>
    <w:rsid w:val="00375260"/>
    <w:rsid w:val="00375424"/>
    <w:rsid w:val="003754A9"/>
    <w:rsid w:val="003754D0"/>
    <w:rsid w:val="00375B12"/>
    <w:rsid w:val="003767E4"/>
    <w:rsid w:val="003767EC"/>
    <w:rsid w:val="00376BFC"/>
    <w:rsid w:val="00377249"/>
    <w:rsid w:val="0037770E"/>
    <w:rsid w:val="0037798C"/>
    <w:rsid w:val="00377AD7"/>
    <w:rsid w:val="003801A8"/>
    <w:rsid w:val="003803D1"/>
    <w:rsid w:val="0038099B"/>
    <w:rsid w:val="00380DF8"/>
    <w:rsid w:val="00381135"/>
    <w:rsid w:val="0038172A"/>
    <w:rsid w:val="003817D2"/>
    <w:rsid w:val="0038186A"/>
    <w:rsid w:val="003820B2"/>
    <w:rsid w:val="00382C48"/>
    <w:rsid w:val="00382D2A"/>
    <w:rsid w:val="0038337D"/>
    <w:rsid w:val="00383D45"/>
    <w:rsid w:val="00383DCA"/>
    <w:rsid w:val="00384098"/>
    <w:rsid w:val="00384176"/>
    <w:rsid w:val="003841B9"/>
    <w:rsid w:val="00384521"/>
    <w:rsid w:val="003846E8"/>
    <w:rsid w:val="00384A8B"/>
    <w:rsid w:val="00384EE4"/>
    <w:rsid w:val="00385349"/>
    <w:rsid w:val="003856DB"/>
    <w:rsid w:val="00385C5A"/>
    <w:rsid w:val="00385DA0"/>
    <w:rsid w:val="00385F0B"/>
    <w:rsid w:val="00386372"/>
    <w:rsid w:val="00386578"/>
    <w:rsid w:val="00386841"/>
    <w:rsid w:val="00386EA4"/>
    <w:rsid w:val="00387089"/>
    <w:rsid w:val="00387209"/>
    <w:rsid w:val="003874B7"/>
    <w:rsid w:val="00387C5E"/>
    <w:rsid w:val="00387D75"/>
    <w:rsid w:val="00390896"/>
    <w:rsid w:val="00390AC3"/>
    <w:rsid w:val="00391136"/>
    <w:rsid w:val="00391738"/>
    <w:rsid w:val="00391CD8"/>
    <w:rsid w:val="00391E55"/>
    <w:rsid w:val="00391EF5"/>
    <w:rsid w:val="00392293"/>
    <w:rsid w:val="00392446"/>
    <w:rsid w:val="00392D57"/>
    <w:rsid w:val="00392E15"/>
    <w:rsid w:val="00393207"/>
    <w:rsid w:val="00393F7C"/>
    <w:rsid w:val="003941E2"/>
    <w:rsid w:val="003944E9"/>
    <w:rsid w:val="00394612"/>
    <w:rsid w:val="0039499C"/>
    <w:rsid w:val="00395587"/>
    <w:rsid w:val="003955B2"/>
    <w:rsid w:val="00395AB3"/>
    <w:rsid w:val="00396A15"/>
    <w:rsid w:val="00397173"/>
    <w:rsid w:val="003972E0"/>
    <w:rsid w:val="00397DAB"/>
    <w:rsid w:val="003A0300"/>
    <w:rsid w:val="003A0519"/>
    <w:rsid w:val="003A0527"/>
    <w:rsid w:val="003A0D97"/>
    <w:rsid w:val="003A14D3"/>
    <w:rsid w:val="003A1913"/>
    <w:rsid w:val="003A1BF1"/>
    <w:rsid w:val="003A2199"/>
    <w:rsid w:val="003A31B3"/>
    <w:rsid w:val="003A366F"/>
    <w:rsid w:val="003A3D3A"/>
    <w:rsid w:val="003A493D"/>
    <w:rsid w:val="003A4D8F"/>
    <w:rsid w:val="003A5218"/>
    <w:rsid w:val="003A542B"/>
    <w:rsid w:val="003A543A"/>
    <w:rsid w:val="003A551D"/>
    <w:rsid w:val="003A5948"/>
    <w:rsid w:val="003A6366"/>
    <w:rsid w:val="003A64B6"/>
    <w:rsid w:val="003A6954"/>
    <w:rsid w:val="003A6A1F"/>
    <w:rsid w:val="003A6C2F"/>
    <w:rsid w:val="003A7377"/>
    <w:rsid w:val="003A7393"/>
    <w:rsid w:val="003A78C5"/>
    <w:rsid w:val="003A7A0C"/>
    <w:rsid w:val="003B0E65"/>
    <w:rsid w:val="003B0FE1"/>
    <w:rsid w:val="003B13DD"/>
    <w:rsid w:val="003B1700"/>
    <w:rsid w:val="003B1BBF"/>
    <w:rsid w:val="003B1F12"/>
    <w:rsid w:val="003B1FF4"/>
    <w:rsid w:val="003B2774"/>
    <w:rsid w:val="003B2B6C"/>
    <w:rsid w:val="003B3008"/>
    <w:rsid w:val="003B3920"/>
    <w:rsid w:val="003B3E5D"/>
    <w:rsid w:val="003B418D"/>
    <w:rsid w:val="003B4276"/>
    <w:rsid w:val="003B474B"/>
    <w:rsid w:val="003B4BCF"/>
    <w:rsid w:val="003B4CCC"/>
    <w:rsid w:val="003B4F1F"/>
    <w:rsid w:val="003B51EE"/>
    <w:rsid w:val="003B55B0"/>
    <w:rsid w:val="003B55BD"/>
    <w:rsid w:val="003B5C41"/>
    <w:rsid w:val="003B5FD3"/>
    <w:rsid w:val="003B63DC"/>
    <w:rsid w:val="003B68AA"/>
    <w:rsid w:val="003B6B1D"/>
    <w:rsid w:val="003B6D2C"/>
    <w:rsid w:val="003B6D9B"/>
    <w:rsid w:val="003B7B1F"/>
    <w:rsid w:val="003C0470"/>
    <w:rsid w:val="003C084A"/>
    <w:rsid w:val="003C0BD6"/>
    <w:rsid w:val="003C128A"/>
    <w:rsid w:val="003C12A6"/>
    <w:rsid w:val="003C13CC"/>
    <w:rsid w:val="003C159D"/>
    <w:rsid w:val="003C1DA0"/>
    <w:rsid w:val="003C1DC1"/>
    <w:rsid w:val="003C1E3A"/>
    <w:rsid w:val="003C25FB"/>
    <w:rsid w:val="003C260A"/>
    <w:rsid w:val="003C2D1F"/>
    <w:rsid w:val="003C2E29"/>
    <w:rsid w:val="003C2EC6"/>
    <w:rsid w:val="003C30EC"/>
    <w:rsid w:val="003C37AE"/>
    <w:rsid w:val="003C3EC4"/>
    <w:rsid w:val="003C3EE8"/>
    <w:rsid w:val="003C41D9"/>
    <w:rsid w:val="003C52C5"/>
    <w:rsid w:val="003C5532"/>
    <w:rsid w:val="003C594B"/>
    <w:rsid w:val="003C5C04"/>
    <w:rsid w:val="003C5CBD"/>
    <w:rsid w:val="003C5EDE"/>
    <w:rsid w:val="003C6442"/>
    <w:rsid w:val="003C6486"/>
    <w:rsid w:val="003C656C"/>
    <w:rsid w:val="003C6586"/>
    <w:rsid w:val="003C6A79"/>
    <w:rsid w:val="003C6C73"/>
    <w:rsid w:val="003C6D20"/>
    <w:rsid w:val="003C74CD"/>
    <w:rsid w:val="003C798B"/>
    <w:rsid w:val="003C7A26"/>
    <w:rsid w:val="003C7A62"/>
    <w:rsid w:val="003C7E73"/>
    <w:rsid w:val="003D1103"/>
    <w:rsid w:val="003D11E6"/>
    <w:rsid w:val="003D12F8"/>
    <w:rsid w:val="003D28A1"/>
    <w:rsid w:val="003D32A5"/>
    <w:rsid w:val="003D3C2A"/>
    <w:rsid w:val="003D3CCC"/>
    <w:rsid w:val="003D41E9"/>
    <w:rsid w:val="003D43EB"/>
    <w:rsid w:val="003D4CD5"/>
    <w:rsid w:val="003D517F"/>
    <w:rsid w:val="003D52F6"/>
    <w:rsid w:val="003D558C"/>
    <w:rsid w:val="003D5A51"/>
    <w:rsid w:val="003D5D76"/>
    <w:rsid w:val="003D5F77"/>
    <w:rsid w:val="003D6193"/>
    <w:rsid w:val="003D6412"/>
    <w:rsid w:val="003D648D"/>
    <w:rsid w:val="003D64CA"/>
    <w:rsid w:val="003D66D3"/>
    <w:rsid w:val="003D6993"/>
    <w:rsid w:val="003D69EA"/>
    <w:rsid w:val="003D6D19"/>
    <w:rsid w:val="003D705E"/>
    <w:rsid w:val="003D7945"/>
    <w:rsid w:val="003D7A1F"/>
    <w:rsid w:val="003E058C"/>
    <w:rsid w:val="003E0FA7"/>
    <w:rsid w:val="003E12E6"/>
    <w:rsid w:val="003E1BDB"/>
    <w:rsid w:val="003E2983"/>
    <w:rsid w:val="003E3BD5"/>
    <w:rsid w:val="003E4802"/>
    <w:rsid w:val="003E48F8"/>
    <w:rsid w:val="003E4F78"/>
    <w:rsid w:val="003E55C6"/>
    <w:rsid w:val="003E55F2"/>
    <w:rsid w:val="003E5EB9"/>
    <w:rsid w:val="003E6133"/>
    <w:rsid w:val="003E6179"/>
    <w:rsid w:val="003E627E"/>
    <w:rsid w:val="003E6CAA"/>
    <w:rsid w:val="003E7326"/>
    <w:rsid w:val="003E7AED"/>
    <w:rsid w:val="003F008B"/>
    <w:rsid w:val="003F01C5"/>
    <w:rsid w:val="003F0981"/>
    <w:rsid w:val="003F11F6"/>
    <w:rsid w:val="003F1510"/>
    <w:rsid w:val="003F1949"/>
    <w:rsid w:val="003F1E0C"/>
    <w:rsid w:val="003F211A"/>
    <w:rsid w:val="003F28DE"/>
    <w:rsid w:val="003F2EB1"/>
    <w:rsid w:val="003F38A8"/>
    <w:rsid w:val="003F38DA"/>
    <w:rsid w:val="003F3B97"/>
    <w:rsid w:val="003F3FDF"/>
    <w:rsid w:val="003F440A"/>
    <w:rsid w:val="003F4517"/>
    <w:rsid w:val="003F4995"/>
    <w:rsid w:val="003F55AB"/>
    <w:rsid w:val="003F55C2"/>
    <w:rsid w:val="003F5F9A"/>
    <w:rsid w:val="003F61FA"/>
    <w:rsid w:val="003F6227"/>
    <w:rsid w:val="003F6432"/>
    <w:rsid w:val="003F6569"/>
    <w:rsid w:val="003F658C"/>
    <w:rsid w:val="003F672C"/>
    <w:rsid w:val="003F696E"/>
    <w:rsid w:val="003F6ADE"/>
    <w:rsid w:val="003F6C4F"/>
    <w:rsid w:val="003F6F37"/>
    <w:rsid w:val="003F6F47"/>
    <w:rsid w:val="003F7844"/>
    <w:rsid w:val="003F7CB5"/>
    <w:rsid w:val="003F7D12"/>
    <w:rsid w:val="004001D0"/>
    <w:rsid w:val="004003D2"/>
    <w:rsid w:val="0040174C"/>
    <w:rsid w:val="00401996"/>
    <w:rsid w:val="00401C0F"/>
    <w:rsid w:val="00401CC2"/>
    <w:rsid w:val="004029E6"/>
    <w:rsid w:val="00402F23"/>
    <w:rsid w:val="0040373B"/>
    <w:rsid w:val="0040383E"/>
    <w:rsid w:val="00403862"/>
    <w:rsid w:val="00403C07"/>
    <w:rsid w:val="00403D00"/>
    <w:rsid w:val="00403EB3"/>
    <w:rsid w:val="00404855"/>
    <w:rsid w:val="00404A34"/>
    <w:rsid w:val="00404FC0"/>
    <w:rsid w:val="004051FF"/>
    <w:rsid w:val="00405400"/>
    <w:rsid w:val="004054EF"/>
    <w:rsid w:val="004057EE"/>
    <w:rsid w:val="004059AD"/>
    <w:rsid w:val="00405FD0"/>
    <w:rsid w:val="004063C6"/>
    <w:rsid w:val="004064D9"/>
    <w:rsid w:val="00406634"/>
    <w:rsid w:val="00406EBA"/>
    <w:rsid w:val="00406F25"/>
    <w:rsid w:val="0040709C"/>
    <w:rsid w:val="0040731C"/>
    <w:rsid w:val="00407A6A"/>
    <w:rsid w:val="00407E3C"/>
    <w:rsid w:val="00410556"/>
    <w:rsid w:val="004107ED"/>
    <w:rsid w:val="00410B07"/>
    <w:rsid w:val="00410BAC"/>
    <w:rsid w:val="00410F69"/>
    <w:rsid w:val="00411177"/>
    <w:rsid w:val="0041130D"/>
    <w:rsid w:val="00411342"/>
    <w:rsid w:val="004115DD"/>
    <w:rsid w:val="00411B20"/>
    <w:rsid w:val="00411C8B"/>
    <w:rsid w:val="00412562"/>
    <w:rsid w:val="0041258C"/>
    <w:rsid w:val="0041394C"/>
    <w:rsid w:val="0041427E"/>
    <w:rsid w:val="004145CF"/>
    <w:rsid w:val="0041473F"/>
    <w:rsid w:val="00414A26"/>
    <w:rsid w:val="004150EC"/>
    <w:rsid w:val="00415AA0"/>
    <w:rsid w:val="00415EEC"/>
    <w:rsid w:val="00416180"/>
    <w:rsid w:val="00416A06"/>
    <w:rsid w:val="00420D03"/>
    <w:rsid w:val="00420FB2"/>
    <w:rsid w:val="004214FB"/>
    <w:rsid w:val="00422006"/>
    <w:rsid w:val="004224ED"/>
    <w:rsid w:val="00422996"/>
    <w:rsid w:val="0042315D"/>
    <w:rsid w:val="0042354C"/>
    <w:rsid w:val="00423DA1"/>
    <w:rsid w:val="00423F17"/>
    <w:rsid w:val="00424926"/>
    <w:rsid w:val="00424A1B"/>
    <w:rsid w:val="00424C20"/>
    <w:rsid w:val="00425039"/>
    <w:rsid w:val="004253B3"/>
    <w:rsid w:val="00425D28"/>
    <w:rsid w:val="0042617D"/>
    <w:rsid w:val="004267A9"/>
    <w:rsid w:val="004267DA"/>
    <w:rsid w:val="00426927"/>
    <w:rsid w:val="00426A80"/>
    <w:rsid w:val="00426D09"/>
    <w:rsid w:val="00426E81"/>
    <w:rsid w:val="0042716B"/>
    <w:rsid w:val="00427249"/>
    <w:rsid w:val="00427451"/>
    <w:rsid w:val="00427578"/>
    <w:rsid w:val="00427988"/>
    <w:rsid w:val="00427A88"/>
    <w:rsid w:val="00427EFD"/>
    <w:rsid w:val="00430088"/>
    <w:rsid w:val="00430260"/>
    <w:rsid w:val="0043027F"/>
    <w:rsid w:val="00430634"/>
    <w:rsid w:val="004306EB"/>
    <w:rsid w:val="0043073F"/>
    <w:rsid w:val="00430AD9"/>
    <w:rsid w:val="00430B87"/>
    <w:rsid w:val="00430FB1"/>
    <w:rsid w:val="00431B4E"/>
    <w:rsid w:val="00432248"/>
    <w:rsid w:val="004322F9"/>
    <w:rsid w:val="00433337"/>
    <w:rsid w:val="00433419"/>
    <w:rsid w:val="00433B80"/>
    <w:rsid w:val="0043405E"/>
    <w:rsid w:val="0043591A"/>
    <w:rsid w:val="0043596A"/>
    <w:rsid w:val="00435C6A"/>
    <w:rsid w:val="00435E7A"/>
    <w:rsid w:val="00435F45"/>
    <w:rsid w:val="004360AC"/>
    <w:rsid w:val="004365EE"/>
    <w:rsid w:val="00436618"/>
    <w:rsid w:val="00436CA8"/>
    <w:rsid w:val="00436DB3"/>
    <w:rsid w:val="00436E9F"/>
    <w:rsid w:val="00436FA8"/>
    <w:rsid w:val="004372A9"/>
    <w:rsid w:val="00437F20"/>
    <w:rsid w:val="0044004C"/>
    <w:rsid w:val="004406B9"/>
    <w:rsid w:val="0044148C"/>
    <w:rsid w:val="00441A09"/>
    <w:rsid w:val="00441C20"/>
    <w:rsid w:val="00442CEC"/>
    <w:rsid w:val="00442E0A"/>
    <w:rsid w:val="00443071"/>
    <w:rsid w:val="00443261"/>
    <w:rsid w:val="00443A69"/>
    <w:rsid w:val="00443D0F"/>
    <w:rsid w:val="00444131"/>
    <w:rsid w:val="004441B8"/>
    <w:rsid w:val="00444613"/>
    <w:rsid w:val="004449E6"/>
    <w:rsid w:val="00444C82"/>
    <w:rsid w:val="00444DE8"/>
    <w:rsid w:val="00444FF1"/>
    <w:rsid w:val="00445238"/>
    <w:rsid w:val="00445543"/>
    <w:rsid w:val="00445892"/>
    <w:rsid w:val="004458FB"/>
    <w:rsid w:val="00446549"/>
    <w:rsid w:val="00446591"/>
    <w:rsid w:val="004466D5"/>
    <w:rsid w:val="00446CFC"/>
    <w:rsid w:val="0044753C"/>
    <w:rsid w:val="00447857"/>
    <w:rsid w:val="00447E0C"/>
    <w:rsid w:val="0045050B"/>
    <w:rsid w:val="00450DFA"/>
    <w:rsid w:val="00450F62"/>
    <w:rsid w:val="00451571"/>
    <w:rsid w:val="0045169E"/>
    <w:rsid w:val="0045191B"/>
    <w:rsid w:val="00451D26"/>
    <w:rsid w:val="00452220"/>
    <w:rsid w:val="00452224"/>
    <w:rsid w:val="0045222C"/>
    <w:rsid w:val="00452439"/>
    <w:rsid w:val="00452634"/>
    <w:rsid w:val="00452F31"/>
    <w:rsid w:val="00453B02"/>
    <w:rsid w:val="00453E6A"/>
    <w:rsid w:val="0045435D"/>
    <w:rsid w:val="004546DA"/>
    <w:rsid w:val="0045503C"/>
    <w:rsid w:val="00455109"/>
    <w:rsid w:val="00455F33"/>
    <w:rsid w:val="00456D56"/>
    <w:rsid w:val="0045714D"/>
    <w:rsid w:val="004571F5"/>
    <w:rsid w:val="00457368"/>
    <w:rsid w:val="004575AF"/>
    <w:rsid w:val="00457651"/>
    <w:rsid w:val="004577C8"/>
    <w:rsid w:val="00460001"/>
    <w:rsid w:val="00460329"/>
    <w:rsid w:val="004604AB"/>
    <w:rsid w:val="00460959"/>
    <w:rsid w:val="004609F7"/>
    <w:rsid w:val="00460A9A"/>
    <w:rsid w:val="00461803"/>
    <w:rsid w:val="00461C51"/>
    <w:rsid w:val="00461F61"/>
    <w:rsid w:val="004620E3"/>
    <w:rsid w:val="00462842"/>
    <w:rsid w:val="00462B07"/>
    <w:rsid w:val="0046309F"/>
    <w:rsid w:val="00463AA1"/>
    <w:rsid w:val="00464019"/>
    <w:rsid w:val="004642CC"/>
    <w:rsid w:val="0046450F"/>
    <w:rsid w:val="00464932"/>
    <w:rsid w:val="00464A91"/>
    <w:rsid w:val="00464B29"/>
    <w:rsid w:val="00464F70"/>
    <w:rsid w:val="00465665"/>
    <w:rsid w:val="00465789"/>
    <w:rsid w:val="004658A0"/>
    <w:rsid w:val="00465E17"/>
    <w:rsid w:val="004660A0"/>
    <w:rsid w:val="00466315"/>
    <w:rsid w:val="004663DC"/>
    <w:rsid w:val="00466926"/>
    <w:rsid w:val="00466948"/>
    <w:rsid w:val="00467157"/>
    <w:rsid w:val="004679C1"/>
    <w:rsid w:val="00467A50"/>
    <w:rsid w:val="00467B5E"/>
    <w:rsid w:val="00467B6A"/>
    <w:rsid w:val="00467C09"/>
    <w:rsid w:val="00467E8B"/>
    <w:rsid w:val="00470410"/>
    <w:rsid w:val="0047041A"/>
    <w:rsid w:val="004706D1"/>
    <w:rsid w:val="004708BB"/>
    <w:rsid w:val="00470ABB"/>
    <w:rsid w:val="00470FDB"/>
    <w:rsid w:val="004717E4"/>
    <w:rsid w:val="0047194B"/>
    <w:rsid w:val="00471DB4"/>
    <w:rsid w:val="00471FE6"/>
    <w:rsid w:val="00472FD6"/>
    <w:rsid w:val="00473390"/>
    <w:rsid w:val="0047360A"/>
    <w:rsid w:val="00473867"/>
    <w:rsid w:val="00473B1E"/>
    <w:rsid w:val="00474140"/>
    <w:rsid w:val="0047414E"/>
    <w:rsid w:val="00474BE0"/>
    <w:rsid w:val="0047525D"/>
    <w:rsid w:val="0047555D"/>
    <w:rsid w:val="0047556E"/>
    <w:rsid w:val="00475AD3"/>
    <w:rsid w:val="00475DCE"/>
    <w:rsid w:val="00475EA2"/>
    <w:rsid w:val="004766DB"/>
    <w:rsid w:val="004766F6"/>
    <w:rsid w:val="00476789"/>
    <w:rsid w:val="00476AC5"/>
    <w:rsid w:val="00476C79"/>
    <w:rsid w:val="004776AF"/>
    <w:rsid w:val="004776D2"/>
    <w:rsid w:val="0047770F"/>
    <w:rsid w:val="00477A59"/>
    <w:rsid w:val="00477B8A"/>
    <w:rsid w:val="00477B8F"/>
    <w:rsid w:val="00477D38"/>
    <w:rsid w:val="00480066"/>
    <w:rsid w:val="004801B7"/>
    <w:rsid w:val="004804CA"/>
    <w:rsid w:val="0048058B"/>
    <w:rsid w:val="004806A0"/>
    <w:rsid w:val="00481FF1"/>
    <w:rsid w:val="0048225B"/>
    <w:rsid w:val="00482531"/>
    <w:rsid w:val="004835BB"/>
    <w:rsid w:val="004836D7"/>
    <w:rsid w:val="00483722"/>
    <w:rsid w:val="00483820"/>
    <w:rsid w:val="00484373"/>
    <w:rsid w:val="0048458E"/>
    <w:rsid w:val="00484947"/>
    <w:rsid w:val="00484B61"/>
    <w:rsid w:val="00484D38"/>
    <w:rsid w:val="00484E50"/>
    <w:rsid w:val="0048512D"/>
    <w:rsid w:val="00485274"/>
    <w:rsid w:val="00485DF1"/>
    <w:rsid w:val="00485FC3"/>
    <w:rsid w:val="0048633E"/>
    <w:rsid w:val="004867BB"/>
    <w:rsid w:val="00486A9E"/>
    <w:rsid w:val="00486F06"/>
    <w:rsid w:val="0048731B"/>
    <w:rsid w:val="00487394"/>
    <w:rsid w:val="00487618"/>
    <w:rsid w:val="00487971"/>
    <w:rsid w:val="00487AE4"/>
    <w:rsid w:val="00490016"/>
    <w:rsid w:val="00490207"/>
    <w:rsid w:val="0049064A"/>
    <w:rsid w:val="004906A6"/>
    <w:rsid w:val="004915F4"/>
    <w:rsid w:val="00491D93"/>
    <w:rsid w:val="0049290D"/>
    <w:rsid w:val="00492BC9"/>
    <w:rsid w:val="00492C59"/>
    <w:rsid w:val="00493129"/>
    <w:rsid w:val="0049349C"/>
    <w:rsid w:val="00493BB6"/>
    <w:rsid w:val="00494091"/>
    <w:rsid w:val="00494110"/>
    <w:rsid w:val="00494491"/>
    <w:rsid w:val="00494A2C"/>
    <w:rsid w:val="00494C6A"/>
    <w:rsid w:val="00494DD0"/>
    <w:rsid w:val="004950FA"/>
    <w:rsid w:val="00495BA7"/>
    <w:rsid w:val="004962D8"/>
    <w:rsid w:val="00496572"/>
    <w:rsid w:val="004968BD"/>
    <w:rsid w:val="004974CA"/>
    <w:rsid w:val="004974D1"/>
    <w:rsid w:val="00497696"/>
    <w:rsid w:val="004976F1"/>
    <w:rsid w:val="0049793E"/>
    <w:rsid w:val="00497D18"/>
    <w:rsid w:val="004A00D7"/>
    <w:rsid w:val="004A0411"/>
    <w:rsid w:val="004A0C13"/>
    <w:rsid w:val="004A18DD"/>
    <w:rsid w:val="004A1A28"/>
    <w:rsid w:val="004A1C2B"/>
    <w:rsid w:val="004A1C43"/>
    <w:rsid w:val="004A1D6D"/>
    <w:rsid w:val="004A1F41"/>
    <w:rsid w:val="004A20F2"/>
    <w:rsid w:val="004A258E"/>
    <w:rsid w:val="004A27A9"/>
    <w:rsid w:val="004A2EBB"/>
    <w:rsid w:val="004A31CF"/>
    <w:rsid w:val="004A346B"/>
    <w:rsid w:val="004A349D"/>
    <w:rsid w:val="004A386B"/>
    <w:rsid w:val="004A38B0"/>
    <w:rsid w:val="004A3945"/>
    <w:rsid w:val="004A3D70"/>
    <w:rsid w:val="004A4062"/>
    <w:rsid w:val="004A40A8"/>
    <w:rsid w:val="004A4772"/>
    <w:rsid w:val="004A5000"/>
    <w:rsid w:val="004A505C"/>
    <w:rsid w:val="004A53FB"/>
    <w:rsid w:val="004A5429"/>
    <w:rsid w:val="004A5AFE"/>
    <w:rsid w:val="004A6380"/>
    <w:rsid w:val="004A6622"/>
    <w:rsid w:val="004A6F16"/>
    <w:rsid w:val="004A702C"/>
    <w:rsid w:val="004A711B"/>
    <w:rsid w:val="004A79CF"/>
    <w:rsid w:val="004A7D4E"/>
    <w:rsid w:val="004B0874"/>
    <w:rsid w:val="004B0B41"/>
    <w:rsid w:val="004B0B67"/>
    <w:rsid w:val="004B0C1F"/>
    <w:rsid w:val="004B1DAC"/>
    <w:rsid w:val="004B1F43"/>
    <w:rsid w:val="004B2AAC"/>
    <w:rsid w:val="004B320C"/>
    <w:rsid w:val="004B3B8C"/>
    <w:rsid w:val="004B4016"/>
    <w:rsid w:val="004B4073"/>
    <w:rsid w:val="004B447B"/>
    <w:rsid w:val="004B4987"/>
    <w:rsid w:val="004B4A4B"/>
    <w:rsid w:val="004B4AAE"/>
    <w:rsid w:val="004B4C9C"/>
    <w:rsid w:val="004B535B"/>
    <w:rsid w:val="004B53AE"/>
    <w:rsid w:val="004B5544"/>
    <w:rsid w:val="004B5744"/>
    <w:rsid w:val="004B5B84"/>
    <w:rsid w:val="004B609F"/>
    <w:rsid w:val="004B6399"/>
    <w:rsid w:val="004B6AD0"/>
    <w:rsid w:val="004B7019"/>
    <w:rsid w:val="004B70D7"/>
    <w:rsid w:val="004B753F"/>
    <w:rsid w:val="004B7D4E"/>
    <w:rsid w:val="004C0BFB"/>
    <w:rsid w:val="004C0E33"/>
    <w:rsid w:val="004C119C"/>
    <w:rsid w:val="004C1B82"/>
    <w:rsid w:val="004C22A3"/>
    <w:rsid w:val="004C25EA"/>
    <w:rsid w:val="004C28B5"/>
    <w:rsid w:val="004C2914"/>
    <w:rsid w:val="004C2E4D"/>
    <w:rsid w:val="004C2FC1"/>
    <w:rsid w:val="004C36AA"/>
    <w:rsid w:val="004C3973"/>
    <w:rsid w:val="004C3C8B"/>
    <w:rsid w:val="004C4325"/>
    <w:rsid w:val="004C466E"/>
    <w:rsid w:val="004C4AA9"/>
    <w:rsid w:val="004C50FF"/>
    <w:rsid w:val="004C5442"/>
    <w:rsid w:val="004C55BA"/>
    <w:rsid w:val="004C5679"/>
    <w:rsid w:val="004C599D"/>
    <w:rsid w:val="004C5BE7"/>
    <w:rsid w:val="004C5E83"/>
    <w:rsid w:val="004C5FBF"/>
    <w:rsid w:val="004C6670"/>
    <w:rsid w:val="004C6D6A"/>
    <w:rsid w:val="004C7F39"/>
    <w:rsid w:val="004D0C51"/>
    <w:rsid w:val="004D0DBB"/>
    <w:rsid w:val="004D107C"/>
    <w:rsid w:val="004D1507"/>
    <w:rsid w:val="004D19CD"/>
    <w:rsid w:val="004D1CD6"/>
    <w:rsid w:val="004D1DC1"/>
    <w:rsid w:val="004D2B0E"/>
    <w:rsid w:val="004D2DDD"/>
    <w:rsid w:val="004D2DDF"/>
    <w:rsid w:val="004D3411"/>
    <w:rsid w:val="004D42C5"/>
    <w:rsid w:val="004D46DE"/>
    <w:rsid w:val="004D4801"/>
    <w:rsid w:val="004D4835"/>
    <w:rsid w:val="004D48DE"/>
    <w:rsid w:val="004D4912"/>
    <w:rsid w:val="004D4C0C"/>
    <w:rsid w:val="004D4F1D"/>
    <w:rsid w:val="004D5171"/>
    <w:rsid w:val="004D5407"/>
    <w:rsid w:val="004D54C5"/>
    <w:rsid w:val="004D5A55"/>
    <w:rsid w:val="004D66D6"/>
    <w:rsid w:val="004D67D9"/>
    <w:rsid w:val="004D6A37"/>
    <w:rsid w:val="004D6E88"/>
    <w:rsid w:val="004D7994"/>
    <w:rsid w:val="004D7AEB"/>
    <w:rsid w:val="004D7D55"/>
    <w:rsid w:val="004D7E17"/>
    <w:rsid w:val="004E0162"/>
    <w:rsid w:val="004E0217"/>
    <w:rsid w:val="004E064F"/>
    <w:rsid w:val="004E08F5"/>
    <w:rsid w:val="004E0E34"/>
    <w:rsid w:val="004E0FFB"/>
    <w:rsid w:val="004E15D6"/>
    <w:rsid w:val="004E16AE"/>
    <w:rsid w:val="004E1B52"/>
    <w:rsid w:val="004E1BF7"/>
    <w:rsid w:val="004E1D41"/>
    <w:rsid w:val="004E1F25"/>
    <w:rsid w:val="004E2068"/>
    <w:rsid w:val="004E289C"/>
    <w:rsid w:val="004E2D3D"/>
    <w:rsid w:val="004E3310"/>
    <w:rsid w:val="004E3673"/>
    <w:rsid w:val="004E3900"/>
    <w:rsid w:val="004E3912"/>
    <w:rsid w:val="004E3AA6"/>
    <w:rsid w:val="004E3CCE"/>
    <w:rsid w:val="004E3F02"/>
    <w:rsid w:val="004E3F3D"/>
    <w:rsid w:val="004E4416"/>
    <w:rsid w:val="004E5430"/>
    <w:rsid w:val="004E59CF"/>
    <w:rsid w:val="004E63A9"/>
    <w:rsid w:val="004E7CD3"/>
    <w:rsid w:val="004F0028"/>
    <w:rsid w:val="004F00B8"/>
    <w:rsid w:val="004F01D6"/>
    <w:rsid w:val="004F07CD"/>
    <w:rsid w:val="004F07D7"/>
    <w:rsid w:val="004F0B07"/>
    <w:rsid w:val="004F0EED"/>
    <w:rsid w:val="004F1103"/>
    <w:rsid w:val="004F1238"/>
    <w:rsid w:val="004F15AE"/>
    <w:rsid w:val="004F1B16"/>
    <w:rsid w:val="004F1BB2"/>
    <w:rsid w:val="004F236E"/>
    <w:rsid w:val="004F2433"/>
    <w:rsid w:val="004F26E0"/>
    <w:rsid w:val="004F2A73"/>
    <w:rsid w:val="004F2E2F"/>
    <w:rsid w:val="004F37E7"/>
    <w:rsid w:val="004F40ED"/>
    <w:rsid w:val="004F47AF"/>
    <w:rsid w:val="004F4A27"/>
    <w:rsid w:val="004F4ACF"/>
    <w:rsid w:val="004F5197"/>
    <w:rsid w:val="004F5318"/>
    <w:rsid w:val="004F574E"/>
    <w:rsid w:val="004F6038"/>
    <w:rsid w:val="004F6E28"/>
    <w:rsid w:val="004F6EF0"/>
    <w:rsid w:val="004F7241"/>
    <w:rsid w:val="004F7AE4"/>
    <w:rsid w:val="004F7F50"/>
    <w:rsid w:val="0050056B"/>
    <w:rsid w:val="0050065A"/>
    <w:rsid w:val="0050104B"/>
    <w:rsid w:val="0050115A"/>
    <w:rsid w:val="00501F90"/>
    <w:rsid w:val="005021F1"/>
    <w:rsid w:val="005027F5"/>
    <w:rsid w:val="005031AA"/>
    <w:rsid w:val="005032EC"/>
    <w:rsid w:val="005032F8"/>
    <w:rsid w:val="00503DB6"/>
    <w:rsid w:val="00504023"/>
    <w:rsid w:val="005042A7"/>
    <w:rsid w:val="0050472A"/>
    <w:rsid w:val="00504A04"/>
    <w:rsid w:val="00504A42"/>
    <w:rsid w:val="00504B2D"/>
    <w:rsid w:val="00504D5B"/>
    <w:rsid w:val="00505621"/>
    <w:rsid w:val="00505870"/>
    <w:rsid w:val="00506151"/>
    <w:rsid w:val="00506232"/>
    <w:rsid w:val="00506DDC"/>
    <w:rsid w:val="0050700B"/>
    <w:rsid w:val="0050741D"/>
    <w:rsid w:val="00507978"/>
    <w:rsid w:val="00507A08"/>
    <w:rsid w:val="00507C07"/>
    <w:rsid w:val="005109F6"/>
    <w:rsid w:val="00510C09"/>
    <w:rsid w:val="00510E40"/>
    <w:rsid w:val="005112FE"/>
    <w:rsid w:val="00511476"/>
    <w:rsid w:val="00511935"/>
    <w:rsid w:val="0051199C"/>
    <w:rsid w:val="00511AD4"/>
    <w:rsid w:val="0051234D"/>
    <w:rsid w:val="00512BEA"/>
    <w:rsid w:val="00512EB1"/>
    <w:rsid w:val="0051306C"/>
    <w:rsid w:val="00513CB1"/>
    <w:rsid w:val="00513F20"/>
    <w:rsid w:val="00514221"/>
    <w:rsid w:val="0051489D"/>
    <w:rsid w:val="00514A38"/>
    <w:rsid w:val="00515497"/>
    <w:rsid w:val="00515634"/>
    <w:rsid w:val="00515A30"/>
    <w:rsid w:val="00516912"/>
    <w:rsid w:val="00516AE3"/>
    <w:rsid w:val="00516B72"/>
    <w:rsid w:val="00516C56"/>
    <w:rsid w:val="005172AF"/>
    <w:rsid w:val="00517C90"/>
    <w:rsid w:val="00517DB3"/>
    <w:rsid w:val="00517DE3"/>
    <w:rsid w:val="005201C0"/>
    <w:rsid w:val="00520FF5"/>
    <w:rsid w:val="005210E7"/>
    <w:rsid w:val="00521869"/>
    <w:rsid w:val="00521BEE"/>
    <w:rsid w:val="005224A1"/>
    <w:rsid w:val="005227FB"/>
    <w:rsid w:val="00522956"/>
    <w:rsid w:val="005238FF"/>
    <w:rsid w:val="00523EE8"/>
    <w:rsid w:val="00523FB0"/>
    <w:rsid w:val="00524090"/>
    <w:rsid w:val="005240E0"/>
    <w:rsid w:val="005243A9"/>
    <w:rsid w:val="00525150"/>
    <w:rsid w:val="00525671"/>
    <w:rsid w:val="00526591"/>
    <w:rsid w:val="005268D5"/>
    <w:rsid w:val="005269B8"/>
    <w:rsid w:val="00527278"/>
    <w:rsid w:val="00527295"/>
    <w:rsid w:val="0052761F"/>
    <w:rsid w:val="0052772B"/>
    <w:rsid w:val="00527B43"/>
    <w:rsid w:val="00527B5E"/>
    <w:rsid w:val="00527E70"/>
    <w:rsid w:val="00527F8E"/>
    <w:rsid w:val="005301B6"/>
    <w:rsid w:val="00530ABB"/>
    <w:rsid w:val="00530BF6"/>
    <w:rsid w:val="00530D20"/>
    <w:rsid w:val="00530D5A"/>
    <w:rsid w:val="00531102"/>
    <w:rsid w:val="0053143E"/>
    <w:rsid w:val="00531B3B"/>
    <w:rsid w:val="00531BC0"/>
    <w:rsid w:val="00531D71"/>
    <w:rsid w:val="0053283D"/>
    <w:rsid w:val="0053290A"/>
    <w:rsid w:val="00532B8D"/>
    <w:rsid w:val="00532DA2"/>
    <w:rsid w:val="00533518"/>
    <w:rsid w:val="00533781"/>
    <w:rsid w:val="00533AA6"/>
    <w:rsid w:val="00533C8B"/>
    <w:rsid w:val="00533F0C"/>
    <w:rsid w:val="005344A1"/>
    <w:rsid w:val="0053468B"/>
    <w:rsid w:val="00534E6B"/>
    <w:rsid w:val="0053537A"/>
    <w:rsid w:val="005358D4"/>
    <w:rsid w:val="00535942"/>
    <w:rsid w:val="00536494"/>
    <w:rsid w:val="0053703A"/>
    <w:rsid w:val="00537249"/>
    <w:rsid w:val="00537252"/>
    <w:rsid w:val="00537420"/>
    <w:rsid w:val="00537507"/>
    <w:rsid w:val="00537C72"/>
    <w:rsid w:val="0054005C"/>
    <w:rsid w:val="0054014B"/>
    <w:rsid w:val="00540150"/>
    <w:rsid w:val="00540650"/>
    <w:rsid w:val="00540904"/>
    <w:rsid w:val="00540D3B"/>
    <w:rsid w:val="00541227"/>
    <w:rsid w:val="005419A2"/>
    <w:rsid w:val="00542448"/>
    <w:rsid w:val="00542483"/>
    <w:rsid w:val="0054263A"/>
    <w:rsid w:val="00542DC5"/>
    <w:rsid w:val="00542DDE"/>
    <w:rsid w:val="005434D0"/>
    <w:rsid w:val="005436DE"/>
    <w:rsid w:val="005439DC"/>
    <w:rsid w:val="00543F27"/>
    <w:rsid w:val="00543F8A"/>
    <w:rsid w:val="005440DD"/>
    <w:rsid w:val="00544A65"/>
    <w:rsid w:val="00544D6B"/>
    <w:rsid w:val="00545982"/>
    <w:rsid w:val="00545F36"/>
    <w:rsid w:val="005461D0"/>
    <w:rsid w:val="005461F3"/>
    <w:rsid w:val="00546251"/>
    <w:rsid w:val="00546724"/>
    <w:rsid w:val="00547423"/>
    <w:rsid w:val="005477C8"/>
    <w:rsid w:val="005477E5"/>
    <w:rsid w:val="0054798E"/>
    <w:rsid w:val="00547DE7"/>
    <w:rsid w:val="00550004"/>
    <w:rsid w:val="005504E8"/>
    <w:rsid w:val="00550830"/>
    <w:rsid w:val="00550B0F"/>
    <w:rsid w:val="00551173"/>
    <w:rsid w:val="005513A5"/>
    <w:rsid w:val="0055198D"/>
    <w:rsid w:val="005519DA"/>
    <w:rsid w:val="00551A32"/>
    <w:rsid w:val="00551C88"/>
    <w:rsid w:val="00551EF7"/>
    <w:rsid w:val="00551FA6"/>
    <w:rsid w:val="005520AC"/>
    <w:rsid w:val="00552877"/>
    <w:rsid w:val="00552891"/>
    <w:rsid w:val="005528B2"/>
    <w:rsid w:val="00552A88"/>
    <w:rsid w:val="00552E23"/>
    <w:rsid w:val="0055359C"/>
    <w:rsid w:val="005538FB"/>
    <w:rsid w:val="00553CA0"/>
    <w:rsid w:val="00553CDA"/>
    <w:rsid w:val="00553DF7"/>
    <w:rsid w:val="00553E04"/>
    <w:rsid w:val="0055468E"/>
    <w:rsid w:val="00554A81"/>
    <w:rsid w:val="00554DC4"/>
    <w:rsid w:val="00555025"/>
    <w:rsid w:val="0055542C"/>
    <w:rsid w:val="005560B3"/>
    <w:rsid w:val="005566F8"/>
    <w:rsid w:val="0055674F"/>
    <w:rsid w:val="0055691B"/>
    <w:rsid w:val="0055703E"/>
    <w:rsid w:val="0055753B"/>
    <w:rsid w:val="00557EA7"/>
    <w:rsid w:val="0056008D"/>
    <w:rsid w:val="0056014B"/>
    <w:rsid w:val="005601BA"/>
    <w:rsid w:val="005603FD"/>
    <w:rsid w:val="00560A09"/>
    <w:rsid w:val="00560A34"/>
    <w:rsid w:val="00560A46"/>
    <w:rsid w:val="00560CAE"/>
    <w:rsid w:val="00560F05"/>
    <w:rsid w:val="00560F8B"/>
    <w:rsid w:val="00561568"/>
    <w:rsid w:val="00561CFD"/>
    <w:rsid w:val="00562063"/>
    <w:rsid w:val="005620B6"/>
    <w:rsid w:val="00562444"/>
    <w:rsid w:val="00562537"/>
    <w:rsid w:val="00562603"/>
    <w:rsid w:val="00562613"/>
    <w:rsid w:val="00562D74"/>
    <w:rsid w:val="00562DA0"/>
    <w:rsid w:val="00562E80"/>
    <w:rsid w:val="0056339A"/>
    <w:rsid w:val="00563476"/>
    <w:rsid w:val="00563A0E"/>
    <w:rsid w:val="00563C85"/>
    <w:rsid w:val="00563FEA"/>
    <w:rsid w:val="0056481E"/>
    <w:rsid w:val="005648A6"/>
    <w:rsid w:val="00564CE7"/>
    <w:rsid w:val="005650A6"/>
    <w:rsid w:val="005651E5"/>
    <w:rsid w:val="00565316"/>
    <w:rsid w:val="00565585"/>
    <w:rsid w:val="00565776"/>
    <w:rsid w:val="00565BF3"/>
    <w:rsid w:val="00565F35"/>
    <w:rsid w:val="0056658C"/>
    <w:rsid w:val="00567691"/>
    <w:rsid w:val="00567821"/>
    <w:rsid w:val="00567CEE"/>
    <w:rsid w:val="00571404"/>
    <w:rsid w:val="005714DD"/>
    <w:rsid w:val="0057202F"/>
    <w:rsid w:val="00572698"/>
    <w:rsid w:val="005730C2"/>
    <w:rsid w:val="005734D6"/>
    <w:rsid w:val="00573600"/>
    <w:rsid w:val="005738CB"/>
    <w:rsid w:val="00574364"/>
    <w:rsid w:val="00574520"/>
    <w:rsid w:val="0057478D"/>
    <w:rsid w:val="005750C1"/>
    <w:rsid w:val="00575118"/>
    <w:rsid w:val="00575715"/>
    <w:rsid w:val="005759C8"/>
    <w:rsid w:val="00575B06"/>
    <w:rsid w:val="00575B37"/>
    <w:rsid w:val="00575BB7"/>
    <w:rsid w:val="00576352"/>
    <w:rsid w:val="005767BB"/>
    <w:rsid w:val="00576861"/>
    <w:rsid w:val="00576992"/>
    <w:rsid w:val="00576BEA"/>
    <w:rsid w:val="00576C5D"/>
    <w:rsid w:val="00576EC9"/>
    <w:rsid w:val="00576FCD"/>
    <w:rsid w:val="00577130"/>
    <w:rsid w:val="005776F3"/>
    <w:rsid w:val="0057783E"/>
    <w:rsid w:val="00580878"/>
    <w:rsid w:val="00580BF7"/>
    <w:rsid w:val="005813EA"/>
    <w:rsid w:val="005813FF"/>
    <w:rsid w:val="00581760"/>
    <w:rsid w:val="00581858"/>
    <w:rsid w:val="00581FE3"/>
    <w:rsid w:val="0058286F"/>
    <w:rsid w:val="005828B8"/>
    <w:rsid w:val="00582B82"/>
    <w:rsid w:val="005832CB"/>
    <w:rsid w:val="005838CF"/>
    <w:rsid w:val="00583A09"/>
    <w:rsid w:val="00583B01"/>
    <w:rsid w:val="0058488E"/>
    <w:rsid w:val="00585394"/>
    <w:rsid w:val="00585856"/>
    <w:rsid w:val="0058614B"/>
    <w:rsid w:val="0058625C"/>
    <w:rsid w:val="005868CF"/>
    <w:rsid w:val="0058694C"/>
    <w:rsid w:val="00586B80"/>
    <w:rsid w:val="00586C5D"/>
    <w:rsid w:val="005873E1"/>
    <w:rsid w:val="00587829"/>
    <w:rsid w:val="00587992"/>
    <w:rsid w:val="00587EF3"/>
    <w:rsid w:val="005907A6"/>
    <w:rsid w:val="00590BAB"/>
    <w:rsid w:val="00591101"/>
    <w:rsid w:val="00591363"/>
    <w:rsid w:val="00591BF7"/>
    <w:rsid w:val="00591C97"/>
    <w:rsid w:val="005925EA"/>
    <w:rsid w:val="00592ADD"/>
    <w:rsid w:val="00592D6C"/>
    <w:rsid w:val="00593E30"/>
    <w:rsid w:val="0059406A"/>
    <w:rsid w:val="00594080"/>
    <w:rsid w:val="0059423D"/>
    <w:rsid w:val="0059426A"/>
    <w:rsid w:val="00595BED"/>
    <w:rsid w:val="00596F71"/>
    <w:rsid w:val="00596FD8"/>
    <w:rsid w:val="00597125"/>
    <w:rsid w:val="00597355"/>
    <w:rsid w:val="005974BC"/>
    <w:rsid w:val="005975AA"/>
    <w:rsid w:val="0059774B"/>
    <w:rsid w:val="00597EE9"/>
    <w:rsid w:val="005A0762"/>
    <w:rsid w:val="005A0BA2"/>
    <w:rsid w:val="005A0DED"/>
    <w:rsid w:val="005A1968"/>
    <w:rsid w:val="005A1BB2"/>
    <w:rsid w:val="005A1D71"/>
    <w:rsid w:val="005A1E0B"/>
    <w:rsid w:val="005A2400"/>
    <w:rsid w:val="005A2402"/>
    <w:rsid w:val="005A248C"/>
    <w:rsid w:val="005A2B46"/>
    <w:rsid w:val="005A2B72"/>
    <w:rsid w:val="005A2F00"/>
    <w:rsid w:val="005A348F"/>
    <w:rsid w:val="005A34C3"/>
    <w:rsid w:val="005A3C3C"/>
    <w:rsid w:val="005A3D30"/>
    <w:rsid w:val="005A3E0C"/>
    <w:rsid w:val="005A4117"/>
    <w:rsid w:val="005A4A7B"/>
    <w:rsid w:val="005A5387"/>
    <w:rsid w:val="005A56E5"/>
    <w:rsid w:val="005A5B31"/>
    <w:rsid w:val="005A5C74"/>
    <w:rsid w:val="005A6103"/>
    <w:rsid w:val="005A6137"/>
    <w:rsid w:val="005A6A00"/>
    <w:rsid w:val="005A6E1F"/>
    <w:rsid w:val="005A7065"/>
    <w:rsid w:val="005A752A"/>
    <w:rsid w:val="005A7AFC"/>
    <w:rsid w:val="005A7D0C"/>
    <w:rsid w:val="005A7E50"/>
    <w:rsid w:val="005B03D9"/>
    <w:rsid w:val="005B03E7"/>
    <w:rsid w:val="005B0591"/>
    <w:rsid w:val="005B0757"/>
    <w:rsid w:val="005B0841"/>
    <w:rsid w:val="005B0AA3"/>
    <w:rsid w:val="005B114A"/>
    <w:rsid w:val="005B1396"/>
    <w:rsid w:val="005B1A41"/>
    <w:rsid w:val="005B1D46"/>
    <w:rsid w:val="005B23DA"/>
    <w:rsid w:val="005B2CBA"/>
    <w:rsid w:val="005B2D3F"/>
    <w:rsid w:val="005B3444"/>
    <w:rsid w:val="005B368B"/>
    <w:rsid w:val="005B36CD"/>
    <w:rsid w:val="005B3D3B"/>
    <w:rsid w:val="005B3FD2"/>
    <w:rsid w:val="005B4098"/>
    <w:rsid w:val="005B4110"/>
    <w:rsid w:val="005B42DB"/>
    <w:rsid w:val="005B4322"/>
    <w:rsid w:val="005B449D"/>
    <w:rsid w:val="005B44E4"/>
    <w:rsid w:val="005B4906"/>
    <w:rsid w:val="005B4B9F"/>
    <w:rsid w:val="005B4DE3"/>
    <w:rsid w:val="005B514E"/>
    <w:rsid w:val="005B560A"/>
    <w:rsid w:val="005B58B2"/>
    <w:rsid w:val="005B628E"/>
    <w:rsid w:val="005B68E4"/>
    <w:rsid w:val="005B6EFC"/>
    <w:rsid w:val="005B7279"/>
    <w:rsid w:val="005B79CA"/>
    <w:rsid w:val="005B7F0D"/>
    <w:rsid w:val="005C023A"/>
    <w:rsid w:val="005C02E9"/>
    <w:rsid w:val="005C02F9"/>
    <w:rsid w:val="005C0539"/>
    <w:rsid w:val="005C0575"/>
    <w:rsid w:val="005C069C"/>
    <w:rsid w:val="005C0CB4"/>
    <w:rsid w:val="005C1226"/>
    <w:rsid w:val="005C1254"/>
    <w:rsid w:val="005C1273"/>
    <w:rsid w:val="005C1A82"/>
    <w:rsid w:val="005C1FAE"/>
    <w:rsid w:val="005C2388"/>
    <w:rsid w:val="005C28F1"/>
    <w:rsid w:val="005C2CAC"/>
    <w:rsid w:val="005C2EB8"/>
    <w:rsid w:val="005C2FAB"/>
    <w:rsid w:val="005C2FC7"/>
    <w:rsid w:val="005C32C5"/>
    <w:rsid w:val="005C3BB5"/>
    <w:rsid w:val="005C4410"/>
    <w:rsid w:val="005C49AA"/>
    <w:rsid w:val="005C4AC6"/>
    <w:rsid w:val="005C4DDE"/>
    <w:rsid w:val="005C53ED"/>
    <w:rsid w:val="005C55F5"/>
    <w:rsid w:val="005C5AE1"/>
    <w:rsid w:val="005C5CF0"/>
    <w:rsid w:val="005C6215"/>
    <w:rsid w:val="005C6CC4"/>
    <w:rsid w:val="005C7CD5"/>
    <w:rsid w:val="005C7D0E"/>
    <w:rsid w:val="005C7FD5"/>
    <w:rsid w:val="005D0994"/>
    <w:rsid w:val="005D0AC0"/>
    <w:rsid w:val="005D0B52"/>
    <w:rsid w:val="005D0B94"/>
    <w:rsid w:val="005D0BCF"/>
    <w:rsid w:val="005D107A"/>
    <w:rsid w:val="005D10ED"/>
    <w:rsid w:val="005D122F"/>
    <w:rsid w:val="005D1302"/>
    <w:rsid w:val="005D1B1E"/>
    <w:rsid w:val="005D2391"/>
    <w:rsid w:val="005D3119"/>
    <w:rsid w:val="005D3800"/>
    <w:rsid w:val="005D3E1A"/>
    <w:rsid w:val="005D4553"/>
    <w:rsid w:val="005D45CE"/>
    <w:rsid w:val="005D49E1"/>
    <w:rsid w:val="005D4AC2"/>
    <w:rsid w:val="005D4C70"/>
    <w:rsid w:val="005D4EF0"/>
    <w:rsid w:val="005D50E9"/>
    <w:rsid w:val="005D53B0"/>
    <w:rsid w:val="005D5F2B"/>
    <w:rsid w:val="005D6352"/>
    <w:rsid w:val="005D63D9"/>
    <w:rsid w:val="005D65A6"/>
    <w:rsid w:val="005D6651"/>
    <w:rsid w:val="005D66AE"/>
    <w:rsid w:val="005D6D0B"/>
    <w:rsid w:val="005D7034"/>
    <w:rsid w:val="005D73C2"/>
    <w:rsid w:val="005D7719"/>
    <w:rsid w:val="005D7FB1"/>
    <w:rsid w:val="005E005C"/>
    <w:rsid w:val="005E02EE"/>
    <w:rsid w:val="005E08F8"/>
    <w:rsid w:val="005E0B26"/>
    <w:rsid w:val="005E0C22"/>
    <w:rsid w:val="005E0FAE"/>
    <w:rsid w:val="005E0FCE"/>
    <w:rsid w:val="005E1BEE"/>
    <w:rsid w:val="005E2071"/>
    <w:rsid w:val="005E28CB"/>
    <w:rsid w:val="005E28E7"/>
    <w:rsid w:val="005E2B20"/>
    <w:rsid w:val="005E39AE"/>
    <w:rsid w:val="005E3BAC"/>
    <w:rsid w:val="005E3C60"/>
    <w:rsid w:val="005E3D95"/>
    <w:rsid w:val="005E3F2F"/>
    <w:rsid w:val="005E3FC1"/>
    <w:rsid w:val="005E41AA"/>
    <w:rsid w:val="005E421D"/>
    <w:rsid w:val="005E4595"/>
    <w:rsid w:val="005E5362"/>
    <w:rsid w:val="005E5918"/>
    <w:rsid w:val="005E67B8"/>
    <w:rsid w:val="005E67DA"/>
    <w:rsid w:val="005E6C26"/>
    <w:rsid w:val="005E6C98"/>
    <w:rsid w:val="005E6E81"/>
    <w:rsid w:val="005E70C0"/>
    <w:rsid w:val="005E72A8"/>
    <w:rsid w:val="005E765F"/>
    <w:rsid w:val="005E76B7"/>
    <w:rsid w:val="005E7A6F"/>
    <w:rsid w:val="005F01CB"/>
    <w:rsid w:val="005F0FE9"/>
    <w:rsid w:val="005F1264"/>
    <w:rsid w:val="005F208A"/>
    <w:rsid w:val="005F20D2"/>
    <w:rsid w:val="005F2913"/>
    <w:rsid w:val="005F2962"/>
    <w:rsid w:val="005F2EEE"/>
    <w:rsid w:val="005F300B"/>
    <w:rsid w:val="005F34A8"/>
    <w:rsid w:val="005F354D"/>
    <w:rsid w:val="005F364A"/>
    <w:rsid w:val="005F3B36"/>
    <w:rsid w:val="005F3ED7"/>
    <w:rsid w:val="005F3F20"/>
    <w:rsid w:val="005F4392"/>
    <w:rsid w:val="005F4453"/>
    <w:rsid w:val="005F4694"/>
    <w:rsid w:val="005F4774"/>
    <w:rsid w:val="005F47A6"/>
    <w:rsid w:val="005F4A4E"/>
    <w:rsid w:val="005F4B02"/>
    <w:rsid w:val="005F4BFC"/>
    <w:rsid w:val="005F4E85"/>
    <w:rsid w:val="005F4FA8"/>
    <w:rsid w:val="005F5559"/>
    <w:rsid w:val="005F582D"/>
    <w:rsid w:val="005F58C0"/>
    <w:rsid w:val="005F5B10"/>
    <w:rsid w:val="005F5BF9"/>
    <w:rsid w:val="005F6844"/>
    <w:rsid w:val="0060009A"/>
    <w:rsid w:val="006003CA"/>
    <w:rsid w:val="006006C5"/>
    <w:rsid w:val="00600C53"/>
    <w:rsid w:val="00600D41"/>
    <w:rsid w:val="00601023"/>
    <w:rsid w:val="0060140B"/>
    <w:rsid w:val="00601E4B"/>
    <w:rsid w:val="0060293D"/>
    <w:rsid w:val="00602C1E"/>
    <w:rsid w:val="00602FF8"/>
    <w:rsid w:val="00603265"/>
    <w:rsid w:val="006033D7"/>
    <w:rsid w:val="00603CFD"/>
    <w:rsid w:val="006043B1"/>
    <w:rsid w:val="00604405"/>
    <w:rsid w:val="00604BA5"/>
    <w:rsid w:val="00604C02"/>
    <w:rsid w:val="00604C3D"/>
    <w:rsid w:val="00604C52"/>
    <w:rsid w:val="00605128"/>
    <w:rsid w:val="00605148"/>
    <w:rsid w:val="0060535F"/>
    <w:rsid w:val="00605520"/>
    <w:rsid w:val="006057CD"/>
    <w:rsid w:val="00605A3A"/>
    <w:rsid w:val="00605EFB"/>
    <w:rsid w:val="00606636"/>
    <w:rsid w:val="00606948"/>
    <w:rsid w:val="00606BD4"/>
    <w:rsid w:val="00606DFD"/>
    <w:rsid w:val="0060703B"/>
    <w:rsid w:val="00607737"/>
    <w:rsid w:val="00607C10"/>
    <w:rsid w:val="006111D4"/>
    <w:rsid w:val="00611F4C"/>
    <w:rsid w:val="00612301"/>
    <w:rsid w:val="00612392"/>
    <w:rsid w:val="00612433"/>
    <w:rsid w:val="00612948"/>
    <w:rsid w:val="00612EC1"/>
    <w:rsid w:val="006132F7"/>
    <w:rsid w:val="006133D9"/>
    <w:rsid w:val="00613712"/>
    <w:rsid w:val="006139AC"/>
    <w:rsid w:val="00613A14"/>
    <w:rsid w:val="00613B71"/>
    <w:rsid w:val="00613F72"/>
    <w:rsid w:val="00614184"/>
    <w:rsid w:val="006141D0"/>
    <w:rsid w:val="00614716"/>
    <w:rsid w:val="006154B8"/>
    <w:rsid w:val="00615625"/>
    <w:rsid w:val="00615642"/>
    <w:rsid w:val="006156BF"/>
    <w:rsid w:val="006157AA"/>
    <w:rsid w:val="00615853"/>
    <w:rsid w:val="00615C76"/>
    <w:rsid w:val="006168A7"/>
    <w:rsid w:val="00616E2E"/>
    <w:rsid w:val="0061707F"/>
    <w:rsid w:val="006177A6"/>
    <w:rsid w:val="00617A8C"/>
    <w:rsid w:val="00617AB7"/>
    <w:rsid w:val="00617B35"/>
    <w:rsid w:val="00617E2B"/>
    <w:rsid w:val="0062053B"/>
    <w:rsid w:val="00620B0A"/>
    <w:rsid w:val="0062193A"/>
    <w:rsid w:val="00621CF8"/>
    <w:rsid w:val="00622AF9"/>
    <w:rsid w:val="00622D32"/>
    <w:rsid w:val="006230E3"/>
    <w:rsid w:val="00623843"/>
    <w:rsid w:val="006239D0"/>
    <w:rsid w:val="00623B55"/>
    <w:rsid w:val="00623B64"/>
    <w:rsid w:val="00623C8A"/>
    <w:rsid w:val="00623DE0"/>
    <w:rsid w:val="0062473C"/>
    <w:rsid w:val="00624C1D"/>
    <w:rsid w:val="00625300"/>
    <w:rsid w:val="0062596F"/>
    <w:rsid w:val="00625FD5"/>
    <w:rsid w:val="0062605D"/>
    <w:rsid w:val="00626682"/>
    <w:rsid w:val="006275D3"/>
    <w:rsid w:val="00630237"/>
    <w:rsid w:val="006307CB"/>
    <w:rsid w:val="00630B74"/>
    <w:rsid w:val="006310A5"/>
    <w:rsid w:val="00631619"/>
    <w:rsid w:val="006319BF"/>
    <w:rsid w:val="00631D60"/>
    <w:rsid w:val="0063231A"/>
    <w:rsid w:val="00632B06"/>
    <w:rsid w:val="00632E58"/>
    <w:rsid w:val="00632E90"/>
    <w:rsid w:val="00632F0B"/>
    <w:rsid w:val="0063336D"/>
    <w:rsid w:val="00633A89"/>
    <w:rsid w:val="00633B84"/>
    <w:rsid w:val="00634096"/>
    <w:rsid w:val="0063433E"/>
    <w:rsid w:val="006345CF"/>
    <w:rsid w:val="006345D0"/>
    <w:rsid w:val="00634A78"/>
    <w:rsid w:val="00635166"/>
    <w:rsid w:val="006358E9"/>
    <w:rsid w:val="00635D24"/>
    <w:rsid w:val="0063635F"/>
    <w:rsid w:val="00636650"/>
    <w:rsid w:val="0063678B"/>
    <w:rsid w:val="00636F44"/>
    <w:rsid w:val="0063777C"/>
    <w:rsid w:val="006379A8"/>
    <w:rsid w:val="00637C11"/>
    <w:rsid w:val="00637F68"/>
    <w:rsid w:val="00640471"/>
    <w:rsid w:val="0064072B"/>
    <w:rsid w:val="00640B57"/>
    <w:rsid w:val="00640E36"/>
    <w:rsid w:val="006414D7"/>
    <w:rsid w:val="0064230A"/>
    <w:rsid w:val="00642312"/>
    <w:rsid w:val="00642327"/>
    <w:rsid w:val="00642536"/>
    <w:rsid w:val="006430EA"/>
    <w:rsid w:val="0064365E"/>
    <w:rsid w:val="00643A55"/>
    <w:rsid w:val="00644295"/>
    <w:rsid w:val="00644300"/>
    <w:rsid w:val="0064436E"/>
    <w:rsid w:val="006444F0"/>
    <w:rsid w:val="00644D33"/>
    <w:rsid w:val="00644E76"/>
    <w:rsid w:val="00645113"/>
    <w:rsid w:val="00645B07"/>
    <w:rsid w:val="00645C99"/>
    <w:rsid w:val="00646205"/>
    <w:rsid w:val="0064643E"/>
    <w:rsid w:val="00646838"/>
    <w:rsid w:val="00646BC0"/>
    <w:rsid w:val="00646D57"/>
    <w:rsid w:val="00647261"/>
    <w:rsid w:val="006474ED"/>
    <w:rsid w:val="00647A10"/>
    <w:rsid w:val="00647BF5"/>
    <w:rsid w:val="0065035E"/>
    <w:rsid w:val="0065057D"/>
    <w:rsid w:val="00650F04"/>
    <w:rsid w:val="00651385"/>
    <w:rsid w:val="00651542"/>
    <w:rsid w:val="00651759"/>
    <w:rsid w:val="00651855"/>
    <w:rsid w:val="0065245E"/>
    <w:rsid w:val="00652675"/>
    <w:rsid w:val="006529C2"/>
    <w:rsid w:val="00652A48"/>
    <w:rsid w:val="00653608"/>
    <w:rsid w:val="00653907"/>
    <w:rsid w:val="00653A74"/>
    <w:rsid w:val="00654061"/>
    <w:rsid w:val="00654307"/>
    <w:rsid w:val="006549B7"/>
    <w:rsid w:val="006549B8"/>
    <w:rsid w:val="006552A1"/>
    <w:rsid w:val="0065547B"/>
    <w:rsid w:val="0065598B"/>
    <w:rsid w:val="00655A94"/>
    <w:rsid w:val="00655B30"/>
    <w:rsid w:val="00655CDB"/>
    <w:rsid w:val="0065707F"/>
    <w:rsid w:val="00657966"/>
    <w:rsid w:val="00657977"/>
    <w:rsid w:val="0066024C"/>
    <w:rsid w:val="00660704"/>
    <w:rsid w:val="00660FDA"/>
    <w:rsid w:val="006616D0"/>
    <w:rsid w:val="00661C89"/>
    <w:rsid w:val="00661EBB"/>
    <w:rsid w:val="00661F94"/>
    <w:rsid w:val="006625B8"/>
    <w:rsid w:val="00662738"/>
    <w:rsid w:val="006633AF"/>
    <w:rsid w:val="006633F1"/>
    <w:rsid w:val="00663832"/>
    <w:rsid w:val="00663B4B"/>
    <w:rsid w:val="00664595"/>
    <w:rsid w:val="00665106"/>
    <w:rsid w:val="006651C0"/>
    <w:rsid w:val="00665444"/>
    <w:rsid w:val="006655BB"/>
    <w:rsid w:val="00666044"/>
    <w:rsid w:val="00666565"/>
    <w:rsid w:val="00666C9B"/>
    <w:rsid w:val="006675F0"/>
    <w:rsid w:val="006702B1"/>
    <w:rsid w:val="00670405"/>
    <w:rsid w:val="006704F7"/>
    <w:rsid w:val="0067095E"/>
    <w:rsid w:val="00670B15"/>
    <w:rsid w:val="00670CC4"/>
    <w:rsid w:val="00671093"/>
    <w:rsid w:val="006716C6"/>
    <w:rsid w:val="00671A28"/>
    <w:rsid w:val="00671A8E"/>
    <w:rsid w:val="00671B51"/>
    <w:rsid w:val="00671BE8"/>
    <w:rsid w:val="00671DBB"/>
    <w:rsid w:val="0067223F"/>
    <w:rsid w:val="00672467"/>
    <w:rsid w:val="006725C8"/>
    <w:rsid w:val="00672746"/>
    <w:rsid w:val="006729F0"/>
    <w:rsid w:val="00672E31"/>
    <w:rsid w:val="006733A0"/>
    <w:rsid w:val="006734A9"/>
    <w:rsid w:val="006734DC"/>
    <w:rsid w:val="00673A83"/>
    <w:rsid w:val="00674753"/>
    <w:rsid w:val="0067496A"/>
    <w:rsid w:val="00674DE2"/>
    <w:rsid w:val="00674FD1"/>
    <w:rsid w:val="00675226"/>
    <w:rsid w:val="006756E9"/>
    <w:rsid w:val="00675A72"/>
    <w:rsid w:val="006760F7"/>
    <w:rsid w:val="00676259"/>
    <w:rsid w:val="006769C3"/>
    <w:rsid w:val="00676B8A"/>
    <w:rsid w:val="00677322"/>
    <w:rsid w:val="00677398"/>
    <w:rsid w:val="00677F41"/>
    <w:rsid w:val="00677FE3"/>
    <w:rsid w:val="00680482"/>
    <w:rsid w:val="00680489"/>
    <w:rsid w:val="00680575"/>
    <w:rsid w:val="00680725"/>
    <w:rsid w:val="00680EDA"/>
    <w:rsid w:val="00680FD3"/>
    <w:rsid w:val="00681836"/>
    <w:rsid w:val="006818E4"/>
    <w:rsid w:val="00681971"/>
    <w:rsid w:val="00681C58"/>
    <w:rsid w:val="00682139"/>
    <w:rsid w:val="006821E0"/>
    <w:rsid w:val="006822EE"/>
    <w:rsid w:val="0068234C"/>
    <w:rsid w:val="006823E0"/>
    <w:rsid w:val="0068254B"/>
    <w:rsid w:val="0068300E"/>
    <w:rsid w:val="0068334D"/>
    <w:rsid w:val="00683B73"/>
    <w:rsid w:val="00684231"/>
    <w:rsid w:val="00684D9B"/>
    <w:rsid w:val="00685992"/>
    <w:rsid w:val="00686742"/>
    <w:rsid w:val="006867A7"/>
    <w:rsid w:val="00686812"/>
    <w:rsid w:val="00686CB9"/>
    <w:rsid w:val="00686DF8"/>
    <w:rsid w:val="00690563"/>
    <w:rsid w:val="00690F37"/>
    <w:rsid w:val="0069155E"/>
    <w:rsid w:val="006919EA"/>
    <w:rsid w:val="00691C83"/>
    <w:rsid w:val="00691DB5"/>
    <w:rsid w:val="00692619"/>
    <w:rsid w:val="00692B3B"/>
    <w:rsid w:val="00693360"/>
    <w:rsid w:val="00693516"/>
    <w:rsid w:val="0069433A"/>
    <w:rsid w:val="006946E9"/>
    <w:rsid w:val="00694EA2"/>
    <w:rsid w:val="006950E9"/>
    <w:rsid w:val="0069555D"/>
    <w:rsid w:val="0069583D"/>
    <w:rsid w:val="00695911"/>
    <w:rsid w:val="0069649D"/>
    <w:rsid w:val="006966B2"/>
    <w:rsid w:val="00696902"/>
    <w:rsid w:val="00696DD1"/>
    <w:rsid w:val="00696DE7"/>
    <w:rsid w:val="0069715C"/>
    <w:rsid w:val="006974EE"/>
    <w:rsid w:val="00697993"/>
    <w:rsid w:val="00697E09"/>
    <w:rsid w:val="006A01E6"/>
    <w:rsid w:val="006A0205"/>
    <w:rsid w:val="006A0408"/>
    <w:rsid w:val="006A0608"/>
    <w:rsid w:val="006A075A"/>
    <w:rsid w:val="006A0ADC"/>
    <w:rsid w:val="006A0B06"/>
    <w:rsid w:val="006A0C81"/>
    <w:rsid w:val="006A0D6B"/>
    <w:rsid w:val="006A105D"/>
    <w:rsid w:val="006A1144"/>
    <w:rsid w:val="006A1212"/>
    <w:rsid w:val="006A1A83"/>
    <w:rsid w:val="006A1D2C"/>
    <w:rsid w:val="006A2ADC"/>
    <w:rsid w:val="006A2BB3"/>
    <w:rsid w:val="006A2C4A"/>
    <w:rsid w:val="006A2D48"/>
    <w:rsid w:val="006A2E0D"/>
    <w:rsid w:val="006A33E7"/>
    <w:rsid w:val="006A35DD"/>
    <w:rsid w:val="006A3720"/>
    <w:rsid w:val="006A45FF"/>
    <w:rsid w:val="006A4C88"/>
    <w:rsid w:val="006A4D25"/>
    <w:rsid w:val="006A4EC6"/>
    <w:rsid w:val="006A5286"/>
    <w:rsid w:val="006A5548"/>
    <w:rsid w:val="006A5693"/>
    <w:rsid w:val="006A5756"/>
    <w:rsid w:val="006A5796"/>
    <w:rsid w:val="006A6A6A"/>
    <w:rsid w:val="006A7000"/>
    <w:rsid w:val="006A7624"/>
    <w:rsid w:val="006A76D4"/>
    <w:rsid w:val="006B0337"/>
    <w:rsid w:val="006B05B5"/>
    <w:rsid w:val="006B0667"/>
    <w:rsid w:val="006B08C0"/>
    <w:rsid w:val="006B0997"/>
    <w:rsid w:val="006B0FC9"/>
    <w:rsid w:val="006B1173"/>
    <w:rsid w:val="006B1FD6"/>
    <w:rsid w:val="006B22CB"/>
    <w:rsid w:val="006B23A9"/>
    <w:rsid w:val="006B29D0"/>
    <w:rsid w:val="006B2A97"/>
    <w:rsid w:val="006B33E1"/>
    <w:rsid w:val="006B3709"/>
    <w:rsid w:val="006B3816"/>
    <w:rsid w:val="006B3E41"/>
    <w:rsid w:val="006B44A7"/>
    <w:rsid w:val="006B4FED"/>
    <w:rsid w:val="006B512A"/>
    <w:rsid w:val="006B54A8"/>
    <w:rsid w:val="006B5649"/>
    <w:rsid w:val="006B5A54"/>
    <w:rsid w:val="006B61D7"/>
    <w:rsid w:val="006B6438"/>
    <w:rsid w:val="006B65F2"/>
    <w:rsid w:val="006B6862"/>
    <w:rsid w:val="006B6877"/>
    <w:rsid w:val="006B6DE3"/>
    <w:rsid w:val="006B6F10"/>
    <w:rsid w:val="006B7099"/>
    <w:rsid w:val="006B7349"/>
    <w:rsid w:val="006C002F"/>
    <w:rsid w:val="006C00FD"/>
    <w:rsid w:val="006C027F"/>
    <w:rsid w:val="006C06AF"/>
    <w:rsid w:val="006C18A9"/>
    <w:rsid w:val="006C24CB"/>
    <w:rsid w:val="006C2798"/>
    <w:rsid w:val="006C279E"/>
    <w:rsid w:val="006C2922"/>
    <w:rsid w:val="006C2A86"/>
    <w:rsid w:val="006C2D00"/>
    <w:rsid w:val="006C30CE"/>
    <w:rsid w:val="006C34D1"/>
    <w:rsid w:val="006C37A5"/>
    <w:rsid w:val="006C3935"/>
    <w:rsid w:val="006C3BF7"/>
    <w:rsid w:val="006C3DD9"/>
    <w:rsid w:val="006C3E6A"/>
    <w:rsid w:val="006C4BDA"/>
    <w:rsid w:val="006C4F52"/>
    <w:rsid w:val="006C5332"/>
    <w:rsid w:val="006C54D6"/>
    <w:rsid w:val="006C658C"/>
    <w:rsid w:val="006C7686"/>
    <w:rsid w:val="006C7E94"/>
    <w:rsid w:val="006D0394"/>
    <w:rsid w:val="006D0456"/>
    <w:rsid w:val="006D0CDB"/>
    <w:rsid w:val="006D0D62"/>
    <w:rsid w:val="006D0F74"/>
    <w:rsid w:val="006D163A"/>
    <w:rsid w:val="006D1731"/>
    <w:rsid w:val="006D175C"/>
    <w:rsid w:val="006D1C41"/>
    <w:rsid w:val="006D1D35"/>
    <w:rsid w:val="006D1D9F"/>
    <w:rsid w:val="006D27B8"/>
    <w:rsid w:val="006D321A"/>
    <w:rsid w:val="006D3265"/>
    <w:rsid w:val="006D343B"/>
    <w:rsid w:val="006D3A85"/>
    <w:rsid w:val="006D4422"/>
    <w:rsid w:val="006D45B0"/>
    <w:rsid w:val="006D4A13"/>
    <w:rsid w:val="006D4CAD"/>
    <w:rsid w:val="006D5181"/>
    <w:rsid w:val="006D56A8"/>
    <w:rsid w:val="006D5B00"/>
    <w:rsid w:val="006D5BF7"/>
    <w:rsid w:val="006D60C0"/>
    <w:rsid w:val="006D62A5"/>
    <w:rsid w:val="006D6A3A"/>
    <w:rsid w:val="006D6CAC"/>
    <w:rsid w:val="006D6CAD"/>
    <w:rsid w:val="006D71C0"/>
    <w:rsid w:val="006E020C"/>
    <w:rsid w:val="006E0372"/>
    <w:rsid w:val="006E0433"/>
    <w:rsid w:val="006E0E6A"/>
    <w:rsid w:val="006E12E5"/>
    <w:rsid w:val="006E1459"/>
    <w:rsid w:val="006E1501"/>
    <w:rsid w:val="006E1A3F"/>
    <w:rsid w:val="006E1AB7"/>
    <w:rsid w:val="006E2725"/>
    <w:rsid w:val="006E2C68"/>
    <w:rsid w:val="006E358C"/>
    <w:rsid w:val="006E35FB"/>
    <w:rsid w:val="006E3FE1"/>
    <w:rsid w:val="006E4208"/>
    <w:rsid w:val="006E4969"/>
    <w:rsid w:val="006E4AB2"/>
    <w:rsid w:val="006E4CE1"/>
    <w:rsid w:val="006E4F9F"/>
    <w:rsid w:val="006E5010"/>
    <w:rsid w:val="006E5E77"/>
    <w:rsid w:val="006E65E7"/>
    <w:rsid w:val="006E682C"/>
    <w:rsid w:val="006E6BFF"/>
    <w:rsid w:val="006E6FE4"/>
    <w:rsid w:val="006E70B9"/>
    <w:rsid w:val="006E7B10"/>
    <w:rsid w:val="006E7CE2"/>
    <w:rsid w:val="006E7F67"/>
    <w:rsid w:val="006F0083"/>
    <w:rsid w:val="006F016E"/>
    <w:rsid w:val="006F03AD"/>
    <w:rsid w:val="006F0627"/>
    <w:rsid w:val="006F19AB"/>
    <w:rsid w:val="006F1B7D"/>
    <w:rsid w:val="006F1E1D"/>
    <w:rsid w:val="006F22F7"/>
    <w:rsid w:val="006F2D8B"/>
    <w:rsid w:val="006F2FBB"/>
    <w:rsid w:val="006F302C"/>
    <w:rsid w:val="006F308D"/>
    <w:rsid w:val="006F3261"/>
    <w:rsid w:val="006F3C1A"/>
    <w:rsid w:val="006F3F34"/>
    <w:rsid w:val="006F3F71"/>
    <w:rsid w:val="006F40E0"/>
    <w:rsid w:val="006F4412"/>
    <w:rsid w:val="006F44BB"/>
    <w:rsid w:val="006F55AE"/>
    <w:rsid w:val="006F59FC"/>
    <w:rsid w:val="006F5B07"/>
    <w:rsid w:val="006F64FC"/>
    <w:rsid w:val="006F673B"/>
    <w:rsid w:val="006F69C6"/>
    <w:rsid w:val="006F69E8"/>
    <w:rsid w:val="006F6D5F"/>
    <w:rsid w:val="006F6F1B"/>
    <w:rsid w:val="006F7027"/>
    <w:rsid w:val="006F75E8"/>
    <w:rsid w:val="006F773C"/>
    <w:rsid w:val="006F78E9"/>
    <w:rsid w:val="0070073B"/>
    <w:rsid w:val="00700B13"/>
    <w:rsid w:val="00700DBD"/>
    <w:rsid w:val="00700DC8"/>
    <w:rsid w:val="007015EA"/>
    <w:rsid w:val="0070183B"/>
    <w:rsid w:val="007018D7"/>
    <w:rsid w:val="00701918"/>
    <w:rsid w:val="00701F23"/>
    <w:rsid w:val="00702160"/>
    <w:rsid w:val="007022FA"/>
    <w:rsid w:val="00702540"/>
    <w:rsid w:val="00702CFD"/>
    <w:rsid w:val="0070316A"/>
    <w:rsid w:val="00703BA8"/>
    <w:rsid w:val="00703BF5"/>
    <w:rsid w:val="00703D11"/>
    <w:rsid w:val="00703D42"/>
    <w:rsid w:val="00704094"/>
    <w:rsid w:val="0070423C"/>
    <w:rsid w:val="00704930"/>
    <w:rsid w:val="00704DBA"/>
    <w:rsid w:val="007058B4"/>
    <w:rsid w:val="00705AA0"/>
    <w:rsid w:val="00705F7F"/>
    <w:rsid w:val="00706835"/>
    <w:rsid w:val="0070684A"/>
    <w:rsid w:val="007069E7"/>
    <w:rsid w:val="00706CAF"/>
    <w:rsid w:val="00707CC8"/>
    <w:rsid w:val="00710681"/>
    <w:rsid w:val="00710962"/>
    <w:rsid w:val="00710E29"/>
    <w:rsid w:val="00710EE4"/>
    <w:rsid w:val="0071116F"/>
    <w:rsid w:val="00711189"/>
    <w:rsid w:val="007112A1"/>
    <w:rsid w:val="00711493"/>
    <w:rsid w:val="007115B9"/>
    <w:rsid w:val="0071219C"/>
    <w:rsid w:val="0071289E"/>
    <w:rsid w:val="00712B87"/>
    <w:rsid w:val="007134EC"/>
    <w:rsid w:val="007136C0"/>
    <w:rsid w:val="00713845"/>
    <w:rsid w:val="0071388B"/>
    <w:rsid w:val="0071390A"/>
    <w:rsid w:val="00713EF0"/>
    <w:rsid w:val="00713FF2"/>
    <w:rsid w:val="0071465C"/>
    <w:rsid w:val="00715136"/>
    <w:rsid w:val="007151B5"/>
    <w:rsid w:val="0071581C"/>
    <w:rsid w:val="00715A87"/>
    <w:rsid w:val="00715EEE"/>
    <w:rsid w:val="00716AC7"/>
    <w:rsid w:val="00716EF1"/>
    <w:rsid w:val="00716F82"/>
    <w:rsid w:val="007170A5"/>
    <w:rsid w:val="007171A5"/>
    <w:rsid w:val="007171F1"/>
    <w:rsid w:val="00717206"/>
    <w:rsid w:val="007174C4"/>
    <w:rsid w:val="00717731"/>
    <w:rsid w:val="00717E78"/>
    <w:rsid w:val="00717F3F"/>
    <w:rsid w:val="00720A40"/>
    <w:rsid w:val="00720ABB"/>
    <w:rsid w:val="00720D59"/>
    <w:rsid w:val="00720E00"/>
    <w:rsid w:val="00720FB0"/>
    <w:rsid w:val="007212DF"/>
    <w:rsid w:val="00721342"/>
    <w:rsid w:val="007218AE"/>
    <w:rsid w:val="00722674"/>
    <w:rsid w:val="00722DC3"/>
    <w:rsid w:val="00722DE3"/>
    <w:rsid w:val="00723361"/>
    <w:rsid w:val="0072346E"/>
    <w:rsid w:val="00723A2E"/>
    <w:rsid w:val="00723D17"/>
    <w:rsid w:val="00723D54"/>
    <w:rsid w:val="00723DFE"/>
    <w:rsid w:val="0072424D"/>
    <w:rsid w:val="00724732"/>
    <w:rsid w:val="00724B49"/>
    <w:rsid w:val="00724BB8"/>
    <w:rsid w:val="00724F2D"/>
    <w:rsid w:val="00724F3A"/>
    <w:rsid w:val="00724F59"/>
    <w:rsid w:val="0072529B"/>
    <w:rsid w:val="007256E4"/>
    <w:rsid w:val="007259B5"/>
    <w:rsid w:val="00725D30"/>
    <w:rsid w:val="007260F1"/>
    <w:rsid w:val="0072680D"/>
    <w:rsid w:val="00726BAD"/>
    <w:rsid w:val="00726C59"/>
    <w:rsid w:val="0072766D"/>
    <w:rsid w:val="00727699"/>
    <w:rsid w:val="00727CE2"/>
    <w:rsid w:val="00730499"/>
    <w:rsid w:val="00730753"/>
    <w:rsid w:val="0073091B"/>
    <w:rsid w:val="00730C82"/>
    <w:rsid w:val="00730D7A"/>
    <w:rsid w:val="0073110C"/>
    <w:rsid w:val="00731168"/>
    <w:rsid w:val="00731A7D"/>
    <w:rsid w:val="00731D19"/>
    <w:rsid w:val="00731E98"/>
    <w:rsid w:val="00732079"/>
    <w:rsid w:val="00732087"/>
    <w:rsid w:val="007323DF"/>
    <w:rsid w:val="00732863"/>
    <w:rsid w:val="007328A4"/>
    <w:rsid w:val="00732A86"/>
    <w:rsid w:val="00732CF1"/>
    <w:rsid w:val="00732E0D"/>
    <w:rsid w:val="00733617"/>
    <w:rsid w:val="00734223"/>
    <w:rsid w:val="00734E33"/>
    <w:rsid w:val="00735582"/>
    <w:rsid w:val="00735A3B"/>
    <w:rsid w:val="00735F3A"/>
    <w:rsid w:val="00735FDD"/>
    <w:rsid w:val="00736192"/>
    <w:rsid w:val="007361BB"/>
    <w:rsid w:val="0073682D"/>
    <w:rsid w:val="007369EC"/>
    <w:rsid w:val="007371D3"/>
    <w:rsid w:val="007371F8"/>
    <w:rsid w:val="0073721C"/>
    <w:rsid w:val="00737408"/>
    <w:rsid w:val="007374E5"/>
    <w:rsid w:val="007379E8"/>
    <w:rsid w:val="00737A7A"/>
    <w:rsid w:val="00737C06"/>
    <w:rsid w:val="00737C7D"/>
    <w:rsid w:val="007405C7"/>
    <w:rsid w:val="00740815"/>
    <w:rsid w:val="00740881"/>
    <w:rsid w:val="00740F1E"/>
    <w:rsid w:val="007410CE"/>
    <w:rsid w:val="0074117B"/>
    <w:rsid w:val="007417DC"/>
    <w:rsid w:val="00741D93"/>
    <w:rsid w:val="00742138"/>
    <w:rsid w:val="00742153"/>
    <w:rsid w:val="007421B1"/>
    <w:rsid w:val="00742648"/>
    <w:rsid w:val="007426C5"/>
    <w:rsid w:val="00742E27"/>
    <w:rsid w:val="00744578"/>
    <w:rsid w:val="007467B1"/>
    <w:rsid w:val="00746823"/>
    <w:rsid w:val="00746AFD"/>
    <w:rsid w:val="00746D39"/>
    <w:rsid w:val="00746F14"/>
    <w:rsid w:val="00747592"/>
    <w:rsid w:val="0074770D"/>
    <w:rsid w:val="00747A61"/>
    <w:rsid w:val="00747D04"/>
    <w:rsid w:val="00750CCA"/>
    <w:rsid w:val="00750DD9"/>
    <w:rsid w:val="007510FD"/>
    <w:rsid w:val="00751219"/>
    <w:rsid w:val="0075173A"/>
    <w:rsid w:val="007518BF"/>
    <w:rsid w:val="00751B10"/>
    <w:rsid w:val="00751D55"/>
    <w:rsid w:val="00752334"/>
    <w:rsid w:val="00752AB0"/>
    <w:rsid w:val="00752B61"/>
    <w:rsid w:val="00752B8B"/>
    <w:rsid w:val="00752B94"/>
    <w:rsid w:val="00753095"/>
    <w:rsid w:val="007531CA"/>
    <w:rsid w:val="0075347B"/>
    <w:rsid w:val="00753A52"/>
    <w:rsid w:val="00753AC3"/>
    <w:rsid w:val="00753D11"/>
    <w:rsid w:val="00754551"/>
    <w:rsid w:val="00754A0E"/>
    <w:rsid w:val="00755303"/>
    <w:rsid w:val="00755349"/>
    <w:rsid w:val="007555B0"/>
    <w:rsid w:val="00755667"/>
    <w:rsid w:val="00755921"/>
    <w:rsid w:val="007560F3"/>
    <w:rsid w:val="0075668C"/>
    <w:rsid w:val="00756BDD"/>
    <w:rsid w:val="00756D0E"/>
    <w:rsid w:val="0075732A"/>
    <w:rsid w:val="0075738E"/>
    <w:rsid w:val="00757A0A"/>
    <w:rsid w:val="007602E7"/>
    <w:rsid w:val="0076075C"/>
    <w:rsid w:val="0076092B"/>
    <w:rsid w:val="0076187C"/>
    <w:rsid w:val="00761D6D"/>
    <w:rsid w:val="00761FBD"/>
    <w:rsid w:val="007620B7"/>
    <w:rsid w:val="00762642"/>
    <w:rsid w:val="00762920"/>
    <w:rsid w:val="00762B8D"/>
    <w:rsid w:val="00762F8F"/>
    <w:rsid w:val="0076391D"/>
    <w:rsid w:val="00763A69"/>
    <w:rsid w:val="007640AF"/>
    <w:rsid w:val="00764159"/>
    <w:rsid w:val="007641CB"/>
    <w:rsid w:val="00764565"/>
    <w:rsid w:val="007648F4"/>
    <w:rsid w:val="00764958"/>
    <w:rsid w:val="00764CEB"/>
    <w:rsid w:val="00765D22"/>
    <w:rsid w:val="00765E00"/>
    <w:rsid w:val="007660DE"/>
    <w:rsid w:val="00766295"/>
    <w:rsid w:val="0076681A"/>
    <w:rsid w:val="00766953"/>
    <w:rsid w:val="00766DC5"/>
    <w:rsid w:val="00766DCE"/>
    <w:rsid w:val="00767079"/>
    <w:rsid w:val="007674FA"/>
    <w:rsid w:val="007676C4"/>
    <w:rsid w:val="00767A8B"/>
    <w:rsid w:val="00767B07"/>
    <w:rsid w:val="00767E13"/>
    <w:rsid w:val="0077012A"/>
    <w:rsid w:val="007704EB"/>
    <w:rsid w:val="007705C8"/>
    <w:rsid w:val="00770A55"/>
    <w:rsid w:val="00771C2E"/>
    <w:rsid w:val="00771DED"/>
    <w:rsid w:val="0077321C"/>
    <w:rsid w:val="007736DF"/>
    <w:rsid w:val="00773C5A"/>
    <w:rsid w:val="00773FCD"/>
    <w:rsid w:val="0077461C"/>
    <w:rsid w:val="00775146"/>
    <w:rsid w:val="00775511"/>
    <w:rsid w:val="00776ED2"/>
    <w:rsid w:val="00777300"/>
    <w:rsid w:val="007773AE"/>
    <w:rsid w:val="007778C7"/>
    <w:rsid w:val="00777B1A"/>
    <w:rsid w:val="00780635"/>
    <w:rsid w:val="00780AA6"/>
    <w:rsid w:val="00780C11"/>
    <w:rsid w:val="00780E8F"/>
    <w:rsid w:val="00781A72"/>
    <w:rsid w:val="00781C79"/>
    <w:rsid w:val="0078212E"/>
    <w:rsid w:val="00782185"/>
    <w:rsid w:val="00783414"/>
    <w:rsid w:val="00783E41"/>
    <w:rsid w:val="00784980"/>
    <w:rsid w:val="00784A28"/>
    <w:rsid w:val="0078515B"/>
    <w:rsid w:val="007857F9"/>
    <w:rsid w:val="00785B1D"/>
    <w:rsid w:val="00785B5E"/>
    <w:rsid w:val="00785F7F"/>
    <w:rsid w:val="007860A8"/>
    <w:rsid w:val="007863A4"/>
    <w:rsid w:val="00786837"/>
    <w:rsid w:val="00786A78"/>
    <w:rsid w:val="00786ACB"/>
    <w:rsid w:val="007874A1"/>
    <w:rsid w:val="00787545"/>
    <w:rsid w:val="00787D27"/>
    <w:rsid w:val="00787EE9"/>
    <w:rsid w:val="007908A3"/>
    <w:rsid w:val="00790B62"/>
    <w:rsid w:val="00790C7A"/>
    <w:rsid w:val="00790DEB"/>
    <w:rsid w:val="00790FAB"/>
    <w:rsid w:val="007913A9"/>
    <w:rsid w:val="00791DC1"/>
    <w:rsid w:val="007920D8"/>
    <w:rsid w:val="007924FC"/>
    <w:rsid w:val="00792B1D"/>
    <w:rsid w:val="00793537"/>
    <w:rsid w:val="007938FF"/>
    <w:rsid w:val="00794752"/>
    <w:rsid w:val="007947BB"/>
    <w:rsid w:val="00794AFE"/>
    <w:rsid w:val="00794F35"/>
    <w:rsid w:val="00794F79"/>
    <w:rsid w:val="00794FAE"/>
    <w:rsid w:val="007951F6"/>
    <w:rsid w:val="007957CA"/>
    <w:rsid w:val="007961C1"/>
    <w:rsid w:val="00796DD3"/>
    <w:rsid w:val="00796E71"/>
    <w:rsid w:val="007973E9"/>
    <w:rsid w:val="0079760E"/>
    <w:rsid w:val="007979B4"/>
    <w:rsid w:val="00797A95"/>
    <w:rsid w:val="00797D92"/>
    <w:rsid w:val="007A015D"/>
    <w:rsid w:val="007A01EE"/>
    <w:rsid w:val="007A042D"/>
    <w:rsid w:val="007A0540"/>
    <w:rsid w:val="007A0F93"/>
    <w:rsid w:val="007A11BE"/>
    <w:rsid w:val="007A160B"/>
    <w:rsid w:val="007A16B7"/>
    <w:rsid w:val="007A174A"/>
    <w:rsid w:val="007A1C6C"/>
    <w:rsid w:val="007A210C"/>
    <w:rsid w:val="007A2271"/>
    <w:rsid w:val="007A2771"/>
    <w:rsid w:val="007A2AE0"/>
    <w:rsid w:val="007A2E3E"/>
    <w:rsid w:val="007A3166"/>
    <w:rsid w:val="007A32EC"/>
    <w:rsid w:val="007A34D9"/>
    <w:rsid w:val="007A3AEA"/>
    <w:rsid w:val="007A3BE8"/>
    <w:rsid w:val="007A3CEB"/>
    <w:rsid w:val="007A3D62"/>
    <w:rsid w:val="007A3E58"/>
    <w:rsid w:val="007A45C1"/>
    <w:rsid w:val="007A4B52"/>
    <w:rsid w:val="007A4BA2"/>
    <w:rsid w:val="007A4E0A"/>
    <w:rsid w:val="007A504C"/>
    <w:rsid w:val="007A50A0"/>
    <w:rsid w:val="007A52F9"/>
    <w:rsid w:val="007A55F1"/>
    <w:rsid w:val="007A5814"/>
    <w:rsid w:val="007A61FF"/>
    <w:rsid w:val="007A6746"/>
    <w:rsid w:val="007A6B4D"/>
    <w:rsid w:val="007A7C7D"/>
    <w:rsid w:val="007B00DF"/>
    <w:rsid w:val="007B0949"/>
    <w:rsid w:val="007B0D09"/>
    <w:rsid w:val="007B0ED7"/>
    <w:rsid w:val="007B11A9"/>
    <w:rsid w:val="007B11D2"/>
    <w:rsid w:val="007B12E6"/>
    <w:rsid w:val="007B13FE"/>
    <w:rsid w:val="007B1AFC"/>
    <w:rsid w:val="007B1E07"/>
    <w:rsid w:val="007B1E82"/>
    <w:rsid w:val="007B23C0"/>
    <w:rsid w:val="007B246E"/>
    <w:rsid w:val="007B2706"/>
    <w:rsid w:val="007B285B"/>
    <w:rsid w:val="007B2FA8"/>
    <w:rsid w:val="007B3104"/>
    <w:rsid w:val="007B3277"/>
    <w:rsid w:val="007B3510"/>
    <w:rsid w:val="007B3700"/>
    <w:rsid w:val="007B395D"/>
    <w:rsid w:val="007B3C0F"/>
    <w:rsid w:val="007B3DB3"/>
    <w:rsid w:val="007B4759"/>
    <w:rsid w:val="007B4913"/>
    <w:rsid w:val="007B508C"/>
    <w:rsid w:val="007B5BFD"/>
    <w:rsid w:val="007B5D67"/>
    <w:rsid w:val="007B5E1D"/>
    <w:rsid w:val="007B6029"/>
    <w:rsid w:val="007B6513"/>
    <w:rsid w:val="007B6C8A"/>
    <w:rsid w:val="007B71C9"/>
    <w:rsid w:val="007B7367"/>
    <w:rsid w:val="007B7F82"/>
    <w:rsid w:val="007C005B"/>
    <w:rsid w:val="007C0786"/>
    <w:rsid w:val="007C099E"/>
    <w:rsid w:val="007C0B5F"/>
    <w:rsid w:val="007C0C04"/>
    <w:rsid w:val="007C2009"/>
    <w:rsid w:val="007C21AE"/>
    <w:rsid w:val="007C23A2"/>
    <w:rsid w:val="007C310C"/>
    <w:rsid w:val="007C315D"/>
    <w:rsid w:val="007C3323"/>
    <w:rsid w:val="007C3347"/>
    <w:rsid w:val="007C3687"/>
    <w:rsid w:val="007C396E"/>
    <w:rsid w:val="007C3B6C"/>
    <w:rsid w:val="007C3E2B"/>
    <w:rsid w:val="007C3FDC"/>
    <w:rsid w:val="007C48B3"/>
    <w:rsid w:val="007C4BEB"/>
    <w:rsid w:val="007C4C9C"/>
    <w:rsid w:val="007C508B"/>
    <w:rsid w:val="007C538A"/>
    <w:rsid w:val="007C679D"/>
    <w:rsid w:val="007C69A2"/>
    <w:rsid w:val="007C69B9"/>
    <w:rsid w:val="007C6EF2"/>
    <w:rsid w:val="007C7785"/>
    <w:rsid w:val="007C7BCE"/>
    <w:rsid w:val="007C7FA8"/>
    <w:rsid w:val="007C7FB9"/>
    <w:rsid w:val="007D0811"/>
    <w:rsid w:val="007D0BD8"/>
    <w:rsid w:val="007D1340"/>
    <w:rsid w:val="007D19C1"/>
    <w:rsid w:val="007D2038"/>
    <w:rsid w:val="007D24B0"/>
    <w:rsid w:val="007D2579"/>
    <w:rsid w:val="007D2733"/>
    <w:rsid w:val="007D29ED"/>
    <w:rsid w:val="007D2F96"/>
    <w:rsid w:val="007D325A"/>
    <w:rsid w:val="007D328D"/>
    <w:rsid w:val="007D3DA4"/>
    <w:rsid w:val="007D4550"/>
    <w:rsid w:val="007D4B73"/>
    <w:rsid w:val="007D5531"/>
    <w:rsid w:val="007D5AC6"/>
    <w:rsid w:val="007D5C03"/>
    <w:rsid w:val="007D5EF8"/>
    <w:rsid w:val="007D5F65"/>
    <w:rsid w:val="007D5FEE"/>
    <w:rsid w:val="007D6233"/>
    <w:rsid w:val="007D69E5"/>
    <w:rsid w:val="007D6E10"/>
    <w:rsid w:val="007D73ED"/>
    <w:rsid w:val="007D7BE5"/>
    <w:rsid w:val="007E0046"/>
    <w:rsid w:val="007E08E1"/>
    <w:rsid w:val="007E0D3B"/>
    <w:rsid w:val="007E1220"/>
    <w:rsid w:val="007E1271"/>
    <w:rsid w:val="007E17E9"/>
    <w:rsid w:val="007E19CF"/>
    <w:rsid w:val="007E258E"/>
    <w:rsid w:val="007E29CC"/>
    <w:rsid w:val="007E2C0B"/>
    <w:rsid w:val="007E2CCC"/>
    <w:rsid w:val="007E34E0"/>
    <w:rsid w:val="007E3774"/>
    <w:rsid w:val="007E3B0D"/>
    <w:rsid w:val="007E43F2"/>
    <w:rsid w:val="007E45F6"/>
    <w:rsid w:val="007E4B35"/>
    <w:rsid w:val="007E5124"/>
    <w:rsid w:val="007E5391"/>
    <w:rsid w:val="007E5538"/>
    <w:rsid w:val="007E5544"/>
    <w:rsid w:val="007E57CA"/>
    <w:rsid w:val="007E5E46"/>
    <w:rsid w:val="007E68D1"/>
    <w:rsid w:val="007E6CEF"/>
    <w:rsid w:val="007E6EA5"/>
    <w:rsid w:val="007E719C"/>
    <w:rsid w:val="007E734E"/>
    <w:rsid w:val="007E75A3"/>
    <w:rsid w:val="007E76DA"/>
    <w:rsid w:val="007F0083"/>
    <w:rsid w:val="007F02AE"/>
    <w:rsid w:val="007F02DD"/>
    <w:rsid w:val="007F080F"/>
    <w:rsid w:val="007F0B64"/>
    <w:rsid w:val="007F0DB1"/>
    <w:rsid w:val="007F0EAC"/>
    <w:rsid w:val="007F106C"/>
    <w:rsid w:val="007F11D8"/>
    <w:rsid w:val="007F154A"/>
    <w:rsid w:val="007F1A46"/>
    <w:rsid w:val="007F1AD7"/>
    <w:rsid w:val="007F1BC5"/>
    <w:rsid w:val="007F1C01"/>
    <w:rsid w:val="007F1F19"/>
    <w:rsid w:val="007F28BD"/>
    <w:rsid w:val="007F298D"/>
    <w:rsid w:val="007F30CD"/>
    <w:rsid w:val="007F3709"/>
    <w:rsid w:val="007F41BE"/>
    <w:rsid w:val="007F42A4"/>
    <w:rsid w:val="007F4DDC"/>
    <w:rsid w:val="007F5257"/>
    <w:rsid w:val="007F57C2"/>
    <w:rsid w:val="007F5816"/>
    <w:rsid w:val="007F5A6E"/>
    <w:rsid w:val="007F5B2E"/>
    <w:rsid w:val="007F5D6E"/>
    <w:rsid w:val="007F613F"/>
    <w:rsid w:val="007F6DC8"/>
    <w:rsid w:val="007F7099"/>
    <w:rsid w:val="007F737F"/>
    <w:rsid w:val="007F78EC"/>
    <w:rsid w:val="007F7D74"/>
    <w:rsid w:val="00800029"/>
    <w:rsid w:val="008001C9"/>
    <w:rsid w:val="008005F2"/>
    <w:rsid w:val="00800C5F"/>
    <w:rsid w:val="00800CBC"/>
    <w:rsid w:val="00800E39"/>
    <w:rsid w:val="00800ED5"/>
    <w:rsid w:val="008015D9"/>
    <w:rsid w:val="00801728"/>
    <w:rsid w:val="008017A0"/>
    <w:rsid w:val="00801896"/>
    <w:rsid w:val="008018D2"/>
    <w:rsid w:val="00801B6C"/>
    <w:rsid w:val="008021B7"/>
    <w:rsid w:val="00802217"/>
    <w:rsid w:val="008022C9"/>
    <w:rsid w:val="008026DC"/>
    <w:rsid w:val="0080299E"/>
    <w:rsid w:val="00802BD3"/>
    <w:rsid w:val="00802FA5"/>
    <w:rsid w:val="008032E0"/>
    <w:rsid w:val="008039CA"/>
    <w:rsid w:val="00803CBE"/>
    <w:rsid w:val="0080437C"/>
    <w:rsid w:val="008043C1"/>
    <w:rsid w:val="008045E4"/>
    <w:rsid w:val="00804637"/>
    <w:rsid w:val="008047F5"/>
    <w:rsid w:val="0080498B"/>
    <w:rsid w:val="00804CEE"/>
    <w:rsid w:val="00805856"/>
    <w:rsid w:val="00805ACC"/>
    <w:rsid w:val="00805C32"/>
    <w:rsid w:val="00805DD5"/>
    <w:rsid w:val="00805F0C"/>
    <w:rsid w:val="00806561"/>
    <w:rsid w:val="00807643"/>
    <w:rsid w:val="008078D1"/>
    <w:rsid w:val="00807B32"/>
    <w:rsid w:val="00807C17"/>
    <w:rsid w:val="00810329"/>
    <w:rsid w:val="008105D3"/>
    <w:rsid w:val="00811029"/>
    <w:rsid w:val="008116D1"/>
    <w:rsid w:val="00811702"/>
    <w:rsid w:val="00811842"/>
    <w:rsid w:val="0081184B"/>
    <w:rsid w:val="00811857"/>
    <w:rsid w:val="008127DB"/>
    <w:rsid w:val="008130CC"/>
    <w:rsid w:val="00813495"/>
    <w:rsid w:val="0081361B"/>
    <w:rsid w:val="00814A56"/>
    <w:rsid w:val="00814D1B"/>
    <w:rsid w:val="00815142"/>
    <w:rsid w:val="008153CC"/>
    <w:rsid w:val="00815B54"/>
    <w:rsid w:val="0081648D"/>
    <w:rsid w:val="00816CF6"/>
    <w:rsid w:val="0081703A"/>
    <w:rsid w:val="0081729A"/>
    <w:rsid w:val="00817627"/>
    <w:rsid w:val="00817C1C"/>
    <w:rsid w:val="00817CB8"/>
    <w:rsid w:val="00817E2E"/>
    <w:rsid w:val="00820692"/>
    <w:rsid w:val="0082085B"/>
    <w:rsid w:val="00820D5D"/>
    <w:rsid w:val="00821120"/>
    <w:rsid w:val="00821159"/>
    <w:rsid w:val="008216BE"/>
    <w:rsid w:val="00821824"/>
    <w:rsid w:val="00821DB1"/>
    <w:rsid w:val="00821EE3"/>
    <w:rsid w:val="00822069"/>
    <w:rsid w:val="0082226E"/>
    <w:rsid w:val="00822E56"/>
    <w:rsid w:val="00822F36"/>
    <w:rsid w:val="008234C1"/>
    <w:rsid w:val="00823533"/>
    <w:rsid w:val="008235B5"/>
    <w:rsid w:val="008237D6"/>
    <w:rsid w:val="00823851"/>
    <w:rsid w:val="0082387C"/>
    <w:rsid w:val="00823C60"/>
    <w:rsid w:val="00823D79"/>
    <w:rsid w:val="008245F2"/>
    <w:rsid w:val="0082468F"/>
    <w:rsid w:val="00824709"/>
    <w:rsid w:val="00824BA4"/>
    <w:rsid w:val="0082514C"/>
    <w:rsid w:val="00825D31"/>
    <w:rsid w:val="00825E49"/>
    <w:rsid w:val="00825F55"/>
    <w:rsid w:val="00825F71"/>
    <w:rsid w:val="00826882"/>
    <w:rsid w:val="00826F6C"/>
    <w:rsid w:val="008270C5"/>
    <w:rsid w:val="00827387"/>
    <w:rsid w:val="00827E29"/>
    <w:rsid w:val="00830665"/>
    <w:rsid w:val="00830E1D"/>
    <w:rsid w:val="0083173B"/>
    <w:rsid w:val="008317E6"/>
    <w:rsid w:val="00831BAC"/>
    <w:rsid w:val="008323BB"/>
    <w:rsid w:val="00832646"/>
    <w:rsid w:val="00832849"/>
    <w:rsid w:val="00832BA7"/>
    <w:rsid w:val="00832BF1"/>
    <w:rsid w:val="00832F3C"/>
    <w:rsid w:val="0083309B"/>
    <w:rsid w:val="008332F5"/>
    <w:rsid w:val="00833AE5"/>
    <w:rsid w:val="00833AE9"/>
    <w:rsid w:val="00833C8A"/>
    <w:rsid w:val="00833E90"/>
    <w:rsid w:val="0083413B"/>
    <w:rsid w:val="00834A99"/>
    <w:rsid w:val="00834F9F"/>
    <w:rsid w:val="0083518E"/>
    <w:rsid w:val="00835273"/>
    <w:rsid w:val="008356DB"/>
    <w:rsid w:val="0083578C"/>
    <w:rsid w:val="008358B2"/>
    <w:rsid w:val="00836068"/>
    <w:rsid w:val="00836B1A"/>
    <w:rsid w:val="00836D58"/>
    <w:rsid w:val="00837003"/>
    <w:rsid w:val="008373FC"/>
    <w:rsid w:val="008377D6"/>
    <w:rsid w:val="00837802"/>
    <w:rsid w:val="00837A7B"/>
    <w:rsid w:val="00837B39"/>
    <w:rsid w:val="00837F19"/>
    <w:rsid w:val="008400E9"/>
    <w:rsid w:val="008404BB"/>
    <w:rsid w:val="008408C5"/>
    <w:rsid w:val="00840985"/>
    <w:rsid w:val="00840EAE"/>
    <w:rsid w:val="008411BD"/>
    <w:rsid w:val="0084141D"/>
    <w:rsid w:val="00841549"/>
    <w:rsid w:val="0084224B"/>
    <w:rsid w:val="008426CB"/>
    <w:rsid w:val="008428DE"/>
    <w:rsid w:val="00842B9A"/>
    <w:rsid w:val="00842E00"/>
    <w:rsid w:val="00843905"/>
    <w:rsid w:val="00844129"/>
    <w:rsid w:val="0084498A"/>
    <w:rsid w:val="008449F2"/>
    <w:rsid w:val="00844C86"/>
    <w:rsid w:val="00845484"/>
    <w:rsid w:val="0084564C"/>
    <w:rsid w:val="0084597A"/>
    <w:rsid w:val="00845A42"/>
    <w:rsid w:val="00845B08"/>
    <w:rsid w:val="00845EC4"/>
    <w:rsid w:val="0084622A"/>
    <w:rsid w:val="0084684A"/>
    <w:rsid w:val="008469D4"/>
    <w:rsid w:val="00846ADD"/>
    <w:rsid w:val="00847445"/>
    <w:rsid w:val="008479AF"/>
    <w:rsid w:val="00847EBF"/>
    <w:rsid w:val="00850CD0"/>
    <w:rsid w:val="00850E12"/>
    <w:rsid w:val="00851675"/>
    <w:rsid w:val="008518CA"/>
    <w:rsid w:val="0085254B"/>
    <w:rsid w:val="00853003"/>
    <w:rsid w:val="00853266"/>
    <w:rsid w:val="0085493C"/>
    <w:rsid w:val="008549E0"/>
    <w:rsid w:val="00854D14"/>
    <w:rsid w:val="00854F1B"/>
    <w:rsid w:val="008552BC"/>
    <w:rsid w:val="00855511"/>
    <w:rsid w:val="00855830"/>
    <w:rsid w:val="00856704"/>
    <w:rsid w:val="00856B1D"/>
    <w:rsid w:val="00856BAE"/>
    <w:rsid w:val="00857ACC"/>
    <w:rsid w:val="00860562"/>
    <w:rsid w:val="00860596"/>
    <w:rsid w:val="00860AE2"/>
    <w:rsid w:val="00860B7E"/>
    <w:rsid w:val="00860D33"/>
    <w:rsid w:val="00861197"/>
    <w:rsid w:val="008616B8"/>
    <w:rsid w:val="008622D0"/>
    <w:rsid w:val="00862902"/>
    <w:rsid w:val="0086309C"/>
    <w:rsid w:val="0086309E"/>
    <w:rsid w:val="00863107"/>
    <w:rsid w:val="00863319"/>
    <w:rsid w:val="00863504"/>
    <w:rsid w:val="00863C74"/>
    <w:rsid w:val="00863E5B"/>
    <w:rsid w:val="00863E93"/>
    <w:rsid w:val="00863EB6"/>
    <w:rsid w:val="008642E3"/>
    <w:rsid w:val="008644C6"/>
    <w:rsid w:val="008645E3"/>
    <w:rsid w:val="00864B40"/>
    <w:rsid w:val="00865036"/>
    <w:rsid w:val="00865679"/>
    <w:rsid w:val="0086574D"/>
    <w:rsid w:val="00865DBA"/>
    <w:rsid w:val="00866246"/>
    <w:rsid w:val="008664F5"/>
    <w:rsid w:val="0086743F"/>
    <w:rsid w:val="00867567"/>
    <w:rsid w:val="00867A36"/>
    <w:rsid w:val="00867ECE"/>
    <w:rsid w:val="008703B4"/>
    <w:rsid w:val="008703B8"/>
    <w:rsid w:val="008708AF"/>
    <w:rsid w:val="00870CDE"/>
    <w:rsid w:val="008711BC"/>
    <w:rsid w:val="008716E6"/>
    <w:rsid w:val="00871BF1"/>
    <w:rsid w:val="00871FC1"/>
    <w:rsid w:val="00871FC8"/>
    <w:rsid w:val="00872141"/>
    <w:rsid w:val="00872383"/>
    <w:rsid w:val="008726E0"/>
    <w:rsid w:val="00872773"/>
    <w:rsid w:val="00872AE7"/>
    <w:rsid w:val="00872BCC"/>
    <w:rsid w:val="00872BD6"/>
    <w:rsid w:val="00872CFA"/>
    <w:rsid w:val="00872F00"/>
    <w:rsid w:val="00873601"/>
    <w:rsid w:val="00873C25"/>
    <w:rsid w:val="00873ED7"/>
    <w:rsid w:val="0087437C"/>
    <w:rsid w:val="008748D9"/>
    <w:rsid w:val="00874A16"/>
    <w:rsid w:val="00874AA3"/>
    <w:rsid w:val="0087526D"/>
    <w:rsid w:val="0087564F"/>
    <w:rsid w:val="00875D7E"/>
    <w:rsid w:val="0087647B"/>
    <w:rsid w:val="00876EF3"/>
    <w:rsid w:val="008774B7"/>
    <w:rsid w:val="0087752C"/>
    <w:rsid w:val="008776D7"/>
    <w:rsid w:val="00877B49"/>
    <w:rsid w:val="00877DF2"/>
    <w:rsid w:val="0088007A"/>
    <w:rsid w:val="0088059C"/>
    <w:rsid w:val="00880685"/>
    <w:rsid w:val="008806D1"/>
    <w:rsid w:val="00880B68"/>
    <w:rsid w:val="00881431"/>
    <w:rsid w:val="0088154D"/>
    <w:rsid w:val="00881552"/>
    <w:rsid w:val="0088175E"/>
    <w:rsid w:val="008822F6"/>
    <w:rsid w:val="0088237A"/>
    <w:rsid w:val="00882574"/>
    <w:rsid w:val="00882CFA"/>
    <w:rsid w:val="00882D4E"/>
    <w:rsid w:val="00883829"/>
    <w:rsid w:val="008839F1"/>
    <w:rsid w:val="0088415F"/>
    <w:rsid w:val="008849BB"/>
    <w:rsid w:val="00884A7A"/>
    <w:rsid w:val="0088513E"/>
    <w:rsid w:val="008851FB"/>
    <w:rsid w:val="0088597B"/>
    <w:rsid w:val="00885EBB"/>
    <w:rsid w:val="00885F64"/>
    <w:rsid w:val="008861D4"/>
    <w:rsid w:val="0088629F"/>
    <w:rsid w:val="008870C3"/>
    <w:rsid w:val="008878F1"/>
    <w:rsid w:val="00887934"/>
    <w:rsid w:val="008879DD"/>
    <w:rsid w:val="00887A78"/>
    <w:rsid w:val="00887DE1"/>
    <w:rsid w:val="00890124"/>
    <w:rsid w:val="00890404"/>
    <w:rsid w:val="008909D6"/>
    <w:rsid w:val="00890A22"/>
    <w:rsid w:val="00890A55"/>
    <w:rsid w:val="00891D29"/>
    <w:rsid w:val="00891D76"/>
    <w:rsid w:val="00891F61"/>
    <w:rsid w:val="00891F8F"/>
    <w:rsid w:val="00892137"/>
    <w:rsid w:val="00892323"/>
    <w:rsid w:val="0089282B"/>
    <w:rsid w:val="00892838"/>
    <w:rsid w:val="00892967"/>
    <w:rsid w:val="008929D7"/>
    <w:rsid w:val="00892A06"/>
    <w:rsid w:val="008933F4"/>
    <w:rsid w:val="0089355D"/>
    <w:rsid w:val="008935F3"/>
    <w:rsid w:val="008937BF"/>
    <w:rsid w:val="00893949"/>
    <w:rsid w:val="00893990"/>
    <w:rsid w:val="00893BAB"/>
    <w:rsid w:val="00893EB8"/>
    <w:rsid w:val="00893FAD"/>
    <w:rsid w:val="00893FC9"/>
    <w:rsid w:val="008943D5"/>
    <w:rsid w:val="0089472F"/>
    <w:rsid w:val="00894884"/>
    <w:rsid w:val="00894AC1"/>
    <w:rsid w:val="00894C4A"/>
    <w:rsid w:val="008951A0"/>
    <w:rsid w:val="00895778"/>
    <w:rsid w:val="0089582F"/>
    <w:rsid w:val="0089591C"/>
    <w:rsid w:val="00896467"/>
    <w:rsid w:val="00897159"/>
    <w:rsid w:val="008974C0"/>
    <w:rsid w:val="0089755E"/>
    <w:rsid w:val="008977F1"/>
    <w:rsid w:val="00897AFA"/>
    <w:rsid w:val="00897E36"/>
    <w:rsid w:val="00897F01"/>
    <w:rsid w:val="008A00B5"/>
    <w:rsid w:val="008A03C7"/>
    <w:rsid w:val="008A1171"/>
    <w:rsid w:val="008A1325"/>
    <w:rsid w:val="008A1726"/>
    <w:rsid w:val="008A19D1"/>
    <w:rsid w:val="008A2485"/>
    <w:rsid w:val="008A24A1"/>
    <w:rsid w:val="008A24F0"/>
    <w:rsid w:val="008A2BAC"/>
    <w:rsid w:val="008A2BBE"/>
    <w:rsid w:val="008A300E"/>
    <w:rsid w:val="008A3132"/>
    <w:rsid w:val="008A34E1"/>
    <w:rsid w:val="008A35F4"/>
    <w:rsid w:val="008A3937"/>
    <w:rsid w:val="008A40EF"/>
    <w:rsid w:val="008A41C5"/>
    <w:rsid w:val="008A4556"/>
    <w:rsid w:val="008A4843"/>
    <w:rsid w:val="008A4B30"/>
    <w:rsid w:val="008A4ED1"/>
    <w:rsid w:val="008A57C8"/>
    <w:rsid w:val="008A610D"/>
    <w:rsid w:val="008A623A"/>
    <w:rsid w:val="008A631E"/>
    <w:rsid w:val="008A6696"/>
    <w:rsid w:val="008A6AED"/>
    <w:rsid w:val="008A6E6E"/>
    <w:rsid w:val="008A70E0"/>
    <w:rsid w:val="008A73A5"/>
    <w:rsid w:val="008A76C4"/>
    <w:rsid w:val="008B04AB"/>
    <w:rsid w:val="008B0559"/>
    <w:rsid w:val="008B05BF"/>
    <w:rsid w:val="008B0C6F"/>
    <w:rsid w:val="008B0E99"/>
    <w:rsid w:val="008B0E9E"/>
    <w:rsid w:val="008B168E"/>
    <w:rsid w:val="008B1D95"/>
    <w:rsid w:val="008B20BB"/>
    <w:rsid w:val="008B2324"/>
    <w:rsid w:val="008B2760"/>
    <w:rsid w:val="008B2DD8"/>
    <w:rsid w:val="008B2EA6"/>
    <w:rsid w:val="008B310A"/>
    <w:rsid w:val="008B380C"/>
    <w:rsid w:val="008B3E89"/>
    <w:rsid w:val="008B4384"/>
    <w:rsid w:val="008B4DF0"/>
    <w:rsid w:val="008B50FE"/>
    <w:rsid w:val="008B5593"/>
    <w:rsid w:val="008B5610"/>
    <w:rsid w:val="008B5ED7"/>
    <w:rsid w:val="008B61FF"/>
    <w:rsid w:val="008B6B17"/>
    <w:rsid w:val="008B6CF8"/>
    <w:rsid w:val="008B7072"/>
    <w:rsid w:val="008B73D6"/>
    <w:rsid w:val="008B741A"/>
    <w:rsid w:val="008B7462"/>
    <w:rsid w:val="008B786B"/>
    <w:rsid w:val="008B7939"/>
    <w:rsid w:val="008B7A58"/>
    <w:rsid w:val="008B7B2C"/>
    <w:rsid w:val="008C01D7"/>
    <w:rsid w:val="008C08CA"/>
    <w:rsid w:val="008C0B36"/>
    <w:rsid w:val="008C16A6"/>
    <w:rsid w:val="008C1935"/>
    <w:rsid w:val="008C1DE2"/>
    <w:rsid w:val="008C1E92"/>
    <w:rsid w:val="008C21C8"/>
    <w:rsid w:val="008C2D5E"/>
    <w:rsid w:val="008C2E99"/>
    <w:rsid w:val="008C3701"/>
    <w:rsid w:val="008C370A"/>
    <w:rsid w:val="008C3B2B"/>
    <w:rsid w:val="008C4356"/>
    <w:rsid w:val="008C48E9"/>
    <w:rsid w:val="008C522B"/>
    <w:rsid w:val="008C5A1E"/>
    <w:rsid w:val="008C5F11"/>
    <w:rsid w:val="008C6279"/>
    <w:rsid w:val="008C639F"/>
    <w:rsid w:val="008C65FD"/>
    <w:rsid w:val="008C6CAE"/>
    <w:rsid w:val="008C708D"/>
    <w:rsid w:val="008C71B0"/>
    <w:rsid w:val="008C736A"/>
    <w:rsid w:val="008C74AE"/>
    <w:rsid w:val="008C7CDD"/>
    <w:rsid w:val="008C7F71"/>
    <w:rsid w:val="008D0323"/>
    <w:rsid w:val="008D0527"/>
    <w:rsid w:val="008D0F47"/>
    <w:rsid w:val="008D1043"/>
    <w:rsid w:val="008D195A"/>
    <w:rsid w:val="008D1D3B"/>
    <w:rsid w:val="008D26CE"/>
    <w:rsid w:val="008D28B5"/>
    <w:rsid w:val="008D2DE5"/>
    <w:rsid w:val="008D300C"/>
    <w:rsid w:val="008D39A3"/>
    <w:rsid w:val="008D3B00"/>
    <w:rsid w:val="008D3DC4"/>
    <w:rsid w:val="008D3E0C"/>
    <w:rsid w:val="008D42C5"/>
    <w:rsid w:val="008D4AEF"/>
    <w:rsid w:val="008D4D64"/>
    <w:rsid w:val="008D4F0F"/>
    <w:rsid w:val="008D4F78"/>
    <w:rsid w:val="008D509E"/>
    <w:rsid w:val="008D538B"/>
    <w:rsid w:val="008D560D"/>
    <w:rsid w:val="008D5804"/>
    <w:rsid w:val="008D5C58"/>
    <w:rsid w:val="008D5F13"/>
    <w:rsid w:val="008D5F6D"/>
    <w:rsid w:val="008D61B7"/>
    <w:rsid w:val="008D6BCE"/>
    <w:rsid w:val="008D6EE6"/>
    <w:rsid w:val="008D700C"/>
    <w:rsid w:val="008D7154"/>
    <w:rsid w:val="008D798D"/>
    <w:rsid w:val="008D7D4A"/>
    <w:rsid w:val="008D7E3B"/>
    <w:rsid w:val="008D7F06"/>
    <w:rsid w:val="008E047D"/>
    <w:rsid w:val="008E05F6"/>
    <w:rsid w:val="008E1651"/>
    <w:rsid w:val="008E16E9"/>
    <w:rsid w:val="008E1DC1"/>
    <w:rsid w:val="008E1E89"/>
    <w:rsid w:val="008E24E8"/>
    <w:rsid w:val="008E255A"/>
    <w:rsid w:val="008E2DB1"/>
    <w:rsid w:val="008E3BD7"/>
    <w:rsid w:val="008E3C38"/>
    <w:rsid w:val="008E405A"/>
    <w:rsid w:val="008E44A8"/>
    <w:rsid w:val="008E4802"/>
    <w:rsid w:val="008E4B77"/>
    <w:rsid w:val="008E4F61"/>
    <w:rsid w:val="008E5513"/>
    <w:rsid w:val="008E5CE9"/>
    <w:rsid w:val="008E5DF6"/>
    <w:rsid w:val="008E6268"/>
    <w:rsid w:val="008E6CD8"/>
    <w:rsid w:val="008F05DF"/>
    <w:rsid w:val="008F0882"/>
    <w:rsid w:val="008F0DFE"/>
    <w:rsid w:val="008F0E8D"/>
    <w:rsid w:val="008F1460"/>
    <w:rsid w:val="008F15D7"/>
    <w:rsid w:val="008F1917"/>
    <w:rsid w:val="008F296C"/>
    <w:rsid w:val="008F2DF8"/>
    <w:rsid w:val="008F34A4"/>
    <w:rsid w:val="008F358B"/>
    <w:rsid w:val="008F374F"/>
    <w:rsid w:val="008F37B5"/>
    <w:rsid w:val="008F3DA9"/>
    <w:rsid w:val="008F4153"/>
    <w:rsid w:val="008F49D1"/>
    <w:rsid w:val="008F4A33"/>
    <w:rsid w:val="008F4C7B"/>
    <w:rsid w:val="008F4F84"/>
    <w:rsid w:val="008F50D6"/>
    <w:rsid w:val="008F5493"/>
    <w:rsid w:val="008F5522"/>
    <w:rsid w:val="008F5684"/>
    <w:rsid w:val="008F57B6"/>
    <w:rsid w:val="008F6472"/>
    <w:rsid w:val="008F6B8D"/>
    <w:rsid w:val="008F6CE2"/>
    <w:rsid w:val="008F6CE7"/>
    <w:rsid w:val="008F741B"/>
    <w:rsid w:val="008F7983"/>
    <w:rsid w:val="008F7B02"/>
    <w:rsid w:val="008F7BFE"/>
    <w:rsid w:val="008F7DB9"/>
    <w:rsid w:val="008F7E87"/>
    <w:rsid w:val="00901083"/>
    <w:rsid w:val="00901A54"/>
    <w:rsid w:val="0090237B"/>
    <w:rsid w:val="00902484"/>
    <w:rsid w:val="009025A1"/>
    <w:rsid w:val="009026BB"/>
    <w:rsid w:val="009027EE"/>
    <w:rsid w:val="0090288E"/>
    <w:rsid w:val="0090292A"/>
    <w:rsid w:val="009029DE"/>
    <w:rsid w:val="00902B6C"/>
    <w:rsid w:val="00902C8B"/>
    <w:rsid w:val="00902F3C"/>
    <w:rsid w:val="00903381"/>
    <w:rsid w:val="009033FA"/>
    <w:rsid w:val="009037CE"/>
    <w:rsid w:val="009038EA"/>
    <w:rsid w:val="009041DF"/>
    <w:rsid w:val="009043D6"/>
    <w:rsid w:val="009046FB"/>
    <w:rsid w:val="00904DAF"/>
    <w:rsid w:val="00905B62"/>
    <w:rsid w:val="0090623B"/>
    <w:rsid w:val="00906766"/>
    <w:rsid w:val="00906AF0"/>
    <w:rsid w:val="00906FDA"/>
    <w:rsid w:val="00907431"/>
    <w:rsid w:val="009075C0"/>
    <w:rsid w:val="00907778"/>
    <w:rsid w:val="00907C03"/>
    <w:rsid w:val="00907D6E"/>
    <w:rsid w:val="00907ECC"/>
    <w:rsid w:val="00910435"/>
    <w:rsid w:val="00910C8D"/>
    <w:rsid w:val="00910D4C"/>
    <w:rsid w:val="009115DA"/>
    <w:rsid w:val="00911A92"/>
    <w:rsid w:val="00911EC0"/>
    <w:rsid w:val="0091233F"/>
    <w:rsid w:val="009125EA"/>
    <w:rsid w:val="009127FE"/>
    <w:rsid w:val="00912F23"/>
    <w:rsid w:val="0091301D"/>
    <w:rsid w:val="0091364E"/>
    <w:rsid w:val="00913769"/>
    <w:rsid w:val="00913867"/>
    <w:rsid w:val="00913B92"/>
    <w:rsid w:val="00913D51"/>
    <w:rsid w:val="00913DD8"/>
    <w:rsid w:val="00913FA8"/>
    <w:rsid w:val="00914031"/>
    <w:rsid w:val="0091438A"/>
    <w:rsid w:val="00914572"/>
    <w:rsid w:val="00914649"/>
    <w:rsid w:val="009149A5"/>
    <w:rsid w:val="00914A1A"/>
    <w:rsid w:val="00914EAD"/>
    <w:rsid w:val="0091582B"/>
    <w:rsid w:val="009159BB"/>
    <w:rsid w:val="00915B5F"/>
    <w:rsid w:val="00915B80"/>
    <w:rsid w:val="00915FD8"/>
    <w:rsid w:val="0091601A"/>
    <w:rsid w:val="0091621B"/>
    <w:rsid w:val="00916836"/>
    <w:rsid w:val="0091694F"/>
    <w:rsid w:val="00916A90"/>
    <w:rsid w:val="00916B2B"/>
    <w:rsid w:val="009172CE"/>
    <w:rsid w:val="0091754D"/>
    <w:rsid w:val="009176AA"/>
    <w:rsid w:val="00917755"/>
    <w:rsid w:val="0091783B"/>
    <w:rsid w:val="009203AA"/>
    <w:rsid w:val="009205F7"/>
    <w:rsid w:val="00920627"/>
    <w:rsid w:val="0092077B"/>
    <w:rsid w:val="0092084C"/>
    <w:rsid w:val="00921316"/>
    <w:rsid w:val="00921CCD"/>
    <w:rsid w:val="00922CB1"/>
    <w:rsid w:val="00922E86"/>
    <w:rsid w:val="009235AA"/>
    <w:rsid w:val="0092360A"/>
    <w:rsid w:val="00923729"/>
    <w:rsid w:val="00923F51"/>
    <w:rsid w:val="009240AC"/>
    <w:rsid w:val="009243CD"/>
    <w:rsid w:val="00924EC0"/>
    <w:rsid w:val="00924FAB"/>
    <w:rsid w:val="009257BD"/>
    <w:rsid w:val="009257D8"/>
    <w:rsid w:val="00925C83"/>
    <w:rsid w:val="00925D78"/>
    <w:rsid w:val="00925DD1"/>
    <w:rsid w:val="00925E11"/>
    <w:rsid w:val="00925FB5"/>
    <w:rsid w:val="00926BDC"/>
    <w:rsid w:val="00926CF9"/>
    <w:rsid w:val="00926D0D"/>
    <w:rsid w:val="00927115"/>
    <w:rsid w:val="00927165"/>
    <w:rsid w:val="009271EA"/>
    <w:rsid w:val="00927AE5"/>
    <w:rsid w:val="00927CE8"/>
    <w:rsid w:val="00927E99"/>
    <w:rsid w:val="009304F4"/>
    <w:rsid w:val="0093059F"/>
    <w:rsid w:val="00931163"/>
    <w:rsid w:val="00931836"/>
    <w:rsid w:val="00931D3B"/>
    <w:rsid w:val="009321FB"/>
    <w:rsid w:val="0093284B"/>
    <w:rsid w:val="00932A30"/>
    <w:rsid w:val="00932A7D"/>
    <w:rsid w:val="00933147"/>
    <w:rsid w:val="0093329B"/>
    <w:rsid w:val="00933AAF"/>
    <w:rsid w:val="00933C4B"/>
    <w:rsid w:val="00933ECA"/>
    <w:rsid w:val="00933F93"/>
    <w:rsid w:val="009347A1"/>
    <w:rsid w:val="00935501"/>
    <w:rsid w:val="009361CE"/>
    <w:rsid w:val="00936334"/>
    <w:rsid w:val="009368F9"/>
    <w:rsid w:val="00936D9D"/>
    <w:rsid w:val="009377EF"/>
    <w:rsid w:val="00937C85"/>
    <w:rsid w:val="0094012C"/>
    <w:rsid w:val="00940372"/>
    <w:rsid w:val="0094059C"/>
    <w:rsid w:val="009405A0"/>
    <w:rsid w:val="00940735"/>
    <w:rsid w:val="009412F4"/>
    <w:rsid w:val="00941E31"/>
    <w:rsid w:val="0094246E"/>
    <w:rsid w:val="009427B1"/>
    <w:rsid w:val="00942C68"/>
    <w:rsid w:val="00942E99"/>
    <w:rsid w:val="00943A72"/>
    <w:rsid w:val="009441D9"/>
    <w:rsid w:val="0094438B"/>
    <w:rsid w:val="0094472C"/>
    <w:rsid w:val="00944A72"/>
    <w:rsid w:val="00944F46"/>
    <w:rsid w:val="0094503C"/>
    <w:rsid w:val="00945282"/>
    <w:rsid w:val="00945383"/>
    <w:rsid w:val="00946AB0"/>
    <w:rsid w:val="00946EA3"/>
    <w:rsid w:val="00947202"/>
    <w:rsid w:val="00947E3A"/>
    <w:rsid w:val="0095003B"/>
    <w:rsid w:val="009508FE"/>
    <w:rsid w:val="00950EF5"/>
    <w:rsid w:val="00951285"/>
    <w:rsid w:val="0095169F"/>
    <w:rsid w:val="009516BB"/>
    <w:rsid w:val="009519F8"/>
    <w:rsid w:val="00951D82"/>
    <w:rsid w:val="00952ACB"/>
    <w:rsid w:val="00952D83"/>
    <w:rsid w:val="00952E14"/>
    <w:rsid w:val="00953789"/>
    <w:rsid w:val="009538DC"/>
    <w:rsid w:val="00953E30"/>
    <w:rsid w:val="00953E64"/>
    <w:rsid w:val="00954099"/>
    <w:rsid w:val="009547CF"/>
    <w:rsid w:val="00954BA2"/>
    <w:rsid w:val="0095558C"/>
    <w:rsid w:val="00955906"/>
    <w:rsid w:val="00955C10"/>
    <w:rsid w:val="009561DA"/>
    <w:rsid w:val="00956CC2"/>
    <w:rsid w:val="009575F1"/>
    <w:rsid w:val="00957777"/>
    <w:rsid w:val="00957A31"/>
    <w:rsid w:val="00957C9E"/>
    <w:rsid w:val="00960476"/>
    <w:rsid w:val="0096088E"/>
    <w:rsid w:val="00961115"/>
    <w:rsid w:val="00961539"/>
    <w:rsid w:val="00961826"/>
    <w:rsid w:val="00962062"/>
    <w:rsid w:val="00962724"/>
    <w:rsid w:val="00962B5A"/>
    <w:rsid w:val="009631C5"/>
    <w:rsid w:val="00963567"/>
    <w:rsid w:val="0096373A"/>
    <w:rsid w:val="00963913"/>
    <w:rsid w:val="00963924"/>
    <w:rsid w:val="00963F8D"/>
    <w:rsid w:val="00964381"/>
    <w:rsid w:val="00964CC9"/>
    <w:rsid w:val="0096563D"/>
    <w:rsid w:val="009656C8"/>
    <w:rsid w:val="009656F3"/>
    <w:rsid w:val="00965E69"/>
    <w:rsid w:val="00966427"/>
    <w:rsid w:val="00966F87"/>
    <w:rsid w:val="009670CF"/>
    <w:rsid w:val="009678EA"/>
    <w:rsid w:val="00967B11"/>
    <w:rsid w:val="00967BE8"/>
    <w:rsid w:val="00967C31"/>
    <w:rsid w:val="009700D3"/>
    <w:rsid w:val="009707D0"/>
    <w:rsid w:val="009707F7"/>
    <w:rsid w:val="00970AEB"/>
    <w:rsid w:val="009710E8"/>
    <w:rsid w:val="00971DC4"/>
    <w:rsid w:val="009721D7"/>
    <w:rsid w:val="00972B71"/>
    <w:rsid w:val="00972DB0"/>
    <w:rsid w:val="00973EBC"/>
    <w:rsid w:val="00973FCF"/>
    <w:rsid w:val="00974BB3"/>
    <w:rsid w:val="00974CA5"/>
    <w:rsid w:val="00974E8E"/>
    <w:rsid w:val="0097557C"/>
    <w:rsid w:val="00975CDA"/>
    <w:rsid w:val="00975CF8"/>
    <w:rsid w:val="00975FA9"/>
    <w:rsid w:val="009761B1"/>
    <w:rsid w:val="009764A2"/>
    <w:rsid w:val="00977010"/>
    <w:rsid w:val="0097733D"/>
    <w:rsid w:val="00977F2B"/>
    <w:rsid w:val="009801B5"/>
    <w:rsid w:val="009802D8"/>
    <w:rsid w:val="009806CD"/>
    <w:rsid w:val="009806F9"/>
    <w:rsid w:val="0098073F"/>
    <w:rsid w:val="00980E05"/>
    <w:rsid w:val="00980FA3"/>
    <w:rsid w:val="009810A3"/>
    <w:rsid w:val="0098134A"/>
    <w:rsid w:val="009817E4"/>
    <w:rsid w:val="00981955"/>
    <w:rsid w:val="00981A44"/>
    <w:rsid w:val="00981C04"/>
    <w:rsid w:val="00981E12"/>
    <w:rsid w:val="00981E34"/>
    <w:rsid w:val="0098224B"/>
    <w:rsid w:val="00982681"/>
    <w:rsid w:val="00982DD9"/>
    <w:rsid w:val="0098334E"/>
    <w:rsid w:val="00983434"/>
    <w:rsid w:val="009834BB"/>
    <w:rsid w:val="00983874"/>
    <w:rsid w:val="00983C0F"/>
    <w:rsid w:val="00983CB9"/>
    <w:rsid w:val="00984A20"/>
    <w:rsid w:val="00984D9E"/>
    <w:rsid w:val="00984FEE"/>
    <w:rsid w:val="009850F0"/>
    <w:rsid w:val="0098583A"/>
    <w:rsid w:val="00985906"/>
    <w:rsid w:val="00985A19"/>
    <w:rsid w:val="00985E06"/>
    <w:rsid w:val="00986E09"/>
    <w:rsid w:val="00986F0D"/>
    <w:rsid w:val="00986F61"/>
    <w:rsid w:val="009874F8"/>
    <w:rsid w:val="00987555"/>
    <w:rsid w:val="0098784B"/>
    <w:rsid w:val="00987E38"/>
    <w:rsid w:val="009900D3"/>
    <w:rsid w:val="0099032C"/>
    <w:rsid w:val="00990413"/>
    <w:rsid w:val="0099053F"/>
    <w:rsid w:val="00990735"/>
    <w:rsid w:val="00990BE4"/>
    <w:rsid w:val="00991119"/>
    <w:rsid w:val="00991766"/>
    <w:rsid w:val="00991DC9"/>
    <w:rsid w:val="0099225C"/>
    <w:rsid w:val="00992293"/>
    <w:rsid w:val="009927EA"/>
    <w:rsid w:val="00993A4D"/>
    <w:rsid w:val="00993B84"/>
    <w:rsid w:val="00993BF0"/>
    <w:rsid w:val="00993C4F"/>
    <w:rsid w:val="00993E4B"/>
    <w:rsid w:val="00994E84"/>
    <w:rsid w:val="00994F21"/>
    <w:rsid w:val="00995515"/>
    <w:rsid w:val="0099561A"/>
    <w:rsid w:val="009957C2"/>
    <w:rsid w:val="0099612D"/>
    <w:rsid w:val="009964DD"/>
    <w:rsid w:val="00996ACB"/>
    <w:rsid w:val="00996BD7"/>
    <w:rsid w:val="00996DDC"/>
    <w:rsid w:val="00996F64"/>
    <w:rsid w:val="00996FC2"/>
    <w:rsid w:val="00997BFC"/>
    <w:rsid w:val="009A015C"/>
    <w:rsid w:val="009A026D"/>
    <w:rsid w:val="009A03B7"/>
    <w:rsid w:val="009A09C8"/>
    <w:rsid w:val="009A09F0"/>
    <w:rsid w:val="009A0AA7"/>
    <w:rsid w:val="009A1744"/>
    <w:rsid w:val="009A199A"/>
    <w:rsid w:val="009A1A01"/>
    <w:rsid w:val="009A27B4"/>
    <w:rsid w:val="009A2AEB"/>
    <w:rsid w:val="009A2D19"/>
    <w:rsid w:val="009A3153"/>
    <w:rsid w:val="009A3157"/>
    <w:rsid w:val="009A34E0"/>
    <w:rsid w:val="009A365D"/>
    <w:rsid w:val="009A386A"/>
    <w:rsid w:val="009A4174"/>
    <w:rsid w:val="009A4E7C"/>
    <w:rsid w:val="009A5153"/>
    <w:rsid w:val="009A515F"/>
    <w:rsid w:val="009A5900"/>
    <w:rsid w:val="009A5DDE"/>
    <w:rsid w:val="009A644D"/>
    <w:rsid w:val="009A6709"/>
    <w:rsid w:val="009A68AC"/>
    <w:rsid w:val="009A6B45"/>
    <w:rsid w:val="009A6EF2"/>
    <w:rsid w:val="009A7264"/>
    <w:rsid w:val="009A7270"/>
    <w:rsid w:val="009A72AF"/>
    <w:rsid w:val="009A7635"/>
    <w:rsid w:val="009A7761"/>
    <w:rsid w:val="009A7EE3"/>
    <w:rsid w:val="009B0700"/>
    <w:rsid w:val="009B0A1A"/>
    <w:rsid w:val="009B1164"/>
    <w:rsid w:val="009B13B3"/>
    <w:rsid w:val="009B1481"/>
    <w:rsid w:val="009B1DC1"/>
    <w:rsid w:val="009B2004"/>
    <w:rsid w:val="009B2297"/>
    <w:rsid w:val="009B2982"/>
    <w:rsid w:val="009B2B70"/>
    <w:rsid w:val="009B2E73"/>
    <w:rsid w:val="009B3004"/>
    <w:rsid w:val="009B31C4"/>
    <w:rsid w:val="009B3D1D"/>
    <w:rsid w:val="009B4004"/>
    <w:rsid w:val="009B42B9"/>
    <w:rsid w:val="009B46A1"/>
    <w:rsid w:val="009B4969"/>
    <w:rsid w:val="009B5082"/>
    <w:rsid w:val="009B5117"/>
    <w:rsid w:val="009B5789"/>
    <w:rsid w:val="009B579D"/>
    <w:rsid w:val="009B58E1"/>
    <w:rsid w:val="009B5946"/>
    <w:rsid w:val="009B5BD1"/>
    <w:rsid w:val="009B5E96"/>
    <w:rsid w:val="009B62AB"/>
    <w:rsid w:val="009B6488"/>
    <w:rsid w:val="009B67AE"/>
    <w:rsid w:val="009B6BFD"/>
    <w:rsid w:val="009B6CC1"/>
    <w:rsid w:val="009B6F71"/>
    <w:rsid w:val="009B7656"/>
    <w:rsid w:val="009B76D1"/>
    <w:rsid w:val="009B7D7F"/>
    <w:rsid w:val="009B7FB4"/>
    <w:rsid w:val="009C033C"/>
    <w:rsid w:val="009C0529"/>
    <w:rsid w:val="009C118D"/>
    <w:rsid w:val="009C1384"/>
    <w:rsid w:val="009C16A2"/>
    <w:rsid w:val="009C16DA"/>
    <w:rsid w:val="009C1F75"/>
    <w:rsid w:val="009C28DE"/>
    <w:rsid w:val="009C300E"/>
    <w:rsid w:val="009C3484"/>
    <w:rsid w:val="009C3771"/>
    <w:rsid w:val="009C38EC"/>
    <w:rsid w:val="009C3CEB"/>
    <w:rsid w:val="009C3F3D"/>
    <w:rsid w:val="009C4216"/>
    <w:rsid w:val="009C4353"/>
    <w:rsid w:val="009C47BB"/>
    <w:rsid w:val="009C5BED"/>
    <w:rsid w:val="009C61BD"/>
    <w:rsid w:val="009C6D7A"/>
    <w:rsid w:val="009C7548"/>
    <w:rsid w:val="009C78E1"/>
    <w:rsid w:val="009C79DB"/>
    <w:rsid w:val="009D01D3"/>
    <w:rsid w:val="009D0819"/>
    <w:rsid w:val="009D087F"/>
    <w:rsid w:val="009D08DC"/>
    <w:rsid w:val="009D0F65"/>
    <w:rsid w:val="009D0FC5"/>
    <w:rsid w:val="009D127D"/>
    <w:rsid w:val="009D16E9"/>
    <w:rsid w:val="009D1D36"/>
    <w:rsid w:val="009D22E5"/>
    <w:rsid w:val="009D2538"/>
    <w:rsid w:val="009D268E"/>
    <w:rsid w:val="009D2866"/>
    <w:rsid w:val="009D29F4"/>
    <w:rsid w:val="009D2F5A"/>
    <w:rsid w:val="009D2FA7"/>
    <w:rsid w:val="009D3024"/>
    <w:rsid w:val="009D35C1"/>
    <w:rsid w:val="009D3946"/>
    <w:rsid w:val="009D3B23"/>
    <w:rsid w:val="009D3BEE"/>
    <w:rsid w:val="009D3FDD"/>
    <w:rsid w:val="009D406E"/>
    <w:rsid w:val="009D4071"/>
    <w:rsid w:val="009D45D1"/>
    <w:rsid w:val="009D4A95"/>
    <w:rsid w:val="009D4B90"/>
    <w:rsid w:val="009D4D3E"/>
    <w:rsid w:val="009D5287"/>
    <w:rsid w:val="009D551A"/>
    <w:rsid w:val="009D5F22"/>
    <w:rsid w:val="009D5F4A"/>
    <w:rsid w:val="009D6020"/>
    <w:rsid w:val="009D60B4"/>
    <w:rsid w:val="009D6137"/>
    <w:rsid w:val="009D6542"/>
    <w:rsid w:val="009D6E00"/>
    <w:rsid w:val="009D6F41"/>
    <w:rsid w:val="009D768B"/>
    <w:rsid w:val="009D7C51"/>
    <w:rsid w:val="009D7DE6"/>
    <w:rsid w:val="009E02FA"/>
    <w:rsid w:val="009E0DCF"/>
    <w:rsid w:val="009E1125"/>
    <w:rsid w:val="009E20A6"/>
    <w:rsid w:val="009E266A"/>
    <w:rsid w:val="009E3133"/>
    <w:rsid w:val="009E3348"/>
    <w:rsid w:val="009E3CF9"/>
    <w:rsid w:val="009E406C"/>
    <w:rsid w:val="009E4149"/>
    <w:rsid w:val="009E44DB"/>
    <w:rsid w:val="009E454B"/>
    <w:rsid w:val="009E4681"/>
    <w:rsid w:val="009E46BF"/>
    <w:rsid w:val="009E46FF"/>
    <w:rsid w:val="009E48D1"/>
    <w:rsid w:val="009E4AC2"/>
    <w:rsid w:val="009E4D7D"/>
    <w:rsid w:val="009E508C"/>
    <w:rsid w:val="009E5278"/>
    <w:rsid w:val="009E5545"/>
    <w:rsid w:val="009E5930"/>
    <w:rsid w:val="009E61B6"/>
    <w:rsid w:val="009E64A8"/>
    <w:rsid w:val="009E6B7A"/>
    <w:rsid w:val="009E6EE5"/>
    <w:rsid w:val="009E6F2A"/>
    <w:rsid w:val="009E731A"/>
    <w:rsid w:val="009E7616"/>
    <w:rsid w:val="009E7C82"/>
    <w:rsid w:val="009E7E1E"/>
    <w:rsid w:val="009F0386"/>
    <w:rsid w:val="009F0493"/>
    <w:rsid w:val="009F04B5"/>
    <w:rsid w:val="009F057B"/>
    <w:rsid w:val="009F08D9"/>
    <w:rsid w:val="009F0C72"/>
    <w:rsid w:val="009F0CA9"/>
    <w:rsid w:val="009F0E10"/>
    <w:rsid w:val="009F1116"/>
    <w:rsid w:val="009F170C"/>
    <w:rsid w:val="009F1A1C"/>
    <w:rsid w:val="009F1C36"/>
    <w:rsid w:val="009F1E57"/>
    <w:rsid w:val="009F1FCE"/>
    <w:rsid w:val="009F251A"/>
    <w:rsid w:val="009F27E5"/>
    <w:rsid w:val="009F2E8B"/>
    <w:rsid w:val="009F3016"/>
    <w:rsid w:val="009F35B8"/>
    <w:rsid w:val="009F3DAA"/>
    <w:rsid w:val="009F454D"/>
    <w:rsid w:val="009F47D5"/>
    <w:rsid w:val="009F483C"/>
    <w:rsid w:val="009F52E0"/>
    <w:rsid w:val="009F5943"/>
    <w:rsid w:val="009F5BE4"/>
    <w:rsid w:val="009F6932"/>
    <w:rsid w:val="009F6FD8"/>
    <w:rsid w:val="009F700F"/>
    <w:rsid w:val="009F761F"/>
    <w:rsid w:val="009F7D19"/>
    <w:rsid w:val="00A01733"/>
    <w:rsid w:val="00A0177D"/>
    <w:rsid w:val="00A0189C"/>
    <w:rsid w:val="00A01F97"/>
    <w:rsid w:val="00A0295E"/>
    <w:rsid w:val="00A02CC2"/>
    <w:rsid w:val="00A0309B"/>
    <w:rsid w:val="00A033CD"/>
    <w:rsid w:val="00A0349F"/>
    <w:rsid w:val="00A034A1"/>
    <w:rsid w:val="00A041AD"/>
    <w:rsid w:val="00A0435C"/>
    <w:rsid w:val="00A0445F"/>
    <w:rsid w:val="00A04D39"/>
    <w:rsid w:val="00A04E97"/>
    <w:rsid w:val="00A051C1"/>
    <w:rsid w:val="00A05572"/>
    <w:rsid w:val="00A05B5B"/>
    <w:rsid w:val="00A05E30"/>
    <w:rsid w:val="00A06283"/>
    <w:rsid w:val="00A062CF"/>
    <w:rsid w:val="00A06E88"/>
    <w:rsid w:val="00A06F7F"/>
    <w:rsid w:val="00A07113"/>
    <w:rsid w:val="00A07307"/>
    <w:rsid w:val="00A07455"/>
    <w:rsid w:val="00A07872"/>
    <w:rsid w:val="00A07F49"/>
    <w:rsid w:val="00A10259"/>
    <w:rsid w:val="00A1092E"/>
    <w:rsid w:val="00A10A7E"/>
    <w:rsid w:val="00A1100D"/>
    <w:rsid w:val="00A11B71"/>
    <w:rsid w:val="00A11C0C"/>
    <w:rsid w:val="00A11E63"/>
    <w:rsid w:val="00A12A14"/>
    <w:rsid w:val="00A12E3C"/>
    <w:rsid w:val="00A131F6"/>
    <w:rsid w:val="00A1362D"/>
    <w:rsid w:val="00A13A3F"/>
    <w:rsid w:val="00A13E14"/>
    <w:rsid w:val="00A1431C"/>
    <w:rsid w:val="00A147F9"/>
    <w:rsid w:val="00A148DB"/>
    <w:rsid w:val="00A149FE"/>
    <w:rsid w:val="00A14DC9"/>
    <w:rsid w:val="00A14DE4"/>
    <w:rsid w:val="00A1573D"/>
    <w:rsid w:val="00A1574F"/>
    <w:rsid w:val="00A15756"/>
    <w:rsid w:val="00A157D8"/>
    <w:rsid w:val="00A1598E"/>
    <w:rsid w:val="00A159F4"/>
    <w:rsid w:val="00A15F52"/>
    <w:rsid w:val="00A161BF"/>
    <w:rsid w:val="00A16235"/>
    <w:rsid w:val="00A1689E"/>
    <w:rsid w:val="00A16C20"/>
    <w:rsid w:val="00A16E5F"/>
    <w:rsid w:val="00A16E9C"/>
    <w:rsid w:val="00A17B35"/>
    <w:rsid w:val="00A17CB1"/>
    <w:rsid w:val="00A17E53"/>
    <w:rsid w:val="00A2039C"/>
    <w:rsid w:val="00A20997"/>
    <w:rsid w:val="00A20BAA"/>
    <w:rsid w:val="00A20E4B"/>
    <w:rsid w:val="00A21091"/>
    <w:rsid w:val="00A2132D"/>
    <w:rsid w:val="00A2156E"/>
    <w:rsid w:val="00A216A0"/>
    <w:rsid w:val="00A21D56"/>
    <w:rsid w:val="00A21F76"/>
    <w:rsid w:val="00A223A8"/>
    <w:rsid w:val="00A2241E"/>
    <w:rsid w:val="00A224E9"/>
    <w:rsid w:val="00A22B58"/>
    <w:rsid w:val="00A23010"/>
    <w:rsid w:val="00A23081"/>
    <w:rsid w:val="00A23813"/>
    <w:rsid w:val="00A23A67"/>
    <w:rsid w:val="00A23E59"/>
    <w:rsid w:val="00A24748"/>
    <w:rsid w:val="00A250E7"/>
    <w:rsid w:val="00A25D7E"/>
    <w:rsid w:val="00A2642D"/>
    <w:rsid w:val="00A26A9B"/>
    <w:rsid w:val="00A26E61"/>
    <w:rsid w:val="00A26F8B"/>
    <w:rsid w:val="00A272D9"/>
    <w:rsid w:val="00A277D7"/>
    <w:rsid w:val="00A278A0"/>
    <w:rsid w:val="00A2792C"/>
    <w:rsid w:val="00A27C8A"/>
    <w:rsid w:val="00A30049"/>
    <w:rsid w:val="00A30375"/>
    <w:rsid w:val="00A30C5C"/>
    <w:rsid w:val="00A30D86"/>
    <w:rsid w:val="00A30EB9"/>
    <w:rsid w:val="00A30FF6"/>
    <w:rsid w:val="00A3109D"/>
    <w:rsid w:val="00A31D9E"/>
    <w:rsid w:val="00A320BA"/>
    <w:rsid w:val="00A32466"/>
    <w:rsid w:val="00A324CB"/>
    <w:rsid w:val="00A32C9F"/>
    <w:rsid w:val="00A3305C"/>
    <w:rsid w:val="00A3324B"/>
    <w:rsid w:val="00A33460"/>
    <w:rsid w:val="00A33CC5"/>
    <w:rsid w:val="00A34372"/>
    <w:rsid w:val="00A346E2"/>
    <w:rsid w:val="00A347F4"/>
    <w:rsid w:val="00A34B0B"/>
    <w:rsid w:val="00A34D2C"/>
    <w:rsid w:val="00A34F99"/>
    <w:rsid w:val="00A35143"/>
    <w:rsid w:val="00A358CB"/>
    <w:rsid w:val="00A35AB0"/>
    <w:rsid w:val="00A35CE5"/>
    <w:rsid w:val="00A35E4A"/>
    <w:rsid w:val="00A3611A"/>
    <w:rsid w:val="00A36372"/>
    <w:rsid w:val="00A3673B"/>
    <w:rsid w:val="00A367AE"/>
    <w:rsid w:val="00A36C26"/>
    <w:rsid w:val="00A36CFD"/>
    <w:rsid w:val="00A37331"/>
    <w:rsid w:val="00A37B18"/>
    <w:rsid w:val="00A37B6D"/>
    <w:rsid w:val="00A40535"/>
    <w:rsid w:val="00A408BB"/>
    <w:rsid w:val="00A4126B"/>
    <w:rsid w:val="00A414F6"/>
    <w:rsid w:val="00A4170F"/>
    <w:rsid w:val="00A41CDF"/>
    <w:rsid w:val="00A41FED"/>
    <w:rsid w:val="00A427CA"/>
    <w:rsid w:val="00A428AD"/>
    <w:rsid w:val="00A42C0B"/>
    <w:rsid w:val="00A430A8"/>
    <w:rsid w:val="00A4338E"/>
    <w:rsid w:val="00A434E5"/>
    <w:rsid w:val="00A43726"/>
    <w:rsid w:val="00A4488E"/>
    <w:rsid w:val="00A44BCE"/>
    <w:rsid w:val="00A44DC6"/>
    <w:rsid w:val="00A45026"/>
    <w:rsid w:val="00A4510E"/>
    <w:rsid w:val="00A458BF"/>
    <w:rsid w:val="00A45C8B"/>
    <w:rsid w:val="00A45F63"/>
    <w:rsid w:val="00A46245"/>
    <w:rsid w:val="00A46610"/>
    <w:rsid w:val="00A467A9"/>
    <w:rsid w:val="00A468D5"/>
    <w:rsid w:val="00A46C2D"/>
    <w:rsid w:val="00A46CE5"/>
    <w:rsid w:val="00A476BA"/>
    <w:rsid w:val="00A47B83"/>
    <w:rsid w:val="00A47FF7"/>
    <w:rsid w:val="00A503C4"/>
    <w:rsid w:val="00A50E95"/>
    <w:rsid w:val="00A514EE"/>
    <w:rsid w:val="00A51803"/>
    <w:rsid w:val="00A5180D"/>
    <w:rsid w:val="00A51B2E"/>
    <w:rsid w:val="00A52073"/>
    <w:rsid w:val="00A5216A"/>
    <w:rsid w:val="00A52383"/>
    <w:rsid w:val="00A52695"/>
    <w:rsid w:val="00A526A8"/>
    <w:rsid w:val="00A52C7A"/>
    <w:rsid w:val="00A53174"/>
    <w:rsid w:val="00A531E2"/>
    <w:rsid w:val="00A535E3"/>
    <w:rsid w:val="00A535E5"/>
    <w:rsid w:val="00A5379D"/>
    <w:rsid w:val="00A537AC"/>
    <w:rsid w:val="00A5385F"/>
    <w:rsid w:val="00A53BFA"/>
    <w:rsid w:val="00A53C1F"/>
    <w:rsid w:val="00A53CA3"/>
    <w:rsid w:val="00A53F38"/>
    <w:rsid w:val="00A541A1"/>
    <w:rsid w:val="00A54419"/>
    <w:rsid w:val="00A54B04"/>
    <w:rsid w:val="00A54EFB"/>
    <w:rsid w:val="00A552BB"/>
    <w:rsid w:val="00A554E1"/>
    <w:rsid w:val="00A55E47"/>
    <w:rsid w:val="00A56121"/>
    <w:rsid w:val="00A56695"/>
    <w:rsid w:val="00A56FC9"/>
    <w:rsid w:val="00A571CD"/>
    <w:rsid w:val="00A5725B"/>
    <w:rsid w:val="00A57571"/>
    <w:rsid w:val="00A609F6"/>
    <w:rsid w:val="00A613DC"/>
    <w:rsid w:val="00A6157E"/>
    <w:rsid w:val="00A6203A"/>
    <w:rsid w:val="00A620A0"/>
    <w:rsid w:val="00A628CF"/>
    <w:rsid w:val="00A630C4"/>
    <w:rsid w:val="00A63515"/>
    <w:rsid w:val="00A63A3B"/>
    <w:rsid w:val="00A63B05"/>
    <w:rsid w:val="00A63DDB"/>
    <w:rsid w:val="00A64018"/>
    <w:rsid w:val="00A640C4"/>
    <w:rsid w:val="00A6457E"/>
    <w:rsid w:val="00A64AEB"/>
    <w:rsid w:val="00A64C38"/>
    <w:rsid w:val="00A64C78"/>
    <w:rsid w:val="00A64CDD"/>
    <w:rsid w:val="00A65296"/>
    <w:rsid w:val="00A6573D"/>
    <w:rsid w:val="00A65AE8"/>
    <w:rsid w:val="00A65FF3"/>
    <w:rsid w:val="00A66749"/>
    <w:rsid w:val="00A66916"/>
    <w:rsid w:val="00A66ACD"/>
    <w:rsid w:val="00A67007"/>
    <w:rsid w:val="00A67183"/>
    <w:rsid w:val="00A67486"/>
    <w:rsid w:val="00A67BBE"/>
    <w:rsid w:val="00A7010D"/>
    <w:rsid w:val="00A708CA"/>
    <w:rsid w:val="00A7097C"/>
    <w:rsid w:val="00A709BE"/>
    <w:rsid w:val="00A70C12"/>
    <w:rsid w:val="00A71939"/>
    <w:rsid w:val="00A71977"/>
    <w:rsid w:val="00A71B55"/>
    <w:rsid w:val="00A71B63"/>
    <w:rsid w:val="00A726E0"/>
    <w:rsid w:val="00A72B55"/>
    <w:rsid w:val="00A72DCD"/>
    <w:rsid w:val="00A72F05"/>
    <w:rsid w:val="00A732DC"/>
    <w:rsid w:val="00A7337F"/>
    <w:rsid w:val="00A733FA"/>
    <w:rsid w:val="00A7366E"/>
    <w:rsid w:val="00A738E6"/>
    <w:rsid w:val="00A7394B"/>
    <w:rsid w:val="00A740B2"/>
    <w:rsid w:val="00A74897"/>
    <w:rsid w:val="00A748BF"/>
    <w:rsid w:val="00A748D8"/>
    <w:rsid w:val="00A74BAA"/>
    <w:rsid w:val="00A74CCD"/>
    <w:rsid w:val="00A74D20"/>
    <w:rsid w:val="00A74DEA"/>
    <w:rsid w:val="00A74F34"/>
    <w:rsid w:val="00A75302"/>
    <w:rsid w:val="00A754EA"/>
    <w:rsid w:val="00A7552B"/>
    <w:rsid w:val="00A75820"/>
    <w:rsid w:val="00A75B1F"/>
    <w:rsid w:val="00A75C76"/>
    <w:rsid w:val="00A75CFD"/>
    <w:rsid w:val="00A75F9F"/>
    <w:rsid w:val="00A76710"/>
    <w:rsid w:val="00A77107"/>
    <w:rsid w:val="00A77502"/>
    <w:rsid w:val="00A77CEE"/>
    <w:rsid w:val="00A77ED8"/>
    <w:rsid w:val="00A77F77"/>
    <w:rsid w:val="00A77F99"/>
    <w:rsid w:val="00A80344"/>
    <w:rsid w:val="00A80345"/>
    <w:rsid w:val="00A80C98"/>
    <w:rsid w:val="00A81121"/>
    <w:rsid w:val="00A811D4"/>
    <w:rsid w:val="00A817DD"/>
    <w:rsid w:val="00A819B1"/>
    <w:rsid w:val="00A81CF5"/>
    <w:rsid w:val="00A81E4B"/>
    <w:rsid w:val="00A8218C"/>
    <w:rsid w:val="00A8226B"/>
    <w:rsid w:val="00A826F3"/>
    <w:rsid w:val="00A82C7C"/>
    <w:rsid w:val="00A82DDB"/>
    <w:rsid w:val="00A834FA"/>
    <w:rsid w:val="00A84152"/>
    <w:rsid w:val="00A84297"/>
    <w:rsid w:val="00A84801"/>
    <w:rsid w:val="00A84B8A"/>
    <w:rsid w:val="00A84D5E"/>
    <w:rsid w:val="00A84DF6"/>
    <w:rsid w:val="00A84F4E"/>
    <w:rsid w:val="00A85D2C"/>
    <w:rsid w:val="00A862B8"/>
    <w:rsid w:val="00A86612"/>
    <w:rsid w:val="00A86C61"/>
    <w:rsid w:val="00A86FE0"/>
    <w:rsid w:val="00A877A8"/>
    <w:rsid w:val="00A87CE4"/>
    <w:rsid w:val="00A9010C"/>
    <w:rsid w:val="00A90161"/>
    <w:rsid w:val="00A901B4"/>
    <w:rsid w:val="00A90247"/>
    <w:rsid w:val="00A908AF"/>
    <w:rsid w:val="00A916E6"/>
    <w:rsid w:val="00A91D71"/>
    <w:rsid w:val="00A92498"/>
    <w:rsid w:val="00A92686"/>
    <w:rsid w:val="00A927C8"/>
    <w:rsid w:val="00A92890"/>
    <w:rsid w:val="00A92AB7"/>
    <w:rsid w:val="00A93AFF"/>
    <w:rsid w:val="00A93E0A"/>
    <w:rsid w:val="00A9419B"/>
    <w:rsid w:val="00A9450D"/>
    <w:rsid w:val="00A94708"/>
    <w:rsid w:val="00A94851"/>
    <w:rsid w:val="00A95919"/>
    <w:rsid w:val="00A95C14"/>
    <w:rsid w:val="00A95C36"/>
    <w:rsid w:val="00A95E86"/>
    <w:rsid w:val="00A96270"/>
    <w:rsid w:val="00A96B1E"/>
    <w:rsid w:val="00A97181"/>
    <w:rsid w:val="00A97879"/>
    <w:rsid w:val="00A97AFA"/>
    <w:rsid w:val="00A97B85"/>
    <w:rsid w:val="00A97D82"/>
    <w:rsid w:val="00A97E78"/>
    <w:rsid w:val="00AA09CE"/>
    <w:rsid w:val="00AA0ABD"/>
    <w:rsid w:val="00AA0C66"/>
    <w:rsid w:val="00AA0DC9"/>
    <w:rsid w:val="00AA0DFF"/>
    <w:rsid w:val="00AA105B"/>
    <w:rsid w:val="00AA13CF"/>
    <w:rsid w:val="00AA18D5"/>
    <w:rsid w:val="00AA2424"/>
    <w:rsid w:val="00AA2998"/>
    <w:rsid w:val="00AA2C4F"/>
    <w:rsid w:val="00AA2FF2"/>
    <w:rsid w:val="00AA33B4"/>
    <w:rsid w:val="00AA367F"/>
    <w:rsid w:val="00AA3822"/>
    <w:rsid w:val="00AA3C30"/>
    <w:rsid w:val="00AA401A"/>
    <w:rsid w:val="00AA4496"/>
    <w:rsid w:val="00AA4981"/>
    <w:rsid w:val="00AA4D2A"/>
    <w:rsid w:val="00AA54A7"/>
    <w:rsid w:val="00AA5547"/>
    <w:rsid w:val="00AA5964"/>
    <w:rsid w:val="00AA598C"/>
    <w:rsid w:val="00AA60A1"/>
    <w:rsid w:val="00AA768E"/>
    <w:rsid w:val="00AA77F6"/>
    <w:rsid w:val="00AA7B45"/>
    <w:rsid w:val="00AA7F47"/>
    <w:rsid w:val="00AB049D"/>
    <w:rsid w:val="00AB0574"/>
    <w:rsid w:val="00AB0AFA"/>
    <w:rsid w:val="00AB0B04"/>
    <w:rsid w:val="00AB0C2C"/>
    <w:rsid w:val="00AB1A3C"/>
    <w:rsid w:val="00AB1E83"/>
    <w:rsid w:val="00AB2045"/>
    <w:rsid w:val="00AB228E"/>
    <w:rsid w:val="00AB2C4E"/>
    <w:rsid w:val="00AB3237"/>
    <w:rsid w:val="00AB3392"/>
    <w:rsid w:val="00AB351F"/>
    <w:rsid w:val="00AB3BA0"/>
    <w:rsid w:val="00AB3C0C"/>
    <w:rsid w:val="00AB3C55"/>
    <w:rsid w:val="00AB3F44"/>
    <w:rsid w:val="00AB4064"/>
    <w:rsid w:val="00AB407B"/>
    <w:rsid w:val="00AB45C4"/>
    <w:rsid w:val="00AB48FE"/>
    <w:rsid w:val="00AB491B"/>
    <w:rsid w:val="00AB4AA7"/>
    <w:rsid w:val="00AB4AFD"/>
    <w:rsid w:val="00AB52B9"/>
    <w:rsid w:val="00AB53D4"/>
    <w:rsid w:val="00AB5709"/>
    <w:rsid w:val="00AB68D4"/>
    <w:rsid w:val="00AB6CA9"/>
    <w:rsid w:val="00AB6EA6"/>
    <w:rsid w:val="00AB7337"/>
    <w:rsid w:val="00AC0332"/>
    <w:rsid w:val="00AC05FB"/>
    <w:rsid w:val="00AC0BEB"/>
    <w:rsid w:val="00AC0E06"/>
    <w:rsid w:val="00AC0F2D"/>
    <w:rsid w:val="00AC12C9"/>
    <w:rsid w:val="00AC14C8"/>
    <w:rsid w:val="00AC161C"/>
    <w:rsid w:val="00AC19BE"/>
    <w:rsid w:val="00AC1ED2"/>
    <w:rsid w:val="00AC1F59"/>
    <w:rsid w:val="00AC2167"/>
    <w:rsid w:val="00AC2B6B"/>
    <w:rsid w:val="00AC324C"/>
    <w:rsid w:val="00AC32F2"/>
    <w:rsid w:val="00AC41A4"/>
    <w:rsid w:val="00AC43F1"/>
    <w:rsid w:val="00AC4CD9"/>
    <w:rsid w:val="00AC4DF7"/>
    <w:rsid w:val="00AC5873"/>
    <w:rsid w:val="00AC5FA9"/>
    <w:rsid w:val="00AC674E"/>
    <w:rsid w:val="00AC6BE0"/>
    <w:rsid w:val="00AC724D"/>
    <w:rsid w:val="00AC7526"/>
    <w:rsid w:val="00AC7DF3"/>
    <w:rsid w:val="00AC7E2E"/>
    <w:rsid w:val="00AD03AA"/>
    <w:rsid w:val="00AD0790"/>
    <w:rsid w:val="00AD0C83"/>
    <w:rsid w:val="00AD1635"/>
    <w:rsid w:val="00AD177F"/>
    <w:rsid w:val="00AD1809"/>
    <w:rsid w:val="00AD1928"/>
    <w:rsid w:val="00AD195D"/>
    <w:rsid w:val="00AD1DEE"/>
    <w:rsid w:val="00AD226D"/>
    <w:rsid w:val="00AD27FA"/>
    <w:rsid w:val="00AD2BFB"/>
    <w:rsid w:val="00AD3041"/>
    <w:rsid w:val="00AD39CC"/>
    <w:rsid w:val="00AD39F6"/>
    <w:rsid w:val="00AD3E43"/>
    <w:rsid w:val="00AD436B"/>
    <w:rsid w:val="00AD4389"/>
    <w:rsid w:val="00AD43C4"/>
    <w:rsid w:val="00AD4508"/>
    <w:rsid w:val="00AD45CC"/>
    <w:rsid w:val="00AD470E"/>
    <w:rsid w:val="00AD4748"/>
    <w:rsid w:val="00AD506D"/>
    <w:rsid w:val="00AD507A"/>
    <w:rsid w:val="00AD5E58"/>
    <w:rsid w:val="00AD63BF"/>
    <w:rsid w:val="00AD6985"/>
    <w:rsid w:val="00AD6B44"/>
    <w:rsid w:val="00AD6BDE"/>
    <w:rsid w:val="00AD6E16"/>
    <w:rsid w:val="00AD7056"/>
    <w:rsid w:val="00AD74F0"/>
    <w:rsid w:val="00AD7FDB"/>
    <w:rsid w:val="00AE03A5"/>
    <w:rsid w:val="00AE05AE"/>
    <w:rsid w:val="00AE0A77"/>
    <w:rsid w:val="00AE0F0F"/>
    <w:rsid w:val="00AE1394"/>
    <w:rsid w:val="00AE261C"/>
    <w:rsid w:val="00AE262E"/>
    <w:rsid w:val="00AE3945"/>
    <w:rsid w:val="00AE3C9E"/>
    <w:rsid w:val="00AE3DB7"/>
    <w:rsid w:val="00AE3F6D"/>
    <w:rsid w:val="00AE43B6"/>
    <w:rsid w:val="00AE5158"/>
    <w:rsid w:val="00AE5DA5"/>
    <w:rsid w:val="00AE602F"/>
    <w:rsid w:val="00AE6CA7"/>
    <w:rsid w:val="00AE6CE6"/>
    <w:rsid w:val="00AE70C4"/>
    <w:rsid w:val="00AE7CCB"/>
    <w:rsid w:val="00AF02D6"/>
    <w:rsid w:val="00AF038D"/>
    <w:rsid w:val="00AF089D"/>
    <w:rsid w:val="00AF12A9"/>
    <w:rsid w:val="00AF16E8"/>
    <w:rsid w:val="00AF1CBD"/>
    <w:rsid w:val="00AF2453"/>
    <w:rsid w:val="00AF253F"/>
    <w:rsid w:val="00AF29EB"/>
    <w:rsid w:val="00AF2A19"/>
    <w:rsid w:val="00AF2A6C"/>
    <w:rsid w:val="00AF2B7E"/>
    <w:rsid w:val="00AF32A8"/>
    <w:rsid w:val="00AF37BB"/>
    <w:rsid w:val="00AF3868"/>
    <w:rsid w:val="00AF40CE"/>
    <w:rsid w:val="00AF4991"/>
    <w:rsid w:val="00AF4CE7"/>
    <w:rsid w:val="00AF56CD"/>
    <w:rsid w:val="00AF6243"/>
    <w:rsid w:val="00AF627A"/>
    <w:rsid w:val="00AF67D8"/>
    <w:rsid w:val="00AF69F3"/>
    <w:rsid w:val="00AF6D0B"/>
    <w:rsid w:val="00AF7286"/>
    <w:rsid w:val="00AF740C"/>
    <w:rsid w:val="00AF79EE"/>
    <w:rsid w:val="00AF7B4E"/>
    <w:rsid w:val="00AF7FE0"/>
    <w:rsid w:val="00B00114"/>
    <w:rsid w:val="00B003CC"/>
    <w:rsid w:val="00B003FD"/>
    <w:rsid w:val="00B007A7"/>
    <w:rsid w:val="00B010CB"/>
    <w:rsid w:val="00B012D0"/>
    <w:rsid w:val="00B01A60"/>
    <w:rsid w:val="00B01D4A"/>
    <w:rsid w:val="00B01DB3"/>
    <w:rsid w:val="00B01F10"/>
    <w:rsid w:val="00B02096"/>
    <w:rsid w:val="00B0218E"/>
    <w:rsid w:val="00B022D7"/>
    <w:rsid w:val="00B025C8"/>
    <w:rsid w:val="00B02754"/>
    <w:rsid w:val="00B02AF5"/>
    <w:rsid w:val="00B02ED6"/>
    <w:rsid w:val="00B033C8"/>
    <w:rsid w:val="00B03471"/>
    <w:rsid w:val="00B03712"/>
    <w:rsid w:val="00B03A86"/>
    <w:rsid w:val="00B03E2A"/>
    <w:rsid w:val="00B041FC"/>
    <w:rsid w:val="00B04299"/>
    <w:rsid w:val="00B04336"/>
    <w:rsid w:val="00B04421"/>
    <w:rsid w:val="00B044B2"/>
    <w:rsid w:val="00B050C7"/>
    <w:rsid w:val="00B0544D"/>
    <w:rsid w:val="00B05738"/>
    <w:rsid w:val="00B057C8"/>
    <w:rsid w:val="00B05962"/>
    <w:rsid w:val="00B05EAC"/>
    <w:rsid w:val="00B062A2"/>
    <w:rsid w:val="00B06378"/>
    <w:rsid w:val="00B065B0"/>
    <w:rsid w:val="00B065BC"/>
    <w:rsid w:val="00B06BF5"/>
    <w:rsid w:val="00B07806"/>
    <w:rsid w:val="00B079AF"/>
    <w:rsid w:val="00B07BFB"/>
    <w:rsid w:val="00B07DD0"/>
    <w:rsid w:val="00B07E69"/>
    <w:rsid w:val="00B07E78"/>
    <w:rsid w:val="00B102C0"/>
    <w:rsid w:val="00B102EF"/>
    <w:rsid w:val="00B10AE0"/>
    <w:rsid w:val="00B110CC"/>
    <w:rsid w:val="00B11CFF"/>
    <w:rsid w:val="00B1227C"/>
    <w:rsid w:val="00B1239B"/>
    <w:rsid w:val="00B123CB"/>
    <w:rsid w:val="00B12833"/>
    <w:rsid w:val="00B12DC7"/>
    <w:rsid w:val="00B12F54"/>
    <w:rsid w:val="00B134A3"/>
    <w:rsid w:val="00B13623"/>
    <w:rsid w:val="00B136B8"/>
    <w:rsid w:val="00B136BB"/>
    <w:rsid w:val="00B13A99"/>
    <w:rsid w:val="00B13CFA"/>
    <w:rsid w:val="00B13DA7"/>
    <w:rsid w:val="00B13E9E"/>
    <w:rsid w:val="00B14654"/>
    <w:rsid w:val="00B14A2C"/>
    <w:rsid w:val="00B14A39"/>
    <w:rsid w:val="00B14B0B"/>
    <w:rsid w:val="00B14F35"/>
    <w:rsid w:val="00B15123"/>
    <w:rsid w:val="00B151FB"/>
    <w:rsid w:val="00B154C2"/>
    <w:rsid w:val="00B1561F"/>
    <w:rsid w:val="00B15CFF"/>
    <w:rsid w:val="00B15DCD"/>
    <w:rsid w:val="00B15E08"/>
    <w:rsid w:val="00B16059"/>
    <w:rsid w:val="00B16726"/>
    <w:rsid w:val="00B173D3"/>
    <w:rsid w:val="00B17589"/>
    <w:rsid w:val="00B20695"/>
    <w:rsid w:val="00B20D82"/>
    <w:rsid w:val="00B2139B"/>
    <w:rsid w:val="00B21452"/>
    <w:rsid w:val="00B2175C"/>
    <w:rsid w:val="00B21A8A"/>
    <w:rsid w:val="00B21ADD"/>
    <w:rsid w:val="00B21AFF"/>
    <w:rsid w:val="00B21CAB"/>
    <w:rsid w:val="00B21F03"/>
    <w:rsid w:val="00B2201A"/>
    <w:rsid w:val="00B2223C"/>
    <w:rsid w:val="00B224B7"/>
    <w:rsid w:val="00B23825"/>
    <w:rsid w:val="00B2394E"/>
    <w:rsid w:val="00B23D34"/>
    <w:rsid w:val="00B24902"/>
    <w:rsid w:val="00B249B8"/>
    <w:rsid w:val="00B24CC6"/>
    <w:rsid w:val="00B24E31"/>
    <w:rsid w:val="00B256B8"/>
    <w:rsid w:val="00B258E7"/>
    <w:rsid w:val="00B2593F"/>
    <w:rsid w:val="00B25A03"/>
    <w:rsid w:val="00B25F05"/>
    <w:rsid w:val="00B25FC5"/>
    <w:rsid w:val="00B2645E"/>
    <w:rsid w:val="00B26BB4"/>
    <w:rsid w:val="00B26DCC"/>
    <w:rsid w:val="00B26DE3"/>
    <w:rsid w:val="00B26EF5"/>
    <w:rsid w:val="00B26FF7"/>
    <w:rsid w:val="00B27118"/>
    <w:rsid w:val="00B27C5C"/>
    <w:rsid w:val="00B3002F"/>
    <w:rsid w:val="00B30D51"/>
    <w:rsid w:val="00B3227B"/>
    <w:rsid w:val="00B32295"/>
    <w:rsid w:val="00B322EC"/>
    <w:rsid w:val="00B32565"/>
    <w:rsid w:val="00B3296F"/>
    <w:rsid w:val="00B32A18"/>
    <w:rsid w:val="00B32BA7"/>
    <w:rsid w:val="00B32D99"/>
    <w:rsid w:val="00B32EF0"/>
    <w:rsid w:val="00B332A5"/>
    <w:rsid w:val="00B33A6D"/>
    <w:rsid w:val="00B33C14"/>
    <w:rsid w:val="00B33C54"/>
    <w:rsid w:val="00B33E7A"/>
    <w:rsid w:val="00B33EC8"/>
    <w:rsid w:val="00B3445B"/>
    <w:rsid w:val="00B34636"/>
    <w:rsid w:val="00B34C84"/>
    <w:rsid w:val="00B35734"/>
    <w:rsid w:val="00B35BEC"/>
    <w:rsid w:val="00B35E66"/>
    <w:rsid w:val="00B35F8B"/>
    <w:rsid w:val="00B37409"/>
    <w:rsid w:val="00B374BB"/>
    <w:rsid w:val="00B37982"/>
    <w:rsid w:val="00B37D23"/>
    <w:rsid w:val="00B40048"/>
    <w:rsid w:val="00B40450"/>
    <w:rsid w:val="00B40AB6"/>
    <w:rsid w:val="00B40AD9"/>
    <w:rsid w:val="00B40D53"/>
    <w:rsid w:val="00B414D5"/>
    <w:rsid w:val="00B41590"/>
    <w:rsid w:val="00B415C5"/>
    <w:rsid w:val="00B416F5"/>
    <w:rsid w:val="00B4174C"/>
    <w:rsid w:val="00B41964"/>
    <w:rsid w:val="00B41A2C"/>
    <w:rsid w:val="00B432A6"/>
    <w:rsid w:val="00B4337E"/>
    <w:rsid w:val="00B433EE"/>
    <w:rsid w:val="00B4363C"/>
    <w:rsid w:val="00B437B3"/>
    <w:rsid w:val="00B437BC"/>
    <w:rsid w:val="00B43808"/>
    <w:rsid w:val="00B439C6"/>
    <w:rsid w:val="00B43C31"/>
    <w:rsid w:val="00B442F5"/>
    <w:rsid w:val="00B4491A"/>
    <w:rsid w:val="00B449DA"/>
    <w:rsid w:val="00B4503F"/>
    <w:rsid w:val="00B45104"/>
    <w:rsid w:val="00B4510C"/>
    <w:rsid w:val="00B452DB"/>
    <w:rsid w:val="00B45AD7"/>
    <w:rsid w:val="00B45ADC"/>
    <w:rsid w:val="00B46700"/>
    <w:rsid w:val="00B469F1"/>
    <w:rsid w:val="00B46B39"/>
    <w:rsid w:val="00B47054"/>
    <w:rsid w:val="00B471AE"/>
    <w:rsid w:val="00B47375"/>
    <w:rsid w:val="00B4769A"/>
    <w:rsid w:val="00B4791E"/>
    <w:rsid w:val="00B47C06"/>
    <w:rsid w:val="00B500DF"/>
    <w:rsid w:val="00B503AA"/>
    <w:rsid w:val="00B511E7"/>
    <w:rsid w:val="00B51697"/>
    <w:rsid w:val="00B516BF"/>
    <w:rsid w:val="00B518B1"/>
    <w:rsid w:val="00B51BFA"/>
    <w:rsid w:val="00B523F7"/>
    <w:rsid w:val="00B525B0"/>
    <w:rsid w:val="00B528F0"/>
    <w:rsid w:val="00B52C42"/>
    <w:rsid w:val="00B52E58"/>
    <w:rsid w:val="00B52FE8"/>
    <w:rsid w:val="00B53388"/>
    <w:rsid w:val="00B535CC"/>
    <w:rsid w:val="00B53D5B"/>
    <w:rsid w:val="00B53E3A"/>
    <w:rsid w:val="00B54886"/>
    <w:rsid w:val="00B54E9C"/>
    <w:rsid w:val="00B5512E"/>
    <w:rsid w:val="00B554D2"/>
    <w:rsid w:val="00B55647"/>
    <w:rsid w:val="00B557CA"/>
    <w:rsid w:val="00B55854"/>
    <w:rsid w:val="00B55A46"/>
    <w:rsid w:val="00B55A60"/>
    <w:rsid w:val="00B55ACF"/>
    <w:rsid w:val="00B563F4"/>
    <w:rsid w:val="00B5685C"/>
    <w:rsid w:val="00B56A3C"/>
    <w:rsid w:val="00B56BA9"/>
    <w:rsid w:val="00B56E33"/>
    <w:rsid w:val="00B5706E"/>
    <w:rsid w:val="00B57506"/>
    <w:rsid w:val="00B577BD"/>
    <w:rsid w:val="00B57D02"/>
    <w:rsid w:val="00B60147"/>
    <w:rsid w:val="00B6025A"/>
    <w:rsid w:val="00B60545"/>
    <w:rsid w:val="00B609DD"/>
    <w:rsid w:val="00B60ABD"/>
    <w:rsid w:val="00B60CB2"/>
    <w:rsid w:val="00B60CB6"/>
    <w:rsid w:val="00B60D8B"/>
    <w:rsid w:val="00B6298C"/>
    <w:rsid w:val="00B62B5D"/>
    <w:rsid w:val="00B62E7D"/>
    <w:rsid w:val="00B62ED3"/>
    <w:rsid w:val="00B62F33"/>
    <w:rsid w:val="00B62F68"/>
    <w:rsid w:val="00B62FC1"/>
    <w:rsid w:val="00B63B5C"/>
    <w:rsid w:val="00B643A1"/>
    <w:rsid w:val="00B64460"/>
    <w:rsid w:val="00B64627"/>
    <w:rsid w:val="00B65A20"/>
    <w:rsid w:val="00B66472"/>
    <w:rsid w:val="00B66573"/>
    <w:rsid w:val="00B66908"/>
    <w:rsid w:val="00B66D67"/>
    <w:rsid w:val="00B66DA9"/>
    <w:rsid w:val="00B66F9F"/>
    <w:rsid w:val="00B67400"/>
    <w:rsid w:val="00B677F5"/>
    <w:rsid w:val="00B679AF"/>
    <w:rsid w:val="00B679EA"/>
    <w:rsid w:val="00B67A8B"/>
    <w:rsid w:val="00B71C99"/>
    <w:rsid w:val="00B7266A"/>
    <w:rsid w:val="00B72697"/>
    <w:rsid w:val="00B72E01"/>
    <w:rsid w:val="00B7312D"/>
    <w:rsid w:val="00B73233"/>
    <w:rsid w:val="00B73319"/>
    <w:rsid w:val="00B73883"/>
    <w:rsid w:val="00B73ADD"/>
    <w:rsid w:val="00B73B9C"/>
    <w:rsid w:val="00B73E44"/>
    <w:rsid w:val="00B74209"/>
    <w:rsid w:val="00B745DF"/>
    <w:rsid w:val="00B7472C"/>
    <w:rsid w:val="00B749FF"/>
    <w:rsid w:val="00B74C13"/>
    <w:rsid w:val="00B751E4"/>
    <w:rsid w:val="00B75517"/>
    <w:rsid w:val="00B755B4"/>
    <w:rsid w:val="00B75A8B"/>
    <w:rsid w:val="00B76318"/>
    <w:rsid w:val="00B76907"/>
    <w:rsid w:val="00B77350"/>
    <w:rsid w:val="00B77810"/>
    <w:rsid w:val="00B80001"/>
    <w:rsid w:val="00B805BA"/>
    <w:rsid w:val="00B80693"/>
    <w:rsid w:val="00B81260"/>
    <w:rsid w:val="00B82895"/>
    <w:rsid w:val="00B82ABF"/>
    <w:rsid w:val="00B82E62"/>
    <w:rsid w:val="00B835A7"/>
    <w:rsid w:val="00B83804"/>
    <w:rsid w:val="00B83C24"/>
    <w:rsid w:val="00B83C26"/>
    <w:rsid w:val="00B84712"/>
    <w:rsid w:val="00B84BA3"/>
    <w:rsid w:val="00B85288"/>
    <w:rsid w:val="00B8541A"/>
    <w:rsid w:val="00B8564D"/>
    <w:rsid w:val="00B856AB"/>
    <w:rsid w:val="00B860B8"/>
    <w:rsid w:val="00B86B9C"/>
    <w:rsid w:val="00B87679"/>
    <w:rsid w:val="00B878CB"/>
    <w:rsid w:val="00B878DA"/>
    <w:rsid w:val="00B87CC4"/>
    <w:rsid w:val="00B91425"/>
    <w:rsid w:val="00B91ABA"/>
    <w:rsid w:val="00B91AE9"/>
    <w:rsid w:val="00B91E70"/>
    <w:rsid w:val="00B91EFA"/>
    <w:rsid w:val="00B91F23"/>
    <w:rsid w:val="00B92643"/>
    <w:rsid w:val="00B927FD"/>
    <w:rsid w:val="00B92EF1"/>
    <w:rsid w:val="00B9369F"/>
    <w:rsid w:val="00B93839"/>
    <w:rsid w:val="00B93D42"/>
    <w:rsid w:val="00B940DD"/>
    <w:rsid w:val="00B94438"/>
    <w:rsid w:val="00B94DE0"/>
    <w:rsid w:val="00B9520B"/>
    <w:rsid w:val="00B9596D"/>
    <w:rsid w:val="00B95EC9"/>
    <w:rsid w:val="00B96717"/>
    <w:rsid w:val="00B96903"/>
    <w:rsid w:val="00B977BF"/>
    <w:rsid w:val="00B97A67"/>
    <w:rsid w:val="00BA02D2"/>
    <w:rsid w:val="00BA0422"/>
    <w:rsid w:val="00BA0EF4"/>
    <w:rsid w:val="00BA1879"/>
    <w:rsid w:val="00BA213C"/>
    <w:rsid w:val="00BA32B6"/>
    <w:rsid w:val="00BA344C"/>
    <w:rsid w:val="00BA3BB8"/>
    <w:rsid w:val="00BA3F15"/>
    <w:rsid w:val="00BA484B"/>
    <w:rsid w:val="00BA536C"/>
    <w:rsid w:val="00BA53F4"/>
    <w:rsid w:val="00BA5C83"/>
    <w:rsid w:val="00BA5CE5"/>
    <w:rsid w:val="00BA60FB"/>
    <w:rsid w:val="00BA67AB"/>
    <w:rsid w:val="00BA69F5"/>
    <w:rsid w:val="00BA6E6B"/>
    <w:rsid w:val="00BA724F"/>
    <w:rsid w:val="00BA73D5"/>
    <w:rsid w:val="00BA74ED"/>
    <w:rsid w:val="00BB03C1"/>
    <w:rsid w:val="00BB03C5"/>
    <w:rsid w:val="00BB05EC"/>
    <w:rsid w:val="00BB09A4"/>
    <w:rsid w:val="00BB0B31"/>
    <w:rsid w:val="00BB0C41"/>
    <w:rsid w:val="00BB0DF8"/>
    <w:rsid w:val="00BB1B21"/>
    <w:rsid w:val="00BB1C90"/>
    <w:rsid w:val="00BB1DEC"/>
    <w:rsid w:val="00BB2CCF"/>
    <w:rsid w:val="00BB2CE6"/>
    <w:rsid w:val="00BB333A"/>
    <w:rsid w:val="00BB36A6"/>
    <w:rsid w:val="00BB3879"/>
    <w:rsid w:val="00BB39BB"/>
    <w:rsid w:val="00BB48E6"/>
    <w:rsid w:val="00BB4AF2"/>
    <w:rsid w:val="00BB57FD"/>
    <w:rsid w:val="00BB5BD6"/>
    <w:rsid w:val="00BB5F75"/>
    <w:rsid w:val="00BB7E91"/>
    <w:rsid w:val="00BB7FCF"/>
    <w:rsid w:val="00BC0357"/>
    <w:rsid w:val="00BC0360"/>
    <w:rsid w:val="00BC094C"/>
    <w:rsid w:val="00BC0A68"/>
    <w:rsid w:val="00BC0CFD"/>
    <w:rsid w:val="00BC1968"/>
    <w:rsid w:val="00BC1B73"/>
    <w:rsid w:val="00BC30A9"/>
    <w:rsid w:val="00BC3AF1"/>
    <w:rsid w:val="00BC3D71"/>
    <w:rsid w:val="00BC3E05"/>
    <w:rsid w:val="00BC4169"/>
    <w:rsid w:val="00BC4899"/>
    <w:rsid w:val="00BC4F0A"/>
    <w:rsid w:val="00BC4F48"/>
    <w:rsid w:val="00BC5AFA"/>
    <w:rsid w:val="00BC5CA8"/>
    <w:rsid w:val="00BC628E"/>
    <w:rsid w:val="00BC6751"/>
    <w:rsid w:val="00BD1B65"/>
    <w:rsid w:val="00BD1BA5"/>
    <w:rsid w:val="00BD1BDC"/>
    <w:rsid w:val="00BD1DA4"/>
    <w:rsid w:val="00BD1EC4"/>
    <w:rsid w:val="00BD1ED8"/>
    <w:rsid w:val="00BD2134"/>
    <w:rsid w:val="00BD22C4"/>
    <w:rsid w:val="00BD2856"/>
    <w:rsid w:val="00BD299C"/>
    <w:rsid w:val="00BD30B0"/>
    <w:rsid w:val="00BD3274"/>
    <w:rsid w:val="00BD3B28"/>
    <w:rsid w:val="00BD3B89"/>
    <w:rsid w:val="00BD3BC5"/>
    <w:rsid w:val="00BD4C52"/>
    <w:rsid w:val="00BD4ECC"/>
    <w:rsid w:val="00BD58C5"/>
    <w:rsid w:val="00BD5903"/>
    <w:rsid w:val="00BD6081"/>
    <w:rsid w:val="00BD60CB"/>
    <w:rsid w:val="00BD6653"/>
    <w:rsid w:val="00BD673D"/>
    <w:rsid w:val="00BD6FA8"/>
    <w:rsid w:val="00BD7139"/>
    <w:rsid w:val="00BD76C4"/>
    <w:rsid w:val="00BE01D6"/>
    <w:rsid w:val="00BE022B"/>
    <w:rsid w:val="00BE06AC"/>
    <w:rsid w:val="00BE06C5"/>
    <w:rsid w:val="00BE0C2B"/>
    <w:rsid w:val="00BE13D7"/>
    <w:rsid w:val="00BE1831"/>
    <w:rsid w:val="00BE1B4B"/>
    <w:rsid w:val="00BE1EB6"/>
    <w:rsid w:val="00BE20F2"/>
    <w:rsid w:val="00BE2787"/>
    <w:rsid w:val="00BE284E"/>
    <w:rsid w:val="00BE2BCE"/>
    <w:rsid w:val="00BE2F29"/>
    <w:rsid w:val="00BE34A3"/>
    <w:rsid w:val="00BE37B3"/>
    <w:rsid w:val="00BE3A9E"/>
    <w:rsid w:val="00BE3AA7"/>
    <w:rsid w:val="00BE3BA4"/>
    <w:rsid w:val="00BE3E60"/>
    <w:rsid w:val="00BE3E6D"/>
    <w:rsid w:val="00BE3FE3"/>
    <w:rsid w:val="00BE40D9"/>
    <w:rsid w:val="00BE44BF"/>
    <w:rsid w:val="00BE4D1A"/>
    <w:rsid w:val="00BE4E33"/>
    <w:rsid w:val="00BE58D3"/>
    <w:rsid w:val="00BE5D7D"/>
    <w:rsid w:val="00BE65E7"/>
    <w:rsid w:val="00BE66FC"/>
    <w:rsid w:val="00BE7835"/>
    <w:rsid w:val="00BF0197"/>
    <w:rsid w:val="00BF021F"/>
    <w:rsid w:val="00BF0F05"/>
    <w:rsid w:val="00BF11A1"/>
    <w:rsid w:val="00BF1782"/>
    <w:rsid w:val="00BF1B18"/>
    <w:rsid w:val="00BF216F"/>
    <w:rsid w:val="00BF2466"/>
    <w:rsid w:val="00BF2595"/>
    <w:rsid w:val="00BF2DE3"/>
    <w:rsid w:val="00BF3354"/>
    <w:rsid w:val="00BF34AB"/>
    <w:rsid w:val="00BF3876"/>
    <w:rsid w:val="00BF3FCE"/>
    <w:rsid w:val="00BF45E3"/>
    <w:rsid w:val="00BF4B21"/>
    <w:rsid w:val="00BF4D8A"/>
    <w:rsid w:val="00BF4F9D"/>
    <w:rsid w:val="00BF5964"/>
    <w:rsid w:val="00BF5BDE"/>
    <w:rsid w:val="00BF612B"/>
    <w:rsid w:val="00BF617B"/>
    <w:rsid w:val="00BF61BB"/>
    <w:rsid w:val="00BF657B"/>
    <w:rsid w:val="00BF6580"/>
    <w:rsid w:val="00BF66D8"/>
    <w:rsid w:val="00BF7834"/>
    <w:rsid w:val="00C003FD"/>
    <w:rsid w:val="00C0049C"/>
    <w:rsid w:val="00C00B6C"/>
    <w:rsid w:val="00C00D9D"/>
    <w:rsid w:val="00C018E1"/>
    <w:rsid w:val="00C01A51"/>
    <w:rsid w:val="00C01A80"/>
    <w:rsid w:val="00C022E5"/>
    <w:rsid w:val="00C027D9"/>
    <w:rsid w:val="00C02E6E"/>
    <w:rsid w:val="00C032BC"/>
    <w:rsid w:val="00C0335A"/>
    <w:rsid w:val="00C037EF"/>
    <w:rsid w:val="00C038A8"/>
    <w:rsid w:val="00C0390B"/>
    <w:rsid w:val="00C03914"/>
    <w:rsid w:val="00C0397E"/>
    <w:rsid w:val="00C03CF1"/>
    <w:rsid w:val="00C04B3B"/>
    <w:rsid w:val="00C04C2E"/>
    <w:rsid w:val="00C04CF7"/>
    <w:rsid w:val="00C04E59"/>
    <w:rsid w:val="00C05125"/>
    <w:rsid w:val="00C0534A"/>
    <w:rsid w:val="00C0582D"/>
    <w:rsid w:val="00C065FA"/>
    <w:rsid w:val="00C06B10"/>
    <w:rsid w:val="00C06BCA"/>
    <w:rsid w:val="00C06D90"/>
    <w:rsid w:val="00C06FC3"/>
    <w:rsid w:val="00C07E52"/>
    <w:rsid w:val="00C10765"/>
    <w:rsid w:val="00C109CE"/>
    <w:rsid w:val="00C10E5B"/>
    <w:rsid w:val="00C116AE"/>
    <w:rsid w:val="00C11B18"/>
    <w:rsid w:val="00C11E27"/>
    <w:rsid w:val="00C1203D"/>
    <w:rsid w:val="00C12946"/>
    <w:rsid w:val="00C13099"/>
    <w:rsid w:val="00C137B1"/>
    <w:rsid w:val="00C139F0"/>
    <w:rsid w:val="00C13E0C"/>
    <w:rsid w:val="00C146F9"/>
    <w:rsid w:val="00C148D7"/>
    <w:rsid w:val="00C15020"/>
    <w:rsid w:val="00C1537A"/>
    <w:rsid w:val="00C156BB"/>
    <w:rsid w:val="00C15758"/>
    <w:rsid w:val="00C1592E"/>
    <w:rsid w:val="00C16114"/>
    <w:rsid w:val="00C1622E"/>
    <w:rsid w:val="00C163F1"/>
    <w:rsid w:val="00C16687"/>
    <w:rsid w:val="00C167FF"/>
    <w:rsid w:val="00C169EA"/>
    <w:rsid w:val="00C16F68"/>
    <w:rsid w:val="00C170CA"/>
    <w:rsid w:val="00C17312"/>
    <w:rsid w:val="00C17B68"/>
    <w:rsid w:val="00C17E7A"/>
    <w:rsid w:val="00C2024A"/>
    <w:rsid w:val="00C2030E"/>
    <w:rsid w:val="00C20FF0"/>
    <w:rsid w:val="00C21128"/>
    <w:rsid w:val="00C22697"/>
    <w:rsid w:val="00C22744"/>
    <w:rsid w:val="00C22837"/>
    <w:rsid w:val="00C22BC5"/>
    <w:rsid w:val="00C22E91"/>
    <w:rsid w:val="00C23490"/>
    <w:rsid w:val="00C23A0F"/>
    <w:rsid w:val="00C24731"/>
    <w:rsid w:val="00C24847"/>
    <w:rsid w:val="00C248BF"/>
    <w:rsid w:val="00C24D78"/>
    <w:rsid w:val="00C250BF"/>
    <w:rsid w:val="00C25402"/>
    <w:rsid w:val="00C25628"/>
    <w:rsid w:val="00C256B0"/>
    <w:rsid w:val="00C25A1C"/>
    <w:rsid w:val="00C260E8"/>
    <w:rsid w:val="00C26267"/>
    <w:rsid w:val="00C2668D"/>
    <w:rsid w:val="00C26692"/>
    <w:rsid w:val="00C26860"/>
    <w:rsid w:val="00C26B42"/>
    <w:rsid w:val="00C26B96"/>
    <w:rsid w:val="00C27593"/>
    <w:rsid w:val="00C279BF"/>
    <w:rsid w:val="00C27E81"/>
    <w:rsid w:val="00C30462"/>
    <w:rsid w:val="00C3078C"/>
    <w:rsid w:val="00C308E4"/>
    <w:rsid w:val="00C30DE4"/>
    <w:rsid w:val="00C30FD4"/>
    <w:rsid w:val="00C31242"/>
    <w:rsid w:val="00C312AB"/>
    <w:rsid w:val="00C31B5C"/>
    <w:rsid w:val="00C31FEB"/>
    <w:rsid w:val="00C3275E"/>
    <w:rsid w:val="00C32EBE"/>
    <w:rsid w:val="00C32F96"/>
    <w:rsid w:val="00C3309A"/>
    <w:rsid w:val="00C33215"/>
    <w:rsid w:val="00C33224"/>
    <w:rsid w:val="00C335A7"/>
    <w:rsid w:val="00C33C18"/>
    <w:rsid w:val="00C34040"/>
    <w:rsid w:val="00C34306"/>
    <w:rsid w:val="00C34638"/>
    <w:rsid w:val="00C3480E"/>
    <w:rsid w:val="00C349FD"/>
    <w:rsid w:val="00C3560E"/>
    <w:rsid w:val="00C35D72"/>
    <w:rsid w:val="00C35E1C"/>
    <w:rsid w:val="00C3643D"/>
    <w:rsid w:val="00C36448"/>
    <w:rsid w:val="00C367E0"/>
    <w:rsid w:val="00C368CB"/>
    <w:rsid w:val="00C36AAD"/>
    <w:rsid w:val="00C377D8"/>
    <w:rsid w:val="00C37BFA"/>
    <w:rsid w:val="00C40759"/>
    <w:rsid w:val="00C410B5"/>
    <w:rsid w:val="00C41124"/>
    <w:rsid w:val="00C41168"/>
    <w:rsid w:val="00C411C1"/>
    <w:rsid w:val="00C4152B"/>
    <w:rsid w:val="00C4155C"/>
    <w:rsid w:val="00C41AAA"/>
    <w:rsid w:val="00C423DB"/>
    <w:rsid w:val="00C426EF"/>
    <w:rsid w:val="00C42E15"/>
    <w:rsid w:val="00C42EA5"/>
    <w:rsid w:val="00C43A08"/>
    <w:rsid w:val="00C43B74"/>
    <w:rsid w:val="00C441C2"/>
    <w:rsid w:val="00C44211"/>
    <w:rsid w:val="00C45352"/>
    <w:rsid w:val="00C456CB"/>
    <w:rsid w:val="00C456FB"/>
    <w:rsid w:val="00C45E19"/>
    <w:rsid w:val="00C46A61"/>
    <w:rsid w:val="00C46BBD"/>
    <w:rsid w:val="00C4734B"/>
    <w:rsid w:val="00C4761A"/>
    <w:rsid w:val="00C5039E"/>
    <w:rsid w:val="00C50512"/>
    <w:rsid w:val="00C509C6"/>
    <w:rsid w:val="00C50F19"/>
    <w:rsid w:val="00C511CE"/>
    <w:rsid w:val="00C51333"/>
    <w:rsid w:val="00C52C23"/>
    <w:rsid w:val="00C52E50"/>
    <w:rsid w:val="00C52ED7"/>
    <w:rsid w:val="00C5304B"/>
    <w:rsid w:val="00C531B7"/>
    <w:rsid w:val="00C531B8"/>
    <w:rsid w:val="00C534FE"/>
    <w:rsid w:val="00C53763"/>
    <w:rsid w:val="00C53AE8"/>
    <w:rsid w:val="00C544A2"/>
    <w:rsid w:val="00C545FD"/>
    <w:rsid w:val="00C547B4"/>
    <w:rsid w:val="00C55064"/>
    <w:rsid w:val="00C552F3"/>
    <w:rsid w:val="00C556C1"/>
    <w:rsid w:val="00C556C5"/>
    <w:rsid w:val="00C5571E"/>
    <w:rsid w:val="00C557BB"/>
    <w:rsid w:val="00C5596E"/>
    <w:rsid w:val="00C55D51"/>
    <w:rsid w:val="00C56263"/>
    <w:rsid w:val="00C563FB"/>
    <w:rsid w:val="00C56E7A"/>
    <w:rsid w:val="00C56F77"/>
    <w:rsid w:val="00C57269"/>
    <w:rsid w:val="00C572A4"/>
    <w:rsid w:val="00C57759"/>
    <w:rsid w:val="00C57802"/>
    <w:rsid w:val="00C57A77"/>
    <w:rsid w:val="00C57E56"/>
    <w:rsid w:val="00C6052B"/>
    <w:rsid w:val="00C607F9"/>
    <w:rsid w:val="00C60A2F"/>
    <w:rsid w:val="00C60C52"/>
    <w:rsid w:val="00C6128F"/>
    <w:rsid w:val="00C61778"/>
    <w:rsid w:val="00C61790"/>
    <w:rsid w:val="00C618AA"/>
    <w:rsid w:val="00C6190D"/>
    <w:rsid w:val="00C61A0D"/>
    <w:rsid w:val="00C61A77"/>
    <w:rsid w:val="00C62163"/>
    <w:rsid w:val="00C62425"/>
    <w:rsid w:val="00C62604"/>
    <w:rsid w:val="00C62A25"/>
    <w:rsid w:val="00C63CB2"/>
    <w:rsid w:val="00C63CD9"/>
    <w:rsid w:val="00C640CE"/>
    <w:rsid w:val="00C641A9"/>
    <w:rsid w:val="00C646DB"/>
    <w:rsid w:val="00C646E4"/>
    <w:rsid w:val="00C64F57"/>
    <w:rsid w:val="00C65412"/>
    <w:rsid w:val="00C65C9B"/>
    <w:rsid w:val="00C662D4"/>
    <w:rsid w:val="00C663DD"/>
    <w:rsid w:val="00C66507"/>
    <w:rsid w:val="00C66C68"/>
    <w:rsid w:val="00C67336"/>
    <w:rsid w:val="00C67494"/>
    <w:rsid w:val="00C679E5"/>
    <w:rsid w:val="00C67D12"/>
    <w:rsid w:val="00C702AD"/>
    <w:rsid w:val="00C70463"/>
    <w:rsid w:val="00C70CF1"/>
    <w:rsid w:val="00C7135B"/>
    <w:rsid w:val="00C71F70"/>
    <w:rsid w:val="00C72AD1"/>
    <w:rsid w:val="00C733AD"/>
    <w:rsid w:val="00C73772"/>
    <w:rsid w:val="00C73895"/>
    <w:rsid w:val="00C74044"/>
    <w:rsid w:val="00C74708"/>
    <w:rsid w:val="00C74A04"/>
    <w:rsid w:val="00C74C6C"/>
    <w:rsid w:val="00C75E9A"/>
    <w:rsid w:val="00C76523"/>
    <w:rsid w:val="00C76B3D"/>
    <w:rsid w:val="00C7735E"/>
    <w:rsid w:val="00C7774C"/>
    <w:rsid w:val="00C77757"/>
    <w:rsid w:val="00C778F8"/>
    <w:rsid w:val="00C77D59"/>
    <w:rsid w:val="00C77E1F"/>
    <w:rsid w:val="00C800A0"/>
    <w:rsid w:val="00C80987"/>
    <w:rsid w:val="00C80A1F"/>
    <w:rsid w:val="00C80BAF"/>
    <w:rsid w:val="00C80DA3"/>
    <w:rsid w:val="00C8122D"/>
    <w:rsid w:val="00C81423"/>
    <w:rsid w:val="00C815E6"/>
    <w:rsid w:val="00C8190C"/>
    <w:rsid w:val="00C819B4"/>
    <w:rsid w:val="00C828BB"/>
    <w:rsid w:val="00C82F25"/>
    <w:rsid w:val="00C83133"/>
    <w:rsid w:val="00C83D76"/>
    <w:rsid w:val="00C84A39"/>
    <w:rsid w:val="00C850C6"/>
    <w:rsid w:val="00C8548F"/>
    <w:rsid w:val="00C857E9"/>
    <w:rsid w:val="00C86C07"/>
    <w:rsid w:val="00C87662"/>
    <w:rsid w:val="00C90045"/>
    <w:rsid w:val="00C90305"/>
    <w:rsid w:val="00C9047A"/>
    <w:rsid w:val="00C9061A"/>
    <w:rsid w:val="00C90873"/>
    <w:rsid w:val="00C90CEA"/>
    <w:rsid w:val="00C90DDA"/>
    <w:rsid w:val="00C90FE8"/>
    <w:rsid w:val="00C9133A"/>
    <w:rsid w:val="00C914A0"/>
    <w:rsid w:val="00C91557"/>
    <w:rsid w:val="00C91604"/>
    <w:rsid w:val="00C91B70"/>
    <w:rsid w:val="00C92920"/>
    <w:rsid w:val="00C92B95"/>
    <w:rsid w:val="00C933E6"/>
    <w:rsid w:val="00C93EA4"/>
    <w:rsid w:val="00C93FFD"/>
    <w:rsid w:val="00C9425F"/>
    <w:rsid w:val="00C9437E"/>
    <w:rsid w:val="00C944DC"/>
    <w:rsid w:val="00C94553"/>
    <w:rsid w:val="00C94E18"/>
    <w:rsid w:val="00C94EF3"/>
    <w:rsid w:val="00C952F4"/>
    <w:rsid w:val="00C9543B"/>
    <w:rsid w:val="00C95766"/>
    <w:rsid w:val="00C957F1"/>
    <w:rsid w:val="00C95E46"/>
    <w:rsid w:val="00C969AE"/>
    <w:rsid w:val="00C96C15"/>
    <w:rsid w:val="00C96C6E"/>
    <w:rsid w:val="00C96F22"/>
    <w:rsid w:val="00C970B1"/>
    <w:rsid w:val="00C974E7"/>
    <w:rsid w:val="00C9755D"/>
    <w:rsid w:val="00C97AF3"/>
    <w:rsid w:val="00CA00F7"/>
    <w:rsid w:val="00CA065D"/>
    <w:rsid w:val="00CA11D9"/>
    <w:rsid w:val="00CA1A20"/>
    <w:rsid w:val="00CA210A"/>
    <w:rsid w:val="00CA2802"/>
    <w:rsid w:val="00CA2D38"/>
    <w:rsid w:val="00CA2EE1"/>
    <w:rsid w:val="00CA316C"/>
    <w:rsid w:val="00CA31EB"/>
    <w:rsid w:val="00CA34FA"/>
    <w:rsid w:val="00CA3544"/>
    <w:rsid w:val="00CA37EC"/>
    <w:rsid w:val="00CA384E"/>
    <w:rsid w:val="00CA38D0"/>
    <w:rsid w:val="00CA3F29"/>
    <w:rsid w:val="00CA4883"/>
    <w:rsid w:val="00CA4975"/>
    <w:rsid w:val="00CA4A34"/>
    <w:rsid w:val="00CA5068"/>
    <w:rsid w:val="00CA5CAA"/>
    <w:rsid w:val="00CA64CF"/>
    <w:rsid w:val="00CA65CB"/>
    <w:rsid w:val="00CA66E3"/>
    <w:rsid w:val="00CA6A14"/>
    <w:rsid w:val="00CA769F"/>
    <w:rsid w:val="00CA77F5"/>
    <w:rsid w:val="00CB0280"/>
    <w:rsid w:val="00CB081F"/>
    <w:rsid w:val="00CB0E57"/>
    <w:rsid w:val="00CB1058"/>
    <w:rsid w:val="00CB13EA"/>
    <w:rsid w:val="00CB1F27"/>
    <w:rsid w:val="00CB24FD"/>
    <w:rsid w:val="00CB2ACA"/>
    <w:rsid w:val="00CB2FDB"/>
    <w:rsid w:val="00CB3095"/>
    <w:rsid w:val="00CB335E"/>
    <w:rsid w:val="00CB36CC"/>
    <w:rsid w:val="00CB38F6"/>
    <w:rsid w:val="00CB3965"/>
    <w:rsid w:val="00CB414C"/>
    <w:rsid w:val="00CB48F4"/>
    <w:rsid w:val="00CB4DDD"/>
    <w:rsid w:val="00CB56A7"/>
    <w:rsid w:val="00CB59A4"/>
    <w:rsid w:val="00CB5D5B"/>
    <w:rsid w:val="00CB5E4F"/>
    <w:rsid w:val="00CB5F5F"/>
    <w:rsid w:val="00CB6A42"/>
    <w:rsid w:val="00CB6F5D"/>
    <w:rsid w:val="00CB710B"/>
    <w:rsid w:val="00CB7187"/>
    <w:rsid w:val="00CB71E8"/>
    <w:rsid w:val="00CB72BB"/>
    <w:rsid w:val="00CB7465"/>
    <w:rsid w:val="00CB7615"/>
    <w:rsid w:val="00CB7D89"/>
    <w:rsid w:val="00CC09B2"/>
    <w:rsid w:val="00CC0B56"/>
    <w:rsid w:val="00CC17AC"/>
    <w:rsid w:val="00CC1910"/>
    <w:rsid w:val="00CC2358"/>
    <w:rsid w:val="00CC236C"/>
    <w:rsid w:val="00CC29E7"/>
    <w:rsid w:val="00CC2C3E"/>
    <w:rsid w:val="00CC3891"/>
    <w:rsid w:val="00CC38A5"/>
    <w:rsid w:val="00CC3AD9"/>
    <w:rsid w:val="00CC3F9D"/>
    <w:rsid w:val="00CC428F"/>
    <w:rsid w:val="00CC4907"/>
    <w:rsid w:val="00CC63F6"/>
    <w:rsid w:val="00CC6622"/>
    <w:rsid w:val="00CC6931"/>
    <w:rsid w:val="00CC69AE"/>
    <w:rsid w:val="00CC6C5D"/>
    <w:rsid w:val="00CC7607"/>
    <w:rsid w:val="00CC770A"/>
    <w:rsid w:val="00CC7723"/>
    <w:rsid w:val="00CC78AD"/>
    <w:rsid w:val="00CC7925"/>
    <w:rsid w:val="00CC7A58"/>
    <w:rsid w:val="00CC7B61"/>
    <w:rsid w:val="00CC7B6E"/>
    <w:rsid w:val="00CC7CB7"/>
    <w:rsid w:val="00CC7F1C"/>
    <w:rsid w:val="00CD0C14"/>
    <w:rsid w:val="00CD0D2A"/>
    <w:rsid w:val="00CD0EE6"/>
    <w:rsid w:val="00CD1199"/>
    <w:rsid w:val="00CD145E"/>
    <w:rsid w:val="00CD1D79"/>
    <w:rsid w:val="00CD21CE"/>
    <w:rsid w:val="00CD2610"/>
    <w:rsid w:val="00CD2720"/>
    <w:rsid w:val="00CD27ED"/>
    <w:rsid w:val="00CD2ACF"/>
    <w:rsid w:val="00CD2B3C"/>
    <w:rsid w:val="00CD2FC5"/>
    <w:rsid w:val="00CD3067"/>
    <w:rsid w:val="00CD3081"/>
    <w:rsid w:val="00CD30C1"/>
    <w:rsid w:val="00CD31D6"/>
    <w:rsid w:val="00CD32D1"/>
    <w:rsid w:val="00CD346A"/>
    <w:rsid w:val="00CD3A99"/>
    <w:rsid w:val="00CD441E"/>
    <w:rsid w:val="00CD4788"/>
    <w:rsid w:val="00CD4E95"/>
    <w:rsid w:val="00CD4F24"/>
    <w:rsid w:val="00CD5045"/>
    <w:rsid w:val="00CD518B"/>
    <w:rsid w:val="00CD531B"/>
    <w:rsid w:val="00CD554F"/>
    <w:rsid w:val="00CD58C8"/>
    <w:rsid w:val="00CD5CD3"/>
    <w:rsid w:val="00CD6436"/>
    <w:rsid w:val="00CD6827"/>
    <w:rsid w:val="00CD70DB"/>
    <w:rsid w:val="00CD75DC"/>
    <w:rsid w:val="00CD798C"/>
    <w:rsid w:val="00CD7EC4"/>
    <w:rsid w:val="00CD7F4E"/>
    <w:rsid w:val="00CE0020"/>
    <w:rsid w:val="00CE037E"/>
    <w:rsid w:val="00CE0681"/>
    <w:rsid w:val="00CE0B0F"/>
    <w:rsid w:val="00CE0BEB"/>
    <w:rsid w:val="00CE0CEF"/>
    <w:rsid w:val="00CE126B"/>
    <w:rsid w:val="00CE1271"/>
    <w:rsid w:val="00CE12F1"/>
    <w:rsid w:val="00CE17F8"/>
    <w:rsid w:val="00CE1CF0"/>
    <w:rsid w:val="00CE2BAE"/>
    <w:rsid w:val="00CE312F"/>
    <w:rsid w:val="00CE352C"/>
    <w:rsid w:val="00CE3760"/>
    <w:rsid w:val="00CE3BE0"/>
    <w:rsid w:val="00CE4456"/>
    <w:rsid w:val="00CE45BB"/>
    <w:rsid w:val="00CE48DE"/>
    <w:rsid w:val="00CE5006"/>
    <w:rsid w:val="00CE53A7"/>
    <w:rsid w:val="00CE5BD3"/>
    <w:rsid w:val="00CE6094"/>
    <w:rsid w:val="00CE60CE"/>
    <w:rsid w:val="00CE676B"/>
    <w:rsid w:val="00CE6B17"/>
    <w:rsid w:val="00CE7184"/>
    <w:rsid w:val="00CE7822"/>
    <w:rsid w:val="00CE7A45"/>
    <w:rsid w:val="00CE7C19"/>
    <w:rsid w:val="00CE7EB0"/>
    <w:rsid w:val="00CE7F4B"/>
    <w:rsid w:val="00CF0127"/>
    <w:rsid w:val="00CF02C7"/>
    <w:rsid w:val="00CF08AA"/>
    <w:rsid w:val="00CF0972"/>
    <w:rsid w:val="00CF0AB8"/>
    <w:rsid w:val="00CF1143"/>
    <w:rsid w:val="00CF117E"/>
    <w:rsid w:val="00CF1326"/>
    <w:rsid w:val="00CF1388"/>
    <w:rsid w:val="00CF1919"/>
    <w:rsid w:val="00CF193D"/>
    <w:rsid w:val="00CF1DD3"/>
    <w:rsid w:val="00CF1E31"/>
    <w:rsid w:val="00CF22E9"/>
    <w:rsid w:val="00CF2810"/>
    <w:rsid w:val="00CF330E"/>
    <w:rsid w:val="00CF34A5"/>
    <w:rsid w:val="00CF462D"/>
    <w:rsid w:val="00CF47DA"/>
    <w:rsid w:val="00CF4956"/>
    <w:rsid w:val="00CF4A03"/>
    <w:rsid w:val="00CF5145"/>
    <w:rsid w:val="00CF540C"/>
    <w:rsid w:val="00CF587B"/>
    <w:rsid w:val="00CF5934"/>
    <w:rsid w:val="00CF6024"/>
    <w:rsid w:val="00CF6249"/>
    <w:rsid w:val="00CF66D0"/>
    <w:rsid w:val="00CF687B"/>
    <w:rsid w:val="00CF689F"/>
    <w:rsid w:val="00CF6940"/>
    <w:rsid w:val="00CF6AC3"/>
    <w:rsid w:val="00CF6C67"/>
    <w:rsid w:val="00CF6CB0"/>
    <w:rsid w:val="00CF6F20"/>
    <w:rsid w:val="00CF7105"/>
    <w:rsid w:val="00CF76E4"/>
    <w:rsid w:val="00CF77D0"/>
    <w:rsid w:val="00CF789D"/>
    <w:rsid w:val="00CF7B89"/>
    <w:rsid w:val="00D00732"/>
    <w:rsid w:val="00D007D9"/>
    <w:rsid w:val="00D00AC7"/>
    <w:rsid w:val="00D00B88"/>
    <w:rsid w:val="00D00DFC"/>
    <w:rsid w:val="00D00F48"/>
    <w:rsid w:val="00D01018"/>
    <w:rsid w:val="00D01076"/>
    <w:rsid w:val="00D0156C"/>
    <w:rsid w:val="00D019E4"/>
    <w:rsid w:val="00D01AEF"/>
    <w:rsid w:val="00D029EE"/>
    <w:rsid w:val="00D02A66"/>
    <w:rsid w:val="00D02CA1"/>
    <w:rsid w:val="00D02E6F"/>
    <w:rsid w:val="00D02EA9"/>
    <w:rsid w:val="00D03230"/>
    <w:rsid w:val="00D03B92"/>
    <w:rsid w:val="00D0451C"/>
    <w:rsid w:val="00D04BD4"/>
    <w:rsid w:val="00D05065"/>
    <w:rsid w:val="00D05559"/>
    <w:rsid w:val="00D05615"/>
    <w:rsid w:val="00D05670"/>
    <w:rsid w:val="00D05A06"/>
    <w:rsid w:val="00D05AE2"/>
    <w:rsid w:val="00D06D37"/>
    <w:rsid w:val="00D07117"/>
    <w:rsid w:val="00D07AC2"/>
    <w:rsid w:val="00D07D79"/>
    <w:rsid w:val="00D10A5E"/>
    <w:rsid w:val="00D10C71"/>
    <w:rsid w:val="00D10FE2"/>
    <w:rsid w:val="00D110D7"/>
    <w:rsid w:val="00D11869"/>
    <w:rsid w:val="00D11B46"/>
    <w:rsid w:val="00D11ED9"/>
    <w:rsid w:val="00D1247C"/>
    <w:rsid w:val="00D129A2"/>
    <w:rsid w:val="00D13D0B"/>
    <w:rsid w:val="00D14572"/>
    <w:rsid w:val="00D145D7"/>
    <w:rsid w:val="00D148B9"/>
    <w:rsid w:val="00D14B76"/>
    <w:rsid w:val="00D15254"/>
    <w:rsid w:val="00D15410"/>
    <w:rsid w:val="00D15459"/>
    <w:rsid w:val="00D15710"/>
    <w:rsid w:val="00D15E66"/>
    <w:rsid w:val="00D16098"/>
    <w:rsid w:val="00D16D10"/>
    <w:rsid w:val="00D17004"/>
    <w:rsid w:val="00D1710D"/>
    <w:rsid w:val="00D173DB"/>
    <w:rsid w:val="00D175C9"/>
    <w:rsid w:val="00D17A8B"/>
    <w:rsid w:val="00D17CBF"/>
    <w:rsid w:val="00D17D09"/>
    <w:rsid w:val="00D2075E"/>
    <w:rsid w:val="00D20C14"/>
    <w:rsid w:val="00D20E45"/>
    <w:rsid w:val="00D2135F"/>
    <w:rsid w:val="00D218DB"/>
    <w:rsid w:val="00D21E18"/>
    <w:rsid w:val="00D2208B"/>
    <w:rsid w:val="00D22093"/>
    <w:rsid w:val="00D224B4"/>
    <w:rsid w:val="00D22954"/>
    <w:rsid w:val="00D22DCD"/>
    <w:rsid w:val="00D23360"/>
    <w:rsid w:val="00D2369E"/>
    <w:rsid w:val="00D2398D"/>
    <w:rsid w:val="00D23CC3"/>
    <w:rsid w:val="00D245B3"/>
    <w:rsid w:val="00D248FD"/>
    <w:rsid w:val="00D25513"/>
    <w:rsid w:val="00D25517"/>
    <w:rsid w:val="00D2587C"/>
    <w:rsid w:val="00D262C0"/>
    <w:rsid w:val="00D26552"/>
    <w:rsid w:val="00D26672"/>
    <w:rsid w:val="00D2668A"/>
    <w:rsid w:val="00D266E7"/>
    <w:rsid w:val="00D276BD"/>
    <w:rsid w:val="00D303A4"/>
    <w:rsid w:val="00D30BC5"/>
    <w:rsid w:val="00D30FB4"/>
    <w:rsid w:val="00D31435"/>
    <w:rsid w:val="00D31952"/>
    <w:rsid w:val="00D31CDE"/>
    <w:rsid w:val="00D31FDB"/>
    <w:rsid w:val="00D322AB"/>
    <w:rsid w:val="00D32FE4"/>
    <w:rsid w:val="00D3391A"/>
    <w:rsid w:val="00D347AC"/>
    <w:rsid w:val="00D34A2B"/>
    <w:rsid w:val="00D3509B"/>
    <w:rsid w:val="00D353B5"/>
    <w:rsid w:val="00D35DBF"/>
    <w:rsid w:val="00D35EA8"/>
    <w:rsid w:val="00D35EB9"/>
    <w:rsid w:val="00D3632B"/>
    <w:rsid w:val="00D36567"/>
    <w:rsid w:val="00D3669E"/>
    <w:rsid w:val="00D366C1"/>
    <w:rsid w:val="00D36804"/>
    <w:rsid w:val="00D36A76"/>
    <w:rsid w:val="00D36B22"/>
    <w:rsid w:val="00D36DD7"/>
    <w:rsid w:val="00D36F1F"/>
    <w:rsid w:val="00D37093"/>
    <w:rsid w:val="00D37739"/>
    <w:rsid w:val="00D3795D"/>
    <w:rsid w:val="00D37A05"/>
    <w:rsid w:val="00D37D9E"/>
    <w:rsid w:val="00D40A49"/>
    <w:rsid w:val="00D41670"/>
    <w:rsid w:val="00D421BC"/>
    <w:rsid w:val="00D424B6"/>
    <w:rsid w:val="00D428D2"/>
    <w:rsid w:val="00D43427"/>
    <w:rsid w:val="00D43439"/>
    <w:rsid w:val="00D4379D"/>
    <w:rsid w:val="00D438E0"/>
    <w:rsid w:val="00D43B03"/>
    <w:rsid w:val="00D43F93"/>
    <w:rsid w:val="00D44278"/>
    <w:rsid w:val="00D44861"/>
    <w:rsid w:val="00D44A91"/>
    <w:rsid w:val="00D44DBE"/>
    <w:rsid w:val="00D450CC"/>
    <w:rsid w:val="00D457C6"/>
    <w:rsid w:val="00D45BE0"/>
    <w:rsid w:val="00D45E11"/>
    <w:rsid w:val="00D46971"/>
    <w:rsid w:val="00D46A0F"/>
    <w:rsid w:val="00D46A71"/>
    <w:rsid w:val="00D46A84"/>
    <w:rsid w:val="00D47734"/>
    <w:rsid w:val="00D47742"/>
    <w:rsid w:val="00D47FBE"/>
    <w:rsid w:val="00D5002C"/>
    <w:rsid w:val="00D50D2E"/>
    <w:rsid w:val="00D50E82"/>
    <w:rsid w:val="00D5128F"/>
    <w:rsid w:val="00D512D9"/>
    <w:rsid w:val="00D5159E"/>
    <w:rsid w:val="00D51958"/>
    <w:rsid w:val="00D519A6"/>
    <w:rsid w:val="00D51E1C"/>
    <w:rsid w:val="00D52A92"/>
    <w:rsid w:val="00D52CDF"/>
    <w:rsid w:val="00D52D92"/>
    <w:rsid w:val="00D53433"/>
    <w:rsid w:val="00D535D4"/>
    <w:rsid w:val="00D53773"/>
    <w:rsid w:val="00D5381E"/>
    <w:rsid w:val="00D53B82"/>
    <w:rsid w:val="00D53C37"/>
    <w:rsid w:val="00D54147"/>
    <w:rsid w:val="00D5430E"/>
    <w:rsid w:val="00D549FF"/>
    <w:rsid w:val="00D54B33"/>
    <w:rsid w:val="00D54F22"/>
    <w:rsid w:val="00D553D8"/>
    <w:rsid w:val="00D5546C"/>
    <w:rsid w:val="00D55523"/>
    <w:rsid w:val="00D5554A"/>
    <w:rsid w:val="00D5570B"/>
    <w:rsid w:val="00D5600E"/>
    <w:rsid w:val="00D56196"/>
    <w:rsid w:val="00D562DD"/>
    <w:rsid w:val="00D568E3"/>
    <w:rsid w:val="00D56DE0"/>
    <w:rsid w:val="00D572F0"/>
    <w:rsid w:val="00D578C3"/>
    <w:rsid w:val="00D57963"/>
    <w:rsid w:val="00D57C62"/>
    <w:rsid w:val="00D57FCD"/>
    <w:rsid w:val="00D600BD"/>
    <w:rsid w:val="00D60206"/>
    <w:rsid w:val="00D602E7"/>
    <w:rsid w:val="00D60719"/>
    <w:rsid w:val="00D60891"/>
    <w:rsid w:val="00D609FB"/>
    <w:rsid w:val="00D60F71"/>
    <w:rsid w:val="00D61064"/>
    <w:rsid w:val="00D61863"/>
    <w:rsid w:val="00D61B73"/>
    <w:rsid w:val="00D61E84"/>
    <w:rsid w:val="00D622C0"/>
    <w:rsid w:val="00D62C59"/>
    <w:rsid w:val="00D62C6E"/>
    <w:rsid w:val="00D63131"/>
    <w:rsid w:val="00D63273"/>
    <w:rsid w:val="00D637FE"/>
    <w:rsid w:val="00D63EC4"/>
    <w:rsid w:val="00D64139"/>
    <w:rsid w:val="00D6438E"/>
    <w:rsid w:val="00D65692"/>
    <w:rsid w:val="00D65713"/>
    <w:rsid w:val="00D65B73"/>
    <w:rsid w:val="00D65B96"/>
    <w:rsid w:val="00D65C3C"/>
    <w:rsid w:val="00D65C5E"/>
    <w:rsid w:val="00D65DEF"/>
    <w:rsid w:val="00D65EBF"/>
    <w:rsid w:val="00D6659D"/>
    <w:rsid w:val="00D667DC"/>
    <w:rsid w:val="00D670D2"/>
    <w:rsid w:val="00D67391"/>
    <w:rsid w:val="00D67720"/>
    <w:rsid w:val="00D67A5A"/>
    <w:rsid w:val="00D67BDA"/>
    <w:rsid w:val="00D67C3F"/>
    <w:rsid w:val="00D70137"/>
    <w:rsid w:val="00D7034F"/>
    <w:rsid w:val="00D706F2"/>
    <w:rsid w:val="00D70A16"/>
    <w:rsid w:val="00D70A7D"/>
    <w:rsid w:val="00D70BF7"/>
    <w:rsid w:val="00D70C39"/>
    <w:rsid w:val="00D70EAD"/>
    <w:rsid w:val="00D7191F"/>
    <w:rsid w:val="00D71F44"/>
    <w:rsid w:val="00D72134"/>
    <w:rsid w:val="00D721AC"/>
    <w:rsid w:val="00D7231C"/>
    <w:rsid w:val="00D723A4"/>
    <w:rsid w:val="00D7340B"/>
    <w:rsid w:val="00D735F7"/>
    <w:rsid w:val="00D7374E"/>
    <w:rsid w:val="00D73824"/>
    <w:rsid w:val="00D73B57"/>
    <w:rsid w:val="00D73CD1"/>
    <w:rsid w:val="00D744E6"/>
    <w:rsid w:val="00D74AB4"/>
    <w:rsid w:val="00D75164"/>
    <w:rsid w:val="00D75317"/>
    <w:rsid w:val="00D762F2"/>
    <w:rsid w:val="00D764C5"/>
    <w:rsid w:val="00D76548"/>
    <w:rsid w:val="00D76563"/>
    <w:rsid w:val="00D76762"/>
    <w:rsid w:val="00D76C01"/>
    <w:rsid w:val="00D77078"/>
    <w:rsid w:val="00D77173"/>
    <w:rsid w:val="00D77679"/>
    <w:rsid w:val="00D7785B"/>
    <w:rsid w:val="00D80923"/>
    <w:rsid w:val="00D80B96"/>
    <w:rsid w:val="00D80C8B"/>
    <w:rsid w:val="00D81118"/>
    <w:rsid w:val="00D81158"/>
    <w:rsid w:val="00D81274"/>
    <w:rsid w:val="00D815D7"/>
    <w:rsid w:val="00D818B5"/>
    <w:rsid w:val="00D818EA"/>
    <w:rsid w:val="00D81EEA"/>
    <w:rsid w:val="00D82089"/>
    <w:rsid w:val="00D82126"/>
    <w:rsid w:val="00D831E1"/>
    <w:rsid w:val="00D831F2"/>
    <w:rsid w:val="00D8349E"/>
    <w:rsid w:val="00D838CC"/>
    <w:rsid w:val="00D83A20"/>
    <w:rsid w:val="00D83AF4"/>
    <w:rsid w:val="00D84176"/>
    <w:rsid w:val="00D8465A"/>
    <w:rsid w:val="00D84831"/>
    <w:rsid w:val="00D8499E"/>
    <w:rsid w:val="00D84A94"/>
    <w:rsid w:val="00D84C2C"/>
    <w:rsid w:val="00D85536"/>
    <w:rsid w:val="00D85FDE"/>
    <w:rsid w:val="00D86A00"/>
    <w:rsid w:val="00D87483"/>
    <w:rsid w:val="00D875EC"/>
    <w:rsid w:val="00D87D8F"/>
    <w:rsid w:val="00D87E8D"/>
    <w:rsid w:val="00D90653"/>
    <w:rsid w:val="00D90FB5"/>
    <w:rsid w:val="00D91F2F"/>
    <w:rsid w:val="00D920CF"/>
    <w:rsid w:val="00D92140"/>
    <w:rsid w:val="00D92171"/>
    <w:rsid w:val="00D9245D"/>
    <w:rsid w:val="00D92725"/>
    <w:rsid w:val="00D927A5"/>
    <w:rsid w:val="00D928D2"/>
    <w:rsid w:val="00D92FEA"/>
    <w:rsid w:val="00D93012"/>
    <w:rsid w:val="00D93259"/>
    <w:rsid w:val="00D93926"/>
    <w:rsid w:val="00D93B1C"/>
    <w:rsid w:val="00D94051"/>
    <w:rsid w:val="00D9438F"/>
    <w:rsid w:val="00D9444E"/>
    <w:rsid w:val="00D94482"/>
    <w:rsid w:val="00D9597F"/>
    <w:rsid w:val="00D96539"/>
    <w:rsid w:val="00D965D6"/>
    <w:rsid w:val="00D96B9E"/>
    <w:rsid w:val="00D96F4C"/>
    <w:rsid w:val="00D972E3"/>
    <w:rsid w:val="00D97624"/>
    <w:rsid w:val="00D97B01"/>
    <w:rsid w:val="00D97D42"/>
    <w:rsid w:val="00DA053C"/>
    <w:rsid w:val="00DA0626"/>
    <w:rsid w:val="00DA0698"/>
    <w:rsid w:val="00DA0938"/>
    <w:rsid w:val="00DA10CF"/>
    <w:rsid w:val="00DA110C"/>
    <w:rsid w:val="00DA1166"/>
    <w:rsid w:val="00DA1617"/>
    <w:rsid w:val="00DA1F32"/>
    <w:rsid w:val="00DA2B0D"/>
    <w:rsid w:val="00DA2C6D"/>
    <w:rsid w:val="00DA2F8D"/>
    <w:rsid w:val="00DA31AB"/>
    <w:rsid w:val="00DA3418"/>
    <w:rsid w:val="00DA3470"/>
    <w:rsid w:val="00DA3E47"/>
    <w:rsid w:val="00DA4352"/>
    <w:rsid w:val="00DA4581"/>
    <w:rsid w:val="00DA47BD"/>
    <w:rsid w:val="00DA5224"/>
    <w:rsid w:val="00DA5535"/>
    <w:rsid w:val="00DA5953"/>
    <w:rsid w:val="00DA5BC6"/>
    <w:rsid w:val="00DA5C0E"/>
    <w:rsid w:val="00DA5F8C"/>
    <w:rsid w:val="00DA61E4"/>
    <w:rsid w:val="00DA6378"/>
    <w:rsid w:val="00DA6531"/>
    <w:rsid w:val="00DA65A6"/>
    <w:rsid w:val="00DA687C"/>
    <w:rsid w:val="00DA6F17"/>
    <w:rsid w:val="00DA71E5"/>
    <w:rsid w:val="00DA744A"/>
    <w:rsid w:val="00DA7854"/>
    <w:rsid w:val="00DB009B"/>
    <w:rsid w:val="00DB0155"/>
    <w:rsid w:val="00DB0A1A"/>
    <w:rsid w:val="00DB0E9A"/>
    <w:rsid w:val="00DB1DDA"/>
    <w:rsid w:val="00DB1F2A"/>
    <w:rsid w:val="00DB2061"/>
    <w:rsid w:val="00DB2692"/>
    <w:rsid w:val="00DB2E91"/>
    <w:rsid w:val="00DB31A3"/>
    <w:rsid w:val="00DB3648"/>
    <w:rsid w:val="00DB3720"/>
    <w:rsid w:val="00DB39CF"/>
    <w:rsid w:val="00DB3DF1"/>
    <w:rsid w:val="00DB4932"/>
    <w:rsid w:val="00DB59A7"/>
    <w:rsid w:val="00DB5D11"/>
    <w:rsid w:val="00DB6145"/>
    <w:rsid w:val="00DB6E54"/>
    <w:rsid w:val="00DB716A"/>
    <w:rsid w:val="00DB7488"/>
    <w:rsid w:val="00DB7723"/>
    <w:rsid w:val="00DC0A83"/>
    <w:rsid w:val="00DC0D0E"/>
    <w:rsid w:val="00DC0F16"/>
    <w:rsid w:val="00DC11BA"/>
    <w:rsid w:val="00DC1FCD"/>
    <w:rsid w:val="00DC20A3"/>
    <w:rsid w:val="00DC2157"/>
    <w:rsid w:val="00DC25A5"/>
    <w:rsid w:val="00DC2762"/>
    <w:rsid w:val="00DC2903"/>
    <w:rsid w:val="00DC2A9E"/>
    <w:rsid w:val="00DC2B37"/>
    <w:rsid w:val="00DC2E56"/>
    <w:rsid w:val="00DC2E8B"/>
    <w:rsid w:val="00DC2FA5"/>
    <w:rsid w:val="00DC3296"/>
    <w:rsid w:val="00DC3BE0"/>
    <w:rsid w:val="00DC40AE"/>
    <w:rsid w:val="00DC4475"/>
    <w:rsid w:val="00DC4735"/>
    <w:rsid w:val="00DC4E4D"/>
    <w:rsid w:val="00DC5AB8"/>
    <w:rsid w:val="00DC5B40"/>
    <w:rsid w:val="00DC5D09"/>
    <w:rsid w:val="00DC6ED2"/>
    <w:rsid w:val="00DC6EDA"/>
    <w:rsid w:val="00DC72CA"/>
    <w:rsid w:val="00DC7548"/>
    <w:rsid w:val="00DC7AA3"/>
    <w:rsid w:val="00DC7F62"/>
    <w:rsid w:val="00DD020C"/>
    <w:rsid w:val="00DD07CB"/>
    <w:rsid w:val="00DD0846"/>
    <w:rsid w:val="00DD10A9"/>
    <w:rsid w:val="00DD116A"/>
    <w:rsid w:val="00DD1C52"/>
    <w:rsid w:val="00DD20F7"/>
    <w:rsid w:val="00DD2418"/>
    <w:rsid w:val="00DD2BEE"/>
    <w:rsid w:val="00DD312F"/>
    <w:rsid w:val="00DD3865"/>
    <w:rsid w:val="00DD3A8C"/>
    <w:rsid w:val="00DD3BF6"/>
    <w:rsid w:val="00DD3DD8"/>
    <w:rsid w:val="00DD3E0C"/>
    <w:rsid w:val="00DD3F48"/>
    <w:rsid w:val="00DD41E1"/>
    <w:rsid w:val="00DD4567"/>
    <w:rsid w:val="00DD460A"/>
    <w:rsid w:val="00DD461C"/>
    <w:rsid w:val="00DD464F"/>
    <w:rsid w:val="00DD46BF"/>
    <w:rsid w:val="00DD480B"/>
    <w:rsid w:val="00DD4AC6"/>
    <w:rsid w:val="00DD4BAF"/>
    <w:rsid w:val="00DD4EFF"/>
    <w:rsid w:val="00DD4F6D"/>
    <w:rsid w:val="00DD6149"/>
    <w:rsid w:val="00DD74B5"/>
    <w:rsid w:val="00DD75E2"/>
    <w:rsid w:val="00DE0150"/>
    <w:rsid w:val="00DE071D"/>
    <w:rsid w:val="00DE0BAE"/>
    <w:rsid w:val="00DE20B6"/>
    <w:rsid w:val="00DE2557"/>
    <w:rsid w:val="00DE2DB2"/>
    <w:rsid w:val="00DE2EE2"/>
    <w:rsid w:val="00DE2F16"/>
    <w:rsid w:val="00DE3156"/>
    <w:rsid w:val="00DE3A33"/>
    <w:rsid w:val="00DE3ADE"/>
    <w:rsid w:val="00DE3D19"/>
    <w:rsid w:val="00DE4284"/>
    <w:rsid w:val="00DE428C"/>
    <w:rsid w:val="00DE45F5"/>
    <w:rsid w:val="00DE4CFB"/>
    <w:rsid w:val="00DE51DB"/>
    <w:rsid w:val="00DE5A39"/>
    <w:rsid w:val="00DE64D1"/>
    <w:rsid w:val="00DE652A"/>
    <w:rsid w:val="00DE6B28"/>
    <w:rsid w:val="00DE6BDA"/>
    <w:rsid w:val="00DE6C8F"/>
    <w:rsid w:val="00DE6FAE"/>
    <w:rsid w:val="00DE716F"/>
    <w:rsid w:val="00DE72A6"/>
    <w:rsid w:val="00DE7E67"/>
    <w:rsid w:val="00DF0024"/>
    <w:rsid w:val="00DF0197"/>
    <w:rsid w:val="00DF07E4"/>
    <w:rsid w:val="00DF0FEF"/>
    <w:rsid w:val="00DF1A9E"/>
    <w:rsid w:val="00DF1EE5"/>
    <w:rsid w:val="00DF21E1"/>
    <w:rsid w:val="00DF24EB"/>
    <w:rsid w:val="00DF2731"/>
    <w:rsid w:val="00DF2D14"/>
    <w:rsid w:val="00DF2D46"/>
    <w:rsid w:val="00DF37C7"/>
    <w:rsid w:val="00DF3DFF"/>
    <w:rsid w:val="00DF44BE"/>
    <w:rsid w:val="00DF4579"/>
    <w:rsid w:val="00DF498E"/>
    <w:rsid w:val="00DF53CB"/>
    <w:rsid w:val="00DF5690"/>
    <w:rsid w:val="00DF57E1"/>
    <w:rsid w:val="00DF5BD2"/>
    <w:rsid w:val="00DF5C49"/>
    <w:rsid w:val="00DF5C65"/>
    <w:rsid w:val="00DF5E40"/>
    <w:rsid w:val="00DF5EBA"/>
    <w:rsid w:val="00DF5F7E"/>
    <w:rsid w:val="00DF61B7"/>
    <w:rsid w:val="00DF6468"/>
    <w:rsid w:val="00DF6475"/>
    <w:rsid w:val="00DF6580"/>
    <w:rsid w:val="00DF6B6C"/>
    <w:rsid w:val="00DF6F94"/>
    <w:rsid w:val="00DF746E"/>
    <w:rsid w:val="00DF7589"/>
    <w:rsid w:val="00DF7851"/>
    <w:rsid w:val="00DF7E6C"/>
    <w:rsid w:val="00E002B5"/>
    <w:rsid w:val="00E0046F"/>
    <w:rsid w:val="00E00514"/>
    <w:rsid w:val="00E00AD1"/>
    <w:rsid w:val="00E00D0C"/>
    <w:rsid w:val="00E01397"/>
    <w:rsid w:val="00E01CE0"/>
    <w:rsid w:val="00E0234F"/>
    <w:rsid w:val="00E0236E"/>
    <w:rsid w:val="00E023A7"/>
    <w:rsid w:val="00E025AE"/>
    <w:rsid w:val="00E02C12"/>
    <w:rsid w:val="00E03132"/>
    <w:rsid w:val="00E0317A"/>
    <w:rsid w:val="00E0393A"/>
    <w:rsid w:val="00E03A52"/>
    <w:rsid w:val="00E03EF6"/>
    <w:rsid w:val="00E04CC5"/>
    <w:rsid w:val="00E04F9A"/>
    <w:rsid w:val="00E0504A"/>
    <w:rsid w:val="00E0507E"/>
    <w:rsid w:val="00E05178"/>
    <w:rsid w:val="00E0537E"/>
    <w:rsid w:val="00E05613"/>
    <w:rsid w:val="00E05CAA"/>
    <w:rsid w:val="00E05EED"/>
    <w:rsid w:val="00E060B1"/>
    <w:rsid w:val="00E06781"/>
    <w:rsid w:val="00E0683B"/>
    <w:rsid w:val="00E06ADA"/>
    <w:rsid w:val="00E0714B"/>
    <w:rsid w:val="00E07778"/>
    <w:rsid w:val="00E07784"/>
    <w:rsid w:val="00E07B62"/>
    <w:rsid w:val="00E07CD1"/>
    <w:rsid w:val="00E1026B"/>
    <w:rsid w:val="00E10886"/>
    <w:rsid w:val="00E10A0D"/>
    <w:rsid w:val="00E10D9D"/>
    <w:rsid w:val="00E10FB8"/>
    <w:rsid w:val="00E110EF"/>
    <w:rsid w:val="00E11689"/>
    <w:rsid w:val="00E117E7"/>
    <w:rsid w:val="00E118BE"/>
    <w:rsid w:val="00E118C9"/>
    <w:rsid w:val="00E11A16"/>
    <w:rsid w:val="00E11A99"/>
    <w:rsid w:val="00E11FE9"/>
    <w:rsid w:val="00E12028"/>
    <w:rsid w:val="00E12089"/>
    <w:rsid w:val="00E12324"/>
    <w:rsid w:val="00E1256A"/>
    <w:rsid w:val="00E12AA7"/>
    <w:rsid w:val="00E1341E"/>
    <w:rsid w:val="00E13463"/>
    <w:rsid w:val="00E13CFC"/>
    <w:rsid w:val="00E1454D"/>
    <w:rsid w:val="00E15545"/>
    <w:rsid w:val="00E1562B"/>
    <w:rsid w:val="00E15665"/>
    <w:rsid w:val="00E156ED"/>
    <w:rsid w:val="00E1638C"/>
    <w:rsid w:val="00E16867"/>
    <w:rsid w:val="00E16B63"/>
    <w:rsid w:val="00E16C19"/>
    <w:rsid w:val="00E16C2E"/>
    <w:rsid w:val="00E16E7E"/>
    <w:rsid w:val="00E17518"/>
    <w:rsid w:val="00E175B9"/>
    <w:rsid w:val="00E17C21"/>
    <w:rsid w:val="00E207B5"/>
    <w:rsid w:val="00E20C6D"/>
    <w:rsid w:val="00E217D6"/>
    <w:rsid w:val="00E217DC"/>
    <w:rsid w:val="00E21F60"/>
    <w:rsid w:val="00E22286"/>
    <w:rsid w:val="00E22A1F"/>
    <w:rsid w:val="00E238F1"/>
    <w:rsid w:val="00E24510"/>
    <w:rsid w:val="00E24A8B"/>
    <w:rsid w:val="00E2500F"/>
    <w:rsid w:val="00E25405"/>
    <w:rsid w:val="00E256E6"/>
    <w:rsid w:val="00E25858"/>
    <w:rsid w:val="00E262CF"/>
    <w:rsid w:val="00E26356"/>
    <w:rsid w:val="00E27102"/>
    <w:rsid w:val="00E2731D"/>
    <w:rsid w:val="00E27553"/>
    <w:rsid w:val="00E276F7"/>
    <w:rsid w:val="00E27869"/>
    <w:rsid w:val="00E2799A"/>
    <w:rsid w:val="00E279D0"/>
    <w:rsid w:val="00E27CEC"/>
    <w:rsid w:val="00E3046F"/>
    <w:rsid w:val="00E306E8"/>
    <w:rsid w:val="00E308DA"/>
    <w:rsid w:val="00E30B58"/>
    <w:rsid w:val="00E31210"/>
    <w:rsid w:val="00E31B21"/>
    <w:rsid w:val="00E32D0F"/>
    <w:rsid w:val="00E33025"/>
    <w:rsid w:val="00E3329F"/>
    <w:rsid w:val="00E336C6"/>
    <w:rsid w:val="00E33BAF"/>
    <w:rsid w:val="00E33D86"/>
    <w:rsid w:val="00E346B2"/>
    <w:rsid w:val="00E347D5"/>
    <w:rsid w:val="00E3496F"/>
    <w:rsid w:val="00E34BF8"/>
    <w:rsid w:val="00E354BF"/>
    <w:rsid w:val="00E35BEB"/>
    <w:rsid w:val="00E35E36"/>
    <w:rsid w:val="00E36117"/>
    <w:rsid w:val="00E36235"/>
    <w:rsid w:val="00E362C2"/>
    <w:rsid w:val="00E362E8"/>
    <w:rsid w:val="00E3666F"/>
    <w:rsid w:val="00E367CF"/>
    <w:rsid w:val="00E369C7"/>
    <w:rsid w:val="00E374EA"/>
    <w:rsid w:val="00E401FA"/>
    <w:rsid w:val="00E40200"/>
    <w:rsid w:val="00E40D4C"/>
    <w:rsid w:val="00E40F9C"/>
    <w:rsid w:val="00E41D87"/>
    <w:rsid w:val="00E4233F"/>
    <w:rsid w:val="00E4283D"/>
    <w:rsid w:val="00E43644"/>
    <w:rsid w:val="00E437E3"/>
    <w:rsid w:val="00E43837"/>
    <w:rsid w:val="00E43B9A"/>
    <w:rsid w:val="00E44877"/>
    <w:rsid w:val="00E452A6"/>
    <w:rsid w:val="00E45E49"/>
    <w:rsid w:val="00E462C9"/>
    <w:rsid w:val="00E46C41"/>
    <w:rsid w:val="00E47C80"/>
    <w:rsid w:val="00E47FC2"/>
    <w:rsid w:val="00E50250"/>
    <w:rsid w:val="00E505DC"/>
    <w:rsid w:val="00E5181A"/>
    <w:rsid w:val="00E51D6C"/>
    <w:rsid w:val="00E51DBC"/>
    <w:rsid w:val="00E524A0"/>
    <w:rsid w:val="00E5254B"/>
    <w:rsid w:val="00E52627"/>
    <w:rsid w:val="00E52D07"/>
    <w:rsid w:val="00E53344"/>
    <w:rsid w:val="00E533ED"/>
    <w:rsid w:val="00E539B4"/>
    <w:rsid w:val="00E53BE9"/>
    <w:rsid w:val="00E53CEA"/>
    <w:rsid w:val="00E53DB2"/>
    <w:rsid w:val="00E53E04"/>
    <w:rsid w:val="00E53F61"/>
    <w:rsid w:val="00E54972"/>
    <w:rsid w:val="00E54C8E"/>
    <w:rsid w:val="00E54DA0"/>
    <w:rsid w:val="00E54DC4"/>
    <w:rsid w:val="00E55CF2"/>
    <w:rsid w:val="00E55EDA"/>
    <w:rsid w:val="00E56265"/>
    <w:rsid w:val="00E5662C"/>
    <w:rsid w:val="00E56BAC"/>
    <w:rsid w:val="00E56BE6"/>
    <w:rsid w:val="00E56DB6"/>
    <w:rsid w:val="00E57505"/>
    <w:rsid w:val="00E5750C"/>
    <w:rsid w:val="00E57677"/>
    <w:rsid w:val="00E577CA"/>
    <w:rsid w:val="00E605B1"/>
    <w:rsid w:val="00E605E3"/>
    <w:rsid w:val="00E60865"/>
    <w:rsid w:val="00E609EF"/>
    <w:rsid w:val="00E60E91"/>
    <w:rsid w:val="00E60FAF"/>
    <w:rsid w:val="00E60FBC"/>
    <w:rsid w:val="00E6182A"/>
    <w:rsid w:val="00E61C6A"/>
    <w:rsid w:val="00E61EDE"/>
    <w:rsid w:val="00E622C1"/>
    <w:rsid w:val="00E623B9"/>
    <w:rsid w:val="00E62491"/>
    <w:rsid w:val="00E634FC"/>
    <w:rsid w:val="00E63517"/>
    <w:rsid w:val="00E636D4"/>
    <w:rsid w:val="00E63709"/>
    <w:rsid w:val="00E64096"/>
    <w:rsid w:val="00E645C1"/>
    <w:rsid w:val="00E648DC"/>
    <w:rsid w:val="00E6496B"/>
    <w:rsid w:val="00E649CD"/>
    <w:rsid w:val="00E656DC"/>
    <w:rsid w:val="00E658C4"/>
    <w:rsid w:val="00E6593A"/>
    <w:rsid w:val="00E65FB0"/>
    <w:rsid w:val="00E65FB8"/>
    <w:rsid w:val="00E66A5A"/>
    <w:rsid w:val="00E66A87"/>
    <w:rsid w:val="00E66AA4"/>
    <w:rsid w:val="00E66B19"/>
    <w:rsid w:val="00E66FFA"/>
    <w:rsid w:val="00E67871"/>
    <w:rsid w:val="00E67C39"/>
    <w:rsid w:val="00E67EDF"/>
    <w:rsid w:val="00E70168"/>
    <w:rsid w:val="00E71564"/>
    <w:rsid w:val="00E716D1"/>
    <w:rsid w:val="00E717D5"/>
    <w:rsid w:val="00E71911"/>
    <w:rsid w:val="00E71E97"/>
    <w:rsid w:val="00E72093"/>
    <w:rsid w:val="00E721B8"/>
    <w:rsid w:val="00E72328"/>
    <w:rsid w:val="00E7252E"/>
    <w:rsid w:val="00E72741"/>
    <w:rsid w:val="00E72AC1"/>
    <w:rsid w:val="00E7308E"/>
    <w:rsid w:val="00E73B47"/>
    <w:rsid w:val="00E73C86"/>
    <w:rsid w:val="00E73CB4"/>
    <w:rsid w:val="00E7432A"/>
    <w:rsid w:val="00E74E63"/>
    <w:rsid w:val="00E756BE"/>
    <w:rsid w:val="00E7574E"/>
    <w:rsid w:val="00E76753"/>
    <w:rsid w:val="00E76A15"/>
    <w:rsid w:val="00E76A3C"/>
    <w:rsid w:val="00E76A7A"/>
    <w:rsid w:val="00E76AE1"/>
    <w:rsid w:val="00E7711C"/>
    <w:rsid w:val="00E772D3"/>
    <w:rsid w:val="00E77496"/>
    <w:rsid w:val="00E775C3"/>
    <w:rsid w:val="00E77B99"/>
    <w:rsid w:val="00E77F7A"/>
    <w:rsid w:val="00E8036F"/>
    <w:rsid w:val="00E809DB"/>
    <w:rsid w:val="00E80CAC"/>
    <w:rsid w:val="00E80E92"/>
    <w:rsid w:val="00E81585"/>
    <w:rsid w:val="00E81CE8"/>
    <w:rsid w:val="00E81E86"/>
    <w:rsid w:val="00E81F63"/>
    <w:rsid w:val="00E82202"/>
    <w:rsid w:val="00E822E6"/>
    <w:rsid w:val="00E8286B"/>
    <w:rsid w:val="00E82CE7"/>
    <w:rsid w:val="00E8304E"/>
    <w:rsid w:val="00E830B3"/>
    <w:rsid w:val="00E83312"/>
    <w:rsid w:val="00E833FB"/>
    <w:rsid w:val="00E8395F"/>
    <w:rsid w:val="00E83B71"/>
    <w:rsid w:val="00E8432B"/>
    <w:rsid w:val="00E85DFD"/>
    <w:rsid w:val="00E86429"/>
    <w:rsid w:val="00E86682"/>
    <w:rsid w:val="00E866C1"/>
    <w:rsid w:val="00E86E73"/>
    <w:rsid w:val="00E86E82"/>
    <w:rsid w:val="00E86FB1"/>
    <w:rsid w:val="00E87005"/>
    <w:rsid w:val="00E872BD"/>
    <w:rsid w:val="00E87844"/>
    <w:rsid w:val="00E907D5"/>
    <w:rsid w:val="00E90916"/>
    <w:rsid w:val="00E90AB8"/>
    <w:rsid w:val="00E90F20"/>
    <w:rsid w:val="00E915EA"/>
    <w:rsid w:val="00E92362"/>
    <w:rsid w:val="00E92700"/>
    <w:rsid w:val="00E92722"/>
    <w:rsid w:val="00E9297F"/>
    <w:rsid w:val="00E92BC1"/>
    <w:rsid w:val="00E93386"/>
    <w:rsid w:val="00E9345F"/>
    <w:rsid w:val="00E9366F"/>
    <w:rsid w:val="00E93735"/>
    <w:rsid w:val="00E93780"/>
    <w:rsid w:val="00E93E2F"/>
    <w:rsid w:val="00E940BB"/>
    <w:rsid w:val="00E94361"/>
    <w:rsid w:val="00E943AB"/>
    <w:rsid w:val="00E94E8E"/>
    <w:rsid w:val="00E9519A"/>
    <w:rsid w:val="00E954DE"/>
    <w:rsid w:val="00E95679"/>
    <w:rsid w:val="00E9589A"/>
    <w:rsid w:val="00E96095"/>
    <w:rsid w:val="00E96BF2"/>
    <w:rsid w:val="00E96F47"/>
    <w:rsid w:val="00E96F70"/>
    <w:rsid w:val="00EA036C"/>
    <w:rsid w:val="00EA0455"/>
    <w:rsid w:val="00EA0725"/>
    <w:rsid w:val="00EA0E4A"/>
    <w:rsid w:val="00EA0EAD"/>
    <w:rsid w:val="00EA1076"/>
    <w:rsid w:val="00EA1137"/>
    <w:rsid w:val="00EA147C"/>
    <w:rsid w:val="00EA1A3A"/>
    <w:rsid w:val="00EA2008"/>
    <w:rsid w:val="00EA277B"/>
    <w:rsid w:val="00EA28DC"/>
    <w:rsid w:val="00EA2972"/>
    <w:rsid w:val="00EA2F3E"/>
    <w:rsid w:val="00EA3795"/>
    <w:rsid w:val="00EA382A"/>
    <w:rsid w:val="00EA392D"/>
    <w:rsid w:val="00EA3B12"/>
    <w:rsid w:val="00EA402D"/>
    <w:rsid w:val="00EA41EE"/>
    <w:rsid w:val="00EA44CD"/>
    <w:rsid w:val="00EA49EE"/>
    <w:rsid w:val="00EA4CCC"/>
    <w:rsid w:val="00EA4E27"/>
    <w:rsid w:val="00EA53AB"/>
    <w:rsid w:val="00EA562D"/>
    <w:rsid w:val="00EA594F"/>
    <w:rsid w:val="00EA5BB5"/>
    <w:rsid w:val="00EA5CE4"/>
    <w:rsid w:val="00EA64D6"/>
    <w:rsid w:val="00EA6BE1"/>
    <w:rsid w:val="00EA6C31"/>
    <w:rsid w:val="00EA6D44"/>
    <w:rsid w:val="00EA7002"/>
    <w:rsid w:val="00EA756E"/>
    <w:rsid w:val="00EB0423"/>
    <w:rsid w:val="00EB0745"/>
    <w:rsid w:val="00EB08A3"/>
    <w:rsid w:val="00EB0DE2"/>
    <w:rsid w:val="00EB0ED6"/>
    <w:rsid w:val="00EB1139"/>
    <w:rsid w:val="00EB119D"/>
    <w:rsid w:val="00EB1988"/>
    <w:rsid w:val="00EB1CD4"/>
    <w:rsid w:val="00EB1DC8"/>
    <w:rsid w:val="00EB21B4"/>
    <w:rsid w:val="00EB2644"/>
    <w:rsid w:val="00EB2A53"/>
    <w:rsid w:val="00EB373D"/>
    <w:rsid w:val="00EB3B3E"/>
    <w:rsid w:val="00EB3E6E"/>
    <w:rsid w:val="00EB3F02"/>
    <w:rsid w:val="00EB3F56"/>
    <w:rsid w:val="00EB430C"/>
    <w:rsid w:val="00EB46F1"/>
    <w:rsid w:val="00EB4CAE"/>
    <w:rsid w:val="00EB58D8"/>
    <w:rsid w:val="00EB5C01"/>
    <w:rsid w:val="00EB5D28"/>
    <w:rsid w:val="00EB6451"/>
    <w:rsid w:val="00EB67ED"/>
    <w:rsid w:val="00EB6BC6"/>
    <w:rsid w:val="00EB6BE6"/>
    <w:rsid w:val="00EB6C63"/>
    <w:rsid w:val="00EB6D61"/>
    <w:rsid w:val="00EB7303"/>
    <w:rsid w:val="00EB7313"/>
    <w:rsid w:val="00EB7892"/>
    <w:rsid w:val="00EC05C3"/>
    <w:rsid w:val="00EC06BB"/>
    <w:rsid w:val="00EC06DD"/>
    <w:rsid w:val="00EC0855"/>
    <w:rsid w:val="00EC08DD"/>
    <w:rsid w:val="00EC0D0E"/>
    <w:rsid w:val="00EC1001"/>
    <w:rsid w:val="00EC14AB"/>
    <w:rsid w:val="00EC14E6"/>
    <w:rsid w:val="00EC15C3"/>
    <w:rsid w:val="00EC19F6"/>
    <w:rsid w:val="00EC1EE1"/>
    <w:rsid w:val="00EC2333"/>
    <w:rsid w:val="00EC2753"/>
    <w:rsid w:val="00EC284C"/>
    <w:rsid w:val="00EC3081"/>
    <w:rsid w:val="00EC32A2"/>
    <w:rsid w:val="00EC3B16"/>
    <w:rsid w:val="00EC4407"/>
    <w:rsid w:val="00EC4E5C"/>
    <w:rsid w:val="00EC50DD"/>
    <w:rsid w:val="00EC52C0"/>
    <w:rsid w:val="00EC594F"/>
    <w:rsid w:val="00EC5F73"/>
    <w:rsid w:val="00EC6625"/>
    <w:rsid w:val="00EC6A15"/>
    <w:rsid w:val="00EC6E40"/>
    <w:rsid w:val="00EC76B8"/>
    <w:rsid w:val="00EC7AC3"/>
    <w:rsid w:val="00ED0092"/>
    <w:rsid w:val="00ED00F5"/>
    <w:rsid w:val="00ED044F"/>
    <w:rsid w:val="00ED060B"/>
    <w:rsid w:val="00ED1025"/>
    <w:rsid w:val="00ED14DE"/>
    <w:rsid w:val="00ED164D"/>
    <w:rsid w:val="00ED19CA"/>
    <w:rsid w:val="00ED1D56"/>
    <w:rsid w:val="00ED1FE8"/>
    <w:rsid w:val="00ED22EE"/>
    <w:rsid w:val="00ED26C1"/>
    <w:rsid w:val="00ED2702"/>
    <w:rsid w:val="00ED27F5"/>
    <w:rsid w:val="00ED2859"/>
    <w:rsid w:val="00ED2ABD"/>
    <w:rsid w:val="00ED2B0B"/>
    <w:rsid w:val="00ED2B6F"/>
    <w:rsid w:val="00ED2BD9"/>
    <w:rsid w:val="00ED2E04"/>
    <w:rsid w:val="00ED30E7"/>
    <w:rsid w:val="00ED31AB"/>
    <w:rsid w:val="00ED3652"/>
    <w:rsid w:val="00ED49A0"/>
    <w:rsid w:val="00ED4C44"/>
    <w:rsid w:val="00ED4F9E"/>
    <w:rsid w:val="00ED5450"/>
    <w:rsid w:val="00ED5CE7"/>
    <w:rsid w:val="00ED61BF"/>
    <w:rsid w:val="00ED61E1"/>
    <w:rsid w:val="00ED6AD4"/>
    <w:rsid w:val="00ED6F6F"/>
    <w:rsid w:val="00ED774C"/>
    <w:rsid w:val="00ED7788"/>
    <w:rsid w:val="00ED7AA3"/>
    <w:rsid w:val="00ED7D60"/>
    <w:rsid w:val="00ED7E5F"/>
    <w:rsid w:val="00EE09B8"/>
    <w:rsid w:val="00EE0CB4"/>
    <w:rsid w:val="00EE0EDA"/>
    <w:rsid w:val="00EE0EE2"/>
    <w:rsid w:val="00EE157B"/>
    <w:rsid w:val="00EE1632"/>
    <w:rsid w:val="00EE1AEC"/>
    <w:rsid w:val="00EE1E81"/>
    <w:rsid w:val="00EE1ECC"/>
    <w:rsid w:val="00EE2424"/>
    <w:rsid w:val="00EE2777"/>
    <w:rsid w:val="00EE27AA"/>
    <w:rsid w:val="00EE28A8"/>
    <w:rsid w:val="00EE2A00"/>
    <w:rsid w:val="00EE2FEA"/>
    <w:rsid w:val="00EE3F8F"/>
    <w:rsid w:val="00EE3FEE"/>
    <w:rsid w:val="00EE4D0B"/>
    <w:rsid w:val="00EE4D35"/>
    <w:rsid w:val="00EE4E2D"/>
    <w:rsid w:val="00EE4FCA"/>
    <w:rsid w:val="00EE526B"/>
    <w:rsid w:val="00EE5DF2"/>
    <w:rsid w:val="00EE61FC"/>
    <w:rsid w:val="00EE688C"/>
    <w:rsid w:val="00EE6C3D"/>
    <w:rsid w:val="00EE7246"/>
    <w:rsid w:val="00EE751A"/>
    <w:rsid w:val="00EE7AAC"/>
    <w:rsid w:val="00EE7D3F"/>
    <w:rsid w:val="00EE7EAA"/>
    <w:rsid w:val="00EF0267"/>
    <w:rsid w:val="00EF09ED"/>
    <w:rsid w:val="00EF10FD"/>
    <w:rsid w:val="00EF182C"/>
    <w:rsid w:val="00EF1903"/>
    <w:rsid w:val="00EF1BB3"/>
    <w:rsid w:val="00EF1DF2"/>
    <w:rsid w:val="00EF238B"/>
    <w:rsid w:val="00EF2876"/>
    <w:rsid w:val="00EF29DC"/>
    <w:rsid w:val="00EF2A53"/>
    <w:rsid w:val="00EF3609"/>
    <w:rsid w:val="00EF36DD"/>
    <w:rsid w:val="00EF38EF"/>
    <w:rsid w:val="00EF3BA4"/>
    <w:rsid w:val="00EF3BBD"/>
    <w:rsid w:val="00EF43AD"/>
    <w:rsid w:val="00EF536E"/>
    <w:rsid w:val="00EF5868"/>
    <w:rsid w:val="00EF5C70"/>
    <w:rsid w:val="00EF5D39"/>
    <w:rsid w:val="00EF6208"/>
    <w:rsid w:val="00EF726D"/>
    <w:rsid w:val="00EF750B"/>
    <w:rsid w:val="00EF75E1"/>
    <w:rsid w:val="00F00BBF"/>
    <w:rsid w:val="00F01238"/>
    <w:rsid w:val="00F01522"/>
    <w:rsid w:val="00F01B16"/>
    <w:rsid w:val="00F01BEE"/>
    <w:rsid w:val="00F022A2"/>
    <w:rsid w:val="00F028CA"/>
    <w:rsid w:val="00F02AA2"/>
    <w:rsid w:val="00F02B00"/>
    <w:rsid w:val="00F02C1C"/>
    <w:rsid w:val="00F03045"/>
    <w:rsid w:val="00F030AB"/>
    <w:rsid w:val="00F03764"/>
    <w:rsid w:val="00F03A34"/>
    <w:rsid w:val="00F03B3A"/>
    <w:rsid w:val="00F03C1F"/>
    <w:rsid w:val="00F04021"/>
    <w:rsid w:val="00F04D66"/>
    <w:rsid w:val="00F0512F"/>
    <w:rsid w:val="00F053A8"/>
    <w:rsid w:val="00F053B9"/>
    <w:rsid w:val="00F05838"/>
    <w:rsid w:val="00F058F7"/>
    <w:rsid w:val="00F05C2C"/>
    <w:rsid w:val="00F05D1E"/>
    <w:rsid w:val="00F05D98"/>
    <w:rsid w:val="00F0601D"/>
    <w:rsid w:val="00F066F9"/>
    <w:rsid w:val="00F06814"/>
    <w:rsid w:val="00F06CFC"/>
    <w:rsid w:val="00F06D07"/>
    <w:rsid w:val="00F077B5"/>
    <w:rsid w:val="00F102FB"/>
    <w:rsid w:val="00F10904"/>
    <w:rsid w:val="00F11259"/>
    <w:rsid w:val="00F1162D"/>
    <w:rsid w:val="00F118B9"/>
    <w:rsid w:val="00F119B3"/>
    <w:rsid w:val="00F11D45"/>
    <w:rsid w:val="00F12AD5"/>
    <w:rsid w:val="00F12DBA"/>
    <w:rsid w:val="00F13C39"/>
    <w:rsid w:val="00F13EF9"/>
    <w:rsid w:val="00F1498E"/>
    <w:rsid w:val="00F14E7C"/>
    <w:rsid w:val="00F150FC"/>
    <w:rsid w:val="00F15638"/>
    <w:rsid w:val="00F15797"/>
    <w:rsid w:val="00F15A3E"/>
    <w:rsid w:val="00F15B11"/>
    <w:rsid w:val="00F15BDD"/>
    <w:rsid w:val="00F15D7B"/>
    <w:rsid w:val="00F16033"/>
    <w:rsid w:val="00F16357"/>
    <w:rsid w:val="00F1661E"/>
    <w:rsid w:val="00F167CC"/>
    <w:rsid w:val="00F173E2"/>
    <w:rsid w:val="00F1748C"/>
    <w:rsid w:val="00F175C7"/>
    <w:rsid w:val="00F17C4C"/>
    <w:rsid w:val="00F17F36"/>
    <w:rsid w:val="00F2030F"/>
    <w:rsid w:val="00F2071E"/>
    <w:rsid w:val="00F20BA2"/>
    <w:rsid w:val="00F2101B"/>
    <w:rsid w:val="00F21602"/>
    <w:rsid w:val="00F216F0"/>
    <w:rsid w:val="00F217AB"/>
    <w:rsid w:val="00F21CA3"/>
    <w:rsid w:val="00F21D20"/>
    <w:rsid w:val="00F224DA"/>
    <w:rsid w:val="00F2287B"/>
    <w:rsid w:val="00F22C9D"/>
    <w:rsid w:val="00F22E23"/>
    <w:rsid w:val="00F2332B"/>
    <w:rsid w:val="00F2399C"/>
    <w:rsid w:val="00F23A82"/>
    <w:rsid w:val="00F23AE7"/>
    <w:rsid w:val="00F23C6D"/>
    <w:rsid w:val="00F23E41"/>
    <w:rsid w:val="00F24468"/>
    <w:rsid w:val="00F24510"/>
    <w:rsid w:val="00F24636"/>
    <w:rsid w:val="00F248E5"/>
    <w:rsid w:val="00F2534A"/>
    <w:rsid w:val="00F255E0"/>
    <w:rsid w:val="00F25E83"/>
    <w:rsid w:val="00F264E9"/>
    <w:rsid w:val="00F26566"/>
    <w:rsid w:val="00F26862"/>
    <w:rsid w:val="00F27307"/>
    <w:rsid w:val="00F27331"/>
    <w:rsid w:val="00F27746"/>
    <w:rsid w:val="00F2798B"/>
    <w:rsid w:val="00F27DB0"/>
    <w:rsid w:val="00F27FBD"/>
    <w:rsid w:val="00F30A5C"/>
    <w:rsid w:val="00F312DA"/>
    <w:rsid w:val="00F322FD"/>
    <w:rsid w:val="00F3246E"/>
    <w:rsid w:val="00F32623"/>
    <w:rsid w:val="00F32645"/>
    <w:rsid w:val="00F32813"/>
    <w:rsid w:val="00F33008"/>
    <w:rsid w:val="00F339BB"/>
    <w:rsid w:val="00F35506"/>
    <w:rsid w:val="00F35E3E"/>
    <w:rsid w:val="00F36601"/>
    <w:rsid w:val="00F36B84"/>
    <w:rsid w:val="00F36E65"/>
    <w:rsid w:val="00F37089"/>
    <w:rsid w:val="00F373E0"/>
    <w:rsid w:val="00F37F4E"/>
    <w:rsid w:val="00F40022"/>
    <w:rsid w:val="00F4060A"/>
    <w:rsid w:val="00F40DAD"/>
    <w:rsid w:val="00F412F4"/>
    <w:rsid w:val="00F4130F"/>
    <w:rsid w:val="00F41463"/>
    <w:rsid w:val="00F41828"/>
    <w:rsid w:val="00F41C2D"/>
    <w:rsid w:val="00F4205C"/>
    <w:rsid w:val="00F424FA"/>
    <w:rsid w:val="00F42EF4"/>
    <w:rsid w:val="00F433EA"/>
    <w:rsid w:val="00F43847"/>
    <w:rsid w:val="00F43B4E"/>
    <w:rsid w:val="00F44067"/>
    <w:rsid w:val="00F4413B"/>
    <w:rsid w:val="00F443B3"/>
    <w:rsid w:val="00F4444C"/>
    <w:rsid w:val="00F4479A"/>
    <w:rsid w:val="00F45456"/>
    <w:rsid w:val="00F454FF"/>
    <w:rsid w:val="00F45C35"/>
    <w:rsid w:val="00F45F89"/>
    <w:rsid w:val="00F4648E"/>
    <w:rsid w:val="00F464B5"/>
    <w:rsid w:val="00F46B70"/>
    <w:rsid w:val="00F46D17"/>
    <w:rsid w:val="00F46D33"/>
    <w:rsid w:val="00F46F8D"/>
    <w:rsid w:val="00F473C6"/>
    <w:rsid w:val="00F474B5"/>
    <w:rsid w:val="00F474E2"/>
    <w:rsid w:val="00F479CE"/>
    <w:rsid w:val="00F479DB"/>
    <w:rsid w:val="00F47F9B"/>
    <w:rsid w:val="00F503CC"/>
    <w:rsid w:val="00F5040F"/>
    <w:rsid w:val="00F50412"/>
    <w:rsid w:val="00F5052A"/>
    <w:rsid w:val="00F50677"/>
    <w:rsid w:val="00F506F0"/>
    <w:rsid w:val="00F50D4F"/>
    <w:rsid w:val="00F50DDB"/>
    <w:rsid w:val="00F512D6"/>
    <w:rsid w:val="00F51527"/>
    <w:rsid w:val="00F51ABE"/>
    <w:rsid w:val="00F51E41"/>
    <w:rsid w:val="00F51ECD"/>
    <w:rsid w:val="00F53051"/>
    <w:rsid w:val="00F530CE"/>
    <w:rsid w:val="00F53648"/>
    <w:rsid w:val="00F53BF3"/>
    <w:rsid w:val="00F53D80"/>
    <w:rsid w:val="00F541BA"/>
    <w:rsid w:val="00F54370"/>
    <w:rsid w:val="00F545F4"/>
    <w:rsid w:val="00F5469D"/>
    <w:rsid w:val="00F54A62"/>
    <w:rsid w:val="00F5501C"/>
    <w:rsid w:val="00F55823"/>
    <w:rsid w:val="00F55ABB"/>
    <w:rsid w:val="00F55FA1"/>
    <w:rsid w:val="00F56228"/>
    <w:rsid w:val="00F56E5E"/>
    <w:rsid w:val="00F57567"/>
    <w:rsid w:val="00F57655"/>
    <w:rsid w:val="00F57A81"/>
    <w:rsid w:val="00F57B94"/>
    <w:rsid w:val="00F57F3F"/>
    <w:rsid w:val="00F601EC"/>
    <w:rsid w:val="00F6045D"/>
    <w:rsid w:val="00F6072C"/>
    <w:rsid w:val="00F60754"/>
    <w:rsid w:val="00F60DC8"/>
    <w:rsid w:val="00F610AE"/>
    <w:rsid w:val="00F611F2"/>
    <w:rsid w:val="00F61A33"/>
    <w:rsid w:val="00F61C67"/>
    <w:rsid w:val="00F62191"/>
    <w:rsid w:val="00F624D1"/>
    <w:rsid w:val="00F62A92"/>
    <w:rsid w:val="00F63076"/>
    <w:rsid w:val="00F632FD"/>
    <w:rsid w:val="00F6382F"/>
    <w:rsid w:val="00F63C73"/>
    <w:rsid w:val="00F63DC7"/>
    <w:rsid w:val="00F64AC1"/>
    <w:rsid w:val="00F64C7C"/>
    <w:rsid w:val="00F64CAB"/>
    <w:rsid w:val="00F651A5"/>
    <w:rsid w:val="00F65784"/>
    <w:rsid w:val="00F65CF3"/>
    <w:rsid w:val="00F6623D"/>
    <w:rsid w:val="00F663A8"/>
    <w:rsid w:val="00F70ACD"/>
    <w:rsid w:val="00F70B92"/>
    <w:rsid w:val="00F71096"/>
    <w:rsid w:val="00F716E2"/>
    <w:rsid w:val="00F7172F"/>
    <w:rsid w:val="00F7189D"/>
    <w:rsid w:val="00F718DE"/>
    <w:rsid w:val="00F71BF9"/>
    <w:rsid w:val="00F71CD1"/>
    <w:rsid w:val="00F721B8"/>
    <w:rsid w:val="00F73381"/>
    <w:rsid w:val="00F73AAE"/>
    <w:rsid w:val="00F7425E"/>
    <w:rsid w:val="00F744D6"/>
    <w:rsid w:val="00F74A1C"/>
    <w:rsid w:val="00F74E59"/>
    <w:rsid w:val="00F7512F"/>
    <w:rsid w:val="00F75381"/>
    <w:rsid w:val="00F753BC"/>
    <w:rsid w:val="00F755FF"/>
    <w:rsid w:val="00F75F31"/>
    <w:rsid w:val="00F765A6"/>
    <w:rsid w:val="00F76A7F"/>
    <w:rsid w:val="00F76B43"/>
    <w:rsid w:val="00F76D10"/>
    <w:rsid w:val="00F776E1"/>
    <w:rsid w:val="00F7778B"/>
    <w:rsid w:val="00F80049"/>
    <w:rsid w:val="00F805A3"/>
    <w:rsid w:val="00F80687"/>
    <w:rsid w:val="00F807A2"/>
    <w:rsid w:val="00F80875"/>
    <w:rsid w:val="00F808E6"/>
    <w:rsid w:val="00F80BE8"/>
    <w:rsid w:val="00F811D1"/>
    <w:rsid w:val="00F8136F"/>
    <w:rsid w:val="00F81C7A"/>
    <w:rsid w:val="00F81D84"/>
    <w:rsid w:val="00F81FED"/>
    <w:rsid w:val="00F8217F"/>
    <w:rsid w:val="00F8234F"/>
    <w:rsid w:val="00F82467"/>
    <w:rsid w:val="00F825C3"/>
    <w:rsid w:val="00F8260F"/>
    <w:rsid w:val="00F82E75"/>
    <w:rsid w:val="00F82FED"/>
    <w:rsid w:val="00F83300"/>
    <w:rsid w:val="00F837DF"/>
    <w:rsid w:val="00F83853"/>
    <w:rsid w:val="00F84179"/>
    <w:rsid w:val="00F84297"/>
    <w:rsid w:val="00F844CF"/>
    <w:rsid w:val="00F8506F"/>
    <w:rsid w:val="00F853E7"/>
    <w:rsid w:val="00F858EB"/>
    <w:rsid w:val="00F85CE3"/>
    <w:rsid w:val="00F86826"/>
    <w:rsid w:val="00F86D2A"/>
    <w:rsid w:val="00F86DFA"/>
    <w:rsid w:val="00F86F4A"/>
    <w:rsid w:val="00F86F8E"/>
    <w:rsid w:val="00F90265"/>
    <w:rsid w:val="00F9090E"/>
    <w:rsid w:val="00F911E0"/>
    <w:rsid w:val="00F91215"/>
    <w:rsid w:val="00F914CD"/>
    <w:rsid w:val="00F91BB6"/>
    <w:rsid w:val="00F92DD5"/>
    <w:rsid w:val="00F93989"/>
    <w:rsid w:val="00F93E66"/>
    <w:rsid w:val="00F94628"/>
    <w:rsid w:val="00F95063"/>
    <w:rsid w:val="00F951C4"/>
    <w:rsid w:val="00F95268"/>
    <w:rsid w:val="00F952DA"/>
    <w:rsid w:val="00F952EE"/>
    <w:rsid w:val="00F95CB8"/>
    <w:rsid w:val="00F967CC"/>
    <w:rsid w:val="00F9754B"/>
    <w:rsid w:val="00F97729"/>
    <w:rsid w:val="00F97A0B"/>
    <w:rsid w:val="00F97D26"/>
    <w:rsid w:val="00FA1252"/>
    <w:rsid w:val="00FA133B"/>
    <w:rsid w:val="00FA2212"/>
    <w:rsid w:val="00FA28FD"/>
    <w:rsid w:val="00FA2C73"/>
    <w:rsid w:val="00FA2F13"/>
    <w:rsid w:val="00FA34B8"/>
    <w:rsid w:val="00FA34CE"/>
    <w:rsid w:val="00FA3530"/>
    <w:rsid w:val="00FA376A"/>
    <w:rsid w:val="00FA3C60"/>
    <w:rsid w:val="00FA3CB8"/>
    <w:rsid w:val="00FA4B98"/>
    <w:rsid w:val="00FA5429"/>
    <w:rsid w:val="00FA5C5F"/>
    <w:rsid w:val="00FA5E14"/>
    <w:rsid w:val="00FA5E71"/>
    <w:rsid w:val="00FA5FF0"/>
    <w:rsid w:val="00FA6080"/>
    <w:rsid w:val="00FA6179"/>
    <w:rsid w:val="00FA63C8"/>
    <w:rsid w:val="00FA66E4"/>
    <w:rsid w:val="00FA6864"/>
    <w:rsid w:val="00FA6DB7"/>
    <w:rsid w:val="00FA7369"/>
    <w:rsid w:val="00FA75B0"/>
    <w:rsid w:val="00FA75D1"/>
    <w:rsid w:val="00FA77B9"/>
    <w:rsid w:val="00FA78FD"/>
    <w:rsid w:val="00FA7F8C"/>
    <w:rsid w:val="00FB0098"/>
    <w:rsid w:val="00FB0483"/>
    <w:rsid w:val="00FB04D2"/>
    <w:rsid w:val="00FB0612"/>
    <w:rsid w:val="00FB06E8"/>
    <w:rsid w:val="00FB0811"/>
    <w:rsid w:val="00FB0A00"/>
    <w:rsid w:val="00FB0AAA"/>
    <w:rsid w:val="00FB12F4"/>
    <w:rsid w:val="00FB1493"/>
    <w:rsid w:val="00FB167C"/>
    <w:rsid w:val="00FB1802"/>
    <w:rsid w:val="00FB1A39"/>
    <w:rsid w:val="00FB1B2A"/>
    <w:rsid w:val="00FB1C35"/>
    <w:rsid w:val="00FB1C43"/>
    <w:rsid w:val="00FB1D7C"/>
    <w:rsid w:val="00FB1E17"/>
    <w:rsid w:val="00FB1ED0"/>
    <w:rsid w:val="00FB1FEA"/>
    <w:rsid w:val="00FB2695"/>
    <w:rsid w:val="00FB2826"/>
    <w:rsid w:val="00FB2882"/>
    <w:rsid w:val="00FB29B8"/>
    <w:rsid w:val="00FB2D3A"/>
    <w:rsid w:val="00FB31CE"/>
    <w:rsid w:val="00FB340E"/>
    <w:rsid w:val="00FB39D6"/>
    <w:rsid w:val="00FB3BCE"/>
    <w:rsid w:val="00FB3C79"/>
    <w:rsid w:val="00FB41AA"/>
    <w:rsid w:val="00FB45A0"/>
    <w:rsid w:val="00FB486D"/>
    <w:rsid w:val="00FB4FC2"/>
    <w:rsid w:val="00FB50CD"/>
    <w:rsid w:val="00FB57E9"/>
    <w:rsid w:val="00FB5887"/>
    <w:rsid w:val="00FB5DC5"/>
    <w:rsid w:val="00FB5E58"/>
    <w:rsid w:val="00FB68C4"/>
    <w:rsid w:val="00FB7308"/>
    <w:rsid w:val="00FB7AC8"/>
    <w:rsid w:val="00FB7B1B"/>
    <w:rsid w:val="00FB7ECB"/>
    <w:rsid w:val="00FB7F6F"/>
    <w:rsid w:val="00FC0A27"/>
    <w:rsid w:val="00FC1000"/>
    <w:rsid w:val="00FC1631"/>
    <w:rsid w:val="00FC16F0"/>
    <w:rsid w:val="00FC185B"/>
    <w:rsid w:val="00FC1BB2"/>
    <w:rsid w:val="00FC295D"/>
    <w:rsid w:val="00FC3909"/>
    <w:rsid w:val="00FC443B"/>
    <w:rsid w:val="00FC4741"/>
    <w:rsid w:val="00FC484C"/>
    <w:rsid w:val="00FC496D"/>
    <w:rsid w:val="00FC4EAF"/>
    <w:rsid w:val="00FC4FDE"/>
    <w:rsid w:val="00FC527C"/>
    <w:rsid w:val="00FC56E5"/>
    <w:rsid w:val="00FC6231"/>
    <w:rsid w:val="00FC6445"/>
    <w:rsid w:val="00FC686B"/>
    <w:rsid w:val="00FC6FF5"/>
    <w:rsid w:val="00FC75E1"/>
    <w:rsid w:val="00FC75F5"/>
    <w:rsid w:val="00FC785D"/>
    <w:rsid w:val="00FC7A0C"/>
    <w:rsid w:val="00FC7A93"/>
    <w:rsid w:val="00FC7E40"/>
    <w:rsid w:val="00FC7FC2"/>
    <w:rsid w:val="00FD0A83"/>
    <w:rsid w:val="00FD13CE"/>
    <w:rsid w:val="00FD13E0"/>
    <w:rsid w:val="00FD14F1"/>
    <w:rsid w:val="00FD184E"/>
    <w:rsid w:val="00FD1876"/>
    <w:rsid w:val="00FD2285"/>
    <w:rsid w:val="00FD2363"/>
    <w:rsid w:val="00FD2C50"/>
    <w:rsid w:val="00FD3403"/>
    <w:rsid w:val="00FD35EA"/>
    <w:rsid w:val="00FD3DD6"/>
    <w:rsid w:val="00FD41F3"/>
    <w:rsid w:val="00FD4BB1"/>
    <w:rsid w:val="00FD4F33"/>
    <w:rsid w:val="00FD5A46"/>
    <w:rsid w:val="00FD5CB6"/>
    <w:rsid w:val="00FD6507"/>
    <w:rsid w:val="00FD6D32"/>
    <w:rsid w:val="00FD6E9D"/>
    <w:rsid w:val="00FD7035"/>
    <w:rsid w:val="00FD7102"/>
    <w:rsid w:val="00FD7739"/>
    <w:rsid w:val="00FE0A15"/>
    <w:rsid w:val="00FE0D2E"/>
    <w:rsid w:val="00FE0FA1"/>
    <w:rsid w:val="00FE105E"/>
    <w:rsid w:val="00FE1136"/>
    <w:rsid w:val="00FE117B"/>
    <w:rsid w:val="00FE1595"/>
    <w:rsid w:val="00FE1718"/>
    <w:rsid w:val="00FE179E"/>
    <w:rsid w:val="00FE184A"/>
    <w:rsid w:val="00FE1B59"/>
    <w:rsid w:val="00FE208D"/>
    <w:rsid w:val="00FE2760"/>
    <w:rsid w:val="00FE2CF2"/>
    <w:rsid w:val="00FE3A91"/>
    <w:rsid w:val="00FE3CD9"/>
    <w:rsid w:val="00FE4314"/>
    <w:rsid w:val="00FE44BA"/>
    <w:rsid w:val="00FE4DBA"/>
    <w:rsid w:val="00FE544D"/>
    <w:rsid w:val="00FE570F"/>
    <w:rsid w:val="00FE5843"/>
    <w:rsid w:val="00FE6235"/>
    <w:rsid w:val="00FE6883"/>
    <w:rsid w:val="00FE6A6E"/>
    <w:rsid w:val="00FE7621"/>
    <w:rsid w:val="00FE76A1"/>
    <w:rsid w:val="00FE7BB3"/>
    <w:rsid w:val="00FF017A"/>
    <w:rsid w:val="00FF0264"/>
    <w:rsid w:val="00FF038C"/>
    <w:rsid w:val="00FF05A4"/>
    <w:rsid w:val="00FF09BB"/>
    <w:rsid w:val="00FF1108"/>
    <w:rsid w:val="00FF1461"/>
    <w:rsid w:val="00FF162F"/>
    <w:rsid w:val="00FF1936"/>
    <w:rsid w:val="00FF1D89"/>
    <w:rsid w:val="00FF1E13"/>
    <w:rsid w:val="00FF1E6F"/>
    <w:rsid w:val="00FF23C0"/>
    <w:rsid w:val="00FF33A1"/>
    <w:rsid w:val="00FF36C1"/>
    <w:rsid w:val="00FF3920"/>
    <w:rsid w:val="00FF393C"/>
    <w:rsid w:val="00FF3C3B"/>
    <w:rsid w:val="00FF42C0"/>
    <w:rsid w:val="00FF4F7C"/>
    <w:rsid w:val="00FF53EC"/>
    <w:rsid w:val="00FF554D"/>
    <w:rsid w:val="00FF572E"/>
    <w:rsid w:val="00FF60A0"/>
    <w:rsid w:val="00FF6382"/>
    <w:rsid w:val="00FF63D1"/>
    <w:rsid w:val="00FF6447"/>
    <w:rsid w:val="00FF64CE"/>
    <w:rsid w:val="00FF6D61"/>
    <w:rsid w:val="00FF7699"/>
    <w:rsid w:val="0254207A"/>
    <w:rsid w:val="0255716B"/>
    <w:rsid w:val="034902E8"/>
    <w:rsid w:val="036819E3"/>
    <w:rsid w:val="0575454E"/>
    <w:rsid w:val="05DE66A4"/>
    <w:rsid w:val="06357BC4"/>
    <w:rsid w:val="0C1657C7"/>
    <w:rsid w:val="0CF60434"/>
    <w:rsid w:val="0FC23112"/>
    <w:rsid w:val="10484C1A"/>
    <w:rsid w:val="127229AB"/>
    <w:rsid w:val="12AB381C"/>
    <w:rsid w:val="12BD6AB2"/>
    <w:rsid w:val="1476791E"/>
    <w:rsid w:val="15552914"/>
    <w:rsid w:val="177E0958"/>
    <w:rsid w:val="1ADC6D33"/>
    <w:rsid w:val="1B622997"/>
    <w:rsid w:val="1C212148"/>
    <w:rsid w:val="1DA323D1"/>
    <w:rsid w:val="1DDF18E3"/>
    <w:rsid w:val="1DFD214B"/>
    <w:rsid w:val="1E2A468B"/>
    <w:rsid w:val="22562947"/>
    <w:rsid w:val="23984A4E"/>
    <w:rsid w:val="245050D5"/>
    <w:rsid w:val="24CD6DA6"/>
    <w:rsid w:val="260706D6"/>
    <w:rsid w:val="27E80200"/>
    <w:rsid w:val="29B25F64"/>
    <w:rsid w:val="2A9F5CB4"/>
    <w:rsid w:val="2F5F232A"/>
    <w:rsid w:val="322D555C"/>
    <w:rsid w:val="32C12FBE"/>
    <w:rsid w:val="341F00B6"/>
    <w:rsid w:val="34DF7D9D"/>
    <w:rsid w:val="36CA4985"/>
    <w:rsid w:val="3D9557FB"/>
    <w:rsid w:val="3E11152E"/>
    <w:rsid w:val="3FE845E5"/>
    <w:rsid w:val="4163554B"/>
    <w:rsid w:val="42664F1F"/>
    <w:rsid w:val="43596B51"/>
    <w:rsid w:val="43EA2391"/>
    <w:rsid w:val="456E2133"/>
    <w:rsid w:val="46427892"/>
    <w:rsid w:val="48566E51"/>
    <w:rsid w:val="486B4846"/>
    <w:rsid w:val="4A7165B3"/>
    <w:rsid w:val="4EB81DB3"/>
    <w:rsid w:val="50507AEB"/>
    <w:rsid w:val="50C81E37"/>
    <w:rsid w:val="538F6DE0"/>
    <w:rsid w:val="54155500"/>
    <w:rsid w:val="54462E8C"/>
    <w:rsid w:val="5505747D"/>
    <w:rsid w:val="59603907"/>
    <w:rsid w:val="597D7C36"/>
    <w:rsid w:val="5A830FC0"/>
    <w:rsid w:val="5DBB371D"/>
    <w:rsid w:val="613B0E6B"/>
    <w:rsid w:val="6D333C3B"/>
    <w:rsid w:val="6D5710FE"/>
    <w:rsid w:val="6EBC13B9"/>
    <w:rsid w:val="728F15FF"/>
    <w:rsid w:val="72AA6425"/>
    <w:rsid w:val="732108D6"/>
    <w:rsid w:val="73FF5B1D"/>
    <w:rsid w:val="74B674FE"/>
    <w:rsid w:val="75B53D66"/>
    <w:rsid w:val="771E389F"/>
    <w:rsid w:val="77507311"/>
    <w:rsid w:val="777625CD"/>
    <w:rsid w:val="77BA7EBD"/>
    <w:rsid w:val="7B253193"/>
    <w:rsid w:val="7B297B9C"/>
    <w:rsid w:val="7C7905E4"/>
    <w:rsid w:val="7D493FD8"/>
    <w:rsid w:val="7E0F72E8"/>
    <w:rsid w:val="7EFB3A49"/>
    <w:rsid w:val="7FCF5D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99" w:name="heading 7"/>
    <w:lsdException w:qFormat="1" w:uiPriority="99" w:name="heading 8"/>
    <w:lsdException w:qFormat="1" w:uiPriority="9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iPriority="0" w:semiHidden="0" w:name="Normal Indent"/>
    <w:lsdException w:uiPriority="99" w:name="footnote text"/>
    <w:lsdException w:qFormat="1" w:uiPriority="99" w:semiHidden="0" w:name="annotation text"/>
    <w:lsdException w:qFormat="1" w:uiPriority="0" w:semiHidden="0" w:name="header"/>
    <w:lsdException w:qFormat="1" w:uiPriority="0"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0"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qFormat="1" w:uiPriority="0" w:name="List"/>
    <w:lsdException w:uiPriority="99" w:name="List Bullet"/>
    <w:lsdException w:uiPriority="99" w:name="List Number"/>
    <w:lsdException w:qFormat="1" w:uiPriority="0" w:name="List 2"/>
    <w:lsdException w:qFormat="1" w:uiPriority="99" w:name="List 3"/>
    <w:lsdException w:uiPriority="99" w:name="List 4"/>
    <w:lsdException w:uiPriority="99" w:name="List 5"/>
    <w:lsdException w:uiPriority="99" w:name="List Bullet 2"/>
    <w:lsdException w:uiPriority="99" w:name="List Bullet 3"/>
    <w:lsdException w:uiPriority="99" w:name="List Bullet 4"/>
    <w:lsdException w:qFormat="1"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0" w:semiHidden="0" w:name="Body Text"/>
    <w:lsdException w:qFormat="1"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qFormat="1" w:uiPriority="0" w:semiHidden="0" w:name="Body Text First Indent"/>
    <w:lsdException w:qFormat="1" w:uiPriority="0" w:name="Body Text First Indent 2"/>
    <w:lsdException w:qFormat="1" w:uiPriority="0" w:name="Note Heading"/>
    <w:lsdException w:qFormat="1" w:uiPriority="99" w:semiHidden="0" w:name="Body Text 2"/>
    <w:lsdException w:qFormat="1" w:uiPriority="0" w:name="Body Text 3"/>
    <w:lsdException w:qFormat="1" w:uiPriority="0" w:semiHidden="0" w:name="Body Text Indent 2"/>
    <w:lsdException w:qFormat="1" w:uiPriority="0" w:name="Body Text Indent 3"/>
    <w:lsdException w:qFormat="1" w:uiPriority="0" w:semiHidden="0"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0" w:name="Document Map"/>
    <w:lsdException w:qFormat="1" w:uiPriority="0" w:semiHidden="0" w:name="Plain Text"/>
    <w:lsdException w:uiPriority="99" w:name="E-mail Signature"/>
    <w:lsdException w:qFormat="1"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qFormat="1" w:uiPriority="0"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qFormat="1" w:uiPriority="0" w:name="Table Grid 1"/>
    <w:lsdException w:uiPriority="99" w:name="Table Grid 2"/>
    <w:lsdException w:uiPriority="99" w:name="Table Grid 3"/>
    <w:lsdException w:uiPriority="99" w:name="Table Grid 4"/>
    <w:lsdException w:uiPriority="99" w:name="Table Grid 5"/>
    <w:lsdException w:qFormat="1" w:uiPriority="0"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qFormat="1" w:uiPriority="0"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name="Balloon Text"/>
    <w:lsdException w:qFormat="1" w:unhideWhenUsed="0" w:uiPriority="0" w:semiHidden="0" w:name="Table Grid"/>
    <w:lsdException w:uiPriority="99"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62"/>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63"/>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64"/>
    <w:unhideWhenUsed/>
    <w:qFormat/>
    <w:uiPriority w:val="0"/>
    <w:pPr>
      <w:keepNext/>
      <w:keepLines/>
      <w:spacing w:before="260" w:after="260" w:line="416" w:lineRule="atLeast"/>
      <w:ind w:firstLine="425" w:firstLineChars="177"/>
      <w:outlineLvl w:val="2"/>
    </w:pPr>
    <w:rPr>
      <w:rFonts w:ascii="宋体" w:hAnsi="宋体" w:cs="宋体"/>
      <w:sz w:val="32"/>
      <w:szCs w:val="32"/>
    </w:rPr>
  </w:style>
  <w:style w:type="paragraph" w:styleId="5">
    <w:name w:val="heading 4"/>
    <w:basedOn w:val="1"/>
    <w:next w:val="1"/>
    <w:link w:val="65"/>
    <w:unhideWhenUsed/>
    <w:qFormat/>
    <w:uiPriority w:val="0"/>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6">
    <w:name w:val="heading 5"/>
    <w:basedOn w:val="1"/>
    <w:next w:val="1"/>
    <w:link w:val="66"/>
    <w:semiHidden/>
    <w:unhideWhenUsed/>
    <w:qFormat/>
    <w:uiPriority w:val="0"/>
    <w:pPr>
      <w:keepNext/>
      <w:keepLines/>
      <w:widowControl/>
      <w:spacing w:before="280" w:after="290" w:line="372" w:lineRule="auto"/>
      <w:ind w:firstLine="425" w:firstLineChars="177"/>
      <w:outlineLvl w:val="4"/>
    </w:pPr>
    <w:rPr>
      <w:color w:val="000000"/>
      <w:kern w:val="0"/>
      <w:sz w:val="28"/>
      <w:szCs w:val="28"/>
    </w:rPr>
  </w:style>
  <w:style w:type="paragraph" w:styleId="7">
    <w:name w:val="heading 6"/>
    <w:basedOn w:val="1"/>
    <w:next w:val="1"/>
    <w:link w:val="67"/>
    <w:semiHidden/>
    <w:unhideWhenUsed/>
    <w:qFormat/>
    <w:uiPriority w:val="0"/>
    <w:pPr>
      <w:keepNext/>
      <w:keepLines/>
      <w:widowControl/>
      <w:spacing w:before="240" w:after="64" w:line="316" w:lineRule="auto"/>
      <w:ind w:firstLine="425" w:firstLineChars="177"/>
      <w:outlineLvl w:val="5"/>
    </w:pPr>
    <w:rPr>
      <w:rFonts w:ascii="Arial" w:hAnsi="Arial" w:eastAsia="黑体"/>
      <w:color w:val="000000"/>
      <w:kern w:val="0"/>
      <w:sz w:val="24"/>
    </w:rPr>
  </w:style>
  <w:style w:type="paragraph" w:styleId="8">
    <w:name w:val="heading 7"/>
    <w:basedOn w:val="2"/>
    <w:next w:val="1"/>
    <w:link w:val="68"/>
    <w:semiHidden/>
    <w:unhideWhenUsed/>
    <w:qFormat/>
    <w:uiPriority w:val="99"/>
    <w:pPr>
      <w:widowControl/>
      <w:spacing w:before="240" w:after="64" w:line="316" w:lineRule="auto"/>
      <w:ind w:firstLine="425" w:firstLineChars="177"/>
      <w:outlineLvl w:val="6"/>
    </w:pPr>
    <w:rPr>
      <w:color w:val="000000"/>
      <w:kern w:val="0"/>
      <w:sz w:val="24"/>
      <w:szCs w:val="24"/>
    </w:rPr>
  </w:style>
  <w:style w:type="paragraph" w:styleId="9">
    <w:name w:val="heading 8"/>
    <w:basedOn w:val="2"/>
    <w:next w:val="1"/>
    <w:link w:val="69"/>
    <w:semiHidden/>
    <w:unhideWhenUsed/>
    <w:qFormat/>
    <w:uiPriority w:val="99"/>
    <w:pPr>
      <w:widowControl/>
      <w:spacing w:before="240" w:after="64" w:line="316" w:lineRule="auto"/>
      <w:ind w:firstLine="425" w:firstLineChars="177"/>
      <w:outlineLvl w:val="7"/>
    </w:pPr>
    <w:rPr>
      <w:rFonts w:ascii="Arial" w:hAnsi="Arial" w:eastAsia="黑体"/>
      <w:b w:val="0"/>
      <w:bCs w:val="0"/>
      <w:color w:val="000000"/>
      <w:kern w:val="0"/>
      <w:sz w:val="24"/>
      <w:szCs w:val="24"/>
    </w:rPr>
  </w:style>
  <w:style w:type="paragraph" w:styleId="10">
    <w:name w:val="heading 9"/>
    <w:basedOn w:val="2"/>
    <w:next w:val="1"/>
    <w:link w:val="70"/>
    <w:semiHidden/>
    <w:unhideWhenUsed/>
    <w:qFormat/>
    <w:uiPriority w:val="99"/>
    <w:pPr>
      <w:widowControl/>
      <w:spacing w:beforeLines="50" w:after="64" w:line="400" w:lineRule="exact"/>
      <w:ind w:firstLine="425" w:firstLineChars="177"/>
      <w:jc w:val="center"/>
      <w:outlineLvl w:val="8"/>
    </w:pPr>
    <w:rPr>
      <w:b w:val="0"/>
      <w:bCs w:val="0"/>
      <w:color w:val="000000"/>
      <w:kern w:val="0"/>
      <w:sz w:val="24"/>
      <w:szCs w:val="21"/>
    </w:rPr>
  </w:style>
  <w:style w:type="character" w:default="1" w:styleId="50">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11">
    <w:name w:val="List 3"/>
    <w:basedOn w:val="1"/>
    <w:semiHidden/>
    <w:unhideWhenUsed/>
    <w:qFormat/>
    <w:uiPriority w:val="99"/>
    <w:pPr>
      <w:ind w:left="100" w:leftChars="400" w:hanging="200" w:hangingChars="200"/>
      <w:contextualSpacing/>
    </w:pPr>
  </w:style>
  <w:style w:type="paragraph" w:styleId="12">
    <w:name w:val="Note Heading"/>
    <w:basedOn w:val="2"/>
    <w:next w:val="1"/>
    <w:link w:val="120"/>
    <w:semiHidden/>
    <w:unhideWhenUsed/>
    <w:qFormat/>
    <w:uiPriority w:val="0"/>
    <w:pPr>
      <w:keepNext w:val="0"/>
      <w:keepLines w:val="0"/>
      <w:spacing w:before="0" w:after="0" w:line="500" w:lineRule="atLeast"/>
      <w:ind w:firstLine="425" w:firstLineChars="177"/>
      <w:jc w:val="center"/>
      <w:outlineLvl w:val="9"/>
    </w:pPr>
    <w:rPr>
      <w:rFonts w:asciiTheme="minorHAnsi" w:hAnsiTheme="minorHAnsi" w:eastAsiaTheme="minorEastAsia" w:cstheme="minorBidi"/>
      <w:b w:val="0"/>
      <w:bCs w:val="0"/>
      <w:kern w:val="2"/>
      <w:sz w:val="24"/>
      <w:szCs w:val="22"/>
    </w:rPr>
  </w:style>
  <w:style w:type="paragraph" w:styleId="13">
    <w:name w:val="Normal Indent"/>
    <w:basedOn w:val="2"/>
    <w:next w:val="1"/>
    <w:link w:val="109"/>
    <w:unhideWhenUsed/>
    <w:qFormat/>
    <w:uiPriority w:val="0"/>
    <w:pPr>
      <w:keepNext w:val="0"/>
      <w:keepLines w:val="0"/>
      <w:adjustRightInd w:val="0"/>
      <w:snapToGrid w:val="0"/>
      <w:spacing w:before="0" w:after="0" w:line="300" w:lineRule="auto"/>
      <w:ind w:firstLine="200" w:firstLineChars="200"/>
      <w:outlineLvl w:val="9"/>
    </w:pPr>
    <w:rPr>
      <w:rFonts w:ascii="仿宋_GB2312" w:eastAsia="仿宋_GB2312" w:hAnsiTheme="minorHAnsi" w:cstheme="minorBidi"/>
      <w:b w:val="0"/>
      <w:bCs w:val="0"/>
      <w:kern w:val="2"/>
      <w:sz w:val="28"/>
      <w:szCs w:val="24"/>
    </w:rPr>
  </w:style>
  <w:style w:type="paragraph" w:styleId="14">
    <w:name w:val="caption"/>
    <w:basedOn w:val="2"/>
    <w:next w:val="1"/>
    <w:link w:val="112"/>
    <w:unhideWhenUsed/>
    <w:qFormat/>
    <w:uiPriority w:val="35"/>
    <w:pPr>
      <w:keepNext w:val="0"/>
      <w:keepLines w:val="0"/>
      <w:spacing w:before="0" w:after="0" w:line="500" w:lineRule="atLeast"/>
      <w:ind w:firstLine="521" w:firstLineChars="200"/>
      <w:outlineLvl w:val="9"/>
    </w:pPr>
    <w:rPr>
      <w:rFonts w:asciiTheme="minorHAnsi" w:hAnsiTheme="minorHAnsi" w:eastAsiaTheme="minorEastAsia" w:cstheme="minorBidi"/>
      <w:b w:val="0"/>
      <w:bCs w:val="0"/>
      <w:color w:val="000000"/>
      <w:kern w:val="2"/>
      <w:sz w:val="28"/>
      <w:szCs w:val="22"/>
    </w:rPr>
  </w:style>
  <w:style w:type="paragraph" w:styleId="15">
    <w:name w:val="Document Map"/>
    <w:basedOn w:val="1"/>
    <w:link w:val="78"/>
    <w:semiHidden/>
    <w:unhideWhenUsed/>
    <w:qFormat/>
    <w:uiPriority w:val="0"/>
    <w:rPr>
      <w:rFonts w:ascii="宋体"/>
      <w:sz w:val="18"/>
      <w:szCs w:val="18"/>
    </w:rPr>
  </w:style>
  <w:style w:type="paragraph" w:styleId="16">
    <w:name w:val="annotation text"/>
    <w:basedOn w:val="1"/>
    <w:link w:val="110"/>
    <w:unhideWhenUsed/>
    <w:qFormat/>
    <w:uiPriority w:val="99"/>
    <w:pPr>
      <w:jc w:val="left"/>
    </w:pPr>
    <w:rPr>
      <w:rFonts w:ascii="Calibri" w:hAnsi="Calibri" w:eastAsiaTheme="minorEastAsia" w:cstheme="minorBidi"/>
      <w:color w:val="000000"/>
      <w:sz w:val="24"/>
    </w:rPr>
  </w:style>
  <w:style w:type="paragraph" w:styleId="17">
    <w:name w:val="Body Text 3"/>
    <w:basedOn w:val="1"/>
    <w:link w:val="123"/>
    <w:semiHidden/>
    <w:unhideWhenUsed/>
    <w:qFormat/>
    <w:uiPriority w:val="0"/>
    <w:pPr>
      <w:spacing w:after="120"/>
    </w:pPr>
    <w:rPr>
      <w:rFonts w:ascii="Calibri" w:hAnsi="Calibri" w:eastAsiaTheme="minorEastAsia" w:cstheme="minorBidi"/>
      <w:color w:val="000000"/>
      <w:sz w:val="16"/>
      <w:szCs w:val="16"/>
    </w:rPr>
  </w:style>
  <w:style w:type="paragraph" w:styleId="18">
    <w:name w:val="Body Text"/>
    <w:basedOn w:val="1"/>
    <w:next w:val="19"/>
    <w:link w:val="90"/>
    <w:unhideWhenUsed/>
    <w:qFormat/>
    <w:uiPriority w:val="0"/>
    <w:pPr>
      <w:spacing w:after="120"/>
    </w:pPr>
  </w:style>
  <w:style w:type="paragraph" w:customStyle="1" w:styleId="19">
    <w:name w:val="Normal (Web)1"/>
    <w:next w:val="20"/>
    <w:qFormat/>
    <w:uiPriority w:val="0"/>
    <w:pPr>
      <w:jc w:val="both"/>
    </w:pPr>
    <w:rPr>
      <w:rFonts w:ascii="宋体" w:hAnsi="Times New Roman" w:eastAsia="宋体" w:cs="Times New Roman"/>
      <w:kern w:val="2"/>
      <w:sz w:val="24"/>
      <w:szCs w:val="21"/>
      <w:lang w:val="en-US" w:eastAsia="zh-CN" w:bidi="ar-SA"/>
    </w:rPr>
  </w:style>
  <w:style w:type="paragraph" w:customStyle="1" w:styleId="20">
    <w:name w:val="Date1"/>
    <w:basedOn w:val="2"/>
    <w:next w:val="1"/>
    <w:qFormat/>
    <w:uiPriority w:val="99"/>
    <w:pPr>
      <w:keepNext w:val="0"/>
      <w:keepLines w:val="0"/>
      <w:adjustRightInd w:val="0"/>
      <w:spacing w:before="0" w:after="0" w:line="500" w:lineRule="atLeast"/>
      <w:ind w:firstLine="425" w:firstLineChars="177"/>
      <w:outlineLvl w:val="9"/>
    </w:pPr>
    <w:rPr>
      <w:b w:val="0"/>
      <w:bCs w:val="0"/>
      <w:kern w:val="2"/>
      <w:sz w:val="24"/>
      <w:szCs w:val="20"/>
    </w:rPr>
  </w:style>
  <w:style w:type="paragraph" w:styleId="21">
    <w:name w:val="Body Text Indent"/>
    <w:basedOn w:val="1"/>
    <w:next w:val="22"/>
    <w:link w:val="114"/>
    <w:unhideWhenUsed/>
    <w:qFormat/>
    <w:uiPriority w:val="0"/>
    <w:pPr>
      <w:spacing w:line="360" w:lineRule="auto"/>
      <w:ind w:firstLine="482" w:firstLineChars="200"/>
      <w:jc w:val="center"/>
    </w:pPr>
    <w:rPr>
      <w:rFonts w:eastAsiaTheme="minorEastAsia"/>
      <w:color w:val="FF0000"/>
      <w:sz w:val="24"/>
    </w:rPr>
  </w:style>
  <w:style w:type="paragraph" w:customStyle="1" w:styleId="22">
    <w:name w:val="样式 正文文本缩进 + 行距: 1.5 倍行距"/>
    <w:basedOn w:val="21"/>
    <w:qFormat/>
    <w:uiPriority w:val="0"/>
    <w:pPr>
      <w:spacing w:after="120"/>
      <w:ind w:left="90" w:leftChars="32" w:firstLine="560"/>
    </w:pPr>
    <w:rPr>
      <w:rFonts w:eastAsia="宋体" w:cs="宋体"/>
    </w:rPr>
  </w:style>
  <w:style w:type="paragraph" w:styleId="23">
    <w:name w:val="List 2"/>
    <w:basedOn w:val="1"/>
    <w:link w:val="113"/>
    <w:semiHidden/>
    <w:unhideWhenUsed/>
    <w:qFormat/>
    <w:uiPriority w:val="0"/>
    <w:pPr>
      <w:ind w:left="100" w:leftChars="200" w:hanging="200" w:hangingChars="200"/>
      <w:contextualSpacing/>
    </w:pPr>
    <w:rPr>
      <w:rFonts w:ascii="楷体_GB2312" w:hAnsi="宋体" w:eastAsia="楷体_GB2312" w:cstheme="minorBidi"/>
      <w:color w:val="000000"/>
      <w:sz w:val="24"/>
      <w:szCs w:val="28"/>
    </w:rPr>
  </w:style>
  <w:style w:type="paragraph" w:styleId="24">
    <w:name w:val="Block Text"/>
    <w:basedOn w:val="1"/>
    <w:unhideWhenUsed/>
    <w:qFormat/>
    <w:uiPriority w:val="0"/>
    <w:pPr>
      <w:spacing w:after="120"/>
      <w:ind w:left="1440" w:leftChars="700" w:right="1440" w:rightChars="700"/>
    </w:pPr>
  </w:style>
  <w:style w:type="paragraph" w:styleId="25">
    <w:name w:val="Plain Text"/>
    <w:basedOn w:val="2"/>
    <w:next w:val="1"/>
    <w:link w:val="127"/>
    <w:unhideWhenUsed/>
    <w:qFormat/>
    <w:uiPriority w:val="0"/>
    <w:pPr>
      <w:keepNext w:val="0"/>
      <w:keepLines w:val="0"/>
      <w:spacing w:before="0" w:after="0" w:line="240" w:lineRule="auto"/>
      <w:outlineLvl w:val="9"/>
    </w:pPr>
    <w:rPr>
      <w:rFonts w:ascii="宋体" w:hAnsi="Courier New" w:cs="Courier New"/>
      <w:b w:val="0"/>
      <w:bCs w:val="0"/>
      <w:kern w:val="2"/>
      <w:sz w:val="21"/>
      <w:szCs w:val="21"/>
    </w:rPr>
  </w:style>
  <w:style w:type="paragraph" w:styleId="26">
    <w:name w:val="List Bullet 5"/>
    <w:basedOn w:val="1"/>
    <w:semiHidden/>
    <w:unhideWhenUsed/>
    <w:qFormat/>
    <w:uiPriority w:val="99"/>
    <w:pPr>
      <w:numPr>
        <w:ilvl w:val="0"/>
        <w:numId w:val="1"/>
      </w:numPr>
    </w:pPr>
  </w:style>
  <w:style w:type="paragraph" w:styleId="27">
    <w:name w:val="Date"/>
    <w:basedOn w:val="1"/>
    <w:next w:val="1"/>
    <w:link w:val="116"/>
    <w:semiHidden/>
    <w:unhideWhenUsed/>
    <w:qFormat/>
    <w:uiPriority w:val="99"/>
    <w:pPr>
      <w:ind w:left="100" w:leftChars="2500"/>
    </w:pPr>
    <w:rPr>
      <w:rFonts w:asciiTheme="minorHAnsi" w:hAnsiTheme="minorHAnsi" w:eastAsiaTheme="minorEastAsia" w:cstheme="minorBidi"/>
    </w:rPr>
  </w:style>
  <w:style w:type="paragraph" w:styleId="28">
    <w:name w:val="Body Text Indent 2"/>
    <w:basedOn w:val="2"/>
    <w:next w:val="1"/>
    <w:link w:val="124"/>
    <w:unhideWhenUsed/>
    <w:qFormat/>
    <w:uiPriority w:val="0"/>
    <w:pPr>
      <w:keepNext w:val="0"/>
      <w:keepLines w:val="0"/>
      <w:spacing w:before="0" w:after="0" w:line="360" w:lineRule="auto"/>
      <w:ind w:firstLine="480" w:firstLineChars="200"/>
      <w:outlineLvl w:val="9"/>
    </w:pPr>
    <w:rPr>
      <w:rFonts w:ascii="Calibri" w:hAnsi="Calibri" w:eastAsiaTheme="minorEastAsia" w:cstheme="minorBidi"/>
      <w:b w:val="0"/>
      <w:bCs w:val="0"/>
      <w:color w:val="000000"/>
      <w:kern w:val="2"/>
      <w:sz w:val="21"/>
      <w:szCs w:val="22"/>
    </w:rPr>
  </w:style>
  <w:style w:type="paragraph" w:styleId="29">
    <w:name w:val="endnote text"/>
    <w:basedOn w:val="1"/>
    <w:link w:val="713"/>
    <w:semiHidden/>
    <w:unhideWhenUsed/>
    <w:qFormat/>
    <w:uiPriority w:val="99"/>
    <w:pPr>
      <w:snapToGrid w:val="0"/>
      <w:jc w:val="left"/>
    </w:pPr>
  </w:style>
  <w:style w:type="paragraph" w:styleId="30">
    <w:name w:val="Balloon Text"/>
    <w:basedOn w:val="1"/>
    <w:link w:val="79"/>
    <w:semiHidden/>
    <w:unhideWhenUsed/>
    <w:qFormat/>
    <w:uiPriority w:val="0"/>
    <w:rPr>
      <w:sz w:val="18"/>
      <w:szCs w:val="18"/>
    </w:rPr>
  </w:style>
  <w:style w:type="paragraph" w:styleId="31">
    <w:name w:val="footer"/>
    <w:basedOn w:val="1"/>
    <w:link w:val="71"/>
    <w:unhideWhenUsed/>
    <w:qFormat/>
    <w:uiPriority w:val="0"/>
    <w:pPr>
      <w:tabs>
        <w:tab w:val="center" w:pos="4153"/>
        <w:tab w:val="right" w:pos="8306"/>
      </w:tabs>
      <w:snapToGrid w:val="0"/>
      <w:jc w:val="left"/>
    </w:pPr>
    <w:rPr>
      <w:sz w:val="18"/>
      <w:szCs w:val="18"/>
    </w:rPr>
  </w:style>
  <w:style w:type="paragraph" w:styleId="32">
    <w:name w:val="header"/>
    <w:basedOn w:val="1"/>
    <w:link w:val="80"/>
    <w:unhideWhenUsed/>
    <w:qFormat/>
    <w:uiPriority w:val="0"/>
    <w:pPr>
      <w:pBdr>
        <w:bottom w:val="single" w:color="auto" w:sz="6" w:space="1"/>
      </w:pBdr>
      <w:tabs>
        <w:tab w:val="center" w:pos="4153"/>
        <w:tab w:val="right" w:pos="8306"/>
      </w:tabs>
      <w:snapToGrid w:val="0"/>
      <w:jc w:val="center"/>
    </w:pPr>
    <w:rPr>
      <w:sz w:val="18"/>
      <w:szCs w:val="18"/>
    </w:rPr>
  </w:style>
  <w:style w:type="paragraph" w:styleId="33">
    <w:name w:val="toc 1"/>
    <w:basedOn w:val="1"/>
    <w:next w:val="1"/>
    <w:unhideWhenUsed/>
    <w:qFormat/>
    <w:uiPriority w:val="39"/>
    <w:pPr>
      <w:tabs>
        <w:tab w:val="right" w:leader="dot" w:pos="8302"/>
      </w:tabs>
      <w:adjustRightInd w:val="0"/>
      <w:snapToGrid w:val="0"/>
      <w:spacing w:line="288" w:lineRule="auto"/>
      <w:jc w:val="left"/>
    </w:pPr>
    <w:rPr>
      <w:rFonts w:eastAsia="黑体"/>
      <w:bCs/>
      <w:iCs/>
      <w:kern w:val="0"/>
      <w:sz w:val="24"/>
      <w:szCs w:val="28"/>
    </w:rPr>
  </w:style>
  <w:style w:type="paragraph" w:styleId="34">
    <w:name w:val="Subtitle"/>
    <w:basedOn w:val="1"/>
    <w:next w:val="1"/>
    <w:link w:val="74"/>
    <w:qFormat/>
    <w:uiPriority w:val="11"/>
    <w:pPr>
      <w:spacing w:before="200" w:after="200" w:line="360" w:lineRule="auto"/>
      <w:ind w:firstLine="496" w:firstLineChars="177"/>
      <w:jc w:val="left"/>
      <w:outlineLvl w:val="1"/>
    </w:pPr>
    <w:rPr>
      <w:rFonts w:ascii="黑体" w:hAnsi="黑体" w:eastAsia="黑体"/>
      <w:bCs/>
      <w:kern w:val="44"/>
      <w:sz w:val="28"/>
      <w:szCs w:val="28"/>
    </w:rPr>
  </w:style>
  <w:style w:type="paragraph" w:styleId="35">
    <w:name w:val="List"/>
    <w:basedOn w:val="1"/>
    <w:semiHidden/>
    <w:unhideWhenUsed/>
    <w:qFormat/>
    <w:uiPriority w:val="0"/>
    <w:pPr>
      <w:ind w:left="200" w:hanging="200" w:hangingChars="200"/>
      <w:contextualSpacing/>
    </w:pPr>
  </w:style>
  <w:style w:type="paragraph" w:styleId="36">
    <w:name w:val="Body Text Indent 3"/>
    <w:basedOn w:val="1"/>
    <w:link w:val="126"/>
    <w:semiHidden/>
    <w:unhideWhenUsed/>
    <w:qFormat/>
    <w:uiPriority w:val="0"/>
    <w:pPr>
      <w:spacing w:after="120"/>
      <w:ind w:left="420" w:leftChars="200"/>
    </w:pPr>
    <w:rPr>
      <w:rFonts w:ascii="Calibri" w:hAnsi="Calibri" w:eastAsiaTheme="minorEastAsia" w:cstheme="minorBidi"/>
      <w:color w:val="000000"/>
      <w:sz w:val="16"/>
      <w:szCs w:val="16"/>
    </w:rPr>
  </w:style>
  <w:style w:type="paragraph" w:styleId="37">
    <w:name w:val="toc 2"/>
    <w:basedOn w:val="1"/>
    <w:next w:val="1"/>
    <w:unhideWhenUsed/>
    <w:qFormat/>
    <w:uiPriority w:val="39"/>
    <w:pPr>
      <w:tabs>
        <w:tab w:val="right" w:leader="dot" w:pos="8296"/>
      </w:tabs>
      <w:adjustRightInd w:val="0"/>
      <w:snapToGrid w:val="0"/>
      <w:spacing w:line="288" w:lineRule="auto"/>
      <w:ind w:firstLine="200" w:firstLineChars="200"/>
    </w:pPr>
    <w:rPr>
      <w:bCs/>
      <w:color w:val="000000"/>
      <w:kern w:val="0"/>
      <w:sz w:val="24"/>
    </w:rPr>
  </w:style>
  <w:style w:type="paragraph" w:styleId="38">
    <w:name w:val="Body Text 2"/>
    <w:basedOn w:val="1"/>
    <w:link w:val="122"/>
    <w:unhideWhenUsed/>
    <w:qFormat/>
    <w:uiPriority w:val="99"/>
    <w:pPr>
      <w:spacing w:after="120" w:line="480" w:lineRule="auto"/>
    </w:pPr>
    <w:rPr>
      <w:rFonts w:asciiTheme="minorHAnsi" w:hAnsiTheme="minorHAnsi" w:eastAsiaTheme="minorEastAsia" w:cstheme="minorBidi"/>
      <w:sz w:val="24"/>
    </w:rPr>
  </w:style>
  <w:style w:type="paragraph" w:styleId="39">
    <w:name w:val="HTML Preformatted"/>
    <w:basedOn w:val="1"/>
    <w:link w:val="104"/>
    <w:semiHidden/>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00" w:lineRule="atLeast"/>
      <w:ind w:firstLine="425" w:firstLineChars="177"/>
      <w:jc w:val="left"/>
    </w:pPr>
    <w:rPr>
      <w:rFonts w:ascii="宋体" w:hAnsi="宋体" w:cs="宋体"/>
      <w:sz w:val="24"/>
    </w:rPr>
  </w:style>
  <w:style w:type="paragraph" w:styleId="40">
    <w:name w:val="Normal (Web)"/>
    <w:basedOn w:val="1"/>
    <w:unhideWhenUsed/>
    <w:qFormat/>
    <w:uiPriority w:val="0"/>
    <w:pPr>
      <w:keepNext w:val="0"/>
      <w:keepLines w:val="0"/>
      <w:spacing w:before="0" w:after="0" w:line="240" w:lineRule="auto"/>
      <w:ind w:firstLine="420" w:firstLineChars="200"/>
      <w:outlineLvl w:val="9"/>
    </w:pPr>
    <w:rPr>
      <w:rFonts w:ascii="Calibri" w:hAnsi="Calibri"/>
      <w:kern w:val="2"/>
      <w:sz w:val="21"/>
      <w:szCs w:val="22"/>
    </w:rPr>
  </w:style>
  <w:style w:type="paragraph" w:styleId="41">
    <w:name w:val="Title"/>
    <w:basedOn w:val="1"/>
    <w:link w:val="72"/>
    <w:qFormat/>
    <w:uiPriority w:val="10"/>
    <w:pPr>
      <w:tabs>
        <w:tab w:val="left" w:pos="5400"/>
      </w:tabs>
      <w:snapToGrid w:val="0"/>
      <w:spacing w:before="200" w:after="200" w:line="360" w:lineRule="auto"/>
      <w:ind w:firstLine="581" w:firstLineChars="177"/>
      <w:jc w:val="left"/>
      <w:outlineLvl w:val="0"/>
    </w:pPr>
    <w:rPr>
      <w:rFonts w:ascii="黑体" w:hAnsi="黑体" w:eastAsia="黑体"/>
      <w:color w:val="000000"/>
      <w:spacing w:val="4"/>
      <w:kern w:val="44"/>
      <w:sz w:val="32"/>
      <w:szCs w:val="32"/>
    </w:rPr>
  </w:style>
  <w:style w:type="paragraph" w:styleId="42">
    <w:name w:val="annotation subject"/>
    <w:basedOn w:val="16"/>
    <w:next w:val="16"/>
    <w:link w:val="130"/>
    <w:unhideWhenUsed/>
    <w:qFormat/>
    <w:uiPriority w:val="0"/>
    <w:rPr>
      <w:b/>
      <w:bCs/>
    </w:rPr>
  </w:style>
  <w:style w:type="paragraph" w:styleId="43">
    <w:name w:val="Body Text First Indent"/>
    <w:basedOn w:val="18"/>
    <w:next w:val="1"/>
    <w:link w:val="117"/>
    <w:unhideWhenUsed/>
    <w:qFormat/>
    <w:uiPriority w:val="0"/>
    <w:pPr>
      <w:spacing w:line="480" w:lineRule="exact"/>
      <w:ind w:firstLine="420" w:firstLineChars="100"/>
    </w:pPr>
    <w:rPr>
      <w:rFonts w:ascii="宋体" w:hAnsi="宋体"/>
      <w:sz w:val="24"/>
    </w:rPr>
  </w:style>
  <w:style w:type="paragraph" w:styleId="44">
    <w:name w:val="Body Text First Indent 2"/>
    <w:basedOn w:val="21"/>
    <w:next w:val="43"/>
    <w:link w:val="119"/>
    <w:semiHidden/>
    <w:unhideWhenUsed/>
    <w:qFormat/>
    <w:uiPriority w:val="0"/>
    <w:pPr>
      <w:spacing w:after="120"/>
      <w:ind w:left="420" w:leftChars="200" w:firstLine="420"/>
    </w:pPr>
    <w:rPr>
      <w:sz w:val="28"/>
    </w:rPr>
  </w:style>
  <w:style w:type="table" w:styleId="46">
    <w:name w:val="Table Grid"/>
    <w:basedOn w:val="45"/>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Table Elegant"/>
    <w:basedOn w:val="45"/>
    <w:semiHidden/>
    <w:unhideWhenUsed/>
    <w:qFormat/>
    <w:uiPriority w:val="0"/>
    <w:pPr>
      <w:widowControl w:val="0"/>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Pr>
    <w:tblStylePr w:type="firstRow">
      <w:rPr>
        <w:caps/>
        <w:color w:val="auto"/>
      </w:rPr>
      <w:tblPr/>
      <w:tcPr>
        <w:tcBorders>
          <w:top w:val="nil"/>
          <w:left w:val="nil"/>
          <w:bottom w:val="nil"/>
          <w:right w:val="nil"/>
          <w:insideH w:val="nil"/>
          <w:insideV w:val="nil"/>
          <w:tl2br w:val="nil"/>
          <w:tr2bl w:val="nil"/>
        </w:tcBorders>
      </w:tcPr>
    </w:tblStylePr>
  </w:style>
  <w:style w:type="table" w:styleId="48">
    <w:name w:val="Table Grid 1"/>
    <w:basedOn w:val="45"/>
    <w:semiHidden/>
    <w:unhideWhenUsed/>
    <w:qFormat/>
    <w:uiPriority w:val="0"/>
    <w:pPr>
      <w:widowControl w:val="0"/>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49">
    <w:name w:val="Table Grid 6"/>
    <w:basedOn w:val="45"/>
    <w:semiHidden/>
    <w:unhideWhenUsed/>
    <w:qFormat/>
    <w:uiPriority w:val="0"/>
    <w:pPr>
      <w:widowControl w:val="0"/>
      <w:spacing w:line="440" w:lineRule="exact"/>
      <w:ind w:firstLine="496" w:firstLineChars="200"/>
    </w:pPr>
    <w:tblPr>
      <w:tblBorders>
        <w:top w:val="single" w:color="000000" w:sz="12" w:space="0"/>
        <w:left w:val="single" w:color="000000" w:sz="12" w:space="0"/>
        <w:bottom w:val="single" w:color="000000" w:sz="12" w:space="0"/>
        <w:right w:val="single" w:color="000000" w:sz="12" w:space="0"/>
        <w:insideV w:val="single" w:color="000000" w:sz="6" w:space="0"/>
      </w:tblBorders>
    </w:tblPr>
    <w:tblStylePr w:type="firstRow">
      <w:rPr>
        <w:b/>
        <w:bCs/>
      </w:rPr>
      <w:tblPr/>
      <w:tcPr>
        <w:tcBorders>
          <w:top w:val="nil"/>
          <w:left w:val="nil"/>
          <w:bottom w:val="single" w:color="000000" w:sz="6" w:space="0"/>
          <w:right w:val="nil"/>
          <w:insideH w:val="nil"/>
          <w:insideV w:val="nil"/>
          <w:tl2br w:val="nil"/>
          <w:tr2bl w:val="nil"/>
        </w:tcBorders>
      </w:tcPr>
    </w:tblStylePr>
    <w:tblStylePr w:type="lastRow">
      <w:rPr>
        <w:color w:val="auto"/>
      </w:rPr>
      <w:tblPr/>
      <w:tcPr>
        <w:tcBorders>
          <w:top w:val="single" w:color="000000" w:sz="6" w:space="0"/>
          <w:left w:val="nil"/>
          <w:bottom w:val="nil"/>
          <w:right w:val="nil"/>
          <w:insideH w:val="nil"/>
          <w:insideV w:val="nil"/>
          <w:tl2br w:val="nil"/>
          <w:tr2bl w:val="nil"/>
        </w:tcBorders>
      </w:tcPr>
    </w:tblStylePr>
    <w:tblStylePr w:type="fir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51">
    <w:name w:val="Strong"/>
    <w:basedOn w:val="50"/>
    <w:qFormat/>
    <w:uiPriority w:val="22"/>
    <w:rPr>
      <w:b/>
      <w:bCs/>
    </w:rPr>
  </w:style>
  <w:style w:type="character" w:styleId="52">
    <w:name w:val="endnote reference"/>
    <w:basedOn w:val="50"/>
    <w:semiHidden/>
    <w:unhideWhenUsed/>
    <w:qFormat/>
    <w:uiPriority w:val="99"/>
    <w:rPr>
      <w:vertAlign w:val="superscript"/>
    </w:rPr>
  </w:style>
  <w:style w:type="character" w:styleId="53">
    <w:name w:val="page number"/>
    <w:qFormat/>
    <w:uiPriority w:val="0"/>
    <w:rPr>
      <w:rFonts w:ascii="方正美黑简体" w:hAnsi="宋体" w:eastAsia="方正美黑简体"/>
      <w:sz w:val="18"/>
      <w:szCs w:val="20"/>
    </w:rPr>
  </w:style>
  <w:style w:type="character" w:styleId="54">
    <w:name w:val="FollowedHyperlink"/>
    <w:basedOn w:val="50"/>
    <w:semiHidden/>
    <w:unhideWhenUsed/>
    <w:qFormat/>
    <w:uiPriority w:val="99"/>
    <w:rPr>
      <w:color w:val="800080" w:themeColor="followedHyperlink"/>
      <w:u w:val="single"/>
      <w14:textFill>
        <w14:solidFill>
          <w14:schemeClr w14:val="folHlink"/>
        </w14:solidFill>
      </w14:textFill>
    </w:rPr>
  </w:style>
  <w:style w:type="character" w:styleId="55">
    <w:name w:val="HTML Typewriter"/>
    <w:semiHidden/>
    <w:unhideWhenUsed/>
    <w:qFormat/>
    <w:uiPriority w:val="0"/>
    <w:rPr>
      <w:rFonts w:hint="eastAsia" w:ascii="宋体" w:hAnsi="宋体" w:eastAsia="宋体" w:cs="宋体"/>
      <w:sz w:val="24"/>
      <w:szCs w:val="24"/>
    </w:rPr>
  </w:style>
  <w:style w:type="character" w:styleId="56">
    <w:name w:val="Hyperlink"/>
    <w:unhideWhenUsed/>
    <w:qFormat/>
    <w:uiPriority w:val="99"/>
    <w:rPr>
      <w:color w:val="0000FF"/>
      <w:u w:val="single"/>
    </w:rPr>
  </w:style>
  <w:style w:type="character" w:styleId="57">
    <w:name w:val="annotation reference"/>
    <w:semiHidden/>
    <w:unhideWhenUsed/>
    <w:qFormat/>
    <w:uiPriority w:val="0"/>
    <w:rPr>
      <w:sz w:val="21"/>
      <w:szCs w:val="21"/>
    </w:rPr>
  </w:style>
  <w:style w:type="paragraph" w:customStyle="1" w:styleId="58">
    <w:name w:val="报告书正文"/>
    <w:basedOn w:val="1"/>
    <w:qFormat/>
    <w:uiPriority w:val="0"/>
    <w:pPr>
      <w:adjustRightInd w:val="0"/>
      <w:snapToGrid w:val="0"/>
      <w:spacing w:line="360" w:lineRule="auto"/>
      <w:ind w:firstLine="425"/>
      <w:textAlignment w:val="baseline"/>
    </w:pPr>
    <w:rPr>
      <w:rFonts w:ascii="Arial" w:hAnsi="Arial"/>
      <w:kern w:val="0"/>
      <w:sz w:val="24"/>
    </w:rPr>
  </w:style>
  <w:style w:type="paragraph" w:customStyle="1" w:styleId="59">
    <w:name w:val="【正文】"/>
    <w:basedOn w:val="1"/>
    <w:link w:val="60"/>
    <w:qFormat/>
    <w:uiPriority w:val="0"/>
    <w:pPr>
      <w:widowControl/>
      <w:adjustRightInd w:val="0"/>
      <w:snapToGrid w:val="0"/>
      <w:spacing w:line="500" w:lineRule="exact"/>
      <w:ind w:firstLine="200" w:firstLineChars="200"/>
    </w:pPr>
    <w:rPr>
      <w:rFonts w:cstheme="minorBidi"/>
      <w:sz w:val="24"/>
    </w:rPr>
  </w:style>
  <w:style w:type="character" w:customStyle="1" w:styleId="60">
    <w:name w:val="【正文】 Char"/>
    <w:basedOn w:val="50"/>
    <w:link w:val="59"/>
    <w:qFormat/>
    <w:locked/>
    <w:uiPriority w:val="0"/>
    <w:rPr>
      <w:rFonts w:cstheme="minorBidi"/>
      <w:kern w:val="2"/>
      <w:sz w:val="24"/>
      <w:szCs w:val="24"/>
    </w:rPr>
  </w:style>
  <w:style w:type="paragraph" w:customStyle="1" w:styleId="61">
    <w:name w:val="表格"/>
    <w:basedOn w:val="1"/>
    <w:next w:val="1"/>
    <w:link w:val="93"/>
    <w:qFormat/>
    <w:uiPriority w:val="0"/>
    <w:pPr>
      <w:adjustRightInd w:val="0"/>
      <w:spacing w:before="40" w:after="40"/>
    </w:pPr>
    <w:rPr>
      <w:rFonts w:ascii="昆仑仿宋" w:eastAsia="昆仑仿宋"/>
      <w:kern w:val="0"/>
      <w:sz w:val="24"/>
      <w:szCs w:val="20"/>
    </w:rPr>
  </w:style>
  <w:style w:type="character" w:customStyle="1" w:styleId="62">
    <w:name w:val="标题 1 字符"/>
    <w:basedOn w:val="50"/>
    <w:link w:val="2"/>
    <w:qFormat/>
    <w:uiPriority w:val="0"/>
    <w:rPr>
      <w:rFonts w:ascii="Times New Roman" w:hAnsi="Times New Roman" w:eastAsia="宋体" w:cs="Times New Roman"/>
      <w:b/>
      <w:bCs/>
      <w:kern w:val="44"/>
      <w:sz w:val="44"/>
      <w:szCs w:val="44"/>
    </w:rPr>
  </w:style>
  <w:style w:type="character" w:customStyle="1" w:styleId="63">
    <w:name w:val="标题 2 字符"/>
    <w:basedOn w:val="50"/>
    <w:link w:val="3"/>
    <w:qFormat/>
    <w:uiPriority w:val="0"/>
    <w:rPr>
      <w:rFonts w:asciiTheme="majorHAnsi" w:hAnsiTheme="majorHAnsi" w:eastAsiaTheme="majorEastAsia" w:cstheme="majorBidi"/>
      <w:b/>
      <w:bCs/>
      <w:sz w:val="32"/>
      <w:szCs w:val="32"/>
    </w:rPr>
  </w:style>
  <w:style w:type="character" w:customStyle="1" w:styleId="64">
    <w:name w:val="标题 3 字符"/>
    <w:basedOn w:val="50"/>
    <w:link w:val="4"/>
    <w:qFormat/>
    <w:uiPriority w:val="0"/>
    <w:rPr>
      <w:rFonts w:ascii="宋体" w:hAnsi="宋体" w:eastAsia="宋体" w:cs="宋体"/>
      <w:sz w:val="32"/>
      <w:szCs w:val="32"/>
    </w:rPr>
  </w:style>
  <w:style w:type="character" w:customStyle="1" w:styleId="65">
    <w:name w:val="标题 4 字符1"/>
    <w:basedOn w:val="50"/>
    <w:link w:val="5"/>
    <w:qFormat/>
    <w:uiPriority w:val="0"/>
    <w:rPr>
      <w:rFonts w:asciiTheme="majorHAnsi" w:hAnsiTheme="majorHAnsi" w:eastAsiaTheme="majorEastAsia" w:cstheme="majorBidi"/>
      <w:b/>
      <w:bCs/>
      <w:sz w:val="28"/>
      <w:szCs w:val="28"/>
    </w:rPr>
  </w:style>
  <w:style w:type="character" w:customStyle="1" w:styleId="66">
    <w:name w:val="标题 5 字符"/>
    <w:basedOn w:val="50"/>
    <w:link w:val="6"/>
    <w:semiHidden/>
    <w:qFormat/>
    <w:uiPriority w:val="0"/>
    <w:rPr>
      <w:rFonts w:ascii="Times New Roman" w:hAnsi="Times New Roman" w:eastAsia="宋体" w:cs="Times New Roman"/>
      <w:color w:val="000000"/>
      <w:kern w:val="0"/>
      <w:sz w:val="28"/>
      <w:szCs w:val="28"/>
    </w:rPr>
  </w:style>
  <w:style w:type="character" w:customStyle="1" w:styleId="67">
    <w:name w:val="标题 6 字符"/>
    <w:basedOn w:val="50"/>
    <w:link w:val="7"/>
    <w:semiHidden/>
    <w:qFormat/>
    <w:uiPriority w:val="0"/>
    <w:rPr>
      <w:rFonts w:ascii="Arial" w:hAnsi="Arial" w:eastAsia="黑体" w:cs="Times New Roman"/>
      <w:color w:val="000000"/>
      <w:kern w:val="0"/>
      <w:sz w:val="24"/>
      <w:szCs w:val="24"/>
    </w:rPr>
  </w:style>
  <w:style w:type="character" w:customStyle="1" w:styleId="68">
    <w:name w:val="标题 7 字符"/>
    <w:basedOn w:val="50"/>
    <w:link w:val="8"/>
    <w:semiHidden/>
    <w:qFormat/>
    <w:uiPriority w:val="99"/>
    <w:rPr>
      <w:rFonts w:ascii="Times New Roman" w:hAnsi="Times New Roman" w:eastAsia="宋体" w:cs="Times New Roman"/>
      <w:b/>
      <w:bCs/>
      <w:color w:val="000000"/>
      <w:kern w:val="0"/>
      <w:sz w:val="24"/>
      <w:szCs w:val="24"/>
    </w:rPr>
  </w:style>
  <w:style w:type="character" w:customStyle="1" w:styleId="69">
    <w:name w:val="标题 8 字符"/>
    <w:basedOn w:val="50"/>
    <w:link w:val="9"/>
    <w:semiHidden/>
    <w:qFormat/>
    <w:uiPriority w:val="99"/>
    <w:rPr>
      <w:rFonts w:ascii="Arial" w:hAnsi="Arial" w:eastAsia="黑体" w:cs="Times New Roman"/>
      <w:color w:val="000000"/>
      <w:kern w:val="0"/>
      <w:sz w:val="24"/>
      <w:szCs w:val="24"/>
    </w:rPr>
  </w:style>
  <w:style w:type="character" w:customStyle="1" w:styleId="70">
    <w:name w:val="标题 9 字符"/>
    <w:basedOn w:val="50"/>
    <w:link w:val="10"/>
    <w:semiHidden/>
    <w:qFormat/>
    <w:uiPriority w:val="99"/>
    <w:rPr>
      <w:rFonts w:ascii="Times New Roman" w:hAnsi="Times New Roman" w:eastAsia="宋体" w:cs="Times New Roman"/>
      <w:color w:val="000000"/>
      <w:kern w:val="0"/>
      <w:sz w:val="24"/>
      <w:szCs w:val="21"/>
    </w:rPr>
  </w:style>
  <w:style w:type="character" w:customStyle="1" w:styleId="71">
    <w:name w:val="页脚 字符1"/>
    <w:basedOn w:val="50"/>
    <w:link w:val="31"/>
    <w:qFormat/>
    <w:uiPriority w:val="0"/>
    <w:rPr>
      <w:rFonts w:ascii="Times New Roman" w:hAnsi="Times New Roman" w:eastAsia="宋体" w:cs="Times New Roman"/>
      <w:sz w:val="18"/>
      <w:szCs w:val="18"/>
    </w:rPr>
  </w:style>
  <w:style w:type="character" w:customStyle="1" w:styleId="72">
    <w:name w:val="标题 字符"/>
    <w:basedOn w:val="50"/>
    <w:link w:val="41"/>
    <w:qFormat/>
    <w:locked/>
    <w:uiPriority w:val="10"/>
    <w:rPr>
      <w:rFonts w:ascii="黑体" w:hAnsi="黑体" w:eastAsia="黑体" w:cs="Times New Roman"/>
      <w:color w:val="000000"/>
      <w:spacing w:val="4"/>
      <w:kern w:val="44"/>
      <w:sz w:val="32"/>
      <w:szCs w:val="32"/>
    </w:rPr>
  </w:style>
  <w:style w:type="character" w:customStyle="1" w:styleId="73">
    <w:name w:val="标题 Char"/>
    <w:basedOn w:val="50"/>
    <w:qFormat/>
    <w:uiPriority w:val="10"/>
    <w:rPr>
      <w:rFonts w:eastAsia="宋体" w:asciiTheme="majorHAnsi" w:hAnsiTheme="majorHAnsi" w:cstheme="majorBidi"/>
      <w:b/>
      <w:bCs/>
      <w:sz w:val="32"/>
      <w:szCs w:val="32"/>
    </w:rPr>
  </w:style>
  <w:style w:type="character" w:customStyle="1" w:styleId="74">
    <w:name w:val="副标题 字符"/>
    <w:basedOn w:val="50"/>
    <w:link w:val="34"/>
    <w:qFormat/>
    <w:uiPriority w:val="11"/>
    <w:rPr>
      <w:rFonts w:ascii="黑体" w:hAnsi="黑体" w:eastAsia="黑体" w:cs="Times New Roman"/>
      <w:bCs/>
      <w:kern w:val="44"/>
      <w:sz w:val="28"/>
      <w:szCs w:val="28"/>
    </w:rPr>
  </w:style>
  <w:style w:type="character" w:customStyle="1" w:styleId="75">
    <w:name w:val="【表头】 Char"/>
    <w:link w:val="76"/>
    <w:qFormat/>
    <w:locked/>
    <w:uiPriority w:val="0"/>
    <w:rPr>
      <w:rFonts w:eastAsia="黑体" w:cstheme="minorBidi"/>
      <w:kern w:val="2"/>
      <w:sz w:val="24"/>
      <w:szCs w:val="21"/>
    </w:rPr>
  </w:style>
  <w:style w:type="paragraph" w:customStyle="1" w:styleId="76">
    <w:name w:val="【表头】"/>
    <w:basedOn w:val="1"/>
    <w:link w:val="75"/>
    <w:qFormat/>
    <w:uiPriority w:val="0"/>
    <w:pPr>
      <w:adjustRightInd w:val="0"/>
      <w:snapToGrid w:val="0"/>
      <w:spacing w:line="500" w:lineRule="exact"/>
      <w:jc w:val="center"/>
    </w:pPr>
    <w:rPr>
      <w:rFonts w:eastAsia="黑体" w:cstheme="minorBidi"/>
      <w:sz w:val="24"/>
      <w:szCs w:val="21"/>
    </w:rPr>
  </w:style>
  <w:style w:type="table" w:customStyle="1" w:styleId="77">
    <w:name w:val="环评表格"/>
    <w:basedOn w:val="45"/>
    <w:qFormat/>
    <w:uiPriority w:val="0"/>
    <w:pPr>
      <w:snapToGrid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78">
    <w:name w:val="文档结构图 字符"/>
    <w:basedOn w:val="50"/>
    <w:link w:val="15"/>
    <w:semiHidden/>
    <w:qFormat/>
    <w:uiPriority w:val="0"/>
    <w:rPr>
      <w:rFonts w:ascii="宋体" w:hAnsi="Times New Roman" w:eastAsia="宋体" w:cs="Times New Roman"/>
      <w:sz w:val="18"/>
      <w:szCs w:val="18"/>
    </w:rPr>
  </w:style>
  <w:style w:type="character" w:customStyle="1" w:styleId="79">
    <w:name w:val="批注框文本 字符"/>
    <w:basedOn w:val="50"/>
    <w:link w:val="30"/>
    <w:semiHidden/>
    <w:qFormat/>
    <w:uiPriority w:val="0"/>
    <w:rPr>
      <w:rFonts w:ascii="Times New Roman" w:hAnsi="Times New Roman" w:eastAsia="宋体" w:cs="Times New Roman"/>
      <w:sz w:val="18"/>
      <w:szCs w:val="18"/>
    </w:rPr>
  </w:style>
  <w:style w:type="character" w:customStyle="1" w:styleId="80">
    <w:name w:val="页眉 字符1"/>
    <w:basedOn w:val="50"/>
    <w:link w:val="32"/>
    <w:semiHidden/>
    <w:qFormat/>
    <w:uiPriority w:val="0"/>
    <w:rPr>
      <w:rFonts w:ascii="Times New Roman" w:hAnsi="Times New Roman" w:eastAsia="宋体" w:cs="Times New Roman"/>
      <w:sz w:val="18"/>
      <w:szCs w:val="18"/>
    </w:rPr>
  </w:style>
  <w:style w:type="character" w:customStyle="1" w:styleId="81">
    <w:name w:val="fontstyle01"/>
    <w:basedOn w:val="50"/>
    <w:qFormat/>
    <w:uiPriority w:val="0"/>
    <w:rPr>
      <w:rFonts w:hint="eastAsia" w:ascii="宋体" w:hAnsi="宋体" w:eastAsia="宋体"/>
      <w:color w:val="000000"/>
      <w:sz w:val="24"/>
      <w:szCs w:val="24"/>
    </w:rPr>
  </w:style>
  <w:style w:type="character" w:customStyle="1" w:styleId="82">
    <w:name w:val="fontstyle11"/>
    <w:basedOn w:val="50"/>
    <w:qFormat/>
    <w:uiPriority w:val="0"/>
    <w:rPr>
      <w:rFonts w:hint="default" w:ascii="TimesNewRomanPSMT" w:hAnsi="TimesNewRomanPSMT"/>
      <w:color w:val="000000"/>
      <w:sz w:val="24"/>
      <w:szCs w:val="24"/>
    </w:rPr>
  </w:style>
  <w:style w:type="character" w:customStyle="1" w:styleId="83">
    <w:name w:val="【表中文字】 Char Char"/>
    <w:link w:val="84"/>
    <w:qFormat/>
    <w:locked/>
    <w:uiPriority w:val="0"/>
    <w:rPr>
      <w:kern w:val="2"/>
      <w:sz w:val="21"/>
      <w:szCs w:val="21"/>
    </w:rPr>
  </w:style>
  <w:style w:type="paragraph" w:customStyle="1" w:styleId="84">
    <w:name w:val="【表中文字】"/>
    <w:basedOn w:val="1"/>
    <w:link w:val="83"/>
    <w:qFormat/>
    <w:uiPriority w:val="0"/>
    <w:pPr>
      <w:adjustRightInd w:val="0"/>
      <w:snapToGrid w:val="0"/>
      <w:jc w:val="center"/>
    </w:pPr>
    <w:rPr>
      <w:szCs w:val="21"/>
    </w:rPr>
  </w:style>
  <w:style w:type="paragraph" w:customStyle="1" w:styleId="85">
    <w:name w:val="p17"/>
    <w:basedOn w:val="1"/>
    <w:qFormat/>
    <w:uiPriority w:val="0"/>
    <w:pPr>
      <w:widowControl/>
      <w:spacing w:line="560" w:lineRule="atLeast"/>
    </w:pPr>
    <w:rPr>
      <w:rFonts w:ascii="Arial" w:hAnsi="Arial"/>
      <w:b/>
      <w:kern w:val="0"/>
      <w:sz w:val="36"/>
      <w:szCs w:val="20"/>
    </w:rPr>
  </w:style>
  <w:style w:type="table" w:customStyle="1" w:styleId="86">
    <w:name w:val="&gt;&gt; 表格样式 &lt;&lt;"/>
    <w:basedOn w:val="45"/>
    <w:qFormat/>
    <w:uiPriority w:val="0"/>
    <w:pPr>
      <w:keepLines/>
      <w:jc w:val="center"/>
    </w:pPr>
    <w:rPr>
      <w:szCs w:val="21"/>
    </w:rPr>
    <w:tblPr>
      <w:tblBorders>
        <w:top w:val="single" w:color="auto" w:sz="12" w:space="0"/>
        <w:bottom w:val="single" w:color="auto" w:sz="12" w:space="0"/>
        <w:insideH w:val="single" w:color="auto" w:sz="8" w:space="0"/>
        <w:insideV w:val="single" w:color="auto" w:sz="8" w:space="0"/>
      </w:tblBorders>
    </w:tblPr>
    <w:tcPr>
      <w:vAlign w:val="center"/>
    </w:tcPr>
    <w:tblStylePr w:type="firstRow">
      <w:rPr>
        <w:rFonts w:hint="eastAsia" w:ascii="宋体" w:hAnsi="宋体" w:eastAsia="宋体"/>
        <w:b w:val="0"/>
        <w:sz w:val="21"/>
        <w:szCs w:val="21"/>
      </w:rPr>
      <w:tcPr>
        <w:tcBorders>
          <w:top w:val="single" w:color="auto" w:sz="12" w:space="0"/>
          <w:left w:val="nil"/>
          <w:bottom w:val="single" w:color="auto" w:sz="8" w:space="0"/>
          <w:right w:val="nil"/>
          <w:insideH w:val="nil"/>
          <w:insideV w:val="single" w:sz="8" w:space="0"/>
          <w:tl2br w:val="nil"/>
          <w:tr2bl w:val="nil"/>
        </w:tcBorders>
      </w:tcPr>
    </w:tblStylePr>
    <w:tblStylePr w:type="lastRow">
      <w:tcPr>
        <w:tcBorders>
          <w:top w:val="single" w:color="auto" w:sz="8" w:space="0"/>
          <w:left w:val="nil"/>
          <w:bottom w:val="single" w:color="auto" w:sz="12" w:space="0"/>
          <w:right w:val="nil"/>
          <w:insideH w:val="nil"/>
          <w:insideV w:val="single" w:sz="8" w:space="0"/>
          <w:tl2br w:val="nil"/>
          <w:tr2bl w:val="nil"/>
        </w:tcBorders>
      </w:tcPr>
    </w:tblStylePr>
    <w:tblStylePr w:type="firstCol">
      <w:pPr>
        <w:jc w:val="center"/>
      </w:pPr>
      <w:rPr>
        <w:rFonts w:hint="eastAsia" w:ascii="宋体" w:hAnsi="宋体" w:eastAsia="宋体"/>
        <w:b w:val="0"/>
        <w:sz w:val="21"/>
        <w:szCs w:val="21"/>
      </w:rPr>
      <w:tcPr>
        <w:tcBorders>
          <w:top w:val="single" w:color="auto" w:sz="12" w:space="0"/>
          <w:left w:val="nil"/>
          <w:bottom w:val="single" w:color="auto" w:sz="12" w:space="0"/>
          <w:right w:val="single" w:color="auto" w:sz="8" w:space="0"/>
          <w:insideH w:val="nil"/>
          <w:insideV w:val="nil"/>
          <w:tl2br w:val="nil"/>
          <w:tr2bl w:val="nil"/>
        </w:tcBorders>
      </w:tcPr>
    </w:tblStylePr>
    <w:tblStylePr w:type="lastCol">
      <w:tcPr>
        <w:tcBorders>
          <w:top w:val="single" w:color="auto" w:sz="12" w:space="0"/>
          <w:left w:val="single" w:color="auto" w:sz="8" w:space="0"/>
          <w:bottom w:val="single" w:color="auto" w:sz="12" w:space="0"/>
          <w:right w:val="nil"/>
          <w:insideH w:val="nil"/>
          <w:insideV w:val="nil"/>
          <w:tl2br w:val="nil"/>
          <w:tr2bl w:val="nil"/>
        </w:tcBorders>
      </w:tcPr>
    </w:tblStylePr>
  </w:style>
  <w:style w:type="character" w:customStyle="1" w:styleId="87">
    <w:name w:val="【表中文字】 Char"/>
    <w:qFormat/>
    <w:locked/>
    <w:uiPriority w:val="0"/>
    <w:rPr>
      <w:rFonts w:ascii="Times New Roman" w:hAnsi="Times New Roman" w:cs="Times New Roman"/>
    </w:rPr>
  </w:style>
  <w:style w:type="character" w:customStyle="1" w:styleId="88">
    <w:name w:val="3级标题 Char"/>
    <w:basedOn w:val="50"/>
    <w:link w:val="89"/>
    <w:qFormat/>
    <w:locked/>
    <w:uiPriority w:val="0"/>
    <w:rPr>
      <w:rFonts w:ascii="黑体" w:hAnsi="黑体" w:eastAsia="黑体"/>
      <w:sz w:val="24"/>
      <w:szCs w:val="24"/>
    </w:rPr>
  </w:style>
  <w:style w:type="paragraph" w:customStyle="1" w:styleId="89">
    <w:name w:val="3级标题"/>
    <w:basedOn w:val="1"/>
    <w:link w:val="88"/>
    <w:qFormat/>
    <w:uiPriority w:val="0"/>
    <w:pPr>
      <w:spacing w:before="160" w:after="160" w:line="360" w:lineRule="auto"/>
      <w:ind w:firstLine="425" w:firstLineChars="177"/>
    </w:pPr>
    <w:rPr>
      <w:rFonts w:ascii="黑体" w:hAnsi="黑体" w:eastAsia="黑体" w:cstheme="minorBidi"/>
      <w:sz w:val="24"/>
    </w:rPr>
  </w:style>
  <w:style w:type="character" w:customStyle="1" w:styleId="90">
    <w:name w:val="正文文本 字符1"/>
    <w:basedOn w:val="50"/>
    <w:link w:val="18"/>
    <w:qFormat/>
    <w:locked/>
    <w:uiPriority w:val="0"/>
    <w:rPr>
      <w:rFonts w:ascii="Times New Roman" w:hAnsi="Times New Roman" w:eastAsia="宋体" w:cs="Times New Roman"/>
      <w:szCs w:val="24"/>
    </w:rPr>
  </w:style>
  <w:style w:type="character" w:customStyle="1" w:styleId="91">
    <w:name w:val="正文文本 Char1"/>
    <w:basedOn w:val="50"/>
    <w:qFormat/>
    <w:uiPriority w:val="0"/>
    <w:rPr>
      <w:rFonts w:ascii="Times New Roman" w:hAnsi="Times New Roman" w:eastAsia="宋体" w:cs="Times New Roman"/>
      <w:szCs w:val="24"/>
    </w:rPr>
  </w:style>
  <w:style w:type="table" w:customStyle="1" w:styleId="92">
    <w:name w:val="&gt;&gt; 表格样式 &lt;&lt;1"/>
    <w:basedOn w:val="45"/>
    <w:qFormat/>
    <w:uiPriority w:val="0"/>
    <w:pPr>
      <w:keepLines/>
      <w:jc w:val="center"/>
    </w:pPr>
    <w:rPr>
      <w:szCs w:val="21"/>
    </w:rPr>
    <w:tblPr>
      <w:tblBorders>
        <w:top w:val="single" w:color="auto" w:sz="12" w:space="0"/>
        <w:bottom w:val="single" w:color="auto" w:sz="12" w:space="0"/>
        <w:insideH w:val="single" w:color="auto" w:sz="8" w:space="0"/>
        <w:insideV w:val="single" w:color="auto" w:sz="8" w:space="0"/>
      </w:tblBorders>
    </w:tblPr>
    <w:tcPr>
      <w:vAlign w:val="center"/>
    </w:tcPr>
    <w:tblStylePr w:type="firstRow">
      <w:rPr>
        <w:rFonts w:hint="eastAsia" w:ascii="宋体" w:hAnsi="宋体" w:eastAsia="宋体"/>
        <w:b w:val="0"/>
        <w:sz w:val="21"/>
        <w:szCs w:val="21"/>
      </w:rPr>
      <w:tcPr>
        <w:tcBorders>
          <w:top w:val="single" w:color="auto" w:sz="12" w:space="0"/>
          <w:left w:val="nil"/>
          <w:bottom w:val="single" w:color="auto" w:sz="8" w:space="0"/>
          <w:right w:val="nil"/>
          <w:insideH w:val="nil"/>
          <w:insideV w:val="single" w:sz="8" w:space="0"/>
          <w:tl2br w:val="nil"/>
          <w:tr2bl w:val="nil"/>
        </w:tcBorders>
      </w:tcPr>
    </w:tblStylePr>
    <w:tblStylePr w:type="lastRow">
      <w:tcPr>
        <w:tcBorders>
          <w:top w:val="single" w:color="auto" w:sz="8" w:space="0"/>
          <w:left w:val="nil"/>
          <w:bottom w:val="single" w:color="auto" w:sz="12" w:space="0"/>
          <w:right w:val="nil"/>
          <w:insideH w:val="nil"/>
          <w:insideV w:val="single" w:sz="8" w:space="0"/>
          <w:tl2br w:val="nil"/>
          <w:tr2bl w:val="nil"/>
        </w:tcBorders>
      </w:tcPr>
    </w:tblStylePr>
    <w:tblStylePr w:type="firstCol">
      <w:pPr>
        <w:jc w:val="center"/>
      </w:pPr>
      <w:rPr>
        <w:rFonts w:hint="eastAsia" w:ascii="宋体" w:hAnsi="宋体" w:eastAsia="宋体"/>
        <w:b w:val="0"/>
        <w:sz w:val="21"/>
        <w:szCs w:val="21"/>
      </w:rPr>
      <w:tcPr>
        <w:tcBorders>
          <w:top w:val="single" w:color="auto" w:sz="12" w:space="0"/>
          <w:left w:val="nil"/>
          <w:bottom w:val="single" w:color="auto" w:sz="12" w:space="0"/>
          <w:right w:val="single" w:color="auto" w:sz="8" w:space="0"/>
          <w:insideH w:val="nil"/>
          <w:insideV w:val="nil"/>
          <w:tl2br w:val="nil"/>
          <w:tr2bl w:val="nil"/>
        </w:tcBorders>
      </w:tcPr>
    </w:tblStylePr>
    <w:tblStylePr w:type="lastCol">
      <w:tcPr>
        <w:tcBorders>
          <w:top w:val="single" w:color="auto" w:sz="12" w:space="0"/>
          <w:left w:val="single" w:color="auto" w:sz="8" w:space="0"/>
          <w:bottom w:val="single" w:color="auto" w:sz="12" w:space="0"/>
          <w:right w:val="nil"/>
          <w:insideH w:val="nil"/>
          <w:insideV w:val="nil"/>
          <w:tl2br w:val="nil"/>
          <w:tr2bl w:val="nil"/>
        </w:tcBorders>
      </w:tcPr>
    </w:tblStylePr>
  </w:style>
  <w:style w:type="character" w:customStyle="1" w:styleId="93">
    <w:name w:val="表格 Char"/>
    <w:link w:val="61"/>
    <w:qFormat/>
    <w:locked/>
    <w:uiPriority w:val="0"/>
    <w:rPr>
      <w:rFonts w:ascii="昆仑仿宋" w:hAnsi="Times New Roman" w:eastAsia="昆仑仿宋" w:cs="Times New Roman"/>
      <w:kern w:val="0"/>
      <w:sz w:val="24"/>
      <w:szCs w:val="20"/>
    </w:rPr>
  </w:style>
  <w:style w:type="character" w:customStyle="1" w:styleId="94">
    <w:name w:val="Char Char2"/>
    <w:qFormat/>
    <w:uiPriority w:val="0"/>
    <w:rPr>
      <w:rFonts w:hint="eastAsia" w:ascii="黑体" w:hAnsi="黑体" w:eastAsia="黑体"/>
      <w:bCs/>
      <w:kern w:val="44"/>
      <w:sz w:val="28"/>
      <w:szCs w:val="44"/>
      <w:lang w:val="en-US" w:eastAsia="zh-CN" w:bidi="ar-SA"/>
    </w:rPr>
  </w:style>
  <w:style w:type="table" w:customStyle="1" w:styleId="95">
    <w:name w:val="环评表格1"/>
    <w:basedOn w:val="45"/>
    <w:qFormat/>
    <w:uiPriority w:val="0"/>
    <w:pPr>
      <w:snapToGrid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96">
    <w:name w:val="内容 Char"/>
    <w:link w:val="97"/>
    <w:qFormat/>
    <w:locked/>
    <w:uiPriority w:val="0"/>
    <w:rPr>
      <w:rFonts w:ascii="Calibri" w:hAnsi="Calibri"/>
      <w:color w:val="000000"/>
      <w:sz w:val="24"/>
      <w:szCs w:val="24"/>
    </w:rPr>
  </w:style>
  <w:style w:type="paragraph" w:customStyle="1" w:styleId="97">
    <w:name w:val="内容"/>
    <w:basedOn w:val="1"/>
    <w:link w:val="96"/>
    <w:qFormat/>
    <w:uiPriority w:val="0"/>
    <w:pPr>
      <w:spacing w:beforeLines="50"/>
      <w:ind w:firstLine="200" w:firstLineChars="200"/>
    </w:pPr>
    <w:rPr>
      <w:rFonts w:ascii="Calibri" w:hAnsi="Calibri" w:eastAsiaTheme="minorEastAsia" w:cstheme="minorBidi"/>
      <w:color w:val="000000"/>
      <w:sz w:val="24"/>
    </w:rPr>
  </w:style>
  <w:style w:type="character" w:customStyle="1" w:styleId="98">
    <w:name w:val="标题 1 Char1"/>
    <w:qFormat/>
    <w:uiPriority w:val="0"/>
    <w:rPr>
      <w:rFonts w:hint="default" w:ascii="Times New Roman" w:hAnsi="Times New Roman" w:eastAsia="宋体" w:cs="Times New Roman"/>
      <w:b/>
      <w:kern w:val="0"/>
      <w:sz w:val="24"/>
      <w:szCs w:val="24"/>
    </w:rPr>
  </w:style>
  <w:style w:type="character" w:customStyle="1" w:styleId="99">
    <w:name w:val="标题 2 Char1"/>
    <w:basedOn w:val="50"/>
    <w:semiHidden/>
    <w:qFormat/>
    <w:uiPriority w:val="0"/>
    <w:rPr>
      <w:rFonts w:hint="default" w:asciiTheme="majorHAnsi" w:hAnsiTheme="majorHAnsi" w:eastAsiaTheme="majorEastAsia" w:cstheme="majorBidi"/>
      <w:b/>
      <w:bCs/>
      <w:kern w:val="2"/>
      <w:sz w:val="32"/>
      <w:szCs w:val="32"/>
    </w:rPr>
  </w:style>
  <w:style w:type="character" w:customStyle="1" w:styleId="100">
    <w:name w:val="标题 3 Char1"/>
    <w:basedOn w:val="50"/>
    <w:semiHidden/>
    <w:qFormat/>
    <w:uiPriority w:val="0"/>
    <w:rPr>
      <w:b/>
      <w:bCs/>
      <w:kern w:val="2"/>
      <w:sz w:val="32"/>
      <w:szCs w:val="32"/>
    </w:rPr>
  </w:style>
  <w:style w:type="character" w:customStyle="1" w:styleId="101">
    <w:name w:val="标题 4 Char1"/>
    <w:basedOn w:val="50"/>
    <w:semiHidden/>
    <w:qFormat/>
    <w:uiPriority w:val="0"/>
    <w:rPr>
      <w:rFonts w:hint="default" w:asciiTheme="majorHAnsi" w:hAnsiTheme="majorHAnsi" w:eastAsiaTheme="majorEastAsia" w:cstheme="majorBidi"/>
      <w:b/>
      <w:bCs/>
      <w:kern w:val="2"/>
      <w:sz w:val="28"/>
      <w:szCs w:val="28"/>
    </w:rPr>
  </w:style>
  <w:style w:type="character" w:customStyle="1" w:styleId="102">
    <w:name w:val="标题 5 Char1"/>
    <w:basedOn w:val="50"/>
    <w:semiHidden/>
    <w:qFormat/>
    <w:uiPriority w:val="0"/>
    <w:rPr>
      <w:rFonts w:hint="eastAsia" w:asciiTheme="minorEastAsia" w:hAnsiTheme="minorEastAsia" w:eastAsiaTheme="minorEastAsia"/>
      <w:b/>
      <w:bCs/>
      <w:kern w:val="2"/>
      <w:sz w:val="28"/>
      <w:szCs w:val="28"/>
    </w:rPr>
  </w:style>
  <w:style w:type="character" w:customStyle="1" w:styleId="103">
    <w:name w:val="标题 6 Char1"/>
    <w:basedOn w:val="50"/>
    <w:semiHidden/>
    <w:qFormat/>
    <w:uiPriority w:val="0"/>
    <w:rPr>
      <w:rFonts w:hint="default" w:asciiTheme="majorHAnsi" w:hAnsiTheme="majorHAnsi" w:eastAsiaTheme="majorEastAsia" w:cstheme="majorBidi"/>
      <w:b/>
      <w:bCs/>
      <w:kern w:val="2"/>
      <w:sz w:val="24"/>
      <w:szCs w:val="24"/>
    </w:rPr>
  </w:style>
  <w:style w:type="character" w:customStyle="1" w:styleId="104">
    <w:name w:val="HTML 预设格式 字符"/>
    <w:basedOn w:val="50"/>
    <w:link w:val="39"/>
    <w:semiHidden/>
    <w:qFormat/>
    <w:locked/>
    <w:uiPriority w:val="99"/>
    <w:rPr>
      <w:rFonts w:ascii="宋体" w:hAnsi="宋体" w:eastAsia="宋体" w:cs="宋体"/>
      <w:sz w:val="24"/>
      <w:szCs w:val="24"/>
    </w:rPr>
  </w:style>
  <w:style w:type="character" w:customStyle="1" w:styleId="105">
    <w:name w:val="HTML 预设格式 Char"/>
    <w:basedOn w:val="50"/>
    <w:semiHidden/>
    <w:qFormat/>
    <w:uiPriority w:val="99"/>
    <w:rPr>
      <w:rFonts w:ascii="Courier New" w:hAnsi="Courier New" w:eastAsia="宋体" w:cs="Courier New"/>
      <w:sz w:val="20"/>
      <w:szCs w:val="20"/>
    </w:rPr>
  </w:style>
  <w:style w:type="character" w:customStyle="1" w:styleId="106">
    <w:name w:val="标题 7 Char1"/>
    <w:basedOn w:val="50"/>
    <w:semiHidden/>
    <w:qFormat/>
    <w:uiPriority w:val="99"/>
    <w:rPr>
      <w:rFonts w:hint="eastAsia" w:asciiTheme="minorEastAsia" w:hAnsiTheme="minorEastAsia" w:eastAsiaTheme="minorEastAsia"/>
      <w:b/>
      <w:bCs/>
      <w:kern w:val="2"/>
      <w:sz w:val="24"/>
      <w:szCs w:val="24"/>
    </w:rPr>
  </w:style>
  <w:style w:type="character" w:customStyle="1" w:styleId="107">
    <w:name w:val="标题 8 Char1"/>
    <w:basedOn w:val="50"/>
    <w:semiHidden/>
    <w:qFormat/>
    <w:uiPriority w:val="99"/>
    <w:rPr>
      <w:rFonts w:hint="default" w:asciiTheme="majorHAnsi" w:hAnsiTheme="majorHAnsi" w:eastAsiaTheme="majorEastAsia" w:cstheme="majorBidi"/>
      <w:kern w:val="2"/>
      <w:sz w:val="24"/>
      <w:szCs w:val="24"/>
    </w:rPr>
  </w:style>
  <w:style w:type="character" w:customStyle="1" w:styleId="108">
    <w:name w:val="标题 9 Char1"/>
    <w:basedOn w:val="50"/>
    <w:semiHidden/>
    <w:qFormat/>
    <w:uiPriority w:val="99"/>
    <w:rPr>
      <w:rFonts w:hint="default" w:asciiTheme="majorHAnsi" w:hAnsiTheme="majorHAnsi" w:eastAsiaTheme="majorEastAsia" w:cstheme="majorBidi"/>
      <w:kern w:val="2"/>
      <w:sz w:val="21"/>
      <w:szCs w:val="21"/>
    </w:rPr>
  </w:style>
  <w:style w:type="character" w:customStyle="1" w:styleId="109">
    <w:name w:val="正文缩进 字符"/>
    <w:basedOn w:val="50"/>
    <w:link w:val="13"/>
    <w:qFormat/>
    <w:locked/>
    <w:uiPriority w:val="0"/>
    <w:rPr>
      <w:rFonts w:ascii="仿宋_GB2312" w:eastAsia="仿宋_GB2312"/>
      <w:sz w:val="28"/>
      <w:szCs w:val="24"/>
    </w:rPr>
  </w:style>
  <w:style w:type="character" w:customStyle="1" w:styleId="110">
    <w:name w:val="批注文字 字符"/>
    <w:basedOn w:val="50"/>
    <w:link w:val="16"/>
    <w:qFormat/>
    <w:locked/>
    <w:uiPriority w:val="99"/>
    <w:rPr>
      <w:rFonts w:ascii="Calibri" w:hAnsi="Calibri"/>
      <w:color w:val="000000"/>
      <w:sz w:val="24"/>
      <w:szCs w:val="24"/>
    </w:rPr>
  </w:style>
  <w:style w:type="character" w:customStyle="1" w:styleId="111">
    <w:name w:val="页眉 Char1"/>
    <w:basedOn w:val="50"/>
    <w:semiHidden/>
    <w:qFormat/>
    <w:uiPriority w:val="99"/>
    <w:rPr>
      <w:rFonts w:ascii="Times New Roman" w:hAnsi="Times New Roman" w:eastAsia="宋体" w:cs="Times New Roman"/>
      <w:sz w:val="18"/>
      <w:szCs w:val="18"/>
    </w:rPr>
  </w:style>
  <w:style w:type="character" w:customStyle="1" w:styleId="112">
    <w:name w:val="题注 字符"/>
    <w:basedOn w:val="50"/>
    <w:link w:val="14"/>
    <w:semiHidden/>
    <w:qFormat/>
    <w:locked/>
    <w:uiPriority w:val="35"/>
    <w:rPr>
      <w:color w:val="000000"/>
      <w:sz w:val="28"/>
    </w:rPr>
  </w:style>
  <w:style w:type="character" w:customStyle="1" w:styleId="113">
    <w:name w:val="列表 2 字符"/>
    <w:link w:val="23"/>
    <w:semiHidden/>
    <w:qFormat/>
    <w:locked/>
    <w:uiPriority w:val="0"/>
    <w:rPr>
      <w:rFonts w:ascii="楷体_GB2312" w:hAnsi="宋体" w:eastAsia="楷体_GB2312"/>
      <w:color w:val="000000"/>
      <w:sz w:val="24"/>
      <w:szCs w:val="28"/>
    </w:rPr>
  </w:style>
  <w:style w:type="character" w:customStyle="1" w:styleId="114">
    <w:name w:val="正文文本缩进 字符"/>
    <w:basedOn w:val="50"/>
    <w:link w:val="21"/>
    <w:qFormat/>
    <w:locked/>
    <w:uiPriority w:val="0"/>
    <w:rPr>
      <w:rFonts w:ascii="Times New Roman" w:hAnsi="Times New Roman" w:cs="Times New Roman"/>
      <w:b/>
      <w:color w:val="FF0000"/>
      <w:sz w:val="24"/>
      <w:szCs w:val="24"/>
    </w:rPr>
  </w:style>
  <w:style w:type="character" w:customStyle="1" w:styleId="115">
    <w:name w:val="正文文本缩进 Char1"/>
    <w:basedOn w:val="50"/>
    <w:semiHidden/>
    <w:qFormat/>
    <w:uiPriority w:val="99"/>
    <w:rPr>
      <w:rFonts w:ascii="Times New Roman" w:hAnsi="Times New Roman" w:eastAsia="宋体" w:cs="Times New Roman"/>
      <w:szCs w:val="24"/>
    </w:rPr>
  </w:style>
  <w:style w:type="character" w:customStyle="1" w:styleId="116">
    <w:name w:val="日期 字符"/>
    <w:basedOn w:val="50"/>
    <w:link w:val="27"/>
    <w:semiHidden/>
    <w:qFormat/>
    <w:locked/>
    <w:uiPriority w:val="99"/>
    <w:rPr>
      <w:szCs w:val="24"/>
    </w:rPr>
  </w:style>
  <w:style w:type="character" w:customStyle="1" w:styleId="117">
    <w:name w:val="正文文本首行缩进 字符"/>
    <w:basedOn w:val="50"/>
    <w:link w:val="43"/>
    <w:qFormat/>
    <w:locked/>
    <w:uiPriority w:val="0"/>
    <w:rPr>
      <w:rFonts w:ascii="宋体" w:hAnsi="宋体" w:eastAsia="宋体" w:cs="Times New Roman"/>
      <w:sz w:val="24"/>
      <w:szCs w:val="24"/>
    </w:rPr>
  </w:style>
  <w:style w:type="character" w:customStyle="1" w:styleId="118">
    <w:name w:val="正文首行缩进 Char1"/>
    <w:basedOn w:val="90"/>
    <w:semiHidden/>
    <w:qFormat/>
    <w:uiPriority w:val="0"/>
    <w:rPr>
      <w:rFonts w:ascii="Times New Roman" w:hAnsi="Times New Roman" w:eastAsia="宋体" w:cs="Times New Roman"/>
      <w:szCs w:val="24"/>
    </w:rPr>
  </w:style>
  <w:style w:type="character" w:customStyle="1" w:styleId="119">
    <w:name w:val="正文文本首行缩进 2 字符"/>
    <w:basedOn w:val="114"/>
    <w:link w:val="44"/>
    <w:semiHidden/>
    <w:qFormat/>
    <w:locked/>
    <w:uiPriority w:val="0"/>
    <w:rPr>
      <w:rFonts w:ascii="Times New Roman" w:hAnsi="Times New Roman" w:cs="Times New Roman"/>
      <w:color w:val="FF0000"/>
      <w:sz w:val="28"/>
      <w:szCs w:val="24"/>
    </w:rPr>
  </w:style>
  <w:style w:type="character" w:customStyle="1" w:styleId="120">
    <w:name w:val="注释标题 字符"/>
    <w:basedOn w:val="50"/>
    <w:link w:val="12"/>
    <w:semiHidden/>
    <w:qFormat/>
    <w:locked/>
    <w:uiPriority w:val="0"/>
    <w:rPr>
      <w:sz w:val="24"/>
    </w:rPr>
  </w:style>
  <w:style w:type="character" w:customStyle="1" w:styleId="121">
    <w:name w:val="注释标题 Char1"/>
    <w:basedOn w:val="50"/>
    <w:semiHidden/>
    <w:qFormat/>
    <w:uiPriority w:val="0"/>
    <w:rPr>
      <w:rFonts w:ascii="Times New Roman" w:hAnsi="Times New Roman" w:eastAsia="宋体" w:cs="Times New Roman"/>
      <w:szCs w:val="24"/>
    </w:rPr>
  </w:style>
  <w:style w:type="character" w:customStyle="1" w:styleId="122">
    <w:name w:val="正文文本 2 字符"/>
    <w:link w:val="38"/>
    <w:qFormat/>
    <w:locked/>
    <w:uiPriority w:val="99"/>
    <w:rPr>
      <w:sz w:val="24"/>
      <w:szCs w:val="24"/>
    </w:rPr>
  </w:style>
  <w:style w:type="character" w:customStyle="1" w:styleId="123">
    <w:name w:val="正文文本 3 字符"/>
    <w:basedOn w:val="50"/>
    <w:link w:val="17"/>
    <w:semiHidden/>
    <w:qFormat/>
    <w:locked/>
    <w:uiPriority w:val="0"/>
    <w:rPr>
      <w:rFonts w:ascii="Calibri" w:hAnsi="Calibri"/>
      <w:color w:val="000000"/>
      <w:sz w:val="16"/>
      <w:szCs w:val="16"/>
    </w:rPr>
  </w:style>
  <w:style w:type="character" w:customStyle="1" w:styleId="124">
    <w:name w:val="正文文本缩进 2 字符"/>
    <w:basedOn w:val="50"/>
    <w:link w:val="28"/>
    <w:qFormat/>
    <w:locked/>
    <w:uiPriority w:val="0"/>
    <w:rPr>
      <w:rFonts w:ascii="Calibri" w:hAnsi="Calibri"/>
      <w:color w:val="000000"/>
    </w:rPr>
  </w:style>
  <w:style w:type="character" w:customStyle="1" w:styleId="125">
    <w:name w:val="正文文本缩进 2 Char1"/>
    <w:basedOn w:val="50"/>
    <w:semiHidden/>
    <w:qFormat/>
    <w:uiPriority w:val="99"/>
    <w:rPr>
      <w:rFonts w:ascii="Times New Roman" w:hAnsi="Times New Roman" w:eastAsia="宋体" w:cs="Times New Roman"/>
      <w:szCs w:val="24"/>
    </w:rPr>
  </w:style>
  <w:style w:type="character" w:customStyle="1" w:styleId="126">
    <w:name w:val="正文文本缩进 3 字符"/>
    <w:basedOn w:val="50"/>
    <w:link w:val="36"/>
    <w:semiHidden/>
    <w:qFormat/>
    <w:locked/>
    <w:uiPriority w:val="0"/>
    <w:rPr>
      <w:rFonts w:ascii="Calibri" w:hAnsi="Calibri"/>
      <w:color w:val="000000"/>
      <w:sz w:val="16"/>
      <w:szCs w:val="16"/>
    </w:rPr>
  </w:style>
  <w:style w:type="character" w:customStyle="1" w:styleId="127">
    <w:name w:val="纯文本 字符1"/>
    <w:basedOn w:val="50"/>
    <w:link w:val="25"/>
    <w:qFormat/>
    <w:locked/>
    <w:uiPriority w:val="0"/>
    <w:rPr>
      <w:rFonts w:ascii="宋体" w:hAnsi="Courier New" w:eastAsia="宋体" w:cs="Courier New"/>
      <w:szCs w:val="21"/>
    </w:rPr>
  </w:style>
  <w:style w:type="character" w:customStyle="1" w:styleId="128">
    <w:name w:val="纯文本 Char1"/>
    <w:basedOn w:val="50"/>
    <w:qFormat/>
    <w:uiPriority w:val="0"/>
    <w:rPr>
      <w:rFonts w:ascii="宋体" w:hAnsi="Courier New" w:eastAsia="宋体" w:cs="Courier New"/>
      <w:szCs w:val="21"/>
    </w:rPr>
  </w:style>
  <w:style w:type="character" w:customStyle="1" w:styleId="129">
    <w:name w:val="批注文字 Char1"/>
    <w:basedOn w:val="50"/>
    <w:semiHidden/>
    <w:qFormat/>
    <w:uiPriority w:val="99"/>
    <w:rPr>
      <w:rFonts w:ascii="Times New Roman" w:hAnsi="Times New Roman" w:eastAsia="宋体" w:cs="Times New Roman"/>
      <w:szCs w:val="24"/>
    </w:rPr>
  </w:style>
  <w:style w:type="character" w:customStyle="1" w:styleId="130">
    <w:name w:val="批注主题 字符"/>
    <w:basedOn w:val="110"/>
    <w:link w:val="42"/>
    <w:qFormat/>
    <w:locked/>
    <w:uiPriority w:val="0"/>
    <w:rPr>
      <w:rFonts w:ascii="Calibri" w:hAnsi="Calibri"/>
      <w:b/>
      <w:bCs/>
      <w:color w:val="000000"/>
      <w:sz w:val="24"/>
      <w:szCs w:val="24"/>
    </w:rPr>
  </w:style>
  <w:style w:type="character" w:customStyle="1" w:styleId="131">
    <w:name w:val="无间隔 字符"/>
    <w:link w:val="132"/>
    <w:qFormat/>
    <w:locked/>
    <w:uiPriority w:val="0"/>
    <w:rPr>
      <w:rFonts w:ascii="Calibri" w:hAnsi="Calibri"/>
      <w:color w:val="000000"/>
      <w:sz w:val="24"/>
      <w:szCs w:val="24"/>
    </w:rPr>
  </w:style>
  <w:style w:type="paragraph" w:styleId="132">
    <w:name w:val="No Spacing"/>
    <w:link w:val="131"/>
    <w:qFormat/>
    <w:uiPriority w:val="1"/>
    <w:pPr>
      <w:widowControl w:val="0"/>
      <w:jc w:val="both"/>
    </w:pPr>
    <w:rPr>
      <w:rFonts w:ascii="Calibri" w:hAnsi="Calibri" w:eastAsiaTheme="minorEastAsia" w:cstheme="minorBidi"/>
      <w:color w:val="000000"/>
      <w:kern w:val="2"/>
      <w:sz w:val="24"/>
      <w:szCs w:val="24"/>
      <w:lang w:val="en-US" w:eastAsia="zh-CN" w:bidi="ar-SA"/>
    </w:rPr>
  </w:style>
  <w:style w:type="paragraph" w:customStyle="1" w:styleId="133">
    <w:name w:val="Char Char Char1 Char Char Char Char Char Char Char"/>
    <w:basedOn w:val="2"/>
    <w:next w:val="1"/>
    <w:semiHidden/>
    <w:qFormat/>
    <w:uiPriority w:val="39"/>
    <w:pPr>
      <w:keepNext w:val="0"/>
      <w:keepLines w:val="0"/>
      <w:spacing w:before="0" w:after="0" w:line="240" w:lineRule="auto"/>
      <w:outlineLvl w:val="9"/>
    </w:pPr>
    <w:rPr>
      <w:b w:val="0"/>
      <w:bCs w:val="0"/>
      <w:kern w:val="2"/>
      <w:sz w:val="21"/>
      <w:szCs w:val="24"/>
    </w:rPr>
  </w:style>
  <w:style w:type="character" w:customStyle="1" w:styleId="134">
    <w:name w:val="【标题4】 Char Char"/>
    <w:link w:val="135"/>
    <w:qFormat/>
    <w:locked/>
    <w:uiPriority w:val="0"/>
    <w:rPr>
      <w:bCs/>
      <w:kern w:val="2"/>
      <w:sz w:val="24"/>
      <w:szCs w:val="22"/>
    </w:rPr>
  </w:style>
  <w:style w:type="paragraph" w:customStyle="1" w:styleId="135">
    <w:name w:val="【标题4】"/>
    <w:basedOn w:val="2"/>
    <w:next w:val="1"/>
    <w:link w:val="134"/>
    <w:qFormat/>
    <w:uiPriority w:val="0"/>
    <w:pPr>
      <w:keepNext w:val="0"/>
      <w:adjustRightInd w:val="0"/>
      <w:snapToGrid w:val="0"/>
      <w:spacing w:before="0" w:after="0" w:line="500" w:lineRule="exact"/>
      <w:outlineLvl w:val="3"/>
    </w:pPr>
    <w:rPr>
      <w:b w:val="0"/>
      <w:kern w:val="2"/>
      <w:sz w:val="24"/>
      <w:szCs w:val="22"/>
    </w:rPr>
  </w:style>
  <w:style w:type="character" w:customStyle="1" w:styleId="136">
    <w:name w:val="【标题3】 Char Char"/>
    <w:link w:val="137"/>
    <w:qFormat/>
    <w:locked/>
    <w:uiPriority w:val="0"/>
    <w:rPr>
      <w:rFonts w:eastAsia="黑体" w:cstheme="minorBidi"/>
      <w:bCs/>
      <w:kern w:val="2"/>
      <w:sz w:val="24"/>
      <w:szCs w:val="22"/>
    </w:rPr>
  </w:style>
  <w:style w:type="paragraph" w:customStyle="1" w:styleId="137">
    <w:name w:val="【标题3】"/>
    <w:basedOn w:val="4"/>
    <w:next w:val="1"/>
    <w:link w:val="136"/>
    <w:qFormat/>
    <w:uiPriority w:val="0"/>
    <w:pPr>
      <w:keepNext w:val="0"/>
      <w:adjustRightInd w:val="0"/>
      <w:snapToGrid w:val="0"/>
      <w:spacing w:before="0" w:after="0" w:line="500" w:lineRule="exact"/>
      <w:ind w:firstLine="0" w:firstLineChars="0"/>
    </w:pPr>
    <w:rPr>
      <w:rFonts w:ascii="Times New Roman" w:hAnsi="Times New Roman" w:eastAsia="黑体" w:cstheme="minorBidi"/>
      <w:bCs/>
      <w:sz w:val="24"/>
      <w:szCs w:val="22"/>
    </w:rPr>
  </w:style>
  <w:style w:type="paragraph" w:customStyle="1" w:styleId="138">
    <w:name w:val="缩进"/>
    <w:basedOn w:val="2"/>
    <w:next w:val="1"/>
    <w:qFormat/>
    <w:uiPriority w:val="99"/>
    <w:pPr>
      <w:keepNext w:val="0"/>
      <w:keepLines w:val="0"/>
      <w:spacing w:before="0" w:after="0" w:line="360" w:lineRule="auto"/>
      <w:ind w:firstLine="200" w:firstLineChars="200"/>
      <w:outlineLvl w:val="9"/>
    </w:pPr>
    <w:rPr>
      <w:rFonts w:ascii="Calibri" w:hAnsi="Calibri"/>
      <w:b w:val="0"/>
      <w:bCs w:val="0"/>
      <w:kern w:val="2"/>
      <w:sz w:val="24"/>
      <w:szCs w:val="21"/>
    </w:rPr>
  </w:style>
  <w:style w:type="character" w:customStyle="1" w:styleId="139">
    <w:name w:val="正文样式 Char"/>
    <w:link w:val="140"/>
    <w:qFormat/>
    <w:locked/>
    <w:uiPriority w:val="0"/>
    <w:rPr>
      <w:rFonts w:ascii="宋体" w:hAnsi="宋体" w:eastAsia="宋体"/>
      <w:color w:val="000000"/>
      <w:sz w:val="24"/>
      <w:szCs w:val="24"/>
    </w:rPr>
  </w:style>
  <w:style w:type="paragraph" w:customStyle="1" w:styleId="140">
    <w:name w:val="正文样式"/>
    <w:basedOn w:val="2"/>
    <w:next w:val="1"/>
    <w:link w:val="139"/>
    <w:qFormat/>
    <w:uiPriority w:val="0"/>
    <w:pPr>
      <w:keepNext w:val="0"/>
      <w:keepLines w:val="0"/>
      <w:spacing w:before="0" w:after="0" w:line="460" w:lineRule="exact"/>
      <w:ind w:firstLine="200" w:firstLineChars="200"/>
      <w:outlineLvl w:val="9"/>
    </w:pPr>
    <w:rPr>
      <w:rFonts w:ascii="宋体" w:hAnsi="宋体" w:cstheme="minorBidi"/>
      <w:b w:val="0"/>
      <w:bCs w:val="0"/>
      <w:color w:val="000000"/>
      <w:kern w:val="2"/>
      <w:sz w:val="24"/>
      <w:szCs w:val="24"/>
    </w:rPr>
  </w:style>
  <w:style w:type="character" w:customStyle="1" w:styleId="141">
    <w:name w:val="正文00 Char Char"/>
    <w:link w:val="142"/>
    <w:qFormat/>
    <w:locked/>
    <w:uiPriority w:val="0"/>
    <w:rPr>
      <w:rFonts w:ascii="Times New Roman" w:hAnsi="Times New Roman" w:cs="Times New Roman"/>
      <w:bCs/>
      <w:snapToGrid w:val="0"/>
      <w:color w:val="FF0000"/>
      <w:szCs w:val="21"/>
    </w:rPr>
  </w:style>
  <w:style w:type="paragraph" w:customStyle="1" w:styleId="142">
    <w:name w:val="正文00"/>
    <w:basedOn w:val="2"/>
    <w:next w:val="1"/>
    <w:link w:val="141"/>
    <w:qFormat/>
    <w:uiPriority w:val="0"/>
    <w:pPr>
      <w:keepNext w:val="0"/>
      <w:keepLines w:val="0"/>
      <w:spacing w:before="0" w:after="0" w:line="0" w:lineRule="atLeast"/>
      <w:jc w:val="center"/>
      <w:textAlignment w:val="center"/>
      <w:outlineLvl w:val="9"/>
    </w:pPr>
    <w:rPr>
      <w:rFonts w:eastAsiaTheme="minorEastAsia"/>
      <w:b w:val="0"/>
      <w:snapToGrid w:val="0"/>
      <w:color w:val="FF0000"/>
      <w:kern w:val="2"/>
      <w:sz w:val="21"/>
      <w:szCs w:val="21"/>
    </w:rPr>
  </w:style>
  <w:style w:type="paragraph" w:customStyle="1" w:styleId="143">
    <w:name w:val="表样式"/>
    <w:basedOn w:val="2"/>
    <w:next w:val="1"/>
    <w:qFormat/>
    <w:uiPriority w:val="99"/>
    <w:pPr>
      <w:keepNext w:val="0"/>
      <w:keepLines w:val="0"/>
      <w:spacing w:before="0" w:after="0" w:line="500" w:lineRule="atLeast"/>
      <w:ind w:firstLine="425" w:firstLineChars="177"/>
      <w:jc w:val="center"/>
      <w:outlineLvl w:val="9"/>
    </w:pPr>
    <w:rPr>
      <w:rFonts w:ascii="仿宋_GB2312" w:eastAsia="黑体"/>
      <w:b w:val="0"/>
      <w:bCs w:val="0"/>
      <w:color w:val="000000"/>
      <w:kern w:val="2"/>
      <w:sz w:val="24"/>
      <w:szCs w:val="24"/>
    </w:rPr>
  </w:style>
  <w:style w:type="character" w:customStyle="1" w:styleId="144">
    <w:name w:val="Normal Char"/>
    <w:link w:val="145"/>
    <w:qFormat/>
    <w:locked/>
    <w:uiPriority w:val="0"/>
    <w:rPr>
      <w:rFonts w:ascii="宋体" w:hAnsi="宋体" w:eastAsia="宋体"/>
      <w:sz w:val="24"/>
      <w:szCs w:val="24"/>
    </w:rPr>
  </w:style>
  <w:style w:type="paragraph" w:customStyle="1" w:styleId="145">
    <w:name w:val="正文1"/>
    <w:next w:val="1"/>
    <w:link w:val="144"/>
    <w:qFormat/>
    <w:uiPriority w:val="0"/>
    <w:pPr>
      <w:widowControl w:val="0"/>
      <w:adjustRightInd w:val="0"/>
      <w:spacing w:line="360" w:lineRule="atLeast"/>
    </w:pPr>
    <w:rPr>
      <w:rFonts w:ascii="宋体" w:hAnsi="宋体" w:eastAsia="宋体" w:cstheme="minorBidi"/>
      <w:kern w:val="2"/>
      <w:sz w:val="24"/>
      <w:szCs w:val="24"/>
      <w:lang w:val="en-US" w:eastAsia="zh-CN" w:bidi="ar-SA"/>
    </w:rPr>
  </w:style>
  <w:style w:type="character" w:customStyle="1" w:styleId="146">
    <w:name w:val="样式 正文zoe + 幼圆1 Char"/>
    <w:link w:val="147"/>
    <w:qFormat/>
    <w:locked/>
    <w:uiPriority w:val="0"/>
    <w:rPr>
      <w:rFonts w:ascii="幼圆" w:hAnsi="幼圆" w:eastAsia="幼圆"/>
      <w:sz w:val="24"/>
    </w:rPr>
  </w:style>
  <w:style w:type="paragraph" w:customStyle="1" w:styleId="147">
    <w:name w:val="样式 正文zoe + 幼圆1"/>
    <w:basedOn w:val="2"/>
    <w:next w:val="1"/>
    <w:link w:val="146"/>
    <w:qFormat/>
    <w:uiPriority w:val="0"/>
    <w:pPr>
      <w:keepNext w:val="0"/>
      <w:keepLines w:val="0"/>
      <w:adjustRightInd w:val="0"/>
      <w:spacing w:before="0" w:after="0" w:line="360" w:lineRule="auto"/>
      <w:ind w:firstLine="480" w:firstLineChars="200"/>
      <w:outlineLvl w:val="9"/>
    </w:pPr>
    <w:rPr>
      <w:rFonts w:ascii="幼圆" w:hAnsi="幼圆" w:eastAsia="幼圆" w:cstheme="minorBidi"/>
      <w:b w:val="0"/>
      <w:bCs w:val="0"/>
      <w:kern w:val="2"/>
      <w:sz w:val="24"/>
      <w:szCs w:val="22"/>
    </w:rPr>
  </w:style>
  <w:style w:type="paragraph" w:customStyle="1" w:styleId="148">
    <w:name w:val="Char Char Char Char Char Char Char Char Char Char Char Char Char Char Char Char Char Char Char Char Char1 Char"/>
    <w:basedOn w:val="2"/>
    <w:next w:val="1"/>
    <w:qFormat/>
    <w:uiPriority w:val="99"/>
    <w:pPr>
      <w:keepNext w:val="0"/>
      <w:keepLines w:val="0"/>
      <w:spacing w:before="0" w:after="0" w:line="360" w:lineRule="auto"/>
      <w:ind w:firstLine="200" w:firstLineChars="200"/>
      <w:outlineLvl w:val="9"/>
    </w:pPr>
    <w:rPr>
      <w:rFonts w:ascii="宋体" w:hAnsi="宋体" w:cs="宋体"/>
      <w:b w:val="0"/>
      <w:bCs w:val="0"/>
      <w:color w:val="000000"/>
      <w:kern w:val="2"/>
      <w:sz w:val="24"/>
      <w:szCs w:val="24"/>
    </w:rPr>
  </w:style>
  <w:style w:type="paragraph" w:customStyle="1" w:styleId="149">
    <w:name w:val="0"/>
    <w:basedOn w:val="2"/>
    <w:next w:val="1"/>
    <w:qFormat/>
    <w:uiPriority w:val="99"/>
    <w:pPr>
      <w:keepNext w:val="0"/>
      <w:keepLines w:val="0"/>
      <w:widowControl/>
      <w:snapToGrid w:val="0"/>
      <w:spacing w:before="0" w:after="0" w:line="365" w:lineRule="atLeast"/>
      <w:ind w:left="1" w:firstLine="425" w:firstLineChars="177"/>
      <w:outlineLvl w:val="9"/>
    </w:pPr>
    <w:rPr>
      <w:b w:val="0"/>
      <w:bCs w:val="0"/>
      <w:color w:val="000000"/>
      <w:kern w:val="0"/>
      <w:sz w:val="20"/>
      <w:szCs w:val="20"/>
    </w:rPr>
  </w:style>
  <w:style w:type="character" w:customStyle="1" w:styleId="150">
    <w:name w:val="表头 Char1"/>
    <w:link w:val="151"/>
    <w:qFormat/>
    <w:locked/>
    <w:uiPriority w:val="0"/>
    <w:rPr>
      <w:rFonts w:ascii="Times New Roman" w:cs="Times New Roman" w:hAnsiTheme="minorEastAsia"/>
      <w:b/>
      <w:color w:val="000000"/>
      <w:sz w:val="24"/>
      <w:szCs w:val="24"/>
    </w:rPr>
  </w:style>
  <w:style w:type="paragraph" w:customStyle="1" w:styleId="151">
    <w:name w:val="表头"/>
    <w:basedOn w:val="2"/>
    <w:next w:val="1"/>
    <w:link w:val="150"/>
    <w:qFormat/>
    <w:uiPriority w:val="0"/>
    <w:pPr>
      <w:keepNext w:val="0"/>
      <w:keepLines w:val="0"/>
      <w:adjustRightInd w:val="0"/>
      <w:spacing w:before="0" w:after="0" w:line="360" w:lineRule="auto"/>
      <w:jc w:val="center"/>
      <w:outlineLvl w:val="9"/>
    </w:pPr>
    <w:rPr>
      <w:rFonts w:hAnsiTheme="minorEastAsia" w:eastAsiaTheme="minorEastAsia"/>
      <w:bCs w:val="0"/>
      <w:color w:val="000000"/>
      <w:kern w:val="2"/>
      <w:sz w:val="24"/>
      <w:szCs w:val="24"/>
    </w:rPr>
  </w:style>
  <w:style w:type="character" w:customStyle="1" w:styleId="152">
    <w:name w:val="正文内容 Char Char"/>
    <w:link w:val="153"/>
    <w:qFormat/>
    <w:locked/>
    <w:uiPriority w:val="0"/>
    <w:rPr>
      <w:sz w:val="28"/>
      <w:szCs w:val="28"/>
    </w:rPr>
  </w:style>
  <w:style w:type="paragraph" w:customStyle="1" w:styleId="153">
    <w:name w:val="正文内容"/>
    <w:basedOn w:val="2"/>
    <w:next w:val="1"/>
    <w:link w:val="152"/>
    <w:qFormat/>
    <w:uiPriority w:val="0"/>
    <w:pPr>
      <w:keepNext w:val="0"/>
      <w:keepLines w:val="0"/>
      <w:overflowPunct w:val="0"/>
      <w:topLinePunct/>
      <w:spacing w:beforeLines="50" w:after="0" w:line="480" w:lineRule="exact"/>
      <w:ind w:firstLine="560" w:firstLineChars="200"/>
      <w:outlineLvl w:val="9"/>
    </w:pPr>
    <w:rPr>
      <w:rFonts w:asciiTheme="minorHAnsi" w:hAnsiTheme="minorHAnsi" w:eastAsiaTheme="minorEastAsia" w:cstheme="minorBidi"/>
      <w:b w:val="0"/>
      <w:bCs w:val="0"/>
      <w:kern w:val="2"/>
      <w:sz w:val="28"/>
      <w:szCs w:val="28"/>
    </w:rPr>
  </w:style>
  <w:style w:type="paragraph" w:customStyle="1" w:styleId="154">
    <w:name w:val="中文报告书样式"/>
    <w:basedOn w:val="2"/>
    <w:next w:val="1"/>
    <w:qFormat/>
    <w:uiPriority w:val="99"/>
    <w:pPr>
      <w:keepNext w:val="0"/>
      <w:keepLines w:val="0"/>
      <w:adjustRightInd w:val="0"/>
      <w:spacing w:before="0" w:after="0" w:line="480" w:lineRule="atLeast"/>
      <w:ind w:firstLine="482" w:firstLineChars="177"/>
      <w:outlineLvl w:val="9"/>
    </w:pPr>
    <w:rPr>
      <w:b w:val="0"/>
      <w:bCs w:val="0"/>
      <w:color w:val="000000"/>
      <w:kern w:val="24"/>
      <w:sz w:val="24"/>
      <w:szCs w:val="20"/>
    </w:rPr>
  </w:style>
  <w:style w:type="paragraph" w:customStyle="1" w:styleId="155">
    <w:name w:val="表内文"/>
    <w:basedOn w:val="2"/>
    <w:next w:val="1"/>
    <w:qFormat/>
    <w:uiPriority w:val="99"/>
    <w:pPr>
      <w:keepNext w:val="0"/>
      <w:keepLines w:val="0"/>
      <w:spacing w:before="0" w:after="0" w:line="320" w:lineRule="atLeast"/>
      <w:ind w:firstLine="425" w:firstLineChars="177"/>
      <w:jc w:val="center"/>
      <w:outlineLvl w:val="9"/>
    </w:pPr>
    <w:rPr>
      <w:b w:val="0"/>
      <w:bCs w:val="0"/>
      <w:color w:val="000000"/>
      <w:kern w:val="2"/>
      <w:sz w:val="24"/>
      <w:szCs w:val="20"/>
    </w:rPr>
  </w:style>
  <w:style w:type="paragraph" w:customStyle="1" w:styleId="156">
    <w:name w:val="表格式"/>
    <w:basedOn w:val="35"/>
    <w:next w:val="1"/>
    <w:qFormat/>
    <w:uiPriority w:val="99"/>
    <w:pPr>
      <w:spacing w:line="480" w:lineRule="exact"/>
      <w:ind w:left="0" w:firstLine="0" w:firstLineChars="0"/>
      <w:contextualSpacing w:val="0"/>
      <w:jc w:val="center"/>
    </w:pPr>
    <w:rPr>
      <w:rFonts w:ascii="宋体" w:hAnsi="宋体"/>
      <w:color w:val="000000"/>
      <w:sz w:val="24"/>
      <w:szCs w:val="20"/>
    </w:rPr>
  </w:style>
  <w:style w:type="paragraph" w:customStyle="1" w:styleId="157">
    <w:name w:val="默认段落字体 Para Char Char Char Char"/>
    <w:basedOn w:val="2"/>
    <w:next w:val="1"/>
    <w:qFormat/>
    <w:uiPriority w:val="99"/>
    <w:pPr>
      <w:keepNext w:val="0"/>
      <w:keepLines w:val="0"/>
      <w:spacing w:before="0" w:after="0" w:line="500" w:lineRule="atLeast"/>
      <w:ind w:firstLine="425" w:firstLineChars="177"/>
      <w:outlineLvl w:val="9"/>
    </w:pPr>
    <w:rPr>
      <w:b w:val="0"/>
      <w:bCs w:val="0"/>
      <w:color w:val="000000"/>
      <w:kern w:val="2"/>
      <w:sz w:val="24"/>
      <w:szCs w:val="24"/>
    </w:rPr>
  </w:style>
  <w:style w:type="paragraph" w:customStyle="1" w:styleId="158">
    <w:name w:val="Char Char Char1 Char Char Char Char Char Char1 Char Char Char Char Char Char"/>
    <w:basedOn w:val="2"/>
    <w:next w:val="1"/>
    <w:qFormat/>
    <w:uiPriority w:val="99"/>
    <w:pPr>
      <w:keepNext w:val="0"/>
      <w:keepLines w:val="0"/>
      <w:snapToGrid w:val="0"/>
      <w:spacing w:before="0" w:after="0" w:line="360" w:lineRule="auto"/>
      <w:ind w:firstLine="200" w:firstLineChars="200"/>
      <w:outlineLvl w:val="9"/>
    </w:pPr>
    <w:rPr>
      <w:rFonts w:eastAsia="仿宋_GB2312"/>
      <w:b w:val="0"/>
      <w:bCs w:val="0"/>
      <w:color w:val="000000"/>
      <w:kern w:val="2"/>
      <w:sz w:val="24"/>
      <w:szCs w:val="24"/>
    </w:rPr>
  </w:style>
  <w:style w:type="paragraph" w:customStyle="1" w:styleId="159">
    <w:name w:val="纯文本1"/>
    <w:basedOn w:val="2"/>
    <w:next w:val="1"/>
    <w:qFormat/>
    <w:uiPriority w:val="99"/>
    <w:pPr>
      <w:keepNext w:val="0"/>
      <w:keepLines w:val="0"/>
      <w:adjustRightInd w:val="0"/>
      <w:spacing w:before="0" w:after="0" w:line="500" w:lineRule="atLeast"/>
      <w:ind w:firstLine="425" w:firstLineChars="177"/>
      <w:outlineLvl w:val="9"/>
    </w:pPr>
    <w:rPr>
      <w:rFonts w:ascii="宋体" w:hAnsi="Courier New"/>
      <w:b w:val="0"/>
      <w:bCs w:val="0"/>
      <w:color w:val="000000"/>
      <w:kern w:val="2"/>
      <w:sz w:val="24"/>
      <w:szCs w:val="20"/>
    </w:rPr>
  </w:style>
  <w:style w:type="character" w:customStyle="1" w:styleId="160">
    <w:name w:val="正文(首行缩进) Char"/>
    <w:link w:val="161"/>
    <w:qFormat/>
    <w:locked/>
    <w:uiPriority w:val="0"/>
    <w:rPr>
      <w:snapToGrid w:val="0"/>
      <w:sz w:val="24"/>
      <w:szCs w:val="24"/>
    </w:rPr>
  </w:style>
  <w:style w:type="paragraph" w:customStyle="1" w:styleId="161">
    <w:name w:val="正文(首行缩进)"/>
    <w:basedOn w:val="2"/>
    <w:next w:val="1"/>
    <w:link w:val="160"/>
    <w:qFormat/>
    <w:uiPriority w:val="0"/>
    <w:pPr>
      <w:keepNext w:val="0"/>
      <w:keepLines w:val="0"/>
      <w:adjustRightInd w:val="0"/>
      <w:snapToGrid w:val="0"/>
      <w:spacing w:before="0" w:after="0" w:line="360" w:lineRule="auto"/>
      <w:ind w:firstLine="200" w:firstLineChars="200"/>
      <w:outlineLvl w:val="9"/>
    </w:pPr>
    <w:rPr>
      <w:rFonts w:asciiTheme="minorHAnsi" w:hAnsiTheme="minorHAnsi" w:eastAsiaTheme="minorEastAsia" w:cstheme="minorBidi"/>
      <w:b w:val="0"/>
      <w:bCs w:val="0"/>
      <w:snapToGrid w:val="0"/>
      <w:kern w:val="2"/>
      <w:sz w:val="24"/>
      <w:szCs w:val="24"/>
    </w:rPr>
  </w:style>
  <w:style w:type="paragraph" w:customStyle="1" w:styleId="162">
    <w:name w:val="纯文本2"/>
    <w:basedOn w:val="2"/>
    <w:next w:val="1"/>
    <w:qFormat/>
    <w:uiPriority w:val="99"/>
    <w:pPr>
      <w:keepNext w:val="0"/>
      <w:keepLines w:val="0"/>
      <w:spacing w:before="0" w:after="0" w:line="500" w:lineRule="atLeast"/>
      <w:ind w:firstLine="425" w:firstLineChars="177"/>
      <w:outlineLvl w:val="9"/>
    </w:pPr>
    <w:rPr>
      <w:rFonts w:ascii="宋体" w:hAnsi="Courier New"/>
      <w:b w:val="0"/>
      <w:bCs w:val="0"/>
      <w:color w:val="000000"/>
      <w:kern w:val="0"/>
      <w:sz w:val="20"/>
      <w:szCs w:val="21"/>
    </w:rPr>
  </w:style>
  <w:style w:type="paragraph" w:customStyle="1" w:styleId="163">
    <w:name w:val="日期1"/>
    <w:basedOn w:val="2"/>
    <w:next w:val="1"/>
    <w:qFormat/>
    <w:uiPriority w:val="99"/>
    <w:pPr>
      <w:keepNext w:val="0"/>
      <w:keepLines w:val="0"/>
      <w:spacing w:before="0" w:after="0" w:line="500" w:lineRule="atLeast"/>
      <w:ind w:left="100" w:leftChars="2500" w:firstLine="425" w:firstLineChars="177"/>
      <w:outlineLvl w:val="9"/>
    </w:pPr>
    <w:rPr>
      <w:rFonts w:ascii="Calibri" w:hAnsi="Calibri"/>
      <w:b w:val="0"/>
      <w:bCs w:val="0"/>
      <w:color w:val="000000"/>
      <w:kern w:val="0"/>
      <w:sz w:val="20"/>
      <w:szCs w:val="20"/>
    </w:rPr>
  </w:style>
  <w:style w:type="paragraph" w:customStyle="1" w:styleId="164">
    <w:name w:val="无间隔1"/>
    <w:next w:val="1"/>
    <w:qFormat/>
    <w:uiPriority w:val="99"/>
    <w:rPr>
      <w:rFonts w:ascii="Calibri" w:hAnsi="Calibri" w:eastAsia="宋体" w:cs="Times New Roman"/>
      <w:color w:val="000000"/>
      <w:sz w:val="24"/>
      <w:lang w:val="en-US" w:eastAsia="zh-CN" w:bidi="ar-SA"/>
    </w:rPr>
  </w:style>
  <w:style w:type="paragraph" w:customStyle="1" w:styleId="165">
    <w:name w:val="正文（我）"/>
    <w:basedOn w:val="2"/>
    <w:next w:val="1"/>
    <w:qFormat/>
    <w:uiPriority w:val="99"/>
    <w:pPr>
      <w:keepNext w:val="0"/>
      <w:keepLines w:val="0"/>
      <w:spacing w:before="0" w:after="0" w:line="500" w:lineRule="atLeast"/>
      <w:ind w:firstLine="200" w:firstLineChars="200"/>
      <w:outlineLvl w:val="9"/>
    </w:pPr>
    <w:rPr>
      <w:b w:val="0"/>
      <w:bCs w:val="0"/>
      <w:color w:val="000000"/>
      <w:kern w:val="2"/>
      <w:sz w:val="28"/>
      <w:szCs w:val="24"/>
    </w:rPr>
  </w:style>
  <w:style w:type="paragraph" w:customStyle="1" w:styleId="166">
    <w:name w:val="Char1"/>
    <w:basedOn w:val="2"/>
    <w:next w:val="1"/>
    <w:qFormat/>
    <w:uiPriority w:val="99"/>
    <w:pPr>
      <w:keepNext w:val="0"/>
      <w:keepLines w:val="0"/>
      <w:spacing w:before="0" w:after="0" w:line="500" w:lineRule="atLeast"/>
      <w:ind w:left="510" w:firstLine="425" w:firstLineChars="177"/>
      <w:outlineLvl w:val="9"/>
    </w:pPr>
    <w:rPr>
      <w:b w:val="0"/>
      <w:bCs w:val="0"/>
      <w:color w:val="000000"/>
      <w:kern w:val="2"/>
      <w:sz w:val="24"/>
      <w:szCs w:val="21"/>
    </w:rPr>
  </w:style>
  <w:style w:type="paragraph" w:customStyle="1" w:styleId="167">
    <w:name w:val="Char"/>
    <w:basedOn w:val="2"/>
    <w:next w:val="18"/>
    <w:qFormat/>
    <w:uiPriority w:val="99"/>
    <w:pPr>
      <w:keepNext w:val="0"/>
      <w:keepLines w:val="0"/>
      <w:spacing w:before="0" w:after="0" w:line="360" w:lineRule="auto"/>
      <w:ind w:firstLine="200" w:firstLineChars="200"/>
      <w:jc w:val="center"/>
      <w:outlineLvl w:val="9"/>
    </w:pPr>
    <w:rPr>
      <w:rFonts w:ascii="宋体" w:hAnsi="宋体" w:cs="宋体"/>
      <w:bCs w:val="0"/>
      <w:color w:val="000000"/>
      <w:kern w:val="2"/>
      <w:sz w:val="30"/>
      <w:szCs w:val="30"/>
    </w:rPr>
  </w:style>
  <w:style w:type="paragraph" w:customStyle="1" w:styleId="168">
    <w:name w:val="Char Char Char1 Char Char Char Char Char Char Char Char"/>
    <w:basedOn w:val="2"/>
    <w:next w:val="1"/>
    <w:qFormat/>
    <w:uiPriority w:val="99"/>
    <w:pPr>
      <w:keepNext w:val="0"/>
      <w:keepLines w:val="0"/>
      <w:spacing w:before="0" w:after="0" w:line="360" w:lineRule="auto"/>
      <w:ind w:firstLine="200" w:firstLineChars="200"/>
      <w:outlineLvl w:val="9"/>
    </w:pPr>
    <w:rPr>
      <w:rFonts w:ascii="宋体" w:hAnsi="宋体" w:cs="宋体"/>
      <w:b w:val="0"/>
      <w:bCs w:val="0"/>
      <w:color w:val="000000"/>
      <w:kern w:val="2"/>
      <w:sz w:val="24"/>
      <w:szCs w:val="24"/>
    </w:rPr>
  </w:style>
  <w:style w:type="paragraph" w:customStyle="1" w:styleId="169">
    <w:name w:val="Char Char Char Char Char Char Char Char Char Char Char Char Char Char Char Char"/>
    <w:basedOn w:val="2"/>
    <w:next w:val="1"/>
    <w:qFormat/>
    <w:uiPriority w:val="99"/>
    <w:pPr>
      <w:keepNext w:val="0"/>
      <w:keepLines w:val="0"/>
      <w:spacing w:before="0" w:after="0" w:line="360" w:lineRule="auto"/>
      <w:ind w:firstLine="200" w:firstLineChars="200"/>
      <w:outlineLvl w:val="9"/>
    </w:pPr>
    <w:rPr>
      <w:rFonts w:ascii="宋体" w:hAnsi="宋体" w:cs="宋体"/>
      <w:b w:val="0"/>
      <w:bCs w:val="0"/>
      <w:color w:val="000000"/>
      <w:kern w:val="2"/>
      <w:sz w:val="24"/>
      <w:szCs w:val="24"/>
    </w:rPr>
  </w:style>
  <w:style w:type="character" w:customStyle="1" w:styleId="170">
    <w:name w:val="正文文本 (2)_"/>
    <w:link w:val="171"/>
    <w:qFormat/>
    <w:locked/>
    <w:uiPriority w:val="0"/>
    <w:rPr>
      <w:rFonts w:ascii="MingLiU" w:hAnsi="MingLiU" w:eastAsia="MingLiU"/>
      <w:sz w:val="23"/>
      <w:szCs w:val="23"/>
      <w:shd w:val="clear" w:color="auto" w:fill="FFFFFF"/>
    </w:rPr>
  </w:style>
  <w:style w:type="paragraph" w:customStyle="1" w:styleId="171">
    <w:name w:val="正文文本 (2)"/>
    <w:basedOn w:val="2"/>
    <w:next w:val="1"/>
    <w:link w:val="170"/>
    <w:qFormat/>
    <w:uiPriority w:val="0"/>
    <w:pPr>
      <w:keepNext w:val="0"/>
      <w:keepLines w:val="0"/>
      <w:shd w:val="clear" w:color="auto" w:fill="FFFFFF"/>
      <w:spacing w:before="0" w:after="0" w:line="466" w:lineRule="exact"/>
      <w:ind w:firstLine="425" w:firstLineChars="177"/>
      <w:jc w:val="distribute"/>
      <w:outlineLvl w:val="9"/>
    </w:pPr>
    <w:rPr>
      <w:rFonts w:ascii="MingLiU" w:hAnsi="MingLiU" w:eastAsia="MingLiU" w:cstheme="minorBidi"/>
      <w:b w:val="0"/>
      <w:bCs w:val="0"/>
      <w:kern w:val="2"/>
      <w:sz w:val="23"/>
      <w:szCs w:val="23"/>
    </w:rPr>
  </w:style>
  <w:style w:type="paragraph" w:customStyle="1" w:styleId="172">
    <w:name w:val="公式"/>
    <w:basedOn w:val="2"/>
    <w:next w:val="1"/>
    <w:qFormat/>
    <w:uiPriority w:val="99"/>
    <w:pPr>
      <w:keepNext w:val="0"/>
      <w:keepLines w:val="0"/>
      <w:spacing w:before="0" w:after="0" w:line="312" w:lineRule="auto"/>
      <w:ind w:firstLine="425" w:firstLineChars="177"/>
      <w:jc w:val="right"/>
      <w:outlineLvl w:val="9"/>
    </w:pPr>
    <w:rPr>
      <w:rFonts w:ascii="宋体" w:hAnsi="宋体"/>
      <w:b w:val="0"/>
      <w:bCs w:val="0"/>
      <w:color w:val="000000"/>
      <w:kern w:val="2"/>
      <w:sz w:val="24"/>
      <w:szCs w:val="24"/>
    </w:rPr>
  </w:style>
  <w:style w:type="paragraph" w:customStyle="1" w:styleId="173">
    <w:name w:val="纯文本4"/>
    <w:basedOn w:val="2"/>
    <w:next w:val="1"/>
    <w:qFormat/>
    <w:uiPriority w:val="99"/>
    <w:pPr>
      <w:keepNext w:val="0"/>
      <w:keepLines w:val="0"/>
      <w:spacing w:before="0" w:after="0" w:line="500" w:lineRule="atLeast"/>
      <w:ind w:firstLine="425" w:firstLineChars="177"/>
      <w:outlineLvl w:val="9"/>
    </w:pPr>
    <w:rPr>
      <w:rFonts w:ascii="宋体" w:hAnsi="Courier New"/>
      <w:b w:val="0"/>
      <w:bCs w:val="0"/>
      <w:kern w:val="0"/>
      <w:sz w:val="20"/>
      <w:szCs w:val="21"/>
    </w:rPr>
  </w:style>
  <w:style w:type="paragraph" w:customStyle="1" w:styleId="174">
    <w:name w:val="日期2"/>
    <w:basedOn w:val="2"/>
    <w:next w:val="1"/>
    <w:qFormat/>
    <w:uiPriority w:val="99"/>
    <w:pPr>
      <w:keepNext w:val="0"/>
      <w:keepLines w:val="0"/>
      <w:spacing w:before="0" w:after="0" w:line="500" w:lineRule="atLeast"/>
      <w:ind w:left="100" w:leftChars="2500" w:firstLine="425" w:firstLineChars="177"/>
      <w:outlineLvl w:val="9"/>
    </w:pPr>
    <w:rPr>
      <w:rFonts w:ascii="Calibri" w:hAnsi="Calibri"/>
      <w:b w:val="0"/>
      <w:bCs w:val="0"/>
      <w:kern w:val="0"/>
      <w:sz w:val="20"/>
      <w:szCs w:val="20"/>
    </w:rPr>
  </w:style>
  <w:style w:type="paragraph" w:customStyle="1" w:styleId="175">
    <w:name w:val="无间隔2"/>
    <w:next w:val="1"/>
    <w:qFormat/>
    <w:uiPriority w:val="99"/>
    <w:rPr>
      <w:rFonts w:ascii="Calibri" w:hAnsi="Calibri" w:eastAsia="宋体" w:cs="Times New Roman"/>
      <w:sz w:val="22"/>
      <w:lang w:val="en-US" w:eastAsia="zh-CN" w:bidi="ar-SA"/>
    </w:rPr>
  </w:style>
  <w:style w:type="paragraph" w:customStyle="1" w:styleId="176">
    <w:name w:val="纯文本5"/>
    <w:basedOn w:val="2"/>
    <w:next w:val="1"/>
    <w:qFormat/>
    <w:uiPriority w:val="99"/>
    <w:pPr>
      <w:keepNext w:val="0"/>
      <w:keepLines w:val="0"/>
      <w:spacing w:before="0" w:after="0" w:line="500" w:lineRule="atLeast"/>
      <w:ind w:firstLine="425" w:firstLineChars="177"/>
      <w:outlineLvl w:val="9"/>
    </w:pPr>
    <w:rPr>
      <w:rFonts w:ascii="宋体" w:hAnsi="Courier New"/>
      <w:b w:val="0"/>
      <w:bCs w:val="0"/>
      <w:kern w:val="0"/>
      <w:sz w:val="20"/>
      <w:szCs w:val="21"/>
    </w:rPr>
  </w:style>
  <w:style w:type="paragraph" w:customStyle="1" w:styleId="177">
    <w:name w:val="Char12"/>
    <w:basedOn w:val="2"/>
    <w:next w:val="1"/>
    <w:qFormat/>
    <w:uiPriority w:val="99"/>
    <w:pPr>
      <w:keepNext w:val="0"/>
      <w:keepLines w:val="0"/>
      <w:spacing w:before="0" w:after="0" w:line="500" w:lineRule="atLeast"/>
      <w:ind w:left="510" w:firstLine="425" w:firstLineChars="177"/>
      <w:outlineLvl w:val="9"/>
    </w:pPr>
    <w:rPr>
      <w:b w:val="0"/>
      <w:bCs w:val="0"/>
      <w:kern w:val="2"/>
      <w:sz w:val="24"/>
      <w:szCs w:val="21"/>
    </w:rPr>
  </w:style>
  <w:style w:type="paragraph" w:customStyle="1" w:styleId="178">
    <w:name w:val="Char Char Char1 Char Char Char Char Char Char Char Char2"/>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179">
    <w:name w:val="Char Char Char Char Char Char Char Char Char Char Char Char Char Char Char Char2"/>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180">
    <w:name w:val="正文4"/>
    <w:next w:val="1"/>
    <w:qFormat/>
    <w:uiPriority w:val="99"/>
    <w:pPr>
      <w:widowControl w:val="0"/>
      <w:adjustRightInd w:val="0"/>
      <w:spacing w:line="360" w:lineRule="atLeast"/>
    </w:pPr>
    <w:rPr>
      <w:rFonts w:ascii="宋体" w:hAnsi="Times New Roman" w:eastAsia="宋体" w:cs="Times New Roman"/>
      <w:sz w:val="24"/>
      <w:lang w:val="en-US" w:eastAsia="zh-CN" w:bidi="ar-SA"/>
    </w:rPr>
  </w:style>
  <w:style w:type="paragraph" w:customStyle="1" w:styleId="181">
    <w:name w:val="日期3"/>
    <w:basedOn w:val="2"/>
    <w:next w:val="1"/>
    <w:qFormat/>
    <w:uiPriority w:val="99"/>
    <w:pPr>
      <w:keepNext w:val="0"/>
      <w:keepLines w:val="0"/>
      <w:spacing w:before="0" w:after="0" w:line="500" w:lineRule="atLeast"/>
      <w:ind w:left="100" w:leftChars="2500" w:firstLine="425" w:firstLineChars="177"/>
      <w:outlineLvl w:val="9"/>
    </w:pPr>
    <w:rPr>
      <w:rFonts w:ascii="Calibri" w:hAnsi="Calibri"/>
      <w:b w:val="0"/>
      <w:bCs w:val="0"/>
      <w:kern w:val="0"/>
      <w:sz w:val="20"/>
      <w:szCs w:val="20"/>
    </w:rPr>
  </w:style>
  <w:style w:type="paragraph" w:customStyle="1" w:styleId="182">
    <w:name w:val="无间隔3"/>
    <w:next w:val="1"/>
    <w:qFormat/>
    <w:uiPriority w:val="99"/>
    <w:rPr>
      <w:rFonts w:ascii="Calibri" w:hAnsi="Calibri" w:eastAsia="宋体" w:cs="Times New Roman"/>
      <w:sz w:val="22"/>
      <w:lang w:val="en-US" w:eastAsia="zh-CN" w:bidi="ar-SA"/>
    </w:rPr>
  </w:style>
  <w:style w:type="paragraph" w:customStyle="1" w:styleId="183">
    <w:name w:val="Char11"/>
    <w:basedOn w:val="2"/>
    <w:next w:val="1"/>
    <w:qFormat/>
    <w:uiPriority w:val="99"/>
    <w:pPr>
      <w:keepNext w:val="0"/>
      <w:keepLines w:val="0"/>
      <w:spacing w:before="0" w:after="0" w:line="500" w:lineRule="atLeast"/>
      <w:ind w:left="510" w:firstLine="425" w:firstLineChars="177"/>
      <w:outlineLvl w:val="9"/>
    </w:pPr>
    <w:rPr>
      <w:b w:val="0"/>
      <w:bCs w:val="0"/>
      <w:kern w:val="2"/>
      <w:sz w:val="24"/>
      <w:szCs w:val="21"/>
    </w:rPr>
  </w:style>
  <w:style w:type="paragraph" w:customStyle="1" w:styleId="184">
    <w:name w:val="Char Char Char1 Char Char Char Char Char Char Char Char1"/>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185">
    <w:name w:val="Char Char Char Char Char Char Char Char Char Char Char Char Char Char Char Char1"/>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character" w:customStyle="1" w:styleId="186">
    <w:name w:val="正缩1 Char Char"/>
    <w:link w:val="187"/>
    <w:qFormat/>
    <w:locked/>
    <w:uiPriority w:val="0"/>
    <w:rPr>
      <w:rFonts w:ascii="仿宋_GB2312" w:eastAsia="仿宋_GB2312"/>
      <w:snapToGrid w:val="0"/>
      <w:color w:val="000000"/>
      <w:sz w:val="28"/>
    </w:rPr>
  </w:style>
  <w:style w:type="paragraph" w:customStyle="1" w:styleId="187">
    <w:name w:val="正缩1 Char"/>
    <w:basedOn w:val="2"/>
    <w:next w:val="1"/>
    <w:link w:val="186"/>
    <w:qFormat/>
    <w:uiPriority w:val="0"/>
    <w:pPr>
      <w:keepNext w:val="0"/>
      <w:keepLines w:val="0"/>
      <w:adjustRightInd w:val="0"/>
      <w:snapToGrid w:val="0"/>
      <w:spacing w:before="0" w:after="0" w:line="500" w:lineRule="exact"/>
      <w:ind w:firstLine="567" w:firstLineChars="177"/>
      <w:outlineLvl w:val="9"/>
    </w:pPr>
    <w:rPr>
      <w:rFonts w:ascii="仿宋_GB2312" w:eastAsia="仿宋_GB2312" w:hAnsiTheme="minorHAnsi" w:cstheme="minorBidi"/>
      <w:b w:val="0"/>
      <w:bCs w:val="0"/>
      <w:snapToGrid w:val="0"/>
      <w:color w:val="000000"/>
      <w:kern w:val="2"/>
      <w:sz w:val="28"/>
      <w:szCs w:val="22"/>
    </w:rPr>
  </w:style>
  <w:style w:type="character" w:customStyle="1" w:styleId="188">
    <w:name w:val="报告正文 Char"/>
    <w:link w:val="189"/>
    <w:qFormat/>
    <w:locked/>
    <w:uiPriority w:val="0"/>
    <w:rPr>
      <w:sz w:val="24"/>
    </w:rPr>
  </w:style>
  <w:style w:type="paragraph" w:customStyle="1" w:styleId="189">
    <w:name w:val="报告正文"/>
    <w:basedOn w:val="2"/>
    <w:next w:val="1"/>
    <w:link w:val="188"/>
    <w:qFormat/>
    <w:uiPriority w:val="0"/>
    <w:pPr>
      <w:keepNext w:val="0"/>
      <w:keepLines w:val="0"/>
      <w:spacing w:before="0" w:after="0" w:line="360" w:lineRule="auto"/>
      <w:ind w:firstLine="200" w:firstLineChars="200"/>
      <w:outlineLvl w:val="9"/>
    </w:pPr>
    <w:rPr>
      <w:rFonts w:asciiTheme="minorHAnsi" w:hAnsiTheme="minorHAnsi" w:eastAsiaTheme="minorEastAsia" w:cstheme="minorBidi"/>
      <w:b w:val="0"/>
      <w:bCs w:val="0"/>
      <w:kern w:val="2"/>
      <w:sz w:val="24"/>
      <w:szCs w:val="22"/>
    </w:rPr>
  </w:style>
  <w:style w:type="character" w:customStyle="1" w:styleId="190">
    <w:name w:val="正文111 Char"/>
    <w:basedOn w:val="50"/>
    <w:link w:val="191"/>
    <w:qFormat/>
    <w:locked/>
    <w:uiPriority w:val="0"/>
    <w:rPr>
      <w:rFonts w:ascii="仿宋_GB2312" w:eastAsia="仿宋_GB2312"/>
      <w:spacing w:val="6"/>
      <w:sz w:val="24"/>
      <w:szCs w:val="24"/>
    </w:rPr>
  </w:style>
  <w:style w:type="paragraph" w:customStyle="1" w:styleId="191">
    <w:name w:val="正文111"/>
    <w:basedOn w:val="2"/>
    <w:next w:val="1"/>
    <w:link w:val="190"/>
    <w:qFormat/>
    <w:uiPriority w:val="0"/>
    <w:pPr>
      <w:keepNext w:val="0"/>
      <w:keepLines w:val="0"/>
      <w:spacing w:before="0" w:after="0" w:line="520" w:lineRule="exact"/>
      <w:ind w:firstLine="200" w:firstLineChars="200"/>
      <w:outlineLvl w:val="9"/>
    </w:pPr>
    <w:rPr>
      <w:rFonts w:ascii="仿宋_GB2312" w:eastAsia="仿宋_GB2312" w:hAnsiTheme="minorHAnsi" w:cstheme="minorBidi"/>
      <w:b w:val="0"/>
      <w:bCs w:val="0"/>
      <w:spacing w:val="6"/>
      <w:kern w:val="2"/>
      <w:sz w:val="24"/>
      <w:szCs w:val="24"/>
    </w:rPr>
  </w:style>
  <w:style w:type="character" w:customStyle="1" w:styleId="192">
    <w:name w:val="表格内文字 Char1"/>
    <w:basedOn w:val="50"/>
    <w:link w:val="193"/>
    <w:qFormat/>
    <w:locked/>
    <w:uiPriority w:val="0"/>
    <w:rPr>
      <w:szCs w:val="21"/>
      <w:lang w:val="zh-CN"/>
    </w:rPr>
  </w:style>
  <w:style w:type="paragraph" w:customStyle="1" w:styleId="193">
    <w:name w:val="表格内文字"/>
    <w:next w:val="1"/>
    <w:link w:val="192"/>
    <w:qFormat/>
    <w:uiPriority w:val="0"/>
    <w:rPr>
      <w:rFonts w:asciiTheme="minorHAnsi" w:hAnsiTheme="minorHAnsi" w:eastAsiaTheme="minorEastAsia" w:cstheme="minorBidi"/>
      <w:kern w:val="2"/>
      <w:sz w:val="21"/>
      <w:szCs w:val="21"/>
      <w:lang w:val="zh-CN" w:eastAsia="zh-CN" w:bidi="ar-SA"/>
    </w:rPr>
  </w:style>
  <w:style w:type="paragraph" w:customStyle="1" w:styleId="194">
    <w:name w:val="麦志勤正文 Char"/>
    <w:basedOn w:val="2"/>
    <w:next w:val="1"/>
    <w:qFormat/>
    <w:uiPriority w:val="99"/>
    <w:pPr>
      <w:keepNext w:val="0"/>
      <w:keepLines w:val="0"/>
      <w:adjustRightInd w:val="0"/>
      <w:snapToGrid w:val="0"/>
      <w:spacing w:beforeLines="20" w:after="0" w:line="300" w:lineRule="auto"/>
      <w:ind w:firstLine="200" w:firstLineChars="200"/>
      <w:outlineLvl w:val="9"/>
    </w:pPr>
    <w:rPr>
      <w:rFonts w:ascii="宋体" w:hAnsi="宋体"/>
      <w:b w:val="0"/>
      <w:bCs w:val="0"/>
      <w:kern w:val="2"/>
      <w:sz w:val="24"/>
      <w:szCs w:val="20"/>
    </w:rPr>
  </w:style>
  <w:style w:type="character" w:customStyle="1" w:styleId="195">
    <w:name w:val="正文---------------- Char Char"/>
    <w:basedOn w:val="50"/>
    <w:link w:val="196"/>
    <w:qFormat/>
    <w:locked/>
    <w:uiPriority w:val="0"/>
    <w:rPr>
      <w:rFonts w:ascii="宋体" w:hAnsi="宋体" w:eastAsia="宋体" w:cs="宋体"/>
      <w:spacing w:val="16"/>
      <w:sz w:val="24"/>
    </w:rPr>
  </w:style>
  <w:style w:type="paragraph" w:customStyle="1" w:styleId="196">
    <w:name w:val="正文----------------"/>
    <w:basedOn w:val="2"/>
    <w:next w:val="1"/>
    <w:link w:val="195"/>
    <w:qFormat/>
    <w:uiPriority w:val="0"/>
    <w:pPr>
      <w:keepNext w:val="0"/>
      <w:keepLines w:val="0"/>
      <w:spacing w:before="0" w:after="0" w:line="440" w:lineRule="exact"/>
      <w:ind w:firstLine="544" w:firstLineChars="200"/>
      <w:outlineLvl w:val="9"/>
    </w:pPr>
    <w:rPr>
      <w:rFonts w:ascii="宋体" w:hAnsi="宋体" w:cs="宋体"/>
      <w:b w:val="0"/>
      <w:bCs w:val="0"/>
      <w:spacing w:val="16"/>
      <w:kern w:val="2"/>
      <w:sz w:val="24"/>
      <w:szCs w:val="22"/>
    </w:rPr>
  </w:style>
  <w:style w:type="paragraph" w:customStyle="1" w:styleId="197">
    <w:name w:val="样式 样式 样式1 + 首行缩进:  2 字符 + 首行缩进:  2 字符"/>
    <w:basedOn w:val="2"/>
    <w:next w:val="1"/>
    <w:qFormat/>
    <w:uiPriority w:val="99"/>
    <w:pPr>
      <w:keepNext w:val="0"/>
      <w:keepLines w:val="0"/>
      <w:spacing w:before="0" w:after="0" w:line="360" w:lineRule="auto"/>
      <w:ind w:firstLine="600" w:firstLineChars="250"/>
      <w:outlineLvl w:val="9"/>
    </w:pPr>
    <w:rPr>
      <w:rFonts w:cs="宋体"/>
      <w:b w:val="0"/>
      <w:kern w:val="2"/>
      <w:sz w:val="24"/>
      <w:szCs w:val="24"/>
    </w:rPr>
  </w:style>
  <w:style w:type="paragraph" w:customStyle="1" w:styleId="198">
    <w:name w:val="样式 宋体 小四 左 行距: 固定值 22 磅"/>
    <w:basedOn w:val="2"/>
    <w:next w:val="1"/>
    <w:qFormat/>
    <w:uiPriority w:val="99"/>
    <w:pPr>
      <w:keepNext w:val="0"/>
      <w:keepLines w:val="0"/>
      <w:spacing w:before="0" w:after="0" w:line="440" w:lineRule="exact"/>
      <w:ind w:firstLine="200" w:firstLineChars="200"/>
      <w:jc w:val="left"/>
      <w:outlineLvl w:val="9"/>
    </w:pPr>
    <w:rPr>
      <w:rFonts w:ascii="宋体" w:hAnsi="宋体" w:cs="宋体"/>
      <w:b w:val="0"/>
      <w:bCs w:val="0"/>
      <w:kern w:val="2"/>
      <w:sz w:val="24"/>
      <w:szCs w:val="20"/>
    </w:rPr>
  </w:style>
  <w:style w:type="character" w:customStyle="1" w:styleId="199">
    <w:name w:val="表格标题采用 Char"/>
    <w:link w:val="200"/>
    <w:qFormat/>
    <w:locked/>
    <w:uiPriority w:val="0"/>
    <w:rPr>
      <w:rFonts w:ascii="宋体" w:hAnsi="宋体" w:eastAsia="宋体"/>
      <w:b/>
      <w:color w:val="000000"/>
      <w:sz w:val="24"/>
      <w:szCs w:val="24"/>
    </w:rPr>
  </w:style>
  <w:style w:type="paragraph" w:customStyle="1" w:styleId="200">
    <w:name w:val="表格标题采用"/>
    <w:basedOn w:val="2"/>
    <w:next w:val="1"/>
    <w:link w:val="199"/>
    <w:qFormat/>
    <w:uiPriority w:val="0"/>
    <w:pPr>
      <w:keepNext w:val="0"/>
      <w:keepLines w:val="0"/>
      <w:spacing w:before="0" w:after="0" w:line="500" w:lineRule="atLeast"/>
      <w:ind w:firstLine="480" w:firstLineChars="177"/>
      <w:jc w:val="center"/>
      <w:outlineLvl w:val="9"/>
    </w:pPr>
    <w:rPr>
      <w:rFonts w:ascii="宋体" w:hAnsi="宋体" w:cstheme="minorBidi"/>
      <w:bCs w:val="0"/>
      <w:color w:val="000000"/>
      <w:kern w:val="2"/>
      <w:sz w:val="24"/>
      <w:szCs w:val="24"/>
    </w:rPr>
  </w:style>
  <w:style w:type="character" w:customStyle="1" w:styleId="201">
    <w:name w:val="表格内容 Char"/>
    <w:link w:val="202"/>
    <w:qFormat/>
    <w:locked/>
    <w:uiPriority w:val="0"/>
    <w:rPr>
      <w:snapToGrid w:val="0"/>
      <w:color w:val="FF0000"/>
      <w:szCs w:val="21"/>
    </w:rPr>
  </w:style>
  <w:style w:type="paragraph" w:customStyle="1" w:styleId="202">
    <w:name w:val="表格内容"/>
    <w:basedOn w:val="2"/>
    <w:next w:val="1"/>
    <w:link w:val="201"/>
    <w:qFormat/>
    <w:uiPriority w:val="0"/>
    <w:pPr>
      <w:keepNext w:val="0"/>
      <w:keepLines w:val="0"/>
      <w:snapToGrid w:val="0"/>
      <w:spacing w:before="0" w:after="0" w:line="240" w:lineRule="exact"/>
      <w:ind w:firstLine="425" w:firstLineChars="177"/>
      <w:jc w:val="center"/>
      <w:outlineLvl w:val="9"/>
    </w:pPr>
    <w:rPr>
      <w:rFonts w:asciiTheme="minorHAnsi" w:hAnsiTheme="minorHAnsi" w:eastAsiaTheme="minorEastAsia" w:cstheme="minorBidi"/>
      <w:b w:val="0"/>
      <w:bCs w:val="0"/>
      <w:snapToGrid w:val="0"/>
      <w:color w:val="FF0000"/>
      <w:kern w:val="2"/>
      <w:sz w:val="21"/>
      <w:szCs w:val="21"/>
    </w:rPr>
  </w:style>
  <w:style w:type="paragraph" w:customStyle="1" w:styleId="203">
    <w:name w:val="正文段落格式 Char"/>
    <w:basedOn w:val="2"/>
    <w:next w:val="1"/>
    <w:qFormat/>
    <w:uiPriority w:val="99"/>
    <w:pPr>
      <w:keepNext w:val="0"/>
      <w:keepLines w:val="0"/>
      <w:spacing w:before="0" w:after="0" w:line="360" w:lineRule="auto"/>
      <w:ind w:firstLine="200" w:firstLineChars="200"/>
      <w:outlineLvl w:val="9"/>
    </w:pPr>
    <w:rPr>
      <w:b w:val="0"/>
      <w:bCs w:val="0"/>
      <w:kern w:val="2"/>
      <w:sz w:val="28"/>
      <w:szCs w:val="20"/>
    </w:rPr>
  </w:style>
  <w:style w:type="paragraph" w:customStyle="1" w:styleId="204">
    <w:name w:val="reader-word-layer"/>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05">
    <w:name w:val="正文 New New New New New New New New New New New New New New New New New New New New New New New New New New New New New New New New New New New New New New New New New New New New New New New"/>
    <w:next w:val="1"/>
    <w:qFormat/>
    <w:uiPriority w:val="99"/>
    <w:pPr>
      <w:widowControl w:val="0"/>
      <w:jc w:val="both"/>
    </w:pPr>
    <w:rPr>
      <w:rFonts w:ascii="Times New Roman" w:hAnsi="Times New Roman" w:eastAsia="宋体" w:cs="Times New Roman"/>
      <w:kern w:val="2"/>
      <w:sz w:val="21"/>
      <w:szCs w:val="24"/>
      <w:lang w:val="en-US" w:eastAsia="zh-CN" w:bidi="ar-SA"/>
    </w:rPr>
  </w:style>
  <w:style w:type="paragraph" w:customStyle="1" w:styleId="206">
    <w:name w:val="表格文字"/>
    <w:basedOn w:val="2"/>
    <w:next w:val="1"/>
    <w:qFormat/>
    <w:uiPriority w:val="99"/>
    <w:pPr>
      <w:keepNext w:val="0"/>
      <w:keepLines w:val="0"/>
      <w:spacing w:before="0" w:after="0" w:line="500" w:lineRule="atLeast"/>
      <w:ind w:firstLine="425" w:firstLineChars="177"/>
      <w:jc w:val="center"/>
      <w:outlineLvl w:val="9"/>
    </w:pPr>
    <w:rPr>
      <w:rFonts w:ascii="仿宋_GB2312" w:hAnsi="Arial Black" w:eastAsia="仿宋_GB2312"/>
      <w:b w:val="0"/>
      <w:bCs w:val="0"/>
      <w:sz w:val="24"/>
      <w:szCs w:val="24"/>
    </w:rPr>
  </w:style>
  <w:style w:type="paragraph" w:customStyle="1" w:styleId="207">
    <w:name w:val="表格样式"/>
    <w:basedOn w:val="25"/>
    <w:next w:val="1"/>
    <w:qFormat/>
    <w:uiPriority w:val="99"/>
    <w:pPr>
      <w:spacing w:line="720" w:lineRule="auto"/>
      <w:ind w:firstLine="425" w:firstLineChars="177"/>
    </w:pPr>
    <w:rPr>
      <w:rFonts w:cs="Times New Roman"/>
      <w:szCs w:val="20"/>
    </w:rPr>
  </w:style>
  <w:style w:type="paragraph" w:customStyle="1" w:styleId="208">
    <w:name w:val="Char3"/>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209">
    <w:name w:val="Char2 Char Char Char"/>
    <w:basedOn w:val="2"/>
    <w:next w:val="1"/>
    <w:qFormat/>
    <w:uiPriority w:val="99"/>
    <w:pPr>
      <w:keepNext w:val="0"/>
      <w:keepLines w:val="0"/>
      <w:autoSpaceDE w:val="0"/>
      <w:autoSpaceDN w:val="0"/>
      <w:adjustRightInd w:val="0"/>
      <w:snapToGrid w:val="0"/>
      <w:spacing w:before="50" w:after="50" w:line="360" w:lineRule="auto"/>
      <w:ind w:firstLine="560" w:firstLineChars="200"/>
      <w:outlineLvl w:val="9"/>
    </w:pPr>
    <w:rPr>
      <w:rFonts w:ascii="宋体" w:hAnsi="宋体" w:eastAsia="仿宋_GB2312"/>
      <w:b w:val="0"/>
      <w:bCs w:val="0"/>
      <w:color w:val="000000"/>
      <w:kern w:val="2"/>
      <w:sz w:val="24"/>
      <w:szCs w:val="24"/>
    </w:rPr>
  </w:style>
  <w:style w:type="paragraph" w:customStyle="1" w:styleId="210">
    <w:name w:val="Char Char Char Char Char Char Char Char Char Char1 Char Char Char Char Char Char Char Char Char Char Char Char Char"/>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character" w:customStyle="1" w:styleId="211">
    <w:name w:val="Char Char Char Char Char1"/>
    <w:link w:val="212"/>
    <w:qFormat/>
    <w:locked/>
    <w:uiPriority w:val="99"/>
    <w:rPr>
      <w:rFonts w:ascii="Arial" w:hAnsi="Arial" w:cs="Arial"/>
      <w:b/>
      <w:sz w:val="24"/>
      <w:lang w:eastAsia="en-US"/>
    </w:rPr>
  </w:style>
  <w:style w:type="paragraph" w:customStyle="1" w:styleId="212">
    <w:name w:val="Char Char Char Char"/>
    <w:basedOn w:val="2"/>
    <w:next w:val="1"/>
    <w:link w:val="211"/>
    <w:qFormat/>
    <w:uiPriority w:val="99"/>
    <w:pPr>
      <w:keepNext w:val="0"/>
      <w:keepLines w:val="0"/>
      <w:widowControl/>
      <w:spacing w:before="0" w:after="160" w:line="240" w:lineRule="exact"/>
      <w:ind w:firstLine="425" w:firstLineChars="177"/>
      <w:jc w:val="left"/>
      <w:outlineLvl w:val="9"/>
    </w:pPr>
    <w:rPr>
      <w:rFonts w:ascii="Arial" w:hAnsi="Arial" w:cs="Arial" w:eastAsiaTheme="minorEastAsia"/>
      <w:bCs w:val="0"/>
      <w:kern w:val="2"/>
      <w:sz w:val="24"/>
      <w:szCs w:val="22"/>
      <w:lang w:eastAsia="en-US"/>
    </w:rPr>
  </w:style>
  <w:style w:type="paragraph" w:customStyle="1" w:styleId="213">
    <w:name w:val="xl24"/>
    <w:basedOn w:val="2"/>
    <w:next w:val="1"/>
    <w:qFormat/>
    <w:uiPriority w:val="99"/>
    <w:pPr>
      <w:keepNext w:val="0"/>
      <w:keepLines w:val="0"/>
      <w:widowControl/>
      <w:pBdr>
        <w:bottom w:val="single" w:color="auto" w:sz="4" w:space="0"/>
        <w:right w:val="single" w:color="auto" w:sz="4" w:space="0"/>
      </w:pBdr>
      <w:spacing w:before="100" w:beforeAutospacing="1" w:after="100" w:afterAutospacing="1" w:line="500" w:lineRule="atLeast"/>
      <w:ind w:firstLine="425" w:firstLineChars="177"/>
      <w:jc w:val="center"/>
      <w:outlineLvl w:val="9"/>
    </w:pPr>
    <w:rPr>
      <w:rFonts w:ascii="宋体" w:hAnsi="宋体"/>
      <w:b w:val="0"/>
      <w:bCs w:val="0"/>
      <w:kern w:val="0"/>
      <w:sz w:val="24"/>
      <w:szCs w:val="21"/>
    </w:rPr>
  </w:style>
  <w:style w:type="character" w:customStyle="1" w:styleId="214">
    <w:name w:val="正文文本缩进一 Char"/>
    <w:link w:val="215"/>
    <w:qFormat/>
    <w:locked/>
    <w:uiPriority w:val="0"/>
    <w:rPr>
      <w:rFonts w:ascii="宋体" w:hAnsi="宋体" w:eastAsia="宋体"/>
      <w:sz w:val="28"/>
      <w:szCs w:val="24"/>
    </w:rPr>
  </w:style>
  <w:style w:type="paragraph" w:customStyle="1" w:styleId="215">
    <w:name w:val="正文文本缩进一"/>
    <w:basedOn w:val="21"/>
    <w:next w:val="1"/>
    <w:link w:val="214"/>
    <w:qFormat/>
    <w:uiPriority w:val="0"/>
    <w:pPr>
      <w:ind w:firstLine="560"/>
    </w:pPr>
    <w:rPr>
      <w:rFonts w:ascii="宋体" w:hAnsi="宋体" w:eastAsia="宋体"/>
      <w:sz w:val="28"/>
    </w:rPr>
  </w:style>
  <w:style w:type="paragraph" w:customStyle="1" w:styleId="216">
    <w:name w:val="正文文本缩进二"/>
    <w:basedOn w:val="28"/>
    <w:next w:val="1"/>
    <w:qFormat/>
    <w:uiPriority w:val="99"/>
    <w:rPr>
      <w:rFonts w:ascii="Times New Roman" w:hAnsi="Times New Roman"/>
      <w:color w:val="auto"/>
      <w:szCs w:val="24"/>
    </w:rPr>
  </w:style>
  <w:style w:type="character" w:customStyle="1" w:styleId="217">
    <w:name w:val="Default Char"/>
    <w:link w:val="218"/>
    <w:qFormat/>
    <w:locked/>
    <w:uiPriority w:val="0"/>
    <w:rPr>
      <w:rFonts w:ascii="Times New Roman" w:hAnsi="Times New Roman" w:cs="Times New Roman" w:eastAsiaTheme="majorEastAsia"/>
      <w:sz w:val="24"/>
      <w:szCs w:val="24"/>
      <w:lang w:val="zh-CN"/>
    </w:rPr>
  </w:style>
  <w:style w:type="paragraph" w:customStyle="1" w:styleId="218">
    <w:name w:val="Default"/>
    <w:next w:val="1"/>
    <w:link w:val="217"/>
    <w:qFormat/>
    <w:uiPriority w:val="0"/>
    <w:pPr>
      <w:widowControl w:val="0"/>
      <w:autoSpaceDE w:val="0"/>
      <w:autoSpaceDN w:val="0"/>
      <w:spacing w:line="360" w:lineRule="auto"/>
      <w:ind w:firstLine="480" w:firstLineChars="200"/>
      <w:jc w:val="both"/>
    </w:pPr>
    <w:rPr>
      <w:rFonts w:ascii="Times New Roman" w:hAnsi="Times New Roman" w:cs="Times New Roman" w:eastAsiaTheme="majorEastAsia"/>
      <w:kern w:val="2"/>
      <w:sz w:val="24"/>
      <w:szCs w:val="24"/>
      <w:lang w:val="zh-CN" w:eastAsia="zh-CN" w:bidi="ar-SA"/>
    </w:rPr>
  </w:style>
  <w:style w:type="paragraph" w:customStyle="1" w:styleId="219">
    <w:name w:val="表中文字"/>
    <w:basedOn w:val="2"/>
    <w:next w:val="1"/>
    <w:qFormat/>
    <w:uiPriority w:val="99"/>
    <w:pPr>
      <w:keepNext w:val="0"/>
      <w:keepLines w:val="0"/>
      <w:spacing w:before="0" w:after="0" w:line="500" w:lineRule="atLeast"/>
      <w:ind w:firstLine="425" w:firstLineChars="177"/>
      <w:jc w:val="center"/>
      <w:outlineLvl w:val="9"/>
    </w:pPr>
    <w:rPr>
      <w:b w:val="0"/>
      <w:bCs w:val="0"/>
      <w:kern w:val="2"/>
      <w:sz w:val="24"/>
      <w:szCs w:val="20"/>
    </w:rPr>
  </w:style>
  <w:style w:type="character" w:customStyle="1" w:styleId="220">
    <w:name w:val="正文2 Char"/>
    <w:link w:val="221"/>
    <w:qFormat/>
    <w:locked/>
    <w:uiPriority w:val="0"/>
    <w:rPr>
      <w:rFonts w:ascii="宋体" w:hAnsi="宋体" w:eastAsia="宋体"/>
      <w:sz w:val="24"/>
    </w:rPr>
  </w:style>
  <w:style w:type="paragraph" w:customStyle="1" w:styleId="221">
    <w:name w:val="正文2"/>
    <w:next w:val="1"/>
    <w:link w:val="220"/>
    <w:qFormat/>
    <w:uiPriority w:val="0"/>
    <w:pPr>
      <w:widowControl w:val="0"/>
      <w:adjustRightInd w:val="0"/>
      <w:spacing w:line="360" w:lineRule="atLeast"/>
    </w:pPr>
    <w:rPr>
      <w:rFonts w:ascii="宋体" w:hAnsi="宋体" w:eastAsia="宋体" w:cstheme="minorBidi"/>
      <w:kern w:val="2"/>
      <w:sz w:val="24"/>
      <w:szCs w:val="22"/>
      <w:lang w:val="en-US" w:eastAsia="zh-CN" w:bidi="ar-SA"/>
    </w:rPr>
  </w:style>
  <w:style w:type="paragraph" w:customStyle="1" w:styleId="222">
    <w:name w:val="样式 列表 2 + 华文仿宋 居中"/>
    <w:basedOn w:val="23"/>
    <w:next w:val="1"/>
    <w:qFormat/>
    <w:uiPriority w:val="99"/>
    <w:pPr>
      <w:spacing w:line="500" w:lineRule="exact"/>
      <w:ind w:left="0" w:leftChars="0" w:firstLine="425" w:firstLineChars="177"/>
      <w:contextualSpacing w:val="0"/>
      <w:jc w:val="center"/>
    </w:pPr>
    <w:rPr>
      <w:kern w:val="0"/>
    </w:rPr>
  </w:style>
  <w:style w:type="paragraph" w:customStyle="1" w:styleId="223">
    <w:name w:val="lily 正文"/>
    <w:basedOn w:val="2"/>
    <w:next w:val="1"/>
    <w:qFormat/>
    <w:uiPriority w:val="99"/>
    <w:pPr>
      <w:keepNext w:val="0"/>
      <w:keepLines w:val="0"/>
      <w:spacing w:before="0" w:after="0" w:line="440" w:lineRule="atLeast"/>
      <w:ind w:firstLine="480" w:firstLineChars="200"/>
      <w:outlineLvl w:val="9"/>
    </w:pPr>
    <w:rPr>
      <w:b w:val="0"/>
      <w:bCs w:val="0"/>
      <w:kern w:val="2"/>
      <w:sz w:val="24"/>
      <w:szCs w:val="24"/>
    </w:rPr>
  </w:style>
  <w:style w:type="paragraph" w:customStyle="1" w:styleId="224">
    <w:name w:val="lily 表格标题"/>
    <w:basedOn w:val="2"/>
    <w:next w:val="1"/>
    <w:qFormat/>
    <w:uiPriority w:val="99"/>
    <w:pPr>
      <w:keepNext w:val="0"/>
      <w:keepLines w:val="0"/>
      <w:spacing w:before="0" w:after="0" w:line="440" w:lineRule="atLeast"/>
      <w:ind w:firstLine="425" w:firstLineChars="177"/>
      <w:jc w:val="center"/>
      <w:outlineLvl w:val="9"/>
    </w:pPr>
    <w:rPr>
      <w:rFonts w:eastAsia="黑体"/>
      <w:kern w:val="2"/>
      <w:sz w:val="24"/>
      <w:szCs w:val="24"/>
    </w:rPr>
  </w:style>
  <w:style w:type="paragraph" w:customStyle="1" w:styleId="225">
    <w:name w:val="Char Char Char Char Char Char Char"/>
    <w:basedOn w:val="2"/>
    <w:next w:val="1"/>
    <w:qFormat/>
    <w:uiPriority w:val="0"/>
    <w:pPr>
      <w:keepNext w:val="0"/>
      <w:keepLines w:val="0"/>
      <w:spacing w:before="0" w:after="0" w:line="360" w:lineRule="auto"/>
      <w:ind w:firstLine="200" w:firstLineChars="200"/>
      <w:outlineLvl w:val="9"/>
    </w:pPr>
    <w:rPr>
      <w:rFonts w:ascii="宋体" w:hAnsi="宋体" w:cs="宋体"/>
      <w:b w:val="0"/>
      <w:bCs w:val="0"/>
      <w:color w:val="000000"/>
      <w:kern w:val="2"/>
      <w:sz w:val="24"/>
      <w:szCs w:val="18"/>
    </w:rPr>
  </w:style>
  <w:style w:type="paragraph" w:customStyle="1" w:styleId="226">
    <w:name w:val="表内容"/>
    <w:basedOn w:val="2"/>
    <w:next w:val="1"/>
    <w:qFormat/>
    <w:uiPriority w:val="99"/>
    <w:pPr>
      <w:keepNext w:val="0"/>
      <w:keepLines w:val="0"/>
      <w:spacing w:before="0" w:after="0" w:line="320" w:lineRule="exact"/>
      <w:ind w:firstLine="425" w:firstLineChars="177"/>
      <w:jc w:val="center"/>
      <w:outlineLvl w:val="9"/>
    </w:pPr>
    <w:rPr>
      <w:b w:val="0"/>
      <w:bCs w:val="0"/>
      <w:kern w:val="2"/>
      <w:sz w:val="24"/>
      <w:szCs w:val="21"/>
    </w:rPr>
  </w:style>
  <w:style w:type="paragraph" w:customStyle="1" w:styleId="227">
    <w:name w:val="小四表文左齐"/>
    <w:basedOn w:val="2"/>
    <w:next w:val="1"/>
    <w:qFormat/>
    <w:uiPriority w:val="99"/>
    <w:pPr>
      <w:keepNext w:val="0"/>
      <w:keepLines w:val="0"/>
      <w:spacing w:before="0" w:after="0" w:line="360" w:lineRule="auto"/>
      <w:ind w:firstLine="200" w:firstLineChars="200"/>
      <w:jc w:val="center"/>
      <w:outlineLvl w:val="9"/>
    </w:pPr>
    <w:rPr>
      <w:rFonts w:ascii="仿宋_GB2312" w:hAnsi="宋体" w:eastAsia="仿宋_GB2312"/>
      <w:b w:val="0"/>
      <w:bCs w:val="0"/>
      <w:w w:val="90"/>
      <w:kern w:val="2"/>
      <w:sz w:val="24"/>
      <w:szCs w:val="24"/>
    </w:rPr>
  </w:style>
  <w:style w:type="paragraph" w:customStyle="1" w:styleId="228">
    <w:name w:val="表序号"/>
    <w:basedOn w:val="2"/>
    <w:next w:val="1"/>
    <w:qFormat/>
    <w:uiPriority w:val="99"/>
    <w:pPr>
      <w:keepNext w:val="0"/>
      <w:keepLines w:val="0"/>
      <w:pageBreakBefore/>
      <w:numPr>
        <w:ilvl w:val="5"/>
        <w:numId w:val="2"/>
      </w:numPr>
      <w:tabs>
        <w:tab w:val="left" w:pos="360"/>
        <w:tab w:val="left" w:pos="2977"/>
      </w:tabs>
      <w:spacing w:beforeLines="50" w:afterLines="50" w:line="500" w:lineRule="exact"/>
      <w:ind w:left="2637" w:hanging="432" w:firstLineChars="177"/>
      <w:jc w:val="left"/>
    </w:pPr>
    <w:rPr>
      <w:rFonts w:ascii="宋体" w:hAnsi="宋体"/>
      <w:b w:val="0"/>
      <w:bCs w:val="0"/>
      <w:kern w:val="2"/>
      <w:sz w:val="32"/>
      <w:szCs w:val="32"/>
    </w:rPr>
  </w:style>
  <w:style w:type="paragraph" w:customStyle="1" w:styleId="229">
    <w:name w:val="样式 标题 1标题1章标题 + 宋体"/>
    <w:basedOn w:val="2"/>
    <w:next w:val="1"/>
    <w:qFormat/>
    <w:uiPriority w:val="99"/>
    <w:pPr>
      <w:keepNext w:val="0"/>
      <w:keepLines w:val="0"/>
      <w:pageBreakBefore/>
      <w:tabs>
        <w:tab w:val="left" w:pos="2977"/>
      </w:tabs>
      <w:spacing w:beforeLines="50" w:afterLines="50" w:line="500" w:lineRule="exact"/>
      <w:ind w:left="2637" w:hanging="432" w:firstLineChars="177"/>
      <w:jc w:val="center"/>
    </w:pPr>
    <w:rPr>
      <w:rFonts w:ascii="宋体" w:hAnsi="宋体"/>
      <w:kern w:val="2"/>
      <w:sz w:val="32"/>
      <w:szCs w:val="32"/>
    </w:rPr>
  </w:style>
  <w:style w:type="paragraph" w:customStyle="1" w:styleId="230">
    <w:name w:val="样式1"/>
    <w:basedOn w:val="2"/>
    <w:next w:val="24"/>
    <w:qFormat/>
    <w:uiPriority w:val="99"/>
    <w:pPr>
      <w:keepNext w:val="0"/>
      <w:keepLines w:val="0"/>
      <w:adjustRightInd w:val="0"/>
      <w:snapToGrid w:val="0"/>
      <w:spacing w:before="0" w:after="0" w:line="360" w:lineRule="auto"/>
      <w:ind w:firstLine="200" w:firstLineChars="200"/>
      <w:jc w:val="center"/>
      <w:outlineLvl w:val="9"/>
    </w:pPr>
    <w:rPr>
      <w:rFonts w:ascii="仿宋_GB2312" w:hAnsi="宋体" w:eastAsia="仿宋_GB2312"/>
      <w:b w:val="0"/>
      <w:kern w:val="2"/>
      <w:sz w:val="24"/>
      <w:szCs w:val="24"/>
    </w:rPr>
  </w:style>
  <w:style w:type="paragraph" w:customStyle="1" w:styleId="231">
    <w:name w:val="样式 表格标题 + 首行缩进:  0.61 字符"/>
    <w:basedOn w:val="2"/>
    <w:next w:val="1"/>
    <w:qFormat/>
    <w:uiPriority w:val="99"/>
    <w:pPr>
      <w:keepNext w:val="0"/>
      <w:keepLines w:val="0"/>
      <w:wordWrap w:val="0"/>
      <w:adjustRightInd w:val="0"/>
      <w:snapToGrid w:val="0"/>
      <w:spacing w:before="0" w:after="0" w:line="400" w:lineRule="exact"/>
      <w:ind w:left="-143" w:leftChars="-68" w:firstLine="128" w:firstLineChars="61"/>
      <w:jc w:val="center"/>
      <w:outlineLvl w:val="9"/>
    </w:pPr>
    <w:rPr>
      <w:rFonts w:cs="宋体"/>
      <w:b w:val="0"/>
      <w:bCs w:val="0"/>
      <w:kern w:val="2"/>
      <w:sz w:val="24"/>
      <w:szCs w:val="20"/>
    </w:rPr>
  </w:style>
  <w:style w:type="paragraph" w:customStyle="1" w:styleId="232">
    <w:name w:val="正文3"/>
    <w:next w:val="1"/>
    <w:qFormat/>
    <w:uiPriority w:val="99"/>
    <w:pPr>
      <w:widowControl w:val="0"/>
      <w:adjustRightInd w:val="0"/>
      <w:spacing w:line="360" w:lineRule="atLeast"/>
    </w:pPr>
    <w:rPr>
      <w:rFonts w:ascii="宋体" w:hAnsi="Times New Roman" w:eastAsia="宋体" w:cs="Times New Roman"/>
      <w:sz w:val="24"/>
      <w:lang w:val="en-US" w:eastAsia="zh-CN" w:bidi="ar-SA"/>
    </w:rPr>
  </w:style>
  <w:style w:type="paragraph" w:customStyle="1" w:styleId="233">
    <w:name w:val="xl27"/>
    <w:basedOn w:val="2"/>
    <w:next w:val="1"/>
    <w:qFormat/>
    <w:uiPriority w:val="99"/>
    <w:pPr>
      <w:keepNext w:val="0"/>
      <w:keepLines w:val="0"/>
      <w:widowControl/>
      <w:pBdr>
        <w:bottom w:val="single" w:color="auto" w:sz="12" w:space="0"/>
      </w:pBdr>
      <w:spacing w:before="100" w:after="100" w:line="500" w:lineRule="atLeast"/>
      <w:ind w:firstLine="425" w:firstLineChars="177"/>
      <w:jc w:val="center"/>
      <w:outlineLvl w:val="9"/>
    </w:pPr>
    <w:rPr>
      <w:rFonts w:ascii="宋体" w:hAnsi="宋体"/>
      <w:b w:val="0"/>
      <w:bCs w:val="0"/>
      <w:kern w:val="0"/>
      <w:sz w:val="24"/>
      <w:szCs w:val="20"/>
    </w:rPr>
  </w:style>
  <w:style w:type="paragraph" w:customStyle="1" w:styleId="234">
    <w:name w:val="表文字"/>
    <w:basedOn w:val="2"/>
    <w:next w:val="1"/>
    <w:qFormat/>
    <w:uiPriority w:val="0"/>
    <w:pPr>
      <w:keepNext w:val="0"/>
      <w:keepLines w:val="0"/>
      <w:tabs>
        <w:tab w:val="left" w:pos="945"/>
        <w:tab w:val="right" w:leader="dot" w:pos="1155"/>
        <w:tab w:val="left" w:pos="8715"/>
      </w:tabs>
      <w:adjustRightInd w:val="0"/>
      <w:snapToGrid w:val="0"/>
      <w:spacing w:beforeLines="15" w:after="0" w:line="360" w:lineRule="auto"/>
      <w:ind w:firstLine="425" w:firstLineChars="177"/>
      <w:jc w:val="center"/>
      <w:outlineLvl w:val="9"/>
    </w:pPr>
    <w:rPr>
      <w:rFonts w:ascii="宋体" w:hAnsi="宋体"/>
      <w:b w:val="0"/>
      <w:bCs w:val="0"/>
      <w:color w:val="000000"/>
      <w:kern w:val="0"/>
      <w:sz w:val="24"/>
      <w:szCs w:val="9"/>
    </w:rPr>
  </w:style>
  <w:style w:type="paragraph" w:customStyle="1" w:styleId="235">
    <w:name w:val="Document"/>
    <w:basedOn w:val="2"/>
    <w:next w:val="1"/>
    <w:qFormat/>
    <w:uiPriority w:val="99"/>
    <w:pPr>
      <w:keepNext w:val="0"/>
      <w:keepLines w:val="0"/>
      <w:widowControl/>
      <w:spacing w:before="0" w:after="0" w:line="500" w:lineRule="atLeast"/>
      <w:ind w:firstLine="425" w:firstLineChars="177"/>
      <w:jc w:val="center"/>
      <w:outlineLvl w:val="9"/>
    </w:pPr>
    <w:rPr>
      <w:rFonts w:ascii="Financial  (MF)" w:hAnsi="Financial  (MF)"/>
      <w:b w:val="0"/>
      <w:bCs w:val="0"/>
      <w:kern w:val="0"/>
      <w:sz w:val="24"/>
      <w:szCs w:val="20"/>
      <w:lang w:eastAsia="en-US"/>
    </w:rPr>
  </w:style>
  <w:style w:type="paragraph" w:customStyle="1" w:styleId="236">
    <w:name w:val="表题"/>
    <w:basedOn w:val="2"/>
    <w:next w:val="1"/>
    <w:qFormat/>
    <w:uiPriority w:val="99"/>
    <w:pPr>
      <w:keepNext w:val="0"/>
      <w:keepLines w:val="0"/>
      <w:tabs>
        <w:tab w:val="right" w:pos="0"/>
      </w:tabs>
      <w:adjustRightInd w:val="0"/>
      <w:snapToGrid w:val="0"/>
      <w:spacing w:before="0" w:after="0" w:line="500" w:lineRule="atLeast"/>
      <w:ind w:firstLine="425" w:firstLineChars="177"/>
      <w:jc w:val="center"/>
      <w:outlineLvl w:val="9"/>
    </w:pPr>
    <w:rPr>
      <w:rFonts w:ascii="宋体" w:hAnsi="宋体"/>
      <w:bCs w:val="0"/>
      <w:spacing w:val="12"/>
      <w:kern w:val="2"/>
      <w:sz w:val="24"/>
      <w:szCs w:val="24"/>
    </w:rPr>
  </w:style>
  <w:style w:type="paragraph" w:customStyle="1" w:styleId="237">
    <w:name w:val="图框文"/>
    <w:basedOn w:val="2"/>
    <w:next w:val="1"/>
    <w:qFormat/>
    <w:uiPriority w:val="99"/>
    <w:pPr>
      <w:keepNext w:val="0"/>
      <w:keepLines w:val="0"/>
      <w:kinsoku w:val="0"/>
      <w:wordWrap w:val="0"/>
      <w:overflowPunct w:val="0"/>
      <w:autoSpaceDE w:val="0"/>
      <w:autoSpaceDN w:val="0"/>
      <w:spacing w:before="0" w:after="0" w:line="0" w:lineRule="atLeast"/>
      <w:ind w:firstLine="425" w:firstLineChars="177"/>
      <w:jc w:val="center"/>
      <w:outlineLvl w:val="9"/>
    </w:pPr>
    <w:rPr>
      <w:rFonts w:ascii="仿宋_GB2312" w:eastAsia="仿宋_GB2312"/>
      <w:b w:val="0"/>
      <w:bCs w:val="0"/>
      <w:kern w:val="2"/>
      <w:sz w:val="24"/>
      <w:szCs w:val="20"/>
    </w:rPr>
  </w:style>
  <w:style w:type="paragraph" w:customStyle="1" w:styleId="238">
    <w:name w:val="流程图"/>
    <w:basedOn w:val="2"/>
    <w:next w:val="1"/>
    <w:qFormat/>
    <w:uiPriority w:val="99"/>
    <w:pPr>
      <w:keepNext w:val="0"/>
      <w:keepLines w:val="0"/>
      <w:tabs>
        <w:tab w:val="left" w:pos="0"/>
      </w:tabs>
      <w:autoSpaceDE w:val="0"/>
      <w:autoSpaceDN w:val="0"/>
      <w:adjustRightInd w:val="0"/>
      <w:spacing w:before="0" w:after="0" w:line="240" w:lineRule="atLeast"/>
      <w:ind w:firstLine="425" w:firstLineChars="177"/>
      <w:jc w:val="center"/>
      <w:outlineLvl w:val="9"/>
    </w:pPr>
    <w:rPr>
      <w:rFonts w:ascii="宋体"/>
      <w:b w:val="0"/>
      <w:bCs w:val="0"/>
      <w:kern w:val="2"/>
      <w:sz w:val="24"/>
      <w:szCs w:val="20"/>
    </w:rPr>
  </w:style>
  <w:style w:type="paragraph" w:customStyle="1" w:styleId="239">
    <w:name w:val="Char1 Char Char Char"/>
    <w:basedOn w:val="2"/>
    <w:next w:val="1"/>
    <w:qFormat/>
    <w:uiPriority w:val="99"/>
    <w:pPr>
      <w:keepNext w:val="0"/>
      <w:keepLines w:val="0"/>
      <w:spacing w:before="0" w:after="0" w:line="500" w:lineRule="atLeast"/>
      <w:ind w:firstLine="480" w:firstLineChars="200"/>
      <w:outlineLvl w:val="9"/>
    </w:pPr>
    <w:rPr>
      <w:rFonts w:ascii="宋体"/>
      <w:b w:val="0"/>
      <w:bCs w:val="0"/>
      <w:kern w:val="2"/>
      <w:sz w:val="28"/>
      <w:szCs w:val="24"/>
    </w:rPr>
  </w:style>
  <w:style w:type="character" w:customStyle="1" w:styleId="240">
    <w:name w:val="5文章(治) Char"/>
    <w:link w:val="241"/>
    <w:qFormat/>
    <w:locked/>
    <w:uiPriority w:val="0"/>
    <w:rPr>
      <w:sz w:val="24"/>
      <w:szCs w:val="28"/>
    </w:rPr>
  </w:style>
  <w:style w:type="paragraph" w:customStyle="1" w:styleId="241">
    <w:name w:val="5文章(治)"/>
    <w:basedOn w:val="2"/>
    <w:next w:val="1"/>
    <w:link w:val="240"/>
    <w:qFormat/>
    <w:uiPriority w:val="0"/>
    <w:pPr>
      <w:keepNext w:val="0"/>
      <w:keepLines w:val="0"/>
      <w:spacing w:before="0" w:after="0" w:line="360" w:lineRule="auto"/>
      <w:ind w:firstLine="560" w:firstLineChars="200"/>
      <w:outlineLvl w:val="9"/>
    </w:pPr>
    <w:rPr>
      <w:rFonts w:asciiTheme="minorHAnsi" w:hAnsiTheme="minorHAnsi" w:eastAsiaTheme="minorEastAsia" w:cstheme="minorBidi"/>
      <w:b w:val="0"/>
      <w:bCs w:val="0"/>
      <w:kern w:val="2"/>
      <w:sz w:val="24"/>
      <w:szCs w:val="28"/>
    </w:rPr>
  </w:style>
  <w:style w:type="character" w:customStyle="1" w:styleId="242">
    <w:name w:val="7表格(治) Char"/>
    <w:link w:val="243"/>
    <w:qFormat/>
    <w:locked/>
    <w:uiPriority w:val="0"/>
    <w:rPr>
      <w:rFonts w:ascii="Times New Roman" w:hAnsi="Times New Roman" w:eastAsia="宋体" w:cs="Times New Roman"/>
      <w:kern w:val="0"/>
      <w:sz w:val="20"/>
      <w:szCs w:val="20"/>
    </w:rPr>
  </w:style>
  <w:style w:type="paragraph" w:customStyle="1" w:styleId="243">
    <w:name w:val="7表格(治)"/>
    <w:next w:val="1"/>
    <w:link w:val="242"/>
    <w:qFormat/>
    <w:uiPriority w:val="0"/>
    <w:pPr>
      <w:jc w:val="center"/>
    </w:pPr>
    <w:rPr>
      <w:rFonts w:ascii="Times New Roman" w:hAnsi="Times New Roman" w:eastAsia="宋体" w:cs="Times New Roman"/>
      <w:lang w:val="en-US" w:eastAsia="zh-CN" w:bidi="ar-SA"/>
    </w:rPr>
  </w:style>
  <w:style w:type="paragraph" w:customStyle="1" w:styleId="244">
    <w:name w:val="Char Char Char Char Char Char Char3"/>
    <w:basedOn w:val="2"/>
    <w:next w:val="1"/>
    <w:qFormat/>
    <w:uiPriority w:val="99"/>
    <w:pPr>
      <w:keepNext w:val="0"/>
      <w:keepLines w:val="0"/>
      <w:spacing w:before="0" w:after="0" w:line="500" w:lineRule="atLeast"/>
      <w:ind w:firstLine="425" w:firstLineChars="177"/>
      <w:outlineLvl w:val="9"/>
    </w:pPr>
    <w:rPr>
      <w:b w:val="0"/>
      <w:bCs w:val="0"/>
      <w:kern w:val="2"/>
      <w:sz w:val="24"/>
      <w:szCs w:val="21"/>
    </w:rPr>
  </w:style>
  <w:style w:type="paragraph" w:customStyle="1" w:styleId="245">
    <w:name w:val="Char Char19"/>
    <w:basedOn w:val="2"/>
    <w:next w:val="1"/>
    <w:qFormat/>
    <w:uiPriority w:val="99"/>
    <w:pPr>
      <w:keepNext w:val="0"/>
      <w:keepLines w:val="0"/>
      <w:spacing w:before="0" w:after="0" w:line="500" w:lineRule="atLeast"/>
      <w:ind w:firstLine="425" w:firstLineChars="177"/>
      <w:outlineLvl w:val="9"/>
    </w:pPr>
    <w:rPr>
      <w:b w:val="0"/>
      <w:bCs w:val="0"/>
      <w:kern w:val="2"/>
      <w:sz w:val="24"/>
      <w:szCs w:val="21"/>
    </w:rPr>
  </w:style>
  <w:style w:type="paragraph" w:customStyle="1" w:styleId="246">
    <w:name w:val="图表文字"/>
    <w:next w:val="1"/>
    <w:qFormat/>
    <w:uiPriority w:val="99"/>
    <w:pPr>
      <w:widowControl w:val="0"/>
      <w:spacing w:line="260" w:lineRule="exact"/>
      <w:ind w:right="-149" w:rightChars="-71"/>
      <w:jc w:val="center"/>
    </w:pPr>
    <w:rPr>
      <w:rFonts w:ascii="Times New Roman" w:hAnsi="Times New Roman" w:eastAsia="宋体" w:cs="Times New Roman"/>
      <w:kern w:val="2"/>
      <w:sz w:val="21"/>
      <w:szCs w:val="21"/>
      <w:lang w:val="en-US" w:eastAsia="zh-CN" w:bidi="ar-SA"/>
    </w:rPr>
  </w:style>
  <w:style w:type="paragraph" w:customStyle="1" w:styleId="247">
    <w:name w:val="表1"/>
    <w:next w:val="1"/>
    <w:qFormat/>
    <w:uiPriority w:val="99"/>
    <w:pPr>
      <w:adjustRightInd w:val="0"/>
      <w:snapToGrid w:val="0"/>
      <w:jc w:val="center"/>
    </w:pPr>
    <w:rPr>
      <w:rFonts w:ascii="宋体" w:hAnsi="Times New Roman" w:eastAsia="宋体" w:cs="Times New Roman"/>
      <w:sz w:val="21"/>
      <w:lang w:val="en-US" w:eastAsia="zh-CN" w:bidi="ar-SA"/>
    </w:rPr>
  </w:style>
  <w:style w:type="paragraph" w:customStyle="1" w:styleId="248">
    <w:name w:val="Char Char Char Char1"/>
    <w:basedOn w:val="2"/>
    <w:next w:val="1"/>
    <w:qFormat/>
    <w:uiPriority w:val="99"/>
    <w:pPr>
      <w:keepNext w:val="0"/>
      <w:keepLines w:val="0"/>
      <w:spacing w:before="120" w:after="120" w:line="360" w:lineRule="auto"/>
      <w:ind w:firstLine="420" w:firstLineChars="177"/>
      <w:outlineLvl w:val="9"/>
    </w:pPr>
    <w:rPr>
      <w:b w:val="0"/>
      <w:bCs w:val="0"/>
      <w:kern w:val="2"/>
      <w:sz w:val="24"/>
      <w:szCs w:val="24"/>
    </w:rPr>
  </w:style>
  <w:style w:type="character" w:customStyle="1" w:styleId="249">
    <w:name w:val="表头1 Char"/>
    <w:link w:val="250"/>
    <w:qFormat/>
    <w:locked/>
    <w:uiPriority w:val="0"/>
    <w:rPr>
      <w:rFonts w:ascii="黑体" w:hAnsi="黑体" w:eastAsia="黑体"/>
      <w:sz w:val="24"/>
      <w:szCs w:val="28"/>
    </w:rPr>
  </w:style>
  <w:style w:type="paragraph" w:customStyle="1" w:styleId="250">
    <w:name w:val="表头1"/>
    <w:basedOn w:val="2"/>
    <w:next w:val="1"/>
    <w:link w:val="249"/>
    <w:qFormat/>
    <w:uiPriority w:val="0"/>
    <w:pPr>
      <w:keepNext w:val="0"/>
      <w:keepLines w:val="0"/>
      <w:tabs>
        <w:tab w:val="left" w:pos="605"/>
      </w:tabs>
      <w:adjustRightInd w:val="0"/>
      <w:snapToGrid w:val="0"/>
      <w:spacing w:before="0" w:after="0" w:line="500" w:lineRule="atLeast"/>
      <w:ind w:firstLine="425" w:firstLineChars="177"/>
      <w:jc w:val="center"/>
      <w:outlineLvl w:val="9"/>
    </w:pPr>
    <w:rPr>
      <w:rFonts w:ascii="黑体" w:hAnsi="黑体" w:eastAsia="黑体" w:cstheme="minorBidi"/>
      <w:b w:val="0"/>
      <w:bCs w:val="0"/>
      <w:kern w:val="2"/>
      <w:sz w:val="24"/>
      <w:szCs w:val="28"/>
    </w:rPr>
  </w:style>
  <w:style w:type="paragraph" w:customStyle="1" w:styleId="251">
    <w:name w:val="列表1"/>
    <w:basedOn w:val="2"/>
    <w:next w:val="1"/>
    <w:qFormat/>
    <w:uiPriority w:val="99"/>
    <w:pPr>
      <w:keepNext w:val="0"/>
      <w:keepLines w:val="0"/>
      <w:spacing w:before="0" w:after="0" w:line="360" w:lineRule="exact"/>
      <w:ind w:firstLine="425" w:firstLineChars="177"/>
      <w:jc w:val="center"/>
      <w:outlineLvl w:val="9"/>
    </w:pPr>
    <w:rPr>
      <w:rFonts w:ascii="仿宋_GB2312" w:eastAsia="仿宋_GB2312"/>
      <w:b w:val="0"/>
      <w:bCs w:val="0"/>
      <w:kern w:val="2"/>
      <w:sz w:val="28"/>
      <w:szCs w:val="20"/>
    </w:rPr>
  </w:style>
  <w:style w:type="character" w:customStyle="1" w:styleId="252">
    <w:name w:val="样式127 Char"/>
    <w:link w:val="253"/>
    <w:qFormat/>
    <w:locked/>
    <w:uiPriority w:val="0"/>
    <w:rPr>
      <w:snapToGrid w:val="0"/>
      <w:color w:val="000000"/>
      <w:sz w:val="24"/>
      <w:szCs w:val="28"/>
    </w:rPr>
  </w:style>
  <w:style w:type="paragraph" w:customStyle="1" w:styleId="253">
    <w:name w:val="样式127"/>
    <w:basedOn w:val="2"/>
    <w:next w:val="1"/>
    <w:link w:val="252"/>
    <w:qFormat/>
    <w:uiPriority w:val="0"/>
    <w:pPr>
      <w:keepNext w:val="0"/>
      <w:keepLines w:val="0"/>
      <w:snapToGrid w:val="0"/>
      <w:spacing w:before="0" w:after="0" w:line="520" w:lineRule="exact"/>
      <w:ind w:firstLine="480" w:firstLineChars="200"/>
      <w:outlineLvl w:val="9"/>
    </w:pPr>
    <w:rPr>
      <w:rFonts w:asciiTheme="minorHAnsi" w:hAnsiTheme="minorHAnsi" w:eastAsiaTheme="minorEastAsia" w:cstheme="minorBidi"/>
      <w:b w:val="0"/>
      <w:bCs w:val="0"/>
      <w:snapToGrid w:val="0"/>
      <w:color w:val="000000"/>
      <w:kern w:val="2"/>
      <w:sz w:val="24"/>
      <w:szCs w:val="28"/>
    </w:rPr>
  </w:style>
  <w:style w:type="paragraph" w:customStyle="1" w:styleId="254">
    <w:name w:val="Char Char Char Char Char Char Char1"/>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255">
    <w:name w:val="样式5"/>
    <w:basedOn w:val="35"/>
    <w:next w:val="1"/>
    <w:qFormat/>
    <w:uiPriority w:val="99"/>
    <w:pPr>
      <w:spacing w:line="500" w:lineRule="atLeast"/>
      <w:ind w:left="482" w:firstLine="0" w:firstLineChars="0"/>
      <w:contextualSpacing w:val="0"/>
    </w:pPr>
    <w:rPr>
      <w:sz w:val="24"/>
    </w:rPr>
  </w:style>
  <w:style w:type="paragraph" w:customStyle="1" w:styleId="256">
    <w:name w:val="正文文字-1"/>
    <w:next w:val="1"/>
    <w:qFormat/>
    <w:uiPriority w:val="99"/>
    <w:pPr>
      <w:widowControl w:val="0"/>
      <w:spacing w:before="120" w:after="120" w:line="480" w:lineRule="exact"/>
      <w:ind w:firstLine="588" w:firstLineChars="210"/>
      <w:jc w:val="both"/>
    </w:pPr>
    <w:rPr>
      <w:rFonts w:ascii="Times New Roman" w:hAnsi="Times New Roman" w:eastAsia="宋体" w:cs="Times New Roman"/>
      <w:kern w:val="2"/>
      <w:sz w:val="24"/>
      <w:szCs w:val="24"/>
      <w:lang w:val="en-US" w:eastAsia="zh-CN" w:bidi="ar-SA"/>
    </w:rPr>
  </w:style>
  <w:style w:type="paragraph" w:customStyle="1" w:styleId="257">
    <w:name w:val="样式 样式 正文文字-1 + 首行缩进:  2.1 字符1 + 首行缩进:  2.1 字符"/>
    <w:basedOn w:val="2"/>
    <w:next w:val="1"/>
    <w:qFormat/>
    <w:uiPriority w:val="99"/>
    <w:pPr>
      <w:keepNext w:val="0"/>
      <w:keepLines w:val="0"/>
      <w:spacing w:before="120" w:after="120" w:line="400" w:lineRule="exact"/>
      <w:ind w:firstLine="210" w:firstLineChars="210"/>
      <w:outlineLvl w:val="9"/>
    </w:pPr>
    <w:rPr>
      <w:rFonts w:cs="宋体"/>
      <w:b w:val="0"/>
      <w:bCs w:val="0"/>
      <w:kern w:val="2"/>
      <w:sz w:val="24"/>
      <w:szCs w:val="20"/>
    </w:rPr>
  </w:style>
  <w:style w:type="paragraph" w:customStyle="1" w:styleId="258">
    <w:name w:val="样式 正文文字-1 + 首行缩进:  2.1 字符"/>
    <w:basedOn w:val="2"/>
    <w:next w:val="1"/>
    <w:qFormat/>
    <w:uiPriority w:val="99"/>
    <w:pPr>
      <w:keepNext w:val="0"/>
      <w:keepLines w:val="0"/>
      <w:spacing w:before="60" w:after="60" w:line="440" w:lineRule="exact"/>
      <w:ind w:firstLine="210" w:firstLineChars="210"/>
      <w:outlineLvl w:val="9"/>
    </w:pPr>
    <w:rPr>
      <w:rFonts w:cs="宋体"/>
      <w:b w:val="0"/>
      <w:bCs w:val="0"/>
      <w:kern w:val="2"/>
      <w:sz w:val="24"/>
      <w:szCs w:val="20"/>
    </w:rPr>
  </w:style>
  <w:style w:type="paragraph" w:customStyle="1" w:styleId="259">
    <w:name w:val="样式 正文文字-1 + 首行缩进:  2.1 字符1"/>
    <w:basedOn w:val="2"/>
    <w:next w:val="1"/>
    <w:qFormat/>
    <w:uiPriority w:val="0"/>
    <w:pPr>
      <w:keepNext w:val="0"/>
      <w:keepLines w:val="0"/>
      <w:spacing w:before="120" w:after="120" w:line="440" w:lineRule="exact"/>
      <w:ind w:firstLine="210" w:firstLineChars="210"/>
      <w:outlineLvl w:val="9"/>
    </w:pPr>
    <w:rPr>
      <w:rFonts w:cs="宋体"/>
      <w:b w:val="0"/>
      <w:bCs w:val="0"/>
      <w:kern w:val="2"/>
      <w:sz w:val="24"/>
      <w:szCs w:val="20"/>
    </w:rPr>
  </w:style>
  <w:style w:type="paragraph" w:customStyle="1" w:styleId="260">
    <w:name w:val="样式 四号 行距: 1.5 倍行距"/>
    <w:basedOn w:val="2"/>
    <w:next w:val="1"/>
    <w:qFormat/>
    <w:uiPriority w:val="99"/>
    <w:pPr>
      <w:keepNext w:val="0"/>
      <w:keepLines w:val="0"/>
      <w:spacing w:before="0" w:after="0" w:line="360" w:lineRule="auto"/>
      <w:ind w:firstLine="560" w:firstLineChars="200"/>
      <w:outlineLvl w:val="9"/>
    </w:pPr>
    <w:rPr>
      <w:rFonts w:cs="宋体"/>
      <w:b w:val="0"/>
      <w:bCs w:val="0"/>
      <w:kern w:val="2"/>
      <w:sz w:val="24"/>
      <w:szCs w:val="20"/>
    </w:rPr>
  </w:style>
  <w:style w:type="character" w:customStyle="1" w:styleId="261">
    <w:name w:val="国电正文 Char"/>
    <w:link w:val="262"/>
    <w:semiHidden/>
    <w:qFormat/>
    <w:locked/>
    <w:uiPriority w:val="0"/>
    <w:rPr>
      <w:color w:val="000000"/>
      <w:sz w:val="24"/>
    </w:rPr>
  </w:style>
  <w:style w:type="paragraph" w:customStyle="1" w:styleId="262">
    <w:name w:val="国电正文"/>
    <w:basedOn w:val="2"/>
    <w:next w:val="1"/>
    <w:link w:val="261"/>
    <w:semiHidden/>
    <w:qFormat/>
    <w:uiPriority w:val="0"/>
    <w:pPr>
      <w:keepNext w:val="0"/>
      <w:keepLines w:val="0"/>
      <w:spacing w:before="0" w:after="0" w:line="360" w:lineRule="auto"/>
      <w:ind w:firstLine="480" w:firstLineChars="200"/>
      <w:outlineLvl w:val="9"/>
    </w:pPr>
    <w:rPr>
      <w:rFonts w:asciiTheme="minorHAnsi" w:hAnsiTheme="minorHAnsi" w:eastAsiaTheme="minorEastAsia" w:cstheme="minorBidi"/>
      <w:b w:val="0"/>
      <w:bCs w:val="0"/>
      <w:color w:val="000000"/>
      <w:kern w:val="2"/>
      <w:sz w:val="24"/>
      <w:szCs w:val="22"/>
    </w:rPr>
  </w:style>
  <w:style w:type="character" w:customStyle="1" w:styleId="263">
    <w:name w:val="正文文字-1 Char Char"/>
    <w:basedOn w:val="50"/>
    <w:link w:val="264"/>
    <w:qFormat/>
    <w:locked/>
    <w:uiPriority w:val="0"/>
    <w:rPr>
      <w:sz w:val="24"/>
      <w:szCs w:val="24"/>
    </w:rPr>
  </w:style>
  <w:style w:type="paragraph" w:customStyle="1" w:styleId="264">
    <w:name w:val="正文文字-1 Char"/>
    <w:next w:val="1"/>
    <w:link w:val="263"/>
    <w:qFormat/>
    <w:uiPriority w:val="0"/>
    <w:pPr>
      <w:widowControl w:val="0"/>
      <w:spacing w:before="120" w:after="120" w:line="480" w:lineRule="exact"/>
      <w:ind w:firstLine="588" w:firstLineChars="210"/>
      <w:jc w:val="both"/>
    </w:pPr>
    <w:rPr>
      <w:rFonts w:asciiTheme="minorHAnsi" w:hAnsiTheme="minorHAnsi" w:eastAsiaTheme="minorEastAsia" w:cstheme="minorBidi"/>
      <w:kern w:val="2"/>
      <w:sz w:val="24"/>
      <w:szCs w:val="24"/>
      <w:lang w:val="en-US" w:eastAsia="zh-CN" w:bidi="ar-SA"/>
    </w:rPr>
  </w:style>
  <w:style w:type="paragraph" w:customStyle="1" w:styleId="265">
    <w:name w:val="Char1 Char Char Char1"/>
    <w:basedOn w:val="2"/>
    <w:next w:val="1"/>
    <w:qFormat/>
    <w:uiPriority w:val="99"/>
    <w:pPr>
      <w:keepNext w:val="0"/>
      <w:keepLines w:val="0"/>
      <w:spacing w:before="0" w:after="0" w:line="500" w:lineRule="atLeast"/>
      <w:ind w:firstLine="480" w:firstLineChars="200"/>
      <w:outlineLvl w:val="9"/>
    </w:pPr>
    <w:rPr>
      <w:b w:val="0"/>
      <w:bCs w:val="0"/>
      <w:kern w:val="2"/>
      <w:sz w:val="24"/>
      <w:szCs w:val="24"/>
    </w:rPr>
  </w:style>
  <w:style w:type="paragraph" w:customStyle="1" w:styleId="266">
    <w:name w:val="Char1 Char Char Char Char Char"/>
    <w:basedOn w:val="2"/>
    <w:next w:val="1"/>
    <w:qFormat/>
    <w:uiPriority w:val="99"/>
    <w:pPr>
      <w:keepNext w:val="0"/>
      <w:keepLines w:val="0"/>
      <w:spacing w:before="0" w:after="0" w:line="360" w:lineRule="auto"/>
      <w:ind w:firstLine="200" w:firstLineChars="200"/>
      <w:outlineLvl w:val="9"/>
    </w:pPr>
    <w:rPr>
      <w:rFonts w:ascii="Tahoma" w:hAnsi="Tahoma"/>
      <w:b w:val="0"/>
      <w:bCs w:val="0"/>
      <w:kern w:val="2"/>
      <w:sz w:val="24"/>
      <w:szCs w:val="20"/>
    </w:rPr>
  </w:style>
  <w:style w:type="paragraph" w:customStyle="1" w:styleId="267">
    <w:name w:val="Char Char Char Char Char Char Char2"/>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268">
    <w:name w:val="样式 四号 行距: 1.5 倍行距2"/>
    <w:basedOn w:val="2"/>
    <w:next w:val="1"/>
    <w:qFormat/>
    <w:uiPriority w:val="99"/>
    <w:pPr>
      <w:keepNext w:val="0"/>
      <w:keepLines w:val="0"/>
      <w:spacing w:before="0" w:after="0" w:line="360" w:lineRule="auto"/>
      <w:ind w:firstLine="560" w:firstLineChars="200"/>
      <w:outlineLvl w:val="9"/>
    </w:pPr>
    <w:rPr>
      <w:rFonts w:cs="宋体"/>
      <w:b w:val="0"/>
      <w:bCs w:val="0"/>
      <w:kern w:val="2"/>
      <w:sz w:val="24"/>
      <w:szCs w:val="20"/>
    </w:rPr>
  </w:style>
  <w:style w:type="paragraph" w:customStyle="1" w:styleId="269">
    <w:name w:val="样式 四号 行距: 1.5 倍行距3"/>
    <w:basedOn w:val="2"/>
    <w:next w:val="1"/>
    <w:qFormat/>
    <w:uiPriority w:val="99"/>
    <w:pPr>
      <w:keepNext w:val="0"/>
      <w:keepLines w:val="0"/>
      <w:spacing w:before="0" w:after="0" w:line="360" w:lineRule="auto"/>
      <w:ind w:firstLine="1260" w:firstLineChars="450"/>
      <w:outlineLvl w:val="9"/>
    </w:pPr>
    <w:rPr>
      <w:rFonts w:cs="宋体"/>
      <w:b w:val="0"/>
      <w:bCs w:val="0"/>
      <w:kern w:val="2"/>
      <w:sz w:val="24"/>
      <w:szCs w:val="20"/>
    </w:rPr>
  </w:style>
  <w:style w:type="paragraph" w:customStyle="1" w:styleId="270">
    <w:name w:val="正文5"/>
    <w:next w:val="1"/>
    <w:qFormat/>
    <w:uiPriority w:val="99"/>
    <w:pPr>
      <w:widowControl w:val="0"/>
      <w:adjustRightInd w:val="0"/>
      <w:spacing w:line="360" w:lineRule="atLeast"/>
    </w:pPr>
    <w:rPr>
      <w:rFonts w:ascii="宋体" w:hAnsi="Times New Roman" w:eastAsia="宋体" w:cs="Times New Roman"/>
      <w:sz w:val="24"/>
      <w:lang w:val="en-US" w:eastAsia="zh-CN" w:bidi="ar-SA"/>
    </w:rPr>
  </w:style>
  <w:style w:type="paragraph" w:customStyle="1" w:styleId="271">
    <w:name w:val="Char2"/>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272">
    <w:name w:val="表格正文"/>
    <w:basedOn w:val="2"/>
    <w:next w:val="1"/>
    <w:qFormat/>
    <w:uiPriority w:val="0"/>
    <w:pPr>
      <w:keepNext w:val="0"/>
      <w:keepLines w:val="0"/>
      <w:spacing w:before="0" w:after="0" w:line="300" w:lineRule="auto"/>
      <w:ind w:firstLine="425" w:firstLineChars="177"/>
      <w:jc w:val="center"/>
      <w:outlineLvl w:val="9"/>
    </w:pPr>
    <w:rPr>
      <w:b w:val="0"/>
      <w:bCs w:val="0"/>
      <w:kern w:val="2"/>
      <w:sz w:val="24"/>
      <w:szCs w:val="24"/>
    </w:rPr>
  </w:style>
  <w:style w:type="character" w:customStyle="1" w:styleId="273">
    <w:name w:val="xfw Char"/>
    <w:basedOn w:val="50"/>
    <w:link w:val="274"/>
    <w:qFormat/>
    <w:locked/>
    <w:uiPriority w:val="0"/>
    <w:rPr>
      <w:sz w:val="24"/>
      <w:szCs w:val="28"/>
    </w:rPr>
  </w:style>
  <w:style w:type="paragraph" w:customStyle="1" w:styleId="274">
    <w:name w:val="xfw"/>
    <w:basedOn w:val="2"/>
    <w:next w:val="1"/>
    <w:link w:val="273"/>
    <w:qFormat/>
    <w:uiPriority w:val="0"/>
    <w:pPr>
      <w:keepNext w:val="0"/>
      <w:keepLines w:val="0"/>
      <w:spacing w:before="0" w:after="0" w:line="360" w:lineRule="auto"/>
      <w:ind w:firstLine="200" w:firstLineChars="200"/>
      <w:outlineLvl w:val="9"/>
    </w:pPr>
    <w:rPr>
      <w:rFonts w:asciiTheme="minorHAnsi" w:hAnsiTheme="minorHAnsi" w:eastAsiaTheme="minorEastAsia" w:cstheme="minorBidi"/>
      <w:b w:val="0"/>
      <w:bCs w:val="0"/>
      <w:kern w:val="2"/>
      <w:sz w:val="24"/>
      <w:szCs w:val="28"/>
    </w:rPr>
  </w:style>
  <w:style w:type="character" w:customStyle="1" w:styleId="275">
    <w:name w:val="正文01 Char Char"/>
    <w:link w:val="276"/>
    <w:qFormat/>
    <w:locked/>
    <w:uiPriority w:val="0"/>
    <w:rPr>
      <w:rFonts w:ascii="宋体" w:hAnsi="宋体" w:eastAsia="宋体" w:cs="宋体"/>
      <w:snapToGrid w:val="0"/>
      <w:kern w:val="56"/>
      <w:sz w:val="24"/>
      <w:lang w:val="zh-CN"/>
    </w:rPr>
  </w:style>
  <w:style w:type="paragraph" w:customStyle="1" w:styleId="276">
    <w:name w:val="正文01"/>
    <w:basedOn w:val="2"/>
    <w:next w:val="1"/>
    <w:link w:val="275"/>
    <w:qFormat/>
    <w:uiPriority w:val="0"/>
    <w:pPr>
      <w:keepNext w:val="0"/>
      <w:keepLines w:val="0"/>
      <w:adjustRightInd w:val="0"/>
      <w:snapToGrid w:val="0"/>
      <w:spacing w:before="0" w:after="0" w:line="360" w:lineRule="auto"/>
      <w:ind w:firstLine="200" w:firstLineChars="200"/>
      <w:outlineLvl w:val="9"/>
    </w:pPr>
    <w:rPr>
      <w:rFonts w:ascii="宋体" w:hAnsi="宋体" w:cs="宋体"/>
      <w:b w:val="0"/>
      <w:bCs w:val="0"/>
      <w:snapToGrid w:val="0"/>
      <w:kern w:val="56"/>
      <w:sz w:val="24"/>
      <w:szCs w:val="22"/>
      <w:lang w:val="zh-CN"/>
    </w:rPr>
  </w:style>
  <w:style w:type="paragraph" w:customStyle="1" w:styleId="277">
    <w:name w:val="reader-word-layer reader-word-s8-5"/>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78">
    <w:name w:val="reader-word-layer reader-word-s8-2"/>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79">
    <w:name w:val="reader-word-layer reader-word-s8-9"/>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80">
    <w:name w:val="reader-word-layer reader-word-s8-8"/>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81">
    <w:name w:val="reader-word-layer reader-word-s8-12"/>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82">
    <w:name w:val="reader-word-layer reader-word-s8-0"/>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83">
    <w:name w:val="reader-word-layer reader-word-s8-7"/>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84">
    <w:name w:val="reader-word-layer reader-word-s8-6"/>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85">
    <w:name w:val="Char Char1 Char Char Char Char Char Char Char"/>
    <w:basedOn w:val="2"/>
    <w:next w:val="1"/>
    <w:qFormat/>
    <w:uiPriority w:val="99"/>
    <w:pPr>
      <w:keepNext w:val="0"/>
      <w:keepLines w:val="0"/>
      <w:spacing w:before="0" w:after="0" w:line="500" w:lineRule="atLeast"/>
      <w:ind w:firstLine="425" w:firstLineChars="177"/>
      <w:outlineLvl w:val="9"/>
    </w:pPr>
    <w:rPr>
      <w:rFonts w:cs="宋体"/>
      <w:b w:val="0"/>
      <w:bCs w:val="0"/>
      <w:color w:val="000000"/>
      <w:kern w:val="2"/>
      <w:sz w:val="24"/>
      <w:szCs w:val="24"/>
      <w:lang w:val="zh-CN"/>
    </w:rPr>
  </w:style>
  <w:style w:type="paragraph" w:customStyle="1" w:styleId="286">
    <w:name w:val="样式 首行缩进:  0.89 厘米"/>
    <w:basedOn w:val="2"/>
    <w:next w:val="1"/>
    <w:qFormat/>
    <w:uiPriority w:val="99"/>
    <w:pPr>
      <w:keepNext w:val="0"/>
      <w:keepLines w:val="0"/>
      <w:spacing w:beforeLines="50" w:after="0" w:line="440" w:lineRule="exact"/>
      <w:ind w:firstLine="505" w:firstLineChars="177"/>
      <w:outlineLvl w:val="9"/>
    </w:pPr>
    <w:rPr>
      <w:rFonts w:cs="宋体"/>
      <w:b w:val="0"/>
      <w:bCs w:val="0"/>
      <w:kern w:val="2"/>
      <w:sz w:val="24"/>
      <w:szCs w:val="20"/>
    </w:rPr>
  </w:style>
  <w:style w:type="paragraph" w:customStyle="1" w:styleId="287">
    <w:name w:val="表格文字2"/>
    <w:basedOn w:val="2"/>
    <w:next w:val="1"/>
    <w:qFormat/>
    <w:uiPriority w:val="99"/>
    <w:pPr>
      <w:keepNext w:val="0"/>
      <w:keepLines w:val="0"/>
      <w:spacing w:before="0" w:after="0" w:line="500" w:lineRule="atLeast"/>
      <w:ind w:firstLine="425" w:firstLineChars="177"/>
      <w:jc w:val="center"/>
      <w:outlineLvl w:val="9"/>
    </w:pPr>
    <w:rPr>
      <w:b w:val="0"/>
      <w:bCs w:val="0"/>
      <w:kern w:val="2"/>
      <w:sz w:val="24"/>
      <w:szCs w:val="21"/>
    </w:rPr>
  </w:style>
  <w:style w:type="character" w:customStyle="1" w:styleId="288">
    <w:name w:val="样式 标题 3 + 黑色1 Char"/>
    <w:basedOn w:val="50"/>
    <w:link w:val="289"/>
    <w:qFormat/>
    <w:locked/>
    <w:uiPriority w:val="0"/>
    <w:rPr>
      <w:b/>
      <w:bCs/>
      <w:color w:val="000000"/>
      <w:sz w:val="28"/>
      <w:szCs w:val="30"/>
    </w:rPr>
  </w:style>
  <w:style w:type="paragraph" w:customStyle="1" w:styleId="289">
    <w:name w:val="样式 标题 3 + 黑色1"/>
    <w:basedOn w:val="4"/>
    <w:next w:val="1"/>
    <w:link w:val="288"/>
    <w:qFormat/>
    <w:uiPriority w:val="0"/>
    <w:pPr>
      <w:spacing w:beforeLines="50" w:afterLines="50" w:line="360" w:lineRule="auto"/>
    </w:pPr>
    <w:rPr>
      <w:rFonts w:asciiTheme="minorHAnsi" w:hAnsiTheme="minorHAnsi" w:eastAsiaTheme="minorEastAsia" w:cstheme="minorBidi"/>
      <w:b/>
      <w:bCs/>
      <w:color w:val="000000"/>
      <w:sz w:val="28"/>
      <w:szCs w:val="30"/>
    </w:rPr>
  </w:style>
  <w:style w:type="paragraph" w:customStyle="1" w:styleId="290">
    <w:name w:val="正文缩进3"/>
    <w:basedOn w:val="2"/>
    <w:next w:val="1"/>
    <w:qFormat/>
    <w:uiPriority w:val="99"/>
    <w:pPr>
      <w:keepNext w:val="0"/>
      <w:keepLines w:val="0"/>
      <w:spacing w:before="0" w:after="0" w:line="500" w:lineRule="atLeast"/>
      <w:ind w:firstLine="420" w:firstLineChars="177"/>
      <w:outlineLvl w:val="9"/>
    </w:pPr>
    <w:rPr>
      <w:b w:val="0"/>
      <w:bCs w:val="0"/>
      <w:kern w:val="2"/>
      <w:sz w:val="24"/>
      <w:szCs w:val="24"/>
    </w:rPr>
  </w:style>
  <w:style w:type="paragraph" w:customStyle="1" w:styleId="291">
    <w:name w:val="p0"/>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292">
    <w:name w:val="正文6"/>
    <w:next w:val="1"/>
    <w:qFormat/>
    <w:uiPriority w:val="99"/>
    <w:pPr>
      <w:widowControl w:val="0"/>
      <w:adjustRightInd w:val="0"/>
      <w:spacing w:line="360" w:lineRule="atLeast"/>
    </w:pPr>
    <w:rPr>
      <w:rFonts w:ascii="宋体" w:hAnsi="Times New Roman" w:eastAsia="宋体" w:cs="Times New Roman"/>
      <w:sz w:val="24"/>
      <w:lang w:val="en-US" w:eastAsia="zh-CN" w:bidi="ar-SA"/>
    </w:rPr>
  </w:style>
  <w:style w:type="paragraph" w:customStyle="1" w:styleId="293">
    <w:name w:val="新正文"/>
    <w:basedOn w:val="2"/>
    <w:next w:val="1"/>
    <w:qFormat/>
    <w:uiPriority w:val="99"/>
    <w:pPr>
      <w:keepNext w:val="0"/>
      <w:keepLines w:val="0"/>
      <w:spacing w:before="0" w:after="0" w:line="360" w:lineRule="auto"/>
      <w:ind w:firstLine="480" w:firstLineChars="177"/>
      <w:outlineLvl w:val="9"/>
    </w:pPr>
    <w:rPr>
      <w:rFonts w:cs="宋体"/>
      <w:b w:val="0"/>
      <w:bCs w:val="0"/>
      <w:kern w:val="2"/>
      <w:sz w:val="24"/>
      <w:szCs w:val="20"/>
    </w:rPr>
  </w:style>
  <w:style w:type="paragraph" w:customStyle="1" w:styleId="294">
    <w:name w:val="样式 Arial 小四 行距: 1.5 倍行距"/>
    <w:basedOn w:val="2"/>
    <w:next w:val="1"/>
    <w:qFormat/>
    <w:uiPriority w:val="99"/>
    <w:pPr>
      <w:keepNext w:val="0"/>
      <w:keepLines w:val="0"/>
      <w:spacing w:before="0" w:after="0" w:line="360" w:lineRule="auto"/>
      <w:ind w:firstLine="480" w:firstLineChars="200"/>
      <w:outlineLvl w:val="9"/>
    </w:pPr>
    <w:rPr>
      <w:b w:val="0"/>
      <w:bCs w:val="0"/>
      <w:kern w:val="2"/>
      <w:sz w:val="24"/>
      <w:szCs w:val="20"/>
    </w:rPr>
  </w:style>
  <w:style w:type="paragraph" w:customStyle="1" w:styleId="295">
    <w:name w:val="Char Char Char Char Char Char1 Char"/>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296">
    <w:name w:val="样式 标题3"/>
    <w:basedOn w:val="4"/>
    <w:next w:val="1"/>
    <w:qFormat/>
    <w:uiPriority w:val="99"/>
    <w:pPr>
      <w:spacing w:beforeLines="50" w:afterLines="50" w:line="360" w:lineRule="auto"/>
      <w:ind w:firstLine="200"/>
      <w:jc w:val="left"/>
    </w:pPr>
    <w:rPr>
      <w:b/>
      <w:bCs/>
      <w:sz w:val="28"/>
      <w:szCs w:val="24"/>
    </w:rPr>
  </w:style>
  <w:style w:type="paragraph" w:customStyle="1" w:styleId="297">
    <w:name w:val="Char Char Char Char Char Char Char Char Char Char Char Char"/>
    <w:basedOn w:val="2"/>
    <w:next w:val="1"/>
    <w:qFormat/>
    <w:uiPriority w:val="99"/>
    <w:pPr>
      <w:keepNext w:val="0"/>
      <w:keepLines w:val="0"/>
      <w:tabs>
        <w:tab w:val="left" w:pos="1723"/>
      </w:tabs>
      <w:spacing w:before="0" w:after="0" w:line="500" w:lineRule="atLeast"/>
      <w:ind w:left="1723" w:hanging="1080" w:firstLineChars="177"/>
      <w:outlineLvl w:val="9"/>
    </w:pPr>
    <w:rPr>
      <w:rFonts w:eastAsia="仿宋_GB2312"/>
      <w:b w:val="0"/>
      <w:bCs w:val="0"/>
      <w:kern w:val="2"/>
      <w:sz w:val="24"/>
      <w:szCs w:val="32"/>
    </w:rPr>
  </w:style>
  <w:style w:type="paragraph" w:customStyle="1" w:styleId="298">
    <w:name w:val="Char Char Char"/>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299">
    <w:name w:val="封面标准号2"/>
    <w:basedOn w:val="2"/>
    <w:next w:val="1"/>
    <w:qFormat/>
    <w:uiPriority w:val="99"/>
    <w:pPr>
      <w:keepNext w:val="0"/>
      <w:keepLines w:val="0"/>
      <w:framePr w:w="9138" w:h="1244" w:wrap="auto" w:vAnchor="page" w:hAnchor="margin" w:y="2908" w:anchorLock="1"/>
      <w:kinsoku w:val="0"/>
      <w:overflowPunct w:val="0"/>
      <w:autoSpaceDE w:val="0"/>
      <w:autoSpaceDN w:val="0"/>
      <w:adjustRightInd w:val="0"/>
      <w:spacing w:before="357" w:after="0" w:line="280" w:lineRule="exact"/>
      <w:ind w:firstLine="425" w:firstLineChars="177"/>
      <w:jc w:val="right"/>
      <w:outlineLvl w:val="9"/>
    </w:pPr>
    <w:rPr>
      <w:b w:val="0"/>
      <w:bCs w:val="0"/>
      <w:kern w:val="0"/>
      <w:sz w:val="28"/>
      <w:szCs w:val="20"/>
    </w:rPr>
  </w:style>
  <w:style w:type="paragraph" w:customStyle="1" w:styleId="300">
    <w:name w:val="纯文本6"/>
    <w:basedOn w:val="2"/>
    <w:next w:val="1"/>
    <w:qFormat/>
    <w:uiPriority w:val="99"/>
    <w:pPr>
      <w:keepNext w:val="0"/>
      <w:keepLines w:val="0"/>
      <w:spacing w:before="0" w:after="0" w:line="500" w:lineRule="atLeast"/>
      <w:ind w:firstLine="425" w:firstLineChars="177"/>
      <w:outlineLvl w:val="9"/>
    </w:pPr>
    <w:rPr>
      <w:rFonts w:ascii="宋体" w:hAnsi="Courier New"/>
      <w:b w:val="0"/>
      <w:bCs w:val="0"/>
      <w:kern w:val="0"/>
      <w:sz w:val="20"/>
      <w:szCs w:val="21"/>
    </w:rPr>
  </w:style>
  <w:style w:type="paragraph" w:customStyle="1" w:styleId="301">
    <w:name w:val="日期4"/>
    <w:basedOn w:val="2"/>
    <w:next w:val="1"/>
    <w:qFormat/>
    <w:uiPriority w:val="99"/>
    <w:pPr>
      <w:keepNext w:val="0"/>
      <w:keepLines w:val="0"/>
      <w:spacing w:before="0" w:after="0" w:line="500" w:lineRule="atLeast"/>
      <w:ind w:left="100" w:leftChars="2500" w:firstLine="425" w:firstLineChars="177"/>
      <w:outlineLvl w:val="9"/>
    </w:pPr>
    <w:rPr>
      <w:rFonts w:ascii="Calibri" w:hAnsi="Calibri"/>
      <w:b w:val="0"/>
      <w:bCs w:val="0"/>
      <w:kern w:val="0"/>
      <w:sz w:val="20"/>
      <w:szCs w:val="20"/>
    </w:rPr>
  </w:style>
  <w:style w:type="paragraph" w:customStyle="1" w:styleId="302">
    <w:name w:val="无间隔4"/>
    <w:next w:val="1"/>
    <w:qFormat/>
    <w:uiPriority w:val="99"/>
    <w:rPr>
      <w:rFonts w:ascii="Calibri" w:hAnsi="Calibri" w:eastAsia="宋体" w:cs="Times New Roman"/>
      <w:sz w:val="22"/>
      <w:lang w:val="en-US" w:eastAsia="zh-CN" w:bidi="ar-SA"/>
    </w:rPr>
  </w:style>
  <w:style w:type="paragraph" w:customStyle="1" w:styleId="303">
    <w:name w:val="纯文本7"/>
    <w:basedOn w:val="2"/>
    <w:next w:val="1"/>
    <w:qFormat/>
    <w:uiPriority w:val="99"/>
    <w:pPr>
      <w:keepNext w:val="0"/>
      <w:keepLines w:val="0"/>
      <w:spacing w:before="0" w:after="0" w:line="500" w:lineRule="atLeast"/>
      <w:ind w:firstLine="425" w:firstLineChars="177"/>
      <w:outlineLvl w:val="9"/>
    </w:pPr>
    <w:rPr>
      <w:rFonts w:ascii="宋体" w:hAnsi="Courier New"/>
      <w:b w:val="0"/>
      <w:bCs w:val="0"/>
      <w:kern w:val="0"/>
      <w:sz w:val="20"/>
      <w:szCs w:val="21"/>
    </w:rPr>
  </w:style>
  <w:style w:type="paragraph" w:customStyle="1" w:styleId="304">
    <w:name w:val="表题行"/>
    <w:basedOn w:val="2"/>
    <w:next w:val="1"/>
    <w:qFormat/>
    <w:uiPriority w:val="99"/>
    <w:pPr>
      <w:keepNext w:val="0"/>
      <w:keepLines w:val="0"/>
      <w:spacing w:before="0" w:after="0" w:line="500" w:lineRule="atLeast"/>
      <w:ind w:firstLine="425" w:firstLineChars="177"/>
      <w:jc w:val="center"/>
      <w:outlineLvl w:val="9"/>
    </w:pPr>
    <w:rPr>
      <w:kern w:val="2"/>
      <w:sz w:val="18"/>
      <w:szCs w:val="21"/>
    </w:rPr>
  </w:style>
  <w:style w:type="paragraph" w:customStyle="1" w:styleId="305">
    <w:name w:val="a9"/>
    <w:basedOn w:val="2"/>
    <w:next w:val="1"/>
    <w:qFormat/>
    <w:uiPriority w:val="99"/>
    <w:pPr>
      <w:keepNext w:val="0"/>
      <w:keepLines w:val="0"/>
      <w:widowControl/>
      <w:snapToGrid w:val="0"/>
      <w:spacing w:before="120" w:after="120" w:line="360" w:lineRule="auto"/>
      <w:ind w:firstLine="480" w:firstLineChars="177"/>
      <w:outlineLvl w:val="9"/>
    </w:pPr>
    <w:rPr>
      <w:b w:val="0"/>
      <w:bCs w:val="0"/>
      <w:kern w:val="0"/>
      <w:sz w:val="24"/>
      <w:szCs w:val="24"/>
    </w:rPr>
  </w:style>
  <w:style w:type="paragraph" w:customStyle="1" w:styleId="306">
    <w:name w:val="表文"/>
    <w:basedOn w:val="2"/>
    <w:next w:val="1"/>
    <w:link w:val="720"/>
    <w:qFormat/>
    <w:uiPriority w:val="0"/>
    <w:pPr>
      <w:keepNext w:val="0"/>
      <w:keepLines w:val="0"/>
      <w:spacing w:before="0" w:after="0" w:line="500" w:lineRule="atLeast"/>
      <w:ind w:firstLine="425" w:firstLineChars="177"/>
      <w:jc w:val="center"/>
      <w:outlineLvl w:val="9"/>
    </w:pPr>
    <w:rPr>
      <w:b w:val="0"/>
      <w:bCs w:val="0"/>
      <w:kern w:val="2"/>
      <w:sz w:val="24"/>
      <w:szCs w:val="24"/>
    </w:rPr>
  </w:style>
  <w:style w:type="paragraph" w:customStyle="1" w:styleId="307">
    <w:name w:val="报告"/>
    <w:basedOn w:val="2"/>
    <w:next w:val="1"/>
    <w:qFormat/>
    <w:uiPriority w:val="99"/>
    <w:pPr>
      <w:keepNext w:val="0"/>
      <w:keepLines w:val="0"/>
      <w:adjustRightInd w:val="0"/>
      <w:spacing w:before="0" w:after="0" w:line="360" w:lineRule="auto"/>
      <w:ind w:firstLine="505" w:firstLineChars="177"/>
      <w:outlineLvl w:val="9"/>
    </w:pPr>
    <w:rPr>
      <w:rFonts w:ascii="TimesNewRoman" w:hAnsi="TimesNewRoman"/>
      <w:b w:val="0"/>
      <w:bCs w:val="0"/>
      <w:kern w:val="0"/>
      <w:sz w:val="24"/>
      <w:szCs w:val="20"/>
    </w:rPr>
  </w:style>
  <w:style w:type="paragraph" w:customStyle="1" w:styleId="308">
    <w:name w:val="韩奇"/>
    <w:basedOn w:val="2"/>
    <w:next w:val="1"/>
    <w:qFormat/>
    <w:uiPriority w:val="99"/>
    <w:pPr>
      <w:keepNext w:val="0"/>
      <w:keepLines w:val="0"/>
      <w:adjustRightInd w:val="0"/>
      <w:spacing w:before="0" w:after="0" w:line="500" w:lineRule="exact"/>
      <w:ind w:firstLine="200" w:firstLineChars="200"/>
      <w:outlineLvl w:val="9"/>
    </w:pPr>
    <w:rPr>
      <w:rFonts w:eastAsia="楷体_GB2312"/>
      <w:b w:val="0"/>
      <w:bCs w:val="0"/>
      <w:kern w:val="0"/>
      <w:sz w:val="28"/>
      <w:szCs w:val="20"/>
    </w:rPr>
  </w:style>
  <w:style w:type="paragraph" w:customStyle="1" w:styleId="309">
    <w:name w:val="xl41"/>
    <w:basedOn w:val="2"/>
    <w:next w:val="1"/>
    <w:qFormat/>
    <w:uiPriority w:val="99"/>
    <w:pPr>
      <w:keepNext w:val="0"/>
      <w:keepLines w:val="0"/>
      <w:widowControl/>
      <w:pBdr>
        <w:top w:val="single" w:color="auto" w:sz="8" w:space="0"/>
        <w:left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310">
    <w:name w:val="xl39"/>
    <w:basedOn w:val="2"/>
    <w:next w:val="1"/>
    <w:qFormat/>
    <w:uiPriority w:val="99"/>
    <w:pPr>
      <w:keepNext w:val="0"/>
      <w:keepLines w:val="0"/>
      <w:widowControl/>
      <w:pBdr>
        <w:left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311">
    <w:name w:val="qilu"/>
    <w:basedOn w:val="2"/>
    <w:next w:val="1"/>
    <w:qFormat/>
    <w:uiPriority w:val="99"/>
    <w:pPr>
      <w:keepNext w:val="0"/>
      <w:keepLines w:val="0"/>
      <w:autoSpaceDE w:val="0"/>
      <w:autoSpaceDN w:val="0"/>
      <w:adjustRightInd w:val="0"/>
      <w:spacing w:before="0" w:after="0" w:line="500" w:lineRule="atLeast"/>
      <w:ind w:firstLine="425" w:firstLineChars="177"/>
      <w:jc w:val="left"/>
      <w:outlineLvl w:val="9"/>
    </w:pPr>
    <w:rPr>
      <w:rFonts w:ascii="宋体"/>
      <w:bCs w:val="0"/>
      <w:kern w:val="0"/>
      <w:sz w:val="28"/>
      <w:szCs w:val="20"/>
    </w:rPr>
  </w:style>
  <w:style w:type="paragraph" w:customStyle="1" w:styleId="312">
    <w:name w:val="Char Char Char Char Char Char Char Char Char Char Char Char Char Char Char"/>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313">
    <w:name w:val="xl43"/>
    <w:basedOn w:val="2"/>
    <w:next w:val="1"/>
    <w:qFormat/>
    <w:uiPriority w:val="99"/>
    <w:pPr>
      <w:keepNext w:val="0"/>
      <w:keepLines w:val="0"/>
      <w:widowControl/>
      <w:pBdr>
        <w:top w:val="single" w:color="auto" w:sz="8" w:space="0"/>
        <w:left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314">
    <w:name w:val="标题样式3"/>
    <w:basedOn w:val="4"/>
    <w:next w:val="1"/>
    <w:qFormat/>
    <w:uiPriority w:val="99"/>
    <w:pPr>
      <w:widowControl/>
      <w:tabs>
        <w:tab w:val="left" w:pos="0"/>
      </w:tabs>
      <w:spacing w:before="0" w:after="0" w:line="360" w:lineRule="auto"/>
      <w:jc w:val="left"/>
    </w:pPr>
    <w:rPr>
      <w:rFonts w:ascii="黑体" w:hAnsi="Times New Roman" w:eastAsia="黑体" w:cs="Times New Roman"/>
      <w:b/>
      <w:bCs/>
      <w:kern w:val="0"/>
      <w:sz w:val="24"/>
    </w:rPr>
  </w:style>
  <w:style w:type="paragraph" w:customStyle="1" w:styleId="315">
    <w:name w:val="报告正文文字"/>
    <w:basedOn w:val="2"/>
    <w:next w:val="1"/>
    <w:qFormat/>
    <w:uiPriority w:val="99"/>
    <w:pPr>
      <w:keepNext w:val="0"/>
      <w:keepLines w:val="0"/>
      <w:widowControl/>
      <w:autoSpaceDE w:val="0"/>
      <w:autoSpaceDN w:val="0"/>
      <w:spacing w:before="0" w:after="0" w:line="360" w:lineRule="auto"/>
      <w:ind w:firstLine="480" w:firstLineChars="200"/>
      <w:outlineLvl w:val="9"/>
    </w:pPr>
    <w:rPr>
      <w:rFonts w:ascii="宋体" w:hAnsi="宋体"/>
      <w:b w:val="0"/>
      <w:bCs w:val="0"/>
      <w:color w:val="000000"/>
      <w:spacing w:val="4"/>
      <w:kern w:val="0"/>
      <w:sz w:val="24"/>
      <w:szCs w:val="20"/>
    </w:rPr>
  </w:style>
  <w:style w:type="paragraph" w:customStyle="1" w:styleId="316">
    <w:name w:val="xl26"/>
    <w:basedOn w:val="2"/>
    <w:next w:val="1"/>
    <w:qFormat/>
    <w:uiPriority w:val="99"/>
    <w:pPr>
      <w:keepNext w:val="0"/>
      <w:keepLines w:val="0"/>
      <w:widowControl/>
      <w:pBdr>
        <w:bottom w:val="single" w:color="auto" w:sz="4" w:space="0"/>
        <w:right w:val="single" w:color="auto" w:sz="4" w:space="0"/>
      </w:pBdr>
      <w:spacing w:before="100" w:beforeAutospacing="1" w:after="100" w:afterAutospacing="1" w:line="500" w:lineRule="atLeast"/>
      <w:ind w:firstLine="425" w:firstLineChars="177"/>
      <w:jc w:val="center"/>
      <w:outlineLvl w:val="9"/>
    </w:pPr>
    <w:rPr>
      <w:rFonts w:eastAsia="Arial Unicode MS"/>
      <w:b w:val="0"/>
      <w:bCs w:val="0"/>
      <w:kern w:val="0"/>
      <w:sz w:val="24"/>
      <w:szCs w:val="21"/>
    </w:rPr>
  </w:style>
  <w:style w:type="paragraph" w:customStyle="1" w:styleId="317">
    <w:name w:val="Plain Text1"/>
    <w:basedOn w:val="2"/>
    <w:next w:val="1"/>
    <w:qFormat/>
    <w:uiPriority w:val="99"/>
    <w:pPr>
      <w:keepNext w:val="0"/>
      <w:keepLines w:val="0"/>
      <w:autoSpaceDE w:val="0"/>
      <w:autoSpaceDN w:val="0"/>
      <w:adjustRightInd w:val="0"/>
      <w:spacing w:before="0" w:after="0" w:line="500" w:lineRule="atLeast"/>
      <w:ind w:firstLine="425" w:firstLineChars="177"/>
      <w:outlineLvl w:val="9"/>
    </w:pPr>
    <w:rPr>
      <w:rFonts w:ascii="宋体" w:hAnsi="Tms Rmn"/>
      <w:b w:val="0"/>
      <w:bCs w:val="0"/>
      <w:kern w:val="0"/>
      <w:sz w:val="24"/>
      <w:szCs w:val="20"/>
    </w:rPr>
  </w:style>
  <w:style w:type="character" w:customStyle="1" w:styleId="318">
    <w:name w:val="段落1 Char1"/>
    <w:link w:val="319"/>
    <w:qFormat/>
    <w:locked/>
    <w:uiPriority w:val="0"/>
    <w:rPr>
      <w:rFonts w:ascii="宋体" w:hAnsi="宋体" w:eastAsia="宋体"/>
      <w:spacing w:val="6"/>
      <w:sz w:val="28"/>
    </w:rPr>
  </w:style>
  <w:style w:type="paragraph" w:customStyle="1" w:styleId="319">
    <w:name w:val="段落1"/>
    <w:basedOn w:val="2"/>
    <w:next w:val="1"/>
    <w:link w:val="318"/>
    <w:qFormat/>
    <w:uiPriority w:val="0"/>
    <w:pPr>
      <w:keepNext w:val="0"/>
      <w:keepLines w:val="0"/>
      <w:adjustRightInd w:val="0"/>
      <w:spacing w:before="0" w:after="0" w:line="440" w:lineRule="exact"/>
      <w:ind w:firstLine="600" w:firstLineChars="200"/>
      <w:outlineLvl w:val="9"/>
    </w:pPr>
    <w:rPr>
      <w:rFonts w:ascii="宋体" w:hAnsi="宋体" w:cstheme="minorBidi"/>
      <w:b w:val="0"/>
      <w:bCs w:val="0"/>
      <w:spacing w:val="6"/>
      <w:kern w:val="2"/>
      <w:sz w:val="28"/>
      <w:szCs w:val="22"/>
    </w:rPr>
  </w:style>
  <w:style w:type="paragraph" w:customStyle="1" w:styleId="320">
    <w:name w:val="table"/>
    <w:basedOn w:val="2"/>
    <w:next w:val="1"/>
    <w:qFormat/>
    <w:uiPriority w:val="99"/>
    <w:pPr>
      <w:keepNext w:val="0"/>
      <w:keepLines w:val="0"/>
      <w:widowControl/>
      <w:overflowPunct w:val="0"/>
      <w:autoSpaceDE w:val="0"/>
      <w:autoSpaceDN w:val="0"/>
      <w:adjustRightInd w:val="0"/>
      <w:spacing w:before="60" w:after="60" w:line="500" w:lineRule="atLeast"/>
      <w:ind w:firstLine="425" w:firstLineChars="177"/>
      <w:jc w:val="center"/>
      <w:outlineLvl w:val="9"/>
    </w:pPr>
    <w:rPr>
      <w:rFonts w:ascii="仿宋体" w:eastAsia="仿宋体"/>
      <w:b w:val="0"/>
      <w:bCs w:val="0"/>
      <w:kern w:val="0"/>
      <w:sz w:val="24"/>
      <w:szCs w:val="20"/>
    </w:rPr>
  </w:style>
  <w:style w:type="paragraph" w:customStyle="1" w:styleId="321">
    <w:name w:val="xl58"/>
    <w:basedOn w:val="2"/>
    <w:next w:val="1"/>
    <w:qFormat/>
    <w:uiPriority w:val="99"/>
    <w:pPr>
      <w:keepNext w:val="0"/>
      <w:keepLines w:val="0"/>
      <w:widowControl/>
      <w:pBdr>
        <w:top w:val="single" w:color="auto" w:sz="12" w:space="0"/>
        <w:bottom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322">
    <w:name w:val="Char Char Char Char Char Char Char Char Char Char Char Char Char Char Char Char Char Char Char Char Char Char"/>
    <w:basedOn w:val="2"/>
    <w:next w:val="1"/>
    <w:qFormat/>
    <w:uiPriority w:val="99"/>
    <w:pPr>
      <w:keepNext w:val="0"/>
      <w:keepLines w:val="0"/>
      <w:widowControl/>
      <w:spacing w:before="0" w:after="160" w:line="240" w:lineRule="exact"/>
      <w:ind w:firstLine="425" w:firstLineChars="177"/>
      <w:jc w:val="left"/>
      <w:outlineLvl w:val="9"/>
    </w:pPr>
    <w:rPr>
      <w:b w:val="0"/>
      <w:bCs w:val="0"/>
      <w:kern w:val="2"/>
      <w:sz w:val="24"/>
      <w:szCs w:val="20"/>
    </w:rPr>
  </w:style>
  <w:style w:type="paragraph" w:customStyle="1" w:styleId="323">
    <w:name w:val="WW-正文（首行缩进两字）"/>
    <w:basedOn w:val="2"/>
    <w:next w:val="1"/>
    <w:qFormat/>
    <w:uiPriority w:val="99"/>
    <w:pPr>
      <w:keepNext w:val="0"/>
      <w:keepLines w:val="0"/>
      <w:suppressAutoHyphens/>
      <w:spacing w:before="0" w:after="0" w:line="500" w:lineRule="atLeast"/>
      <w:ind w:firstLine="420" w:firstLineChars="177"/>
      <w:outlineLvl w:val="9"/>
    </w:pPr>
    <w:rPr>
      <w:b w:val="0"/>
      <w:bCs w:val="0"/>
      <w:kern w:val="2"/>
      <w:sz w:val="24"/>
      <w:szCs w:val="20"/>
    </w:rPr>
  </w:style>
  <w:style w:type="paragraph" w:customStyle="1" w:styleId="324">
    <w:name w:val="表格内容格式"/>
    <w:basedOn w:val="2"/>
    <w:next w:val="1"/>
    <w:qFormat/>
    <w:uiPriority w:val="99"/>
    <w:pPr>
      <w:keepNext w:val="0"/>
      <w:keepLines w:val="0"/>
      <w:tabs>
        <w:tab w:val="left" w:pos="1935"/>
      </w:tabs>
      <w:adjustRightInd w:val="0"/>
      <w:snapToGrid w:val="0"/>
      <w:spacing w:before="0" w:after="0" w:line="500" w:lineRule="atLeast"/>
      <w:ind w:right="-45" w:rightChars="-45" w:firstLine="425" w:firstLineChars="177"/>
      <w:outlineLvl w:val="9"/>
    </w:pPr>
    <w:rPr>
      <w:b w:val="0"/>
      <w:bCs w:val="0"/>
      <w:color w:val="000000"/>
      <w:kern w:val="0"/>
      <w:sz w:val="24"/>
      <w:szCs w:val="20"/>
    </w:rPr>
  </w:style>
  <w:style w:type="paragraph" w:customStyle="1" w:styleId="325">
    <w:name w:val="font0"/>
    <w:basedOn w:val="2"/>
    <w:next w:val="1"/>
    <w:qFormat/>
    <w:uiPriority w:val="99"/>
    <w:pPr>
      <w:keepNext w:val="0"/>
      <w:keepLines w:val="0"/>
      <w:widowControl/>
      <w:adjustRightInd w:val="0"/>
      <w:snapToGrid w:val="0"/>
      <w:spacing w:before="100" w:beforeAutospacing="1" w:after="100" w:afterAutospacing="1" w:line="360" w:lineRule="auto"/>
      <w:ind w:firstLine="425" w:firstLineChars="177"/>
      <w:jc w:val="left"/>
      <w:outlineLvl w:val="9"/>
    </w:pPr>
    <w:rPr>
      <w:rFonts w:ascii="宋体" w:hAnsi="宋体"/>
      <w:b w:val="0"/>
      <w:bCs w:val="0"/>
      <w:kern w:val="0"/>
      <w:sz w:val="24"/>
      <w:szCs w:val="24"/>
    </w:rPr>
  </w:style>
  <w:style w:type="paragraph" w:customStyle="1" w:styleId="326">
    <w:name w:val="a6"/>
    <w:next w:val="1"/>
    <w:qFormat/>
    <w:uiPriority w:val="99"/>
    <w:pPr>
      <w:spacing w:line="280" w:lineRule="atLeast"/>
      <w:ind w:firstLine="360"/>
      <w:jc w:val="center"/>
    </w:pPr>
    <w:rPr>
      <w:rFonts w:ascii="Times New Roman" w:hAnsi="Times New Roman" w:eastAsia="宋体" w:cs="Times New Roman"/>
      <w:color w:val="000000"/>
      <w:sz w:val="18"/>
      <w:szCs w:val="18"/>
      <w:lang w:val="en-US" w:eastAsia="zh-CN" w:bidi="ar-SA"/>
    </w:rPr>
  </w:style>
  <w:style w:type="paragraph" w:customStyle="1" w:styleId="327">
    <w:name w:val="图表名"/>
    <w:basedOn w:val="2"/>
    <w:next w:val="1"/>
    <w:qFormat/>
    <w:uiPriority w:val="99"/>
    <w:pPr>
      <w:keepNext w:val="0"/>
      <w:keepLines w:val="0"/>
      <w:spacing w:beforeLines="30" w:after="0" w:line="440" w:lineRule="exact"/>
      <w:ind w:firstLine="480" w:firstLineChars="177"/>
      <w:outlineLvl w:val="9"/>
    </w:pPr>
    <w:rPr>
      <w:rFonts w:eastAsia="黑体"/>
      <w:b w:val="0"/>
      <w:bCs w:val="0"/>
      <w:kern w:val="2"/>
      <w:sz w:val="24"/>
      <w:szCs w:val="20"/>
    </w:rPr>
  </w:style>
  <w:style w:type="paragraph" w:customStyle="1" w:styleId="328">
    <w:name w:val="a9cxspmiddle"/>
    <w:basedOn w:val="2"/>
    <w:next w:val="1"/>
    <w:qFormat/>
    <w:uiPriority w:val="99"/>
    <w:pPr>
      <w:keepNext w:val="0"/>
      <w:keepLines w:val="0"/>
      <w:widowControl/>
      <w:snapToGrid w:val="0"/>
      <w:spacing w:before="0" w:after="0" w:line="360" w:lineRule="auto"/>
      <w:ind w:firstLine="480" w:firstLineChars="177"/>
      <w:outlineLvl w:val="9"/>
    </w:pPr>
    <w:rPr>
      <w:b w:val="0"/>
      <w:bCs w:val="0"/>
      <w:kern w:val="0"/>
      <w:sz w:val="24"/>
      <w:szCs w:val="24"/>
    </w:rPr>
  </w:style>
  <w:style w:type="paragraph" w:customStyle="1" w:styleId="329">
    <w:name w:val="样式 首行缩进:  2 字符"/>
    <w:basedOn w:val="2"/>
    <w:next w:val="1"/>
    <w:qFormat/>
    <w:uiPriority w:val="99"/>
    <w:pPr>
      <w:keepNext w:val="0"/>
      <w:keepLines w:val="0"/>
      <w:spacing w:before="0" w:after="0" w:line="360" w:lineRule="auto"/>
      <w:ind w:firstLine="200" w:firstLineChars="200"/>
      <w:outlineLvl w:val="9"/>
    </w:pPr>
    <w:rPr>
      <w:b w:val="0"/>
      <w:bCs w:val="0"/>
      <w:kern w:val="2"/>
      <w:sz w:val="24"/>
      <w:szCs w:val="24"/>
    </w:rPr>
  </w:style>
  <w:style w:type="paragraph" w:customStyle="1" w:styleId="330">
    <w:name w:val="xl35"/>
    <w:basedOn w:val="2"/>
    <w:next w:val="1"/>
    <w:qFormat/>
    <w:uiPriority w:val="99"/>
    <w:pPr>
      <w:keepNext w:val="0"/>
      <w:keepLines w:val="0"/>
      <w:widowControl/>
      <w:pBdr>
        <w:bottom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331">
    <w:name w:val="表1表2"/>
    <w:basedOn w:val="2"/>
    <w:next w:val="1"/>
    <w:qFormat/>
    <w:uiPriority w:val="99"/>
    <w:pPr>
      <w:keepNext w:val="0"/>
      <w:keepLines w:val="0"/>
      <w:autoSpaceDE w:val="0"/>
      <w:autoSpaceDN w:val="0"/>
      <w:adjustRightInd w:val="0"/>
      <w:spacing w:before="0" w:after="0" w:line="500" w:lineRule="atLeast"/>
      <w:ind w:firstLine="425" w:firstLineChars="177"/>
      <w:jc w:val="center"/>
      <w:outlineLvl w:val="9"/>
    </w:pPr>
    <w:rPr>
      <w:rFonts w:eastAsia="仿宋_GB2312"/>
      <w:b w:val="0"/>
      <w:bCs w:val="0"/>
      <w:kern w:val="0"/>
      <w:sz w:val="24"/>
      <w:szCs w:val="21"/>
    </w:rPr>
  </w:style>
  <w:style w:type="paragraph" w:customStyle="1" w:styleId="332">
    <w:name w:val="xl23"/>
    <w:basedOn w:val="2"/>
    <w:next w:val="1"/>
    <w:qFormat/>
    <w:uiPriority w:val="99"/>
    <w:pPr>
      <w:keepNext w:val="0"/>
      <w:keepLines w:val="0"/>
      <w:widowControl/>
      <w:pBdr>
        <w:top w:val="single" w:color="auto" w:sz="4" w:space="0"/>
        <w:left w:val="single" w:color="auto" w:sz="4" w:space="0"/>
        <w:right w:val="single" w:color="auto" w:sz="4" w:space="0"/>
      </w:pBdr>
      <w:spacing w:before="100" w:beforeAutospacing="1" w:after="100" w:afterAutospacing="1" w:line="500" w:lineRule="atLeast"/>
      <w:ind w:firstLine="425" w:firstLineChars="177"/>
      <w:jc w:val="center"/>
      <w:outlineLvl w:val="9"/>
    </w:pPr>
    <w:rPr>
      <w:rFonts w:ascii="宋体" w:hAnsi="宋体" w:cs="宋体"/>
      <w:b w:val="0"/>
      <w:bCs w:val="0"/>
      <w:kern w:val="0"/>
      <w:sz w:val="24"/>
      <w:szCs w:val="24"/>
    </w:rPr>
  </w:style>
  <w:style w:type="paragraph" w:customStyle="1" w:styleId="333">
    <w:name w:val="公式说明"/>
    <w:next w:val="1"/>
    <w:qFormat/>
    <w:uiPriority w:val="99"/>
    <w:pPr>
      <w:ind w:firstLine="200" w:firstLineChars="200"/>
    </w:pPr>
    <w:rPr>
      <w:rFonts w:ascii="Times New Roman" w:hAnsi="Times New Roman" w:eastAsia="宋体" w:cs="Times New Roman"/>
      <w:kern w:val="2"/>
      <w:sz w:val="24"/>
      <w:lang w:val="en-US" w:eastAsia="zh-CN" w:bidi="ar-SA"/>
    </w:rPr>
  </w:style>
  <w:style w:type="paragraph" w:customStyle="1" w:styleId="334">
    <w:name w:val="Body Text 22"/>
    <w:basedOn w:val="2"/>
    <w:next w:val="1"/>
    <w:qFormat/>
    <w:uiPriority w:val="99"/>
    <w:pPr>
      <w:keepNext w:val="0"/>
      <w:keepLines w:val="0"/>
      <w:adjustRightInd w:val="0"/>
      <w:spacing w:before="0" w:after="0" w:line="440" w:lineRule="atLeast"/>
      <w:ind w:firstLine="480" w:firstLineChars="177"/>
      <w:outlineLvl w:val="9"/>
    </w:pPr>
    <w:rPr>
      <w:rFonts w:eastAsia="仿宋_GB2312"/>
      <w:b w:val="0"/>
      <w:bCs w:val="0"/>
      <w:kern w:val="2"/>
      <w:sz w:val="24"/>
      <w:szCs w:val="20"/>
    </w:rPr>
  </w:style>
  <w:style w:type="paragraph" w:customStyle="1" w:styleId="335">
    <w:name w:val="1.1.1"/>
    <w:basedOn w:val="2"/>
    <w:next w:val="1"/>
    <w:qFormat/>
    <w:uiPriority w:val="99"/>
    <w:pPr>
      <w:keepNext w:val="0"/>
      <w:keepLines w:val="0"/>
      <w:spacing w:before="0" w:after="0" w:line="500" w:lineRule="atLeast"/>
      <w:ind w:firstLine="425" w:firstLineChars="177"/>
      <w:outlineLvl w:val="9"/>
    </w:pPr>
    <w:rPr>
      <w:rFonts w:ascii="黑体"/>
      <w:b w:val="0"/>
      <w:bCs w:val="0"/>
      <w:kern w:val="2"/>
      <w:sz w:val="24"/>
      <w:szCs w:val="24"/>
    </w:rPr>
  </w:style>
  <w:style w:type="paragraph" w:customStyle="1" w:styleId="336">
    <w:name w:val="报告表格"/>
    <w:basedOn w:val="2"/>
    <w:next w:val="1"/>
    <w:qFormat/>
    <w:uiPriority w:val="99"/>
    <w:pPr>
      <w:keepNext w:val="0"/>
      <w:keepLines w:val="0"/>
      <w:autoSpaceDE w:val="0"/>
      <w:autoSpaceDN w:val="0"/>
      <w:adjustRightInd w:val="0"/>
      <w:spacing w:before="40" w:after="40" w:line="500" w:lineRule="atLeast"/>
      <w:ind w:firstLine="425" w:firstLineChars="177"/>
      <w:jc w:val="center"/>
      <w:outlineLvl w:val="9"/>
    </w:pPr>
    <w:rPr>
      <w:b w:val="0"/>
      <w:bCs w:val="0"/>
      <w:kern w:val="0"/>
      <w:sz w:val="24"/>
      <w:szCs w:val="20"/>
    </w:rPr>
  </w:style>
  <w:style w:type="paragraph" w:customStyle="1" w:styleId="337">
    <w:name w:val="表中正文"/>
    <w:basedOn w:val="2"/>
    <w:next w:val="1"/>
    <w:qFormat/>
    <w:uiPriority w:val="99"/>
    <w:pPr>
      <w:keepNext w:val="0"/>
      <w:keepLines w:val="0"/>
      <w:tabs>
        <w:tab w:val="left" w:pos="958"/>
        <w:tab w:val="left" w:pos="7320"/>
        <w:tab w:val="left" w:pos="8160"/>
      </w:tabs>
      <w:adjustRightInd w:val="0"/>
      <w:spacing w:before="0" w:after="0" w:line="360" w:lineRule="atLeast"/>
      <w:ind w:right="113" w:firstLine="425" w:firstLineChars="177"/>
      <w:jc w:val="center"/>
      <w:outlineLvl w:val="9"/>
    </w:pPr>
    <w:rPr>
      <w:rFonts w:ascii="宋体" w:hAnsi="宋体"/>
      <w:b w:val="0"/>
      <w:bCs w:val="0"/>
      <w:spacing w:val="6"/>
      <w:kern w:val="20"/>
      <w:sz w:val="24"/>
      <w:szCs w:val="24"/>
    </w:rPr>
  </w:style>
  <w:style w:type="paragraph" w:customStyle="1" w:styleId="338">
    <w:name w:val="样式 段落1 + 左 首行缩进:  2 字符 加宽量  0.3 磅"/>
    <w:basedOn w:val="2"/>
    <w:next w:val="1"/>
    <w:qFormat/>
    <w:uiPriority w:val="99"/>
    <w:pPr>
      <w:keepNext w:val="0"/>
      <w:keepLines w:val="0"/>
      <w:tabs>
        <w:tab w:val="left" w:pos="4254"/>
      </w:tabs>
      <w:adjustRightInd w:val="0"/>
      <w:spacing w:before="0" w:after="0" w:line="440" w:lineRule="exact"/>
      <w:ind w:firstLine="504" w:firstLineChars="200"/>
      <w:outlineLvl w:val="9"/>
    </w:pPr>
    <w:rPr>
      <w:b w:val="0"/>
      <w:color w:val="0000FF"/>
      <w:spacing w:val="6"/>
      <w:kern w:val="0"/>
      <w:sz w:val="24"/>
      <w:szCs w:val="20"/>
    </w:rPr>
  </w:style>
  <w:style w:type="character" w:customStyle="1" w:styleId="339">
    <w:name w:val="正文首行缩进 2 Char1"/>
    <w:basedOn w:val="115"/>
    <w:semiHidden/>
    <w:qFormat/>
    <w:uiPriority w:val="99"/>
    <w:rPr>
      <w:rFonts w:ascii="Times New Roman" w:hAnsi="Times New Roman" w:eastAsia="宋体" w:cs="Times New Roman"/>
      <w:szCs w:val="24"/>
    </w:rPr>
  </w:style>
  <w:style w:type="paragraph" w:customStyle="1" w:styleId="340">
    <w:name w:val="三级标题"/>
    <w:basedOn w:val="2"/>
    <w:next w:val="44"/>
    <w:qFormat/>
    <w:uiPriority w:val="99"/>
    <w:pPr>
      <w:keepNext w:val="0"/>
      <w:keepLines w:val="0"/>
      <w:adjustRightInd w:val="0"/>
      <w:snapToGrid w:val="0"/>
      <w:spacing w:before="0" w:after="0" w:line="360" w:lineRule="exact"/>
      <w:ind w:firstLine="425" w:firstLineChars="177"/>
      <w:jc w:val="center"/>
      <w:outlineLvl w:val="9"/>
    </w:pPr>
    <w:rPr>
      <w:b w:val="0"/>
      <w:kern w:val="2"/>
      <w:sz w:val="24"/>
      <w:szCs w:val="20"/>
    </w:rPr>
  </w:style>
  <w:style w:type="paragraph" w:customStyle="1" w:styleId="341">
    <w:name w:val="unnamed2"/>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Arial Unicode MS" w:hAnsi="Arial Unicode MS" w:eastAsia="Arial Unicode MS" w:cs="Arial Unicode MS"/>
      <w:b w:val="0"/>
      <w:bCs w:val="0"/>
      <w:color w:val="000000"/>
      <w:kern w:val="0"/>
      <w:sz w:val="24"/>
      <w:szCs w:val="24"/>
    </w:rPr>
  </w:style>
  <w:style w:type="paragraph" w:customStyle="1" w:styleId="342">
    <w:name w:val="样式表格"/>
    <w:basedOn w:val="2"/>
    <w:next w:val="1"/>
    <w:qFormat/>
    <w:uiPriority w:val="99"/>
    <w:pPr>
      <w:keepNext w:val="0"/>
      <w:keepLines w:val="0"/>
      <w:spacing w:before="0" w:after="0" w:line="240" w:lineRule="exact"/>
      <w:ind w:firstLine="425" w:firstLineChars="177"/>
      <w:outlineLvl w:val="9"/>
    </w:pPr>
    <w:rPr>
      <w:b w:val="0"/>
      <w:bCs w:val="0"/>
      <w:color w:val="000000"/>
      <w:kern w:val="0"/>
      <w:sz w:val="24"/>
      <w:szCs w:val="21"/>
    </w:rPr>
  </w:style>
  <w:style w:type="paragraph" w:customStyle="1" w:styleId="343">
    <w:name w:val="font5"/>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b w:val="0"/>
      <w:bCs w:val="0"/>
      <w:kern w:val="0"/>
      <w:sz w:val="18"/>
      <w:szCs w:val="20"/>
    </w:rPr>
  </w:style>
  <w:style w:type="paragraph" w:customStyle="1" w:styleId="344">
    <w:name w:val="样式2"/>
    <w:basedOn w:val="2"/>
    <w:next w:val="1"/>
    <w:qFormat/>
    <w:uiPriority w:val="99"/>
    <w:pPr>
      <w:keepNext w:val="0"/>
      <w:keepLines w:val="0"/>
      <w:tabs>
        <w:tab w:val="left" w:pos="360"/>
      </w:tabs>
      <w:spacing w:before="50" w:after="50" w:line="440" w:lineRule="exact"/>
      <w:ind w:firstLine="425" w:firstLineChars="177"/>
      <w:outlineLvl w:val="9"/>
    </w:pPr>
    <w:rPr>
      <w:rFonts w:eastAsia="黑体"/>
      <w:b w:val="0"/>
      <w:bCs w:val="0"/>
      <w:kern w:val="2"/>
      <w:sz w:val="24"/>
      <w:szCs w:val="20"/>
    </w:rPr>
  </w:style>
  <w:style w:type="character" w:customStyle="1" w:styleId="345">
    <w:name w:val="cucd-2 Char"/>
    <w:link w:val="346"/>
    <w:qFormat/>
    <w:locked/>
    <w:uiPriority w:val="0"/>
    <w:rPr>
      <w:rFonts w:ascii="黑体" w:hAnsi="黑体" w:eastAsia="黑体"/>
      <w:b/>
      <w:sz w:val="30"/>
      <w:szCs w:val="24"/>
    </w:rPr>
  </w:style>
  <w:style w:type="paragraph" w:customStyle="1" w:styleId="346">
    <w:name w:val="cucd-2"/>
    <w:next w:val="347"/>
    <w:link w:val="345"/>
    <w:qFormat/>
    <w:uiPriority w:val="0"/>
    <w:pPr>
      <w:tabs>
        <w:tab w:val="left" w:pos="576"/>
      </w:tabs>
      <w:spacing w:line="360" w:lineRule="auto"/>
      <w:ind w:left="576" w:hanging="576"/>
      <w:outlineLvl w:val="1"/>
    </w:pPr>
    <w:rPr>
      <w:rFonts w:ascii="黑体" w:hAnsi="黑体" w:eastAsia="黑体" w:cstheme="minorBidi"/>
      <w:b/>
      <w:kern w:val="2"/>
      <w:sz w:val="30"/>
      <w:szCs w:val="24"/>
      <w:lang w:val="en-US" w:eastAsia="zh-CN" w:bidi="ar-SA"/>
    </w:rPr>
  </w:style>
  <w:style w:type="paragraph" w:customStyle="1" w:styleId="347">
    <w:name w:val="cucd-3"/>
    <w:next w:val="1"/>
    <w:link w:val="348"/>
    <w:qFormat/>
    <w:uiPriority w:val="99"/>
    <w:pPr>
      <w:tabs>
        <w:tab w:val="left" w:pos="720"/>
      </w:tabs>
      <w:spacing w:line="360" w:lineRule="auto"/>
      <w:ind w:left="720" w:hanging="720"/>
      <w:outlineLvl w:val="2"/>
    </w:pPr>
    <w:rPr>
      <w:rFonts w:ascii="Calibri" w:hAnsi="Calibri" w:eastAsia="宋体" w:cs="Times New Roman"/>
      <w:b/>
      <w:kern w:val="2"/>
      <w:sz w:val="28"/>
      <w:szCs w:val="24"/>
      <w:lang w:val="en-US" w:eastAsia="zh-CN" w:bidi="ar-SA"/>
    </w:rPr>
  </w:style>
  <w:style w:type="character" w:customStyle="1" w:styleId="348">
    <w:name w:val="cucd-3 Char"/>
    <w:link w:val="347"/>
    <w:qFormat/>
    <w:locked/>
    <w:uiPriority w:val="99"/>
    <w:rPr>
      <w:rFonts w:ascii="Calibri" w:hAnsi="Calibri" w:eastAsia="宋体" w:cs="Times New Roman"/>
      <w:b/>
      <w:sz w:val="28"/>
      <w:szCs w:val="24"/>
    </w:rPr>
  </w:style>
  <w:style w:type="paragraph" w:customStyle="1" w:styleId="349">
    <w:name w:val="表中"/>
    <w:basedOn w:val="2"/>
    <w:next w:val="1"/>
    <w:qFormat/>
    <w:uiPriority w:val="99"/>
    <w:pPr>
      <w:keepNext w:val="0"/>
      <w:keepLines w:val="0"/>
      <w:spacing w:before="0" w:after="0" w:line="280" w:lineRule="exact"/>
      <w:ind w:firstLine="425" w:firstLineChars="177"/>
      <w:jc w:val="center"/>
      <w:outlineLvl w:val="9"/>
    </w:pPr>
    <w:rPr>
      <w:b w:val="0"/>
      <w:bCs w:val="0"/>
      <w:kern w:val="2"/>
      <w:sz w:val="18"/>
      <w:szCs w:val="18"/>
    </w:rPr>
  </w:style>
  <w:style w:type="paragraph" w:customStyle="1" w:styleId="350">
    <w:name w:val="样式 四号 首行缩进:  2 字符"/>
    <w:basedOn w:val="2"/>
    <w:next w:val="1"/>
    <w:qFormat/>
    <w:uiPriority w:val="99"/>
    <w:pPr>
      <w:keepNext w:val="0"/>
      <w:keepLines w:val="0"/>
      <w:spacing w:before="0" w:after="0" w:line="480" w:lineRule="atLeast"/>
      <w:ind w:firstLine="200" w:firstLineChars="200"/>
      <w:outlineLvl w:val="9"/>
    </w:pPr>
    <w:rPr>
      <w:b w:val="0"/>
      <w:bCs w:val="0"/>
      <w:kern w:val="2"/>
      <w:sz w:val="24"/>
      <w:szCs w:val="20"/>
    </w:rPr>
  </w:style>
  <w:style w:type="paragraph" w:customStyle="1" w:styleId="351">
    <w:name w:val="xl38"/>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b w:val="0"/>
      <w:bCs w:val="0"/>
      <w:color w:val="000000"/>
      <w:kern w:val="0"/>
      <w:sz w:val="24"/>
      <w:szCs w:val="21"/>
    </w:rPr>
  </w:style>
  <w:style w:type="paragraph" w:customStyle="1" w:styleId="352">
    <w:name w:val="表头2"/>
    <w:basedOn w:val="2"/>
    <w:next w:val="1"/>
    <w:qFormat/>
    <w:uiPriority w:val="99"/>
    <w:pPr>
      <w:keepNext w:val="0"/>
      <w:keepLines w:val="0"/>
      <w:spacing w:before="0" w:after="0" w:line="480" w:lineRule="auto"/>
      <w:ind w:firstLine="425" w:firstLineChars="177"/>
      <w:jc w:val="center"/>
      <w:outlineLvl w:val="9"/>
    </w:pPr>
    <w:rPr>
      <w:rFonts w:ascii="黑体" w:eastAsia="黑体"/>
      <w:b w:val="0"/>
      <w:bCs w:val="0"/>
      <w:color w:val="000000"/>
      <w:kern w:val="2"/>
      <w:sz w:val="24"/>
      <w:szCs w:val="24"/>
    </w:rPr>
  </w:style>
  <w:style w:type="paragraph" w:customStyle="1" w:styleId="353">
    <w:name w:val="标题6"/>
    <w:basedOn w:val="2"/>
    <w:next w:val="145"/>
    <w:qFormat/>
    <w:uiPriority w:val="99"/>
    <w:pPr>
      <w:keepNext w:val="0"/>
      <w:keepLines w:val="0"/>
      <w:numPr>
        <w:ilvl w:val="0"/>
        <w:numId w:val="3"/>
      </w:numPr>
      <w:spacing w:before="0" w:after="0" w:line="480" w:lineRule="exact"/>
      <w:ind w:firstLine="177" w:firstLineChars="177"/>
      <w:jc w:val="left"/>
      <w:outlineLvl w:val="9"/>
    </w:pPr>
    <w:rPr>
      <w:b w:val="0"/>
      <w:bCs w:val="0"/>
      <w:spacing w:val="10"/>
      <w:kern w:val="2"/>
      <w:sz w:val="28"/>
      <w:szCs w:val="20"/>
    </w:rPr>
  </w:style>
  <w:style w:type="paragraph" w:customStyle="1" w:styleId="354">
    <w:name w:val="l_text2"/>
    <w:basedOn w:val="2"/>
    <w:next w:val="1"/>
    <w:qFormat/>
    <w:uiPriority w:val="99"/>
    <w:pPr>
      <w:keepNext w:val="0"/>
      <w:keepLines w:val="0"/>
      <w:widowControl/>
      <w:numPr>
        <w:ilvl w:val="0"/>
        <w:numId w:val="4"/>
      </w:numPr>
      <w:overflowPunct w:val="0"/>
      <w:autoSpaceDE w:val="0"/>
      <w:autoSpaceDN w:val="0"/>
      <w:adjustRightInd w:val="0"/>
      <w:spacing w:before="0" w:after="0" w:line="500" w:lineRule="atLeast"/>
      <w:ind w:left="0" w:firstLine="0" w:firstLineChars="177"/>
      <w:jc w:val="center"/>
      <w:outlineLvl w:val="9"/>
    </w:pPr>
    <w:rPr>
      <w:rFonts w:ascii="楷体" w:eastAsia="楷体" w:cs="楷体"/>
      <w:b w:val="0"/>
      <w:bCs w:val="0"/>
      <w:kern w:val="0"/>
      <w:position w:val="-30"/>
      <w:sz w:val="22"/>
      <w:szCs w:val="24"/>
    </w:rPr>
  </w:style>
  <w:style w:type="paragraph" w:customStyle="1" w:styleId="355">
    <w:name w:val="xl54"/>
    <w:basedOn w:val="2"/>
    <w:next w:val="1"/>
    <w:qFormat/>
    <w:uiPriority w:val="99"/>
    <w:pPr>
      <w:keepNext w:val="0"/>
      <w:keepLines w:val="0"/>
      <w:widowControl/>
      <w:pBdr>
        <w:top w:val="single" w:color="auto" w:sz="12" w:space="0"/>
        <w:left w:val="single" w:color="auto" w:sz="12"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356">
    <w:name w:val="xl46"/>
    <w:basedOn w:val="2"/>
    <w:next w:val="1"/>
    <w:qFormat/>
    <w:uiPriority w:val="99"/>
    <w:pPr>
      <w:keepNext w:val="0"/>
      <w:keepLines w:val="0"/>
      <w:widowControl/>
      <w:pBdr>
        <w:left w:val="single" w:color="auto" w:sz="8" w:space="0"/>
        <w:bottom w:val="single" w:color="auto" w:sz="8" w:space="0"/>
        <w:right w:val="single" w:color="auto" w:sz="12"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357">
    <w:name w:val="222"/>
    <w:basedOn w:val="2"/>
    <w:next w:val="1"/>
    <w:qFormat/>
    <w:uiPriority w:val="99"/>
    <w:pPr>
      <w:keepNext w:val="0"/>
      <w:keepLines w:val="0"/>
      <w:snapToGrid w:val="0"/>
      <w:spacing w:before="0" w:after="0" w:line="440" w:lineRule="exact"/>
      <w:ind w:firstLine="480" w:firstLineChars="200"/>
      <w:outlineLvl w:val="9"/>
    </w:pPr>
    <w:rPr>
      <w:rFonts w:cs="宋体"/>
      <w:b w:val="0"/>
      <w:bCs w:val="0"/>
      <w:kern w:val="2"/>
      <w:sz w:val="24"/>
      <w:szCs w:val="20"/>
    </w:rPr>
  </w:style>
  <w:style w:type="paragraph" w:customStyle="1" w:styleId="358">
    <w:name w:val="表名"/>
    <w:basedOn w:val="2"/>
    <w:next w:val="1"/>
    <w:qFormat/>
    <w:uiPriority w:val="99"/>
    <w:pPr>
      <w:keepNext w:val="0"/>
      <w:keepLines w:val="0"/>
      <w:widowControl/>
      <w:overflowPunct w:val="0"/>
      <w:autoSpaceDE w:val="0"/>
      <w:autoSpaceDN w:val="0"/>
      <w:adjustRightInd w:val="0"/>
      <w:spacing w:before="60" w:after="0" w:line="480" w:lineRule="exact"/>
      <w:ind w:firstLine="425" w:firstLineChars="177"/>
      <w:jc w:val="center"/>
      <w:outlineLvl w:val="9"/>
    </w:pPr>
    <w:rPr>
      <w:rFonts w:ascii="黑体" w:hAnsi="Arial" w:eastAsia="黑体"/>
      <w:b w:val="0"/>
      <w:bCs w:val="0"/>
      <w:color w:val="000000"/>
      <w:kern w:val="0"/>
      <w:sz w:val="26"/>
      <w:szCs w:val="20"/>
    </w:rPr>
  </w:style>
  <w:style w:type="paragraph" w:customStyle="1" w:styleId="359">
    <w:name w:val="a7"/>
    <w:basedOn w:val="2"/>
    <w:next w:val="1"/>
    <w:qFormat/>
    <w:uiPriority w:val="99"/>
    <w:pPr>
      <w:keepNext w:val="0"/>
      <w:keepLines w:val="0"/>
      <w:widowControl/>
      <w:overflowPunct w:val="0"/>
      <w:snapToGrid w:val="0"/>
      <w:spacing w:before="0" w:after="0" w:line="280" w:lineRule="atLeast"/>
      <w:ind w:firstLine="425" w:firstLineChars="177"/>
      <w:jc w:val="center"/>
      <w:outlineLvl w:val="9"/>
    </w:pPr>
    <w:rPr>
      <w:rFonts w:ascii="宋体" w:hAnsi="宋体"/>
      <w:b w:val="0"/>
      <w:bCs w:val="0"/>
      <w:kern w:val="0"/>
      <w:sz w:val="18"/>
      <w:szCs w:val="18"/>
    </w:rPr>
  </w:style>
  <w:style w:type="paragraph" w:customStyle="1" w:styleId="360">
    <w:name w:val="font9"/>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b w:val="0"/>
      <w:bCs w:val="0"/>
      <w:color w:val="000000"/>
      <w:kern w:val="0"/>
      <w:sz w:val="24"/>
      <w:szCs w:val="21"/>
    </w:rPr>
  </w:style>
  <w:style w:type="paragraph" w:customStyle="1" w:styleId="361">
    <w:name w:val="默认段落字体 Para Char Char Char Char Char Char Char"/>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362">
    <w:name w:val="段落 Char Char2 Char Char"/>
    <w:basedOn w:val="2"/>
    <w:next w:val="1"/>
    <w:qFormat/>
    <w:uiPriority w:val="99"/>
    <w:pPr>
      <w:keepNext w:val="0"/>
      <w:keepLines w:val="0"/>
      <w:tabs>
        <w:tab w:val="left" w:pos="1021"/>
      </w:tabs>
      <w:spacing w:before="0" w:after="0" w:line="540" w:lineRule="exact"/>
      <w:ind w:firstLine="480" w:firstLineChars="200"/>
      <w:outlineLvl w:val="9"/>
    </w:pPr>
    <w:rPr>
      <w:rFonts w:ascii="宋体" w:hAnsi="宋体" w:cs="宋体"/>
      <w:b w:val="0"/>
      <w:bCs w:val="0"/>
      <w:kern w:val="24"/>
      <w:sz w:val="24"/>
      <w:szCs w:val="24"/>
    </w:rPr>
  </w:style>
  <w:style w:type="character" w:customStyle="1" w:styleId="363">
    <w:name w:val="样式表 Char"/>
    <w:link w:val="364"/>
    <w:qFormat/>
    <w:locked/>
    <w:uiPriority w:val="0"/>
    <w:rPr>
      <w:rFonts w:ascii="黑体" w:hAnsi="黑体" w:eastAsia="黑体" w:cs="宋体"/>
      <w:color w:val="000000"/>
      <w:spacing w:val="8"/>
      <w:sz w:val="24"/>
      <w:szCs w:val="24"/>
    </w:rPr>
  </w:style>
  <w:style w:type="paragraph" w:customStyle="1" w:styleId="364">
    <w:name w:val="样式表"/>
    <w:basedOn w:val="14"/>
    <w:next w:val="1"/>
    <w:link w:val="363"/>
    <w:qFormat/>
    <w:uiPriority w:val="0"/>
    <w:pPr>
      <w:widowControl/>
      <w:spacing w:beforeLines="50"/>
      <w:ind w:firstLine="0" w:firstLineChars="0"/>
      <w:jc w:val="center"/>
    </w:pPr>
    <w:rPr>
      <w:rFonts w:ascii="黑体" w:hAnsi="黑体" w:eastAsia="黑体" w:cs="宋体"/>
      <w:spacing w:val="8"/>
      <w:sz w:val="24"/>
      <w:szCs w:val="24"/>
    </w:rPr>
  </w:style>
  <w:style w:type="paragraph" w:customStyle="1" w:styleId="365">
    <w:name w:val="正文文字进缩1"/>
    <w:basedOn w:val="2"/>
    <w:next w:val="1"/>
    <w:qFormat/>
    <w:uiPriority w:val="99"/>
    <w:pPr>
      <w:keepNext w:val="0"/>
      <w:keepLines w:val="0"/>
      <w:spacing w:before="0" w:after="0" w:line="360" w:lineRule="auto"/>
      <w:ind w:left="555" w:firstLine="425" w:firstLineChars="177"/>
      <w:outlineLvl w:val="9"/>
    </w:pPr>
    <w:rPr>
      <w:rFonts w:ascii="黑体" w:eastAsia="黑体"/>
      <w:bCs w:val="0"/>
      <w:kern w:val="2"/>
      <w:sz w:val="28"/>
      <w:szCs w:val="20"/>
    </w:rPr>
  </w:style>
  <w:style w:type="paragraph" w:customStyle="1" w:styleId="366">
    <w:name w:val="Char Char Char Char Char Char Char Char Char"/>
    <w:basedOn w:val="2"/>
    <w:next w:val="1"/>
    <w:qFormat/>
    <w:uiPriority w:val="99"/>
    <w:pPr>
      <w:keepNext w:val="0"/>
      <w:keepLines w:val="0"/>
      <w:widowControl/>
      <w:spacing w:before="0" w:after="160" w:line="240" w:lineRule="exact"/>
      <w:ind w:firstLine="425" w:firstLineChars="177"/>
      <w:jc w:val="left"/>
      <w:outlineLvl w:val="9"/>
    </w:pPr>
    <w:rPr>
      <w:rFonts w:ascii="Verdana" w:hAnsi="Verdana" w:eastAsia="仿宋_GB2312"/>
      <w:b w:val="0"/>
      <w:bCs w:val="0"/>
      <w:kern w:val="0"/>
      <w:sz w:val="24"/>
      <w:szCs w:val="20"/>
      <w:lang w:eastAsia="en-US"/>
    </w:rPr>
  </w:style>
  <w:style w:type="paragraph" w:customStyle="1" w:styleId="367">
    <w:name w:val="line1"/>
    <w:basedOn w:val="2"/>
    <w:next w:val="1"/>
    <w:qFormat/>
    <w:uiPriority w:val="99"/>
    <w:pPr>
      <w:keepNext w:val="0"/>
      <w:keepLines w:val="0"/>
      <w:widowControl/>
      <w:spacing w:before="100" w:beforeAutospacing="1" w:after="100" w:afterAutospacing="1" w:line="360" w:lineRule="atLeast"/>
      <w:ind w:firstLine="425" w:firstLineChars="177"/>
      <w:jc w:val="left"/>
      <w:outlineLvl w:val="9"/>
    </w:pPr>
    <w:rPr>
      <w:rFonts w:ascii="宋体" w:hAnsi="宋体"/>
      <w:b w:val="0"/>
      <w:bCs w:val="0"/>
      <w:kern w:val="0"/>
      <w:sz w:val="24"/>
      <w:szCs w:val="24"/>
    </w:rPr>
  </w:style>
  <w:style w:type="paragraph" w:customStyle="1" w:styleId="368">
    <w:name w:val="xl42"/>
    <w:basedOn w:val="2"/>
    <w:next w:val="1"/>
    <w:qFormat/>
    <w:uiPriority w:val="99"/>
    <w:pPr>
      <w:keepNext w:val="0"/>
      <w:keepLines w:val="0"/>
      <w:widowControl/>
      <w:pBdr>
        <w:left w:val="single" w:color="auto" w:sz="8" w:space="0"/>
        <w:bottom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369">
    <w:name w:val="表中正文居中"/>
    <w:next w:val="1"/>
    <w:qFormat/>
    <w:uiPriority w:val="99"/>
    <w:pPr>
      <w:spacing w:before="120" w:after="120" w:line="240" w:lineRule="atLeast"/>
      <w:jc w:val="center"/>
    </w:pPr>
    <w:rPr>
      <w:rFonts w:ascii="宋体" w:hAnsi="Times New Roman" w:eastAsia="宋体" w:cs="Times New Roman"/>
      <w:kern w:val="2"/>
      <w:sz w:val="21"/>
      <w:lang w:val="en-US" w:eastAsia="zh-CN" w:bidi="ar-SA"/>
    </w:rPr>
  </w:style>
  <w:style w:type="character" w:customStyle="1" w:styleId="370">
    <w:name w:val="正文1-1 Char"/>
    <w:link w:val="371"/>
    <w:qFormat/>
    <w:locked/>
    <w:uiPriority w:val="0"/>
    <w:rPr>
      <w:rFonts w:ascii="宋体" w:hAnsi="宋体" w:eastAsia="仿宋_GB2312" w:cs="宋体"/>
      <w:sz w:val="28"/>
      <w:szCs w:val="24"/>
    </w:rPr>
  </w:style>
  <w:style w:type="paragraph" w:customStyle="1" w:styleId="371">
    <w:name w:val="正文1-1"/>
    <w:basedOn w:val="2"/>
    <w:next w:val="1"/>
    <w:link w:val="370"/>
    <w:qFormat/>
    <w:uiPriority w:val="0"/>
    <w:pPr>
      <w:keepNext w:val="0"/>
      <w:keepLines w:val="0"/>
      <w:widowControl/>
      <w:snapToGrid w:val="0"/>
      <w:spacing w:before="0" w:after="0" w:line="360" w:lineRule="auto"/>
      <w:ind w:firstLine="200" w:firstLineChars="200"/>
      <w:jc w:val="left"/>
      <w:outlineLvl w:val="9"/>
    </w:pPr>
    <w:rPr>
      <w:rFonts w:ascii="宋体" w:hAnsi="宋体" w:eastAsia="仿宋_GB2312" w:cs="宋体"/>
      <w:b w:val="0"/>
      <w:bCs w:val="0"/>
      <w:kern w:val="2"/>
      <w:sz w:val="28"/>
      <w:szCs w:val="24"/>
    </w:rPr>
  </w:style>
  <w:style w:type="paragraph" w:customStyle="1" w:styleId="372">
    <w:name w:val="xl40"/>
    <w:basedOn w:val="2"/>
    <w:next w:val="1"/>
    <w:qFormat/>
    <w:uiPriority w:val="99"/>
    <w:pPr>
      <w:keepNext w:val="0"/>
      <w:keepLines w:val="0"/>
      <w:widowControl/>
      <w:pBdr>
        <w:left w:val="single" w:color="auto" w:sz="12" w:space="0"/>
      </w:pBdr>
      <w:spacing w:before="100" w:beforeAutospacing="1" w:after="100" w:afterAutospacing="1" w:line="500" w:lineRule="atLeast"/>
      <w:ind w:firstLine="425" w:firstLineChars="177"/>
      <w:jc w:val="center"/>
      <w:outlineLvl w:val="9"/>
    </w:pPr>
    <w:rPr>
      <w:rFonts w:ascii="宋体" w:hAnsi="宋体" w:cs="宋体"/>
      <w:b w:val="0"/>
      <w:bCs w:val="0"/>
      <w:kern w:val="0"/>
      <w:sz w:val="24"/>
      <w:szCs w:val="24"/>
    </w:rPr>
  </w:style>
  <w:style w:type="paragraph" w:customStyle="1" w:styleId="373">
    <w:name w:val="自定义缩进"/>
    <w:basedOn w:val="2"/>
    <w:next w:val="1"/>
    <w:qFormat/>
    <w:uiPriority w:val="99"/>
    <w:pPr>
      <w:keepLines w:val="0"/>
      <w:spacing w:before="0" w:after="0" w:line="336" w:lineRule="auto"/>
      <w:ind w:firstLine="480" w:firstLineChars="200"/>
      <w:jc w:val="left"/>
      <w:outlineLvl w:val="9"/>
    </w:pPr>
    <w:rPr>
      <w:rFonts w:ascii="宋体" w:hAnsi="宋体"/>
      <w:b w:val="0"/>
      <w:bCs w:val="0"/>
      <w:kern w:val="0"/>
      <w:sz w:val="24"/>
      <w:szCs w:val="20"/>
    </w:rPr>
  </w:style>
  <w:style w:type="paragraph" w:customStyle="1" w:styleId="374">
    <w:name w:val="xl57"/>
    <w:basedOn w:val="2"/>
    <w:next w:val="1"/>
    <w:qFormat/>
    <w:uiPriority w:val="99"/>
    <w:pPr>
      <w:keepNext w:val="0"/>
      <w:keepLines w:val="0"/>
      <w:widowControl/>
      <w:pBdr>
        <w:top w:val="single" w:color="auto" w:sz="12" w:space="0"/>
        <w:bottom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character" w:customStyle="1" w:styleId="375">
    <w:name w:val="日期 Char1"/>
    <w:basedOn w:val="50"/>
    <w:semiHidden/>
    <w:qFormat/>
    <w:uiPriority w:val="99"/>
    <w:rPr>
      <w:rFonts w:ascii="Times New Roman" w:hAnsi="Times New Roman" w:eastAsia="宋体" w:cs="Times New Roman"/>
      <w:szCs w:val="24"/>
    </w:rPr>
  </w:style>
  <w:style w:type="paragraph" w:customStyle="1" w:styleId="376">
    <w:name w:val="样式 日期 + 宋体"/>
    <w:basedOn w:val="27"/>
    <w:next w:val="1"/>
    <w:qFormat/>
    <w:uiPriority w:val="99"/>
    <w:pPr>
      <w:widowControl/>
      <w:overflowPunct w:val="0"/>
      <w:autoSpaceDE w:val="0"/>
      <w:autoSpaceDN w:val="0"/>
      <w:adjustRightInd w:val="0"/>
      <w:spacing w:line="480" w:lineRule="exact"/>
      <w:ind w:left="0" w:leftChars="0" w:firstLine="425" w:firstLineChars="177"/>
    </w:pPr>
    <w:rPr>
      <w:rFonts w:ascii="宋体" w:hAnsi="宋体"/>
      <w:color w:val="000000"/>
      <w:kern w:val="0"/>
      <w:sz w:val="28"/>
      <w:szCs w:val="20"/>
      <w:lang w:val="en-GB"/>
    </w:rPr>
  </w:style>
  <w:style w:type="paragraph" w:customStyle="1" w:styleId="377">
    <w:name w:val="font7"/>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color w:val="000000"/>
      <w:kern w:val="0"/>
      <w:sz w:val="24"/>
      <w:szCs w:val="21"/>
    </w:rPr>
  </w:style>
  <w:style w:type="paragraph" w:customStyle="1" w:styleId="378">
    <w:name w:val="样式 标题2　自动设置"/>
    <w:basedOn w:val="3"/>
    <w:next w:val="1"/>
    <w:qFormat/>
    <w:uiPriority w:val="99"/>
    <w:pPr>
      <w:tabs>
        <w:tab w:val="left" w:pos="1710"/>
      </w:tabs>
      <w:spacing w:before="0" w:after="60" w:line="240" w:lineRule="auto"/>
      <w:ind w:left="1710" w:hanging="720" w:firstLineChars="177"/>
    </w:pPr>
    <w:rPr>
      <w:rFonts w:ascii="宋体" w:hAnsi="宋体" w:eastAsia="宋体" w:cs="宋体"/>
      <w:color w:val="000000"/>
      <w:kern w:val="0"/>
      <w:sz w:val="28"/>
      <w:szCs w:val="20"/>
    </w:rPr>
  </w:style>
  <w:style w:type="paragraph" w:customStyle="1" w:styleId="379">
    <w:name w:val="样式 段落1 + 首行缩进:  2 字符"/>
    <w:basedOn w:val="319"/>
    <w:next w:val="1"/>
    <w:qFormat/>
    <w:uiPriority w:val="99"/>
    <w:pPr>
      <w:spacing w:line="480" w:lineRule="exact"/>
      <w:ind w:firstLine="504"/>
      <w:jc w:val="left"/>
    </w:pPr>
    <w:rPr>
      <w:rFonts w:cs="宋体"/>
      <w:sz w:val="24"/>
    </w:rPr>
  </w:style>
  <w:style w:type="character" w:customStyle="1" w:styleId="380">
    <w:name w:val="cucd-4 Char Char"/>
    <w:link w:val="381"/>
    <w:qFormat/>
    <w:locked/>
    <w:uiPriority w:val="0"/>
    <w:rPr>
      <w:b/>
      <w:sz w:val="24"/>
      <w:szCs w:val="24"/>
    </w:rPr>
  </w:style>
  <w:style w:type="paragraph" w:customStyle="1" w:styleId="381">
    <w:name w:val="cucd-4"/>
    <w:next w:val="382"/>
    <w:link w:val="380"/>
    <w:qFormat/>
    <w:uiPriority w:val="0"/>
    <w:pPr>
      <w:tabs>
        <w:tab w:val="left" w:pos="0"/>
      </w:tabs>
      <w:spacing w:line="360" w:lineRule="auto"/>
      <w:outlineLvl w:val="3"/>
    </w:pPr>
    <w:rPr>
      <w:rFonts w:asciiTheme="minorHAnsi" w:hAnsiTheme="minorHAnsi" w:eastAsiaTheme="minorEastAsia" w:cstheme="minorBidi"/>
      <w:b/>
      <w:kern w:val="2"/>
      <w:sz w:val="24"/>
      <w:szCs w:val="24"/>
      <w:lang w:val="en-US" w:eastAsia="zh-CN" w:bidi="ar-SA"/>
    </w:rPr>
  </w:style>
  <w:style w:type="paragraph" w:customStyle="1" w:styleId="382">
    <w:name w:val="cucd-0"/>
    <w:next w:val="1"/>
    <w:link w:val="383"/>
    <w:qFormat/>
    <w:uiPriority w:val="99"/>
    <w:pPr>
      <w:spacing w:line="360" w:lineRule="auto"/>
      <w:ind w:firstLine="480" w:firstLineChars="200"/>
    </w:pPr>
    <w:rPr>
      <w:rFonts w:ascii="Calibri" w:hAnsi="Calibri" w:eastAsia="宋体" w:cs="Times New Roman"/>
      <w:kern w:val="2"/>
      <w:sz w:val="24"/>
      <w:szCs w:val="24"/>
      <w:lang w:val="en-US" w:eastAsia="zh-CN" w:bidi="ar-SA"/>
    </w:rPr>
  </w:style>
  <w:style w:type="character" w:customStyle="1" w:styleId="383">
    <w:name w:val="cucd-0 Char1"/>
    <w:link w:val="382"/>
    <w:qFormat/>
    <w:locked/>
    <w:uiPriority w:val="99"/>
    <w:rPr>
      <w:rFonts w:ascii="Calibri" w:hAnsi="Calibri" w:eastAsia="宋体" w:cs="Times New Roman"/>
      <w:sz w:val="24"/>
      <w:szCs w:val="24"/>
    </w:rPr>
  </w:style>
  <w:style w:type="paragraph" w:customStyle="1" w:styleId="384">
    <w:name w:val="居中正文"/>
    <w:basedOn w:val="43"/>
    <w:next w:val="1"/>
    <w:qFormat/>
    <w:uiPriority w:val="99"/>
    <w:pPr>
      <w:adjustRightInd w:val="0"/>
      <w:spacing w:before="120" w:after="0" w:line="360" w:lineRule="auto"/>
      <w:ind w:firstLine="0" w:firstLineChars="0"/>
      <w:jc w:val="center"/>
    </w:pPr>
    <w:rPr>
      <w:rFonts w:hAnsi="Calibri"/>
      <w:kern w:val="28"/>
      <w:szCs w:val="20"/>
    </w:rPr>
  </w:style>
  <w:style w:type="paragraph" w:customStyle="1" w:styleId="385">
    <w:name w:val="MTDisplayEquation"/>
    <w:basedOn w:val="2"/>
    <w:next w:val="1"/>
    <w:qFormat/>
    <w:uiPriority w:val="99"/>
    <w:pPr>
      <w:keepNext w:val="0"/>
      <w:keepLines w:val="0"/>
      <w:tabs>
        <w:tab w:val="center" w:pos="4160"/>
        <w:tab w:val="right" w:pos="8300"/>
      </w:tabs>
      <w:spacing w:before="0" w:after="0" w:line="500" w:lineRule="atLeast"/>
      <w:ind w:firstLine="420" w:firstLineChars="200"/>
      <w:outlineLvl w:val="9"/>
    </w:pPr>
    <w:rPr>
      <w:rFonts w:ascii="宋体" w:hAnsi="宋体"/>
      <w:b w:val="0"/>
      <w:bCs w:val="0"/>
      <w:kern w:val="2"/>
      <w:sz w:val="24"/>
      <w:szCs w:val="24"/>
    </w:rPr>
  </w:style>
  <w:style w:type="paragraph" w:customStyle="1" w:styleId="386">
    <w:name w:val="font11"/>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color w:val="000000"/>
      <w:kern w:val="0"/>
      <w:sz w:val="18"/>
      <w:szCs w:val="18"/>
    </w:rPr>
  </w:style>
  <w:style w:type="paragraph" w:customStyle="1" w:styleId="387">
    <w:name w:val="正文 + 首行缩进:  2 字符"/>
    <w:basedOn w:val="2"/>
    <w:next w:val="1"/>
    <w:qFormat/>
    <w:uiPriority w:val="99"/>
    <w:pPr>
      <w:keepNext w:val="0"/>
      <w:keepLines w:val="0"/>
      <w:spacing w:before="0" w:after="0" w:line="460" w:lineRule="atLeast"/>
      <w:ind w:firstLine="528" w:firstLineChars="200"/>
      <w:outlineLvl w:val="9"/>
    </w:pPr>
    <w:rPr>
      <w:b w:val="0"/>
      <w:bCs w:val="0"/>
      <w:spacing w:val="12"/>
      <w:kern w:val="2"/>
      <w:sz w:val="24"/>
      <w:szCs w:val="20"/>
    </w:rPr>
  </w:style>
  <w:style w:type="paragraph" w:customStyle="1" w:styleId="388">
    <w:name w:val="a3"/>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b w:val="0"/>
      <w:bCs w:val="0"/>
      <w:color w:val="000000"/>
      <w:kern w:val="0"/>
      <w:sz w:val="24"/>
      <w:szCs w:val="20"/>
    </w:rPr>
  </w:style>
  <w:style w:type="paragraph" w:customStyle="1" w:styleId="389">
    <w:name w:val="样式 标题 2节 + 行距: 多倍行距 0.5 字行"/>
    <w:basedOn w:val="3"/>
    <w:next w:val="1"/>
    <w:qFormat/>
    <w:uiPriority w:val="99"/>
    <w:pPr>
      <w:spacing w:before="0" w:after="80" w:line="300" w:lineRule="auto"/>
      <w:ind w:left="576" w:hanging="576" w:firstLineChars="177"/>
    </w:pPr>
    <w:rPr>
      <w:rFonts w:ascii="Arial" w:hAnsi="Arial" w:eastAsia="宋体" w:cs="黑体"/>
      <w:sz w:val="28"/>
      <w:szCs w:val="28"/>
    </w:rPr>
  </w:style>
  <w:style w:type="paragraph" w:customStyle="1" w:styleId="390">
    <w:name w:val="样式3"/>
    <w:basedOn w:val="4"/>
    <w:next w:val="1"/>
    <w:qFormat/>
    <w:uiPriority w:val="99"/>
    <w:pPr>
      <w:keepNext w:val="0"/>
      <w:keepLines w:val="0"/>
      <w:tabs>
        <w:tab w:val="left" w:pos="3930"/>
        <w:tab w:val="left" w:pos="5775"/>
      </w:tabs>
      <w:snapToGrid w:val="0"/>
      <w:spacing w:before="240" w:after="0" w:line="240" w:lineRule="auto"/>
      <w:outlineLvl w:val="9"/>
    </w:pPr>
    <w:rPr>
      <w:rFonts w:ascii="楷体_GB2312" w:hAnsi="Times New Roman" w:eastAsia="黑体" w:cs="Times New Roman"/>
      <w:b/>
      <w:color w:val="000000"/>
      <w:kern w:val="0"/>
      <w:sz w:val="28"/>
      <w:szCs w:val="20"/>
    </w:rPr>
  </w:style>
  <w:style w:type="character" w:customStyle="1" w:styleId="391">
    <w:name w:val="段落1 Char Char1"/>
    <w:link w:val="392"/>
    <w:qFormat/>
    <w:locked/>
    <w:uiPriority w:val="0"/>
    <w:rPr>
      <w:rFonts w:ascii="宋体" w:hAnsi="宋体" w:eastAsia="宋体"/>
      <w:spacing w:val="8"/>
      <w:sz w:val="24"/>
    </w:rPr>
  </w:style>
  <w:style w:type="paragraph" w:customStyle="1" w:styleId="392">
    <w:name w:val="段落1 Char"/>
    <w:basedOn w:val="2"/>
    <w:next w:val="1"/>
    <w:link w:val="391"/>
    <w:qFormat/>
    <w:uiPriority w:val="0"/>
    <w:pPr>
      <w:keepNext w:val="0"/>
      <w:keepLines w:val="0"/>
      <w:adjustRightInd w:val="0"/>
      <w:spacing w:before="0" w:after="0" w:line="440" w:lineRule="exact"/>
      <w:ind w:firstLine="200" w:firstLineChars="200"/>
      <w:outlineLvl w:val="9"/>
    </w:pPr>
    <w:rPr>
      <w:rFonts w:ascii="宋体" w:hAnsi="宋体" w:cstheme="minorBidi"/>
      <w:b w:val="0"/>
      <w:bCs w:val="0"/>
      <w:spacing w:val="8"/>
      <w:kern w:val="2"/>
      <w:sz w:val="24"/>
      <w:szCs w:val="22"/>
    </w:rPr>
  </w:style>
  <w:style w:type="paragraph" w:customStyle="1" w:styleId="393">
    <w:name w:val="xl36"/>
    <w:basedOn w:val="2"/>
    <w:next w:val="1"/>
    <w:qFormat/>
    <w:uiPriority w:val="99"/>
    <w:pPr>
      <w:keepNext w:val="0"/>
      <w:keepLines w:val="0"/>
      <w:widowControl/>
      <w:pBdr>
        <w:bottom w:val="single" w:color="auto" w:sz="4" w:space="0"/>
        <w:right w:val="single" w:color="auto" w:sz="4" w:space="0"/>
      </w:pBdr>
      <w:spacing w:before="100" w:beforeAutospacing="1" w:after="100" w:afterAutospacing="1" w:line="500" w:lineRule="atLeast"/>
      <w:ind w:firstLine="425" w:firstLineChars="177"/>
      <w:outlineLvl w:val="9"/>
    </w:pPr>
    <w:rPr>
      <w:rFonts w:ascii="楷体_GB2312" w:hAnsi="Arial Unicode MS" w:eastAsia="楷体_GB2312"/>
      <w:b w:val="0"/>
      <w:bCs w:val="0"/>
      <w:kern w:val="0"/>
      <w:sz w:val="24"/>
      <w:szCs w:val="24"/>
    </w:rPr>
  </w:style>
  <w:style w:type="character" w:customStyle="1" w:styleId="394">
    <w:name w:val="正文(首行缩进)宋旭峰 Char Char"/>
    <w:link w:val="395"/>
    <w:qFormat/>
    <w:locked/>
    <w:uiPriority w:val="0"/>
    <w:rPr>
      <w:snapToGrid w:val="0"/>
      <w:sz w:val="24"/>
      <w:szCs w:val="24"/>
    </w:rPr>
  </w:style>
  <w:style w:type="paragraph" w:customStyle="1" w:styleId="395">
    <w:name w:val="正文(首行缩进)宋旭峰"/>
    <w:basedOn w:val="13"/>
    <w:next w:val="1"/>
    <w:link w:val="394"/>
    <w:qFormat/>
    <w:uiPriority w:val="0"/>
    <w:pPr>
      <w:adjustRightInd/>
      <w:spacing w:line="360" w:lineRule="auto"/>
      <w:ind w:firstLine="480" w:firstLineChars="177"/>
      <w:contextualSpacing/>
    </w:pPr>
    <w:rPr>
      <w:rFonts w:asciiTheme="minorHAnsi" w:eastAsiaTheme="minorEastAsia"/>
      <w:snapToGrid w:val="0"/>
      <w:sz w:val="24"/>
    </w:rPr>
  </w:style>
  <w:style w:type="paragraph" w:customStyle="1" w:styleId="396">
    <w:name w:val="标准"/>
    <w:basedOn w:val="2"/>
    <w:next w:val="1"/>
    <w:qFormat/>
    <w:uiPriority w:val="99"/>
    <w:pPr>
      <w:keepLines w:val="0"/>
      <w:adjustRightInd w:val="0"/>
      <w:snapToGrid w:val="0"/>
      <w:spacing w:before="0" w:after="0" w:line="312" w:lineRule="atLeast"/>
      <w:ind w:firstLine="590" w:firstLineChars="177"/>
      <w:outlineLvl w:val="9"/>
    </w:pPr>
    <w:rPr>
      <w:b w:val="0"/>
      <w:bCs w:val="0"/>
      <w:kern w:val="0"/>
      <w:sz w:val="28"/>
      <w:szCs w:val="20"/>
    </w:rPr>
  </w:style>
  <w:style w:type="paragraph" w:customStyle="1" w:styleId="397">
    <w:name w:val="样式 正文文本缩进 + 行距: 固定值 24 磅"/>
    <w:basedOn w:val="21"/>
    <w:next w:val="1"/>
    <w:qFormat/>
    <w:uiPriority w:val="99"/>
    <w:pPr>
      <w:adjustRightInd w:val="0"/>
      <w:snapToGrid w:val="0"/>
      <w:ind w:firstLine="560"/>
    </w:pPr>
    <w:rPr>
      <w:rFonts w:ascii="宋体" w:cs="宋体"/>
    </w:rPr>
  </w:style>
  <w:style w:type="paragraph" w:customStyle="1" w:styleId="398">
    <w:name w:val="表后空行"/>
    <w:basedOn w:val="2"/>
    <w:next w:val="1"/>
    <w:qFormat/>
    <w:uiPriority w:val="99"/>
    <w:pPr>
      <w:keepNext w:val="0"/>
      <w:keepLines w:val="0"/>
      <w:overflowPunct w:val="0"/>
      <w:adjustRightInd w:val="0"/>
      <w:spacing w:before="0" w:after="0" w:line="500" w:lineRule="atLeast"/>
      <w:ind w:firstLine="425" w:firstLineChars="177"/>
      <w:outlineLvl w:val="9"/>
    </w:pPr>
    <w:rPr>
      <w:b w:val="0"/>
      <w:bCs w:val="0"/>
      <w:color w:val="000000"/>
      <w:kern w:val="28"/>
      <w:sz w:val="10"/>
      <w:szCs w:val="20"/>
    </w:rPr>
  </w:style>
  <w:style w:type="paragraph" w:customStyle="1" w:styleId="399">
    <w:name w:val="xl37"/>
    <w:basedOn w:val="2"/>
    <w:next w:val="1"/>
    <w:qFormat/>
    <w:uiPriority w:val="99"/>
    <w:pPr>
      <w:keepNext w:val="0"/>
      <w:keepLines w:val="0"/>
      <w:widowControl/>
      <w:pBdr>
        <w:bottom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character" w:customStyle="1" w:styleId="400">
    <w:name w:val="正文样式10 Char"/>
    <w:link w:val="401"/>
    <w:qFormat/>
    <w:locked/>
    <w:uiPriority w:val="0"/>
    <w:rPr>
      <w:rFonts w:ascii="宋体" w:hAnsi="宋体" w:eastAsia="宋体" w:cs="Arial"/>
      <w:bCs/>
      <w:color w:val="FF00FF"/>
      <w:sz w:val="24"/>
      <w:lang w:val="zh-CN"/>
    </w:rPr>
  </w:style>
  <w:style w:type="paragraph" w:customStyle="1" w:styleId="401">
    <w:name w:val="正文样式10"/>
    <w:basedOn w:val="2"/>
    <w:next w:val="1"/>
    <w:link w:val="400"/>
    <w:qFormat/>
    <w:uiPriority w:val="0"/>
    <w:pPr>
      <w:keepNext w:val="0"/>
      <w:keepLines w:val="0"/>
      <w:spacing w:before="0" w:after="0" w:line="500" w:lineRule="exact"/>
      <w:ind w:firstLine="480" w:firstLineChars="200"/>
      <w:outlineLvl w:val="9"/>
    </w:pPr>
    <w:rPr>
      <w:rFonts w:ascii="宋体" w:hAnsi="宋体" w:cs="Arial"/>
      <w:b w:val="0"/>
      <w:color w:val="FF00FF"/>
      <w:kern w:val="2"/>
      <w:sz w:val="24"/>
      <w:szCs w:val="22"/>
      <w:lang w:val="zh-CN"/>
    </w:rPr>
  </w:style>
  <w:style w:type="paragraph" w:customStyle="1" w:styleId="402">
    <w:name w:val="15"/>
    <w:basedOn w:val="2"/>
    <w:next w:val="1"/>
    <w:qFormat/>
    <w:uiPriority w:val="99"/>
    <w:pPr>
      <w:keepNext w:val="0"/>
      <w:keepLines w:val="0"/>
      <w:widowControl/>
      <w:snapToGrid w:val="0"/>
      <w:spacing w:before="100" w:beforeAutospacing="1" w:after="100" w:afterAutospacing="1" w:line="500" w:lineRule="atLeast"/>
      <w:ind w:firstLine="425" w:firstLineChars="177"/>
      <w:jc w:val="left"/>
      <w:outlineLvl w:val="9"/>
    </w:pPr>
    <w:rPr>
      <w:b w:val="0"/>
      <w:bCs w:val="0"/>
      <w:kern w:val="0"/>
      <w:sz w:val="20"/>
      <w:szCs w:val="20"/>
    </w:rPr>
  </w:style>
  <w:style w:type="paragraph" w:customStyle="1" w:styleId="403">
    <w:name w:val="标准正文"/>
    <w:basedOn w:val="2"/>
    <w:next w:val="1"/>
    <w:qFormat/>
    <w:uiPriority w:val="99"/>
    <w:pPr>
      <w:keepNext w:val="0"/>
      <w:keepLines w:val="0"/>
      <w:spacing w:before="0" w:after="0" w:line="400" w:lineRule="exact"/>
      <w:ind w:firstLine="480" w:firstLineChars="177"/>
      <w:outlineLvl w:val="9"/>
    </w:pPr>
    <w:rPr>
      <w:b w:val="0"/>
      <w:bCs w:val="0"/>
      <w:kern w:val="2"/>
      <w:sz w:val="24"/>
      <w:szCs w:val="20"/>
    </w:rPr>
  </w:style>
  <w:style w:type="paragraph" w:customStyle="1" w:styleId="404">
    <w:name w:val="Char Char1 Char Char Char Char Char Char Char Char Char Char Char Char Char Char Char Char Char Char Char Char1 Char"/>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405">
    <w:name w:val="样式 表格文字 + 首行缩进:  2 字符"/>
    <w:basedOn w:val="206"/>
    <w:next w:val="1"/>
    <w:qFormat/>
    <w:uiPriority w:val="99"/>
    <w:pPr>
      <w:adjustRightInd w:val="0"/>
      <w:snapToGrid w:val="0"/>
    </w:pPr>
    <w:rPr>
      <w:rFonts w:hAnsi="MS Shell Dlg"/>
      <w:kern w:val="0"/>
      <w:szCs w:val="20"/>
    </w:rPr>
  </w:style>
  <w:style w:type="paragraph" w:customStyle="1" w:styleId="406">
    <w:name w:val="xl29"/>
    <w:basedOn w:val="2"/>
    <w:next w:val="1"/>
    <w:qFormat/>
    <w:uiPriority w:val="99"/>
    <w:pPr>
      <w:keepNext w:val="0"/>
      <w:keepLines w:val="0"/>
      <w:widowControl/>
      <w:pBdr>
        <w:left w:val="single" w:color="auto" w:sz="4" w:space="0"/>
        <w:bottom w:val="single" w:color="auto" w:sz="4" w:space="0"/>
      </w:pBdr>
      <w:spacing w:before="100" w:beforeAutospacing="1" w:after="100" w:afterAutospacing="1" w:line="500" w:lineRule="atLeast"/>
      <w:ind w:firstLine="425" w:firstLineChars="177"/>
      <w:jc w:val="center"/>
      <w:outlineLvl w:val="9"/>
    </w:pPr>
    <w:rPr>
      <w:rFonts w:ascii="宋体" w:hAnsi="宋体"/>
      <w:b w:val="0"/>
      <w:bCs w:val="0"/>
      <w:kern w:val="0"/>
      <w:sz w:val="24"/>
      <w:szCs w:val="24"/>
    </w:rPr>
  </w:style>
  <w:style w:type="paragraph" w:customStyle="1" w:styleId="407">
    <w:name w:val="xl22"/>
    <w:basedOn w:val="2"/>
    <w:next w:val="1"/>
    <w:qFormat/>
    <w:uiPriority w:val="99"/>
    <w:pPr>
      <w:keepNext w:val="0"/>
      <w:keepLines w:val="0"/>
      <w:widowControl/>
      <w:pBdr>
        <w:top w:val="single" w:color="auto" w:sz="4" w:space="0"/>
        <w:left w:val="single" w:color="auto" w:sz="4" w:space="0"/>
        <w:bottom w:val="single" w:color="auto" w:sz="4" w:space="0"/>
        <w:right w:val="single" w:color="auto" w:sz="4" w:space="0"/>
      </w:pBdr>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408">
    <w:name w:val="xl55"/>
    <w:basedOn w:val="2"/>
    <w:next w:val="1"/>
    <w:qFormat/>
    <w:uiPriority w:val="99"/>
    <w:pPr>
      <w:keepNext w:val="0"/>
      <w:keepLines w:val="0"/>
      <w:widowControl/>
      <w:pBdr>
        <w:left w:val="single" w:color="auto" w:sz="12" w:space="0"/>
        <w:bottom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409">
    <w:name w:val="xl53"/>
    <w:basedOn w:val="2"/>
    <w:next w:val="1"/>
    <w:qFormat/>
    <w:uiPriority w:val="99"/>
    <w:pPr>
      <w:keepNext w:val="0"/>
      <w:keepLines w:val="0"/>
      <w:widowControl/>
      <w:pBdr>
        <w:left w:val="single" w:color="auto" w:sz="8" w:space="0"/>
        <w:bottom w:val="single" w:color="auto" w:sz="8" w:space="0"/>
        <w:right w:val="single" w:color="auto" w:sz="12"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410">
    <w:name w:val="正文段落"/>
    <w:next w:val="1"/>
    <w:qFormat/>
    <w:uiPriority w:val="99"/>
    <w:pPr>
      <w:spacing w:beforeLines="50"/>
      <w:ind w:firstLine="505" w:firstLineChars="200"/>
    </w:pPr>
    <w:rPr>
      <w:rFonts w:ascii="Times New Roman" w:hAnsi="Times New Roman" w:eastAsia="宋体" w:cs="Times New Roman"/>
      <w:kern w:val="2"/>
      <w:sz w:val="24"/>
      <w:lang w:val="en-US" w:eastAsia="zh-CN" w:bidi="ar-SA"/>
    </w:rPr>
  </w:style>
  <w:style w:type="paragraph" w:customStyle="1" w:styleId="411">
    <w:name w:val="textstyle1"/>
    <w:basedOn w:val="2"/>
    <w:next w:val="1"/>
    <w:qFormat/>
    <w:uiPriority w:val="99"/>
    <w:pPr>
      <w:keepNext w:val="0"/>
      <w:keepLines w:val="0"/>
      <w:widowControl/>
      <w:numPr>
        <w:ilvl w:val="0"/>
        <w:numId w:val="5"/>
      </w:numPr>
      <w:overflowPunct w:val="0"/>
      <w:autoSpaceDE w:val="0"/>
      <w:autoSpaceDN w:val="0"/>
      <w:adjustRightInd w:val="0"/>
      <w:spacing w:before="120" w:after="0" w:line="500" w:lineRule="atLeast"/>
      <w:ind w:left="288" w:firstLine="432" w:firstLineChars="177"/>
      <w:outlineLvl w:val="9"/>
    </w:pPr>
    <w:rPr>
      <w:rFonts w:ascii="楷体" w:eastAsia="楷体"/>
      <w:b w:val="0"/>
      <w:bCs w:val="0"/>
      <w:kern w:val="0"/>
      <w:sz w:val="24"/>
      <w:szCs w:val="20"/>
    </w:rPr>
  </w:style>
  <w:style w:type="paragraph" w:customStyle="1" w:styleId="412">
    <w:name w:val="正文文本 31"/>
    <w:basedOn w:val="2"/>
    <w:next w:val="1"/>
    <w:qFormat/>
    <w:uiPriority w:val="99"/>
    <w:pPr>
      <w:keepNext w:val="0"/>
      <w:keepLines w:val="0"/>
      <w:adjustRightInd w:val="0"/>
      <w:spacing w:before="0" w:after="0" w:line="360" w:lineRule="atLeast"/>
      <w:ind w:firstLine="425" w:firstLineChars="177"/>
      <w:jc w:val="center"/>
      <w:outlineLvl w:val="9"/>
    </w:pPr>
    <w:rPr>
      <w:rFonts w:ascii="仿宋体" w:hAnsi="宋体" w:eastAsia="仿宋体"/>
      <w:b w:val="0"/>
      <w:bCs w:val="0"/>
      <w:kern w:val="0"/>
      <w:sz w:val="24"/>
      <w:szCs w:val="20"/>
    </w:rPr>
  </w:style>
  <w:style w:type="paragraph" w:customStyle="1" w:styleId="413">
    <w:name w:val="样式 Char"/>
    <w:basedOn w:val="2"/>
    <w:next w:val="1"/>
    <w:qFormat/>
    <w:uiPriority w:val="99"/>
    <w:pPr>
      <w:keepNext w:val="0"/>
      <w:keepLines w:val="0"/>
      <w:spacing w:before="0" w:after="0" w:line="500" w:lineRule="atLeast"/>
      <w:ind w:firstLine="425" w:firstLineChars="177"/>
      <w:outlineLvl w:val="9"/>
    </w:pPr>
    <w:rPr>
      <w:b w:val="0"/>
      <w:bCs w:val="0"/>
      <w:kern w:val="2"/>
      <w:sz w:val="24"/>
      <w:szCs w:val="21"/>
    </w:rPr>
  </w:style>
  <w:style w:type="paragraph" w:customStyle="1" w:styleId="414">
    <w:name w:val="xl52"/>
    <w:basedOn w:val="2"/>
    <w:next w:val="1"/>
    <w:qFormat/>
    <w:uiPriority w:val="99"/>
    <w:pPr>
      <w:keepNext w:val="0"/>
      <w:keepLines w:val="0"/>
      <w:widowControl/>
      <w:pBdr>
        <w:top w:val="single" w:color="auto" w:sz="12" w:space="0"/>
        <w:left w:val="single" w:color="auto" w:sz="8" w:space="0"/>
        <w:right w:val="single" w:color="auto" w:sz="12"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415">
    <w:name w:val="表格1"/>
    <w:basedOn w:val="2"/>
    <w:next w:val="1"/>
    <w:qFormat/>
    <w:uiPriority w:val="99"/>
    <w:pPr>
      <w:keepNext w:val="0"/>
      <w:keepLines w:val="0"/>
      <w:adjustRightInd w:val="0"/>
      <w:spacing w:before="0" w:after="120" w:line="20" w:lineRule="atLeast"/>
      <w:ind w:firstLine="425" w:firstLineChars="177"/>
      <w:jc w:val="center"/>
      <w:outlineLvl w:val="9"/>
    </w:pPr>
    <w:rPr>
      <w:rFonts w:ascii="仿宋体"/>
      <w:b w:val="0"/>
      <w:bCs w:val="0"/>
      <w:color w:val="000000"/>
      <w:kern w:val="0"/>
      <w:sz w:val="24"/>
      <w:szCs w:val="20"/>
    </w:rPr>
  </w:style>
  <w:style w:type="paragraph" w:customStyle="1" w:styleId="416">
    <w:name w:val="xl47"/>
    <w:basedOn w:val="2"/>
    <w:next w:val="1"/>
    <w:qFormat/>
    <w:uiPriority w:val="99"/>
    <w:pPr>
      <w:keepNext w:val="0"/>
      <w:keepLines w:val="0"/>
      <w:widowControl/>
      <w:pBdr>
        <w:top w:val="single" w:color="auto" w:sz="8" w:space="0"/>
        <w:left w:val="single" w:color="auto" w:sz="12"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417">
    <w:name w:val="列出段落1"/>
    <w:basedOn w:val="2"/>
    <w:next w:val="1"/>
    <w:qFormat/>
    <w:uiPriority w:val="99"/>
    <w:pPr>
      <w:keepNext w:val="0"/>
      <w:keepLines w:val="0"/>
      <w:widowControl/>
      <w:spacing w:before="0" w:after="0" w:line="500" w:lineRule="atLeast"/>
      <w:ind w:firstLine="420" w:firstLineChars="200"/>
      <w:jc w:val="left"/>
      <w:outlineLvl w:val="9"/>
    </w:pPr>
    <w:rPr>
      <w:b w:val="0"/>
      <w:bCs w:val="0"/>
      <w:kern w:val="0"/>
      <w:sz w:val="24"/>
      <w:szCs w:val="24"/>
    </w:rPr>
  </w:style>
  <w:style w:type="paragraph" w:customStyle="1" w:styleId="418">
    <w:name w:val="xl33"/>
    <w:basedOn w:val="2"/>
    <w:next w:val="1"/>
    <w:qFormat/>
    <w:uiPriority w:val="99"/>
    <w:pPr>
      <w:keepNext w:val="0"/>
      <w:keepLines w:val="0"/>
      <w:widowControl/>
      <w:pBdr>
        <w:left w:val="single" w:color="auto" w:sz="12"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419">
    <w:name w:val="样式 标题 1 + 自动设置"/>
    <w:basedOn w:val="2"/>
    <w:next w:val="1"/>
    <w:qFormat/>
    <w:uiPriority w:val="99"/>
    <w:pPr>
      <w:tabs>
        <w:tab w:val="left" w:pos="432"/>
        <w:tab w:val="left" w:pos="700"/>
        <w:tab w:val="left" w:pos="1860"/>
      </w:tabs>
      <w:autoSpaceDE w:val="0"/>
      <w:autoSpaceDN w:val="0"/>
      <w:adjustRightInd w:val="0"/>
      <w:spacing w:before="0" w:after="0" w:line="240" w:lineRule="auto"/>
      <w:ind w:left="1860" w:hanging="1290" w:firstLineChars="177"/>
      <w:jc w:val="left"/>
    </w:pPr>
    <w:rPr>
      <w:sz w:val="28"/>
      <w:szCs w:val="20"/>
    </w:rPr>
  </w:style>
  <w:style w:type="paragraph" w:customStyle="1" w:styleId="420">
    <w:name w:val="页脚1"/>
    <w:basedOn w:val="145"/>
    <w:next w:val="1"/>
    <w:qFormat/>
    <w:uiPriority w:val="99"/>
    <w:pPr>
      <w:tabs>
        <w:tab w:val="center" w:pos="4153"/>
        <w:tab w:val="right" w:pos="8306"/>
      </w:tabs>
      <w:spacing w:line="240" w:lineRule="atLeast"/>
    </w:pPr>
    <w:rPr>
      <w:rFonts w:hAnsi="Calibri"/>
      <w:sz w:val="18"/>
      <w:szCs w:val="20"/>
    </w:rPr>
  </w:style>
  <w:style w:type="paragraph" w:customStyle="1" w:styleId="421">
    <w:name w:val="样式 样式 首行缩进:  2 字符 + 首行缩进:  2 字符"/>
    <w:basedOn w:val="2"/>
    <w:next w:val="1"/>
    <w:qFormat/>
    <w:uiPriority w:val="99"/>
    <w:pPr>
      <w:keepNext w:val="0"/>
      <w:keepLines w:val="0"/>
      <w:spacing w:before="0" w:after="0" w:line="500" w:lineRule="atLeast"/>
      <w:ind w:firstLine="587" w:firstLineChars="200"/>
      <w:outlineLvl w:val="9"/>
    </w:pPr>
    <w:rPr>
      <w:rFonts w:ascii="宋体"/>
      <w:b w:val="0"/>
      <w:bCs w:val="0"/>
      <w:kern w:val="2"/>
      <w:sz w:val="27"/>
      <w:szCs w:val="27"/>
    </w:rPr>
  </w:style>
  <w:style w:type="paragraph" w:customStyle="1" w:styleId="422">
    <w:name w:val="xl44"/>
    <w:basedOn w:val="2"/>
    <w:next w:val="1"/>
    <w:qFormat/>
    <w:uiPriority w:val="99"/>
    <w:pPr>
      <w:keepNext w:val="0"/>
      <w:keepLines w:val="0"/>
      <w:widowControl/>
      <w:pBdr>
        <w:left w:val="single" w:color="auto" w:sz="8" w:space="0"/>
        <w:bottom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423">
    <w:name w:val="正文王"/>
    <w:basedOn w:val="25"/>
    <w:next w:val="1"/>
    <w:qFormat/>
    <w:uiPriority w:val="99"/>
    <w:pPr>
      <w:spacing w:line="440" w:lineRule="exact"/>
      <w:ind w:firstLine="425" w:firstLineChars="177"/>
    </w:pPr>
    <w:rPr>
      <w:rFonts w:ascii="Arial" w:hAnsi="Arial" w:cs="Times New Roman"/>
      <w:kern w:val="0"/>
      <w:sz w:val="24"/>
      <w:szCs w:val="24"/>
    </w:rPr>
  </w:style>
  <w:style w:type="paragraph" w:customStyle="1" w:styleId="424">
    <w:name w:val="表文左对齐"/>
    <w:basedOn w:val="306"/>
    <w:next w:val="1"/>
    <w:qFormat/>
    <w:uiPriority w:val="99"/>
    <w:pPr>
      <w:spacing w:line="320" w:lineRule="exact"/>
      <w:ind w:firstLine="420"/>
      <w:jc w:val="left"/>
    </w:pPr>
    <w:rPr>
      <w:color w:val="000000"/>
      <w:szCs w:val="20"/>
    </w:rPr>
  </w:style>
  <w:style w:type="paragraph" w:customStyle="1" w:styleId="425">
    <w:name w:val="默认段落字体 Para Char"/>
    <w:basedOn w:val="2"/>
    <w:next w:val="1"/>
    <w:qFormat/>
    <w:uiPriority w:val="99"/>
    <w:pPr>
      <w:keepNext w:val="0"/>
      <w:keepLines w:val="0"/>
      <w:spacing w:before="0" w:after="0" w:line="500" w:lineRule="atLeast"/>
      <w:ind w:firstLine="425" w:firstLineChars="177"/>
      <w:outlineLvl w:val="9"/>
    </w:pPr>
    <w:rPr>
      <w:rFonts w:ascii="宋体"/>
      <w:b w:val="0"/>
      <w:bCs w:val="0"/>
      <w:kern w:val="2"/>
      <w:sz w:val="28"/>
      <w:szCs w:val="24"/>
    </w:rPr>
  </w:style>
  <w:style w:type="paragraph" w:customStyle="1" w:styleId="426">
    <w:name w:val="xl30"/>
    <w:basedOn w:val="2"/>
    <w:next w:val="1"/>
    <w:qFormat/>
    <w:uiPriority w:val="99"/>
    <w:pPr>
      <w:keepNext w:val="0"/>
      <w:keepLines w:val="0"/>
      <w:widowControl/>
      <w:pBdr>
        <w:left w:val="single" w:color="auto" w:sz="8" w:space="0"/>
        <w:bottom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b w:val="0"/>
      <w:bCs w:val="0"/>
      <w:kern w:val="0"/>
      <w:sz w:val="24"/>
      <w:szCs w:val="21"/>
    </w:rPr>
  </w:style>
  <w:style w:type="paragraph" w:customStyle="1" w:styleId="427">
    <w:name w:val="段落"/>
    <w:basedOn w:val="2"/>
    <w:next w:val="1"/>
    <w:qFormat/>
    <w:uiPriority w:val="99"/>
    <w:pPr>
      <w:keepNext w:val="0"/>
      <w:keepLines w:val="0"/>
      <w:adjustRightInd w:val="0"/>
      <w:snapToGrid w:val="0"/>
      <w:spacing w:before="0" w:after="0" w:line="280" w:lineRule="exact"/>
      <w:ind w:firstLine="425" w:firstLineChars="177"/>
      <w:outlineLvl w:val="9"/>
    </w:pPr>
    <w:rPr>
      <w:b w:val="0"/>
      <w:bCs w:val="0"/>
      <w:kern w:val="0"/>
      <w:sz w:val="18"/>
      <w:szCs w:val="20"/>
    </w:rPr>
  </w:style>
  <w:style w:type="paragraph" w:customStyle="1" w:styleId="428">
    <w:name w:val="样式 样式1 + 两端对齐 左侧:  0 厘米 首行缩进:  0 厘米"/>
    <w:basedOn w:val="2"/>
    <w:next w:val="1"/>
    <w:qFormat/>
    <w:uiPriority w:val="99"/>
    <w:pPr>
      <w:pageBreakBefore/>
      <w:spacing w:before="240" w:after="120" w:line="500" w:lineRule="atLeast"/>
      <w:ind w:firstLine="425" w:firstLineChars="177"/>
      <w:jc w:val="center"/>
    </w:pPr>
    <w:rPr>
      <w:rFonts w:eastAsia="黑体" w:cs="宋体"/>
      <w:b w:val="0"/>
      <w:bCs w:val="0"/>
      <w:kern w:val="2"/>
      <w:sz w:val="36"/>
      <w:szCs w:val="24"/>
    </w:rPr>
  </w:style>
  <w:style w:type="character" w:customStyle="1" w:styleId="429">
    <w:name w:val="正文样式1 Char"/>
    <w:link w:val="430"/>
    <w:qFormat/>
    <w:locked/>
    <w:uiPriority w:val="0"/>
    <w:rPr>
      <w:rFonts w:ascii="宋体" w:hAnsi="宋体" w:eastAsia="宋体"/>
      <w:sz w:val="24"/>
    </w:rPr>
  </w:style>
  <w:style w:type="paragraph" w:customStyle="1" w:styleId="430">
    <w:name w:val="正文样式1"/>
    <w:basedOn w:val="2"/>
    <w:next w:val="1"/>
    <w:link w:val="429"/>
    <w:qFormat/>
    <w:uiPriority w:val="0"/>
    <w:pPr>
      <w:keepNext w:val="0"/>
      <w:keepLines w:val="0"/>
      <w:adjustRightInd w:val="0"/>
      <w:spacing w:before="0" w:after="0" w:line="288" w:lineRule="auto"/>
      <w:ind w:firstLine="360" w:firstLineChars="150"/>
      <w:outlineLvl w:val="9"/>
    </w:pPr>
    <w:rPr>
      <w:rFonts w:ascii="宋体" w:hAnsi="宋体" w:cstheme="minorBidi"/>
      <w:b w:val="0"/>
      <w:bCs w:val="0"/>
      <w:kern w:val="2"/>
      <w:sz w:val="24"/>
      <w:szCs w:val="22"/>
    </w:rPr>
  </w:style>
  <w:style w:type="paragraph" w:customStyle="1" w:styleId="431">
    <w:name w:val="8"/>
    <w:basedOn w:val="2"/>
    <w:next w:val="21"/>
    <w:qFormat/>
    <w:uiPriority w:val="99"/>
    <w:pPr>
      <w:keepNext w:val="0"/>
      <w:keepLines w:val="0"/>
      <w:spacing w:before="0" w:after="0" w:line="400" w:lineRule="exact"/>
      <w:ind w:firstLine="516" w:firstLineChars="215"/>
      <w:outlineLvl w:val="9"/>
    </w:pPr>
    <w:rPr>
      <w:b w:val="0"/>
      <w:bCs w:val="0"/>
      <w:kern w:val="2"/>
      <w:sz w:val="24"/>
      <w:szCs w:val="24"/>
    </w:rPr>
  </w:style>
  <w:style w:type="character" w:customStyle="1" w:styleId="432">
    <w:name w:val="cucd-1 Char"/>
    <w:link w:val="433"/>
    <w:qFormat/>
    <w:locked/>
    <w:uiPriority w:val="0"/>
    <w:rPr>
      <w:rFonts w:ascii="黑体" w:hAnsi="黑体" w:eastAsia="黑体"/>
      <w:b/>
      <w:sz w:val="36"/>
      <w:szCs w:val="24"/>
    </w:rPr>
  </w:style>
  <w:style w:type="paragraph" w:customStyle="1" w:styleId="433">
    <w:name w:val="cucd-1"/>
    <w:next w:val="346"/>
    <w:link w:val="432"/>
    <w:qFormat/>
    <w:uiPriority w:val="0"/>
    <w:pPr>
      <w:pageBreakBefore/>
      <w:tabs>
        <w:tab w:val="left" w:pos="432"/>
      </w:tabs>
      <w:spacing w:beforeLines="100" w:line="360" w:lineRule="auto"/>
      <w:ind w:left="432" w:hanging="432"/>
      <w:jc w:val="center"/>
      <w:outlineLvl w:val="0"/>
    </w:pPr>
    <w:rPr>
      <w:rFonts w:ascii="黑体" w:hAnsi="黑体" w:eastAsia="黑体" w:cstheme="minorBidi"/>
      <w:b/>
      <w:kern w:val="2"/>
      <w:sz w:val="36"/>
      <w:szCs w:val="24"/>
      <w:lang w:val="en-US" w:eastAsia="zh-CN" w:bidi="ar-SA"/>
    </w:rPr>
  </w:style>
  <w:style w:type="paragraph" w:customStyle="1" w:styleId="434">
    <w:name w:val="Char Char Char Char Char Char1 Char Char Char Char"/>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435">
    <w:name w:val="表内"/>
    <w:basedOn w:val="2"/>
    <w:next w:val="1"/>
    <w:qFormat/>
    <w:uiPriority w:val="99"/>
    <w:pPr>
      <w:keepNext w:val="0"/>
      <w:keepLines w:val="0"/>
      <w:adjustRightInd w:val="0"/>
      <w:spacing w:before="0" w:after="0" w:line="500" w:lineRule="atLeast"/>
      <w:ind w:left="-78" w:leftChars="-38" w:hanging="2" w:hangingChars="1"/>
      <w:jc w:val="center"/>
      <w:outlineLvl w:val="9"/>
    </w:pPr>
    <w:rPr>
      <w:rFonts w:ascii="宋体" w:hAnsi="宋体"/>
      <w:b w:val="0"/>
      <w:bCs w:val="0"/>
      <w:color w:val="FF0000"/>
      <w:kern w:val="2"/>
      <w:sz w:val="24"/>
      <w:szCs w:val="20"/>
    </w:rPr>
  </w:style>
  <w:style w:type="paragraph" w:customStyle="1" w:styleId="436">
    <w:name w:val="a9cxsplast"/>
    <w:basedOn w:val="2"/>
    <w:next w:val="1"/>
    <w:qFormat/>
    <w:uiPriority w:val="99"/>
    <w:pPr>
      <w:keepNext w:val="0"/>
      <w:keepLines w:val="0"/>
      <w:widowControl/>
      <w:snapToGrid w:val="0"/>
      <w:spacing w:before="0" w:after="120" w:line="360" w:lineRule="auto"/>
      <w:ind w:firstLine="480" w:firstLineChars="177"/>
      <w:outlineLvl w:val="9"/>
    </w:pPr>
    <w:rPr>
      <w:b w:val="0"/>
      <w:bCs w:val="0"/>
      <w:kern w:val="0"/>
      <w:sz w:val="24"/>
      <w:szCs w:val="24"/>
    </w:rPr>
  </w:style>
  <w:style w:type="paragraph" w:customStyle="1" w:styleId="437">
    <w:name w:val="Char2 Char Char Char Char Char Char"/>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438">
    <w:name w:val="y表格"/>
    <w:basedOn w:val="18"/>
    <w:next w:val="1"/>
    <w:qFormat/>
    <w:uiPriority w:val="99"/>
    <w:pPr>
      <w:widowControl/>
      <w:adjustRightInd w:val="0"/>
      <w:snapToGrid w:val="0"/>
      <w:spacing w:after="0"/>
      <w:ind w:firstLine="425" w:firstLineChars="177"/>
      <w:jc w:val="center"/>
    </w:pPr>
    <w:rPr>
      <w:rFonts w:hint="eastAsia" w:ascii="宋体" w:hAnsi="宋体" w:cstheme="minorBidi"/>
      <w:sz w:val="24"/>
      <w:szCs w:val="20"/>
    </w:rPr>
  </w:style>
  <w:style w:type="paragraph" w:customStyle="1" w:styleId="439">
    <w:name w:val="表格文字（居中）"/>
    <w:basedOn w:val="2"/>
    <w:next w:val="1"/>
    <w:qFormat/>
    <w:uiPriority w:val="99"/>
    <w:pPr>
      <w:keepNext w:val="0"/>
      <w:keepLines w:val="0"/>
      <w:spacing w:before="0" w:after="0" w:line="500" w:lineRule="atLeast"/>
      <w:ind w:firstLine="425" w:firstLineChars="177"/>
      <w:jc w:val="center"/>
      <w:outlineLvl w:val="9"/>
    </w:pPr>
    <w:rPr>
      <w:b w:val="0"/>
      <w:bCs w:val="0"/>
      <w:kern w:val="2"/>
      <w:sz w:val="24"/>
      <w:szCs w:val="21"/>
    </w:rPr>
  </w:style>
  <w:style w:type="paragraph" w:customStyle="1" w:styleId="440">
    <w:name w:val="样式 标题 3头 + 行距: 多倍行距 0.25 字行"/>
    <w:basedOn w:val="4"/>
    <w:next w:val="1"/>
    <w:qFormat/>
    <w:uiPriority w:val="99"/>
    <w:pPr>
      <w:numPr>
        <w:ilvl w:val="0"/>
        <w:numId w:val="6"/>
      </w:numPr>
      <w:tabs>
        <w:tab w:val="left" w:pos="578"/>
        <w:tab w:val="clear" w:pos="360"/>
      </w:tabs>
      <w:spacing w:before="60" w:after="0" w:line="60" w:lineRule="auto"/>
      <w:ind w:left="578" w:hanging="578"/>
    </w:pPr>
    <w:rPr>
      <w:rFonts w:ascii="Times New Roman" w:hAnsi="Times New Roman" w:cs="黑体"/>
      <w:b/>
      <w:bCs/>
      <w:kern w:val="0"/>
      <w:sz w:val="28"/>
      <w:szCs w:val="28"/>
    </w:rPr>
  </w:style>
  <w:style w:type="paragraph" w:customStyle="1" w:styleId="441">
    <w:name w:val="Char Char Char Char Char Char Char Char1 Char Char Char Char Char Char Char"/>
    <w:basedOn w:val="2"/>
    <w:next w:val="1"/>
    <w:qFormat/>
    <w:uiPriority w:val="99"/>
    <w:pPr>
      <w:keepNext w:val="0"/>
      <w:keepLines w:val="0"/>
      <w:snapToGrid w:val="0"/>
      <w:spacing w:before="0" w:after="0" w:line="360" w:lineRule="auto"/>
      <w:ind w:firstLine="200" w:firstLineChars="200"/>
      <w:outlineLvl w:val="9"/>
    </w:pPr>
    <w:rPr>
      <w:rFonts w:eastAsia="仿宋_GB2312"/>
      <w:b w:val="0"/>
      <w:bCs w:val="0"/>
      <w:kern w:val="2"/>
      <w:sz w:val="24"/>
      <w:szCs w:val="24"/>
    </w:rPr>
  </w:style>
  <w:style w:type="paragraph" w:customStyle="1" w:styleId="442">
    <w:name w:val="a"/>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宋体" w:hAnsi="宋体" w:cs="宋体"/>
      <w:b w:val="0"/>
      <w:bCs w:val="0"/>
      <w:kern w:val="0"/>
      <w:sz w:val="24"/>
      <w:szCs w:val="24"/>
    </w:rPr>
  </w:style>
  <w:style w:type="paragraph" w:customStyle="1" w:styleId="443">
    <w:name w:val="xl51"/>
    <w:basedOn w:val="2"/>
    <w:next w:val="1"/>
    <w:qFormat/>
    <w:uiPriority w:val="99"/>
    <w:pPr>
      <w:keepNext w:val="0"/>
      <w:keepLines w:val="0"/>
      <w:widowControl/>
      <w:pBdr>
        <w:top w:val="single" w:color="auto" w:sz="12" w:space="0"/>
        <w:left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444">
    <w:name w:val="wtext"/>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Arial Unicode MS" w:hAnsi="Arial Unicode MS" w:eastAsia="Arial Unicode MS" w:cs="Arial Unicode MS"/>
      <w:b w:val="0"/>
      <w:bCs w:val="0"/>
      <w:kern w:val="0"/>
      <w:sz w:val="24"/>
      <w:szCs w:val="24"/>
    </w:rPr>
  </w:style>
  <w:style w:type="paragraph" w:customStyle="1" w:styleId="445">
    <w:name w:val="T表格"/>
    <w:basedOn w:val="218"/>
    <w:next w:val="218"/>
    <w:qFormat/>
    <w:uiPriority w:val="99"/>
    <w:rPr>
      <w:rFonts w:hAnsi="Calibri"/>
      <w:sz w:val="21"/>
      <w:szCs w:val="22"/>
    </w:rPr>
  </w:style>
  <w:style w:type="character" w:customStyle="1" w:styleId="446">
    <w:name w:val="cauc-0 Char1"/>
    <w:link w:val="447"/>
    <w:qFormat/>
    <w:locked/>
    <w:uiPriority w:val="0"/>
    <w:rPr>
      <w:sz w:val="24"/>
      <w:szCs w:val="24"/>
    </w:rPr>
  </w:style>
  <w:style w:type="paragraph" w:customStyle="1" w:styleId="447">
    <w:name w:val="cauc-0"/>
    <w:next w:val="1"/>
    <w:link w:val="446"/>
    <w:qFormat/>
    <w:uiPriority w:val="0"/>
    <w:pPr>
      <w:spacing w:line="360" w:lineRule="auto"/>
      <w:ind w:firstLine="480" w:firstLineChars="200"/>
    </w:pPr>
    <w:rPr>
      <w:rFonts w:asciiTheme="minorHAnsi" w:hAnsiTheme="minorHAnsi" w:eastAsiaTheme="minorEastAsia" w:cstheme="minorBidi"/>
      <w:kern w:val="2"/>
      <w:sz w:val="24"/>
      <w:szCs w:val="24"/>
      <w:lang w:val="en-US" w:eastAsia="zh-CN" w:bidi="ar-SA"/>
    </w:rPr>
  </w:style>
  <w:style w:type="paragraph" w:customStyle="1" w:styleId="448">
    <w:name w:val="保定正文"/>
    <w:basedOn w:val="2"/>
    <w:next w:val="1"/>
    <w:qFormat/>
    <w:uiPriority w:val="99"/>
    <w:pPr>
      <w:keepNext w:val="0"/>
      <w:keepLines w:val="0"/>
      <w:snapToGrid w:val="0"/>
      <w:spacing w:before="0" w:after="0" w:line="360" w:lineRule="auto"/>
      <w:ind w:firstLine="200" w:firstLineChars="200"/>
      <w:outlineLvl w:val="9"/>
    </w:pPr>
    <w:rPr>
      <w:rFonts w:cs="宋体"/>
      <w:b w:val="0"/>
      <w:bCs w:val="0"/>
      <w:kern w:val="0"/>
      <w:sz w:val="24"/>
      <w:szCs w:val="20"/>
    </w:rPr>
  </w:style>
  <w:style w:type="paragraph" w:customStyle="1" w:styleId="449">
    <w:name w:val="a2"/>
    <w:basedOn w:val="2"/>
    <w:next w:val="1"/>
    <w:qFormat/>
    <w:uiPriority w:val="99"/>
    <w:pPr>
      <w:keepNext w:val="0"/>
      <w:keepLines w:val="0"/>
      <w:widowControl/>
      <w:spacing w:before="120" w:after="0" w:line="360" w:lineRule="auto"/>
      <w:ind w:firstLine="425" w:firstLineChars="177"/>
      <w:jc w:val="center"/>
      <w:outlineLvl w:val="9"/>
    </w:pPr>
    <w:rPr>
      <w:rFonts w:ascii="黑体" w:eastAsia="黑体"/>
      <w:b w:val="0"/>
      <w:bCs w:val="0"/>
      <w:kern w:val="0"/>
      <w:sz w:val="24"/>
      <w:szCs w:val="21"/>
    </w:rPr>
  </w:style>
  <w:style w:type="paragraph" w:customStyle="1" w:styleId="450">
    <w:name w:val="样式 标题 3H3l3CT标题 3(节)h33rd levelHeading 3 - oldISO2sect1...1"/>
    <w:basedOn w:val="4"/>
    <w:next w:val="1"/>
    <w:qFormat/>
    <w:uiPriority w:val="99"/>
    <w:pPr>
      <w:tabs>
        <w:tab w:val="left" w:pos="720"/>
      </w:tabs>
      <w:adjustRightInd w:val="0"/>
      <w:spacing w:before="100" w:after="0" w:line="360" w:lineRule="auto"/>
      <w:jc w:val="left"/>
    </w:pPr>
    <w:rPr>
      <w:rFonts w:ascii="Times New Roman" w:hAnsi="Times New Roman"/>
      <w:kern w:val="0"/>
      <w:sz w:val="28"/>
      <w:szCs w:val="20"/>
    </w:rPr>
  </w:style>
  <w:style w:type="paragraph" w:customStyle="1" w:styleId="451">
    <w:name w:val="悬挂式正文"/>
    <w:basedOn w:val="2"/>
    <w:next w:val="1"/>
    <w:qFormat/>
    <w:uiPriority w:val="99"/>
    <w:pPr>
      <w:keepNext w:val="0"/>
      <w:keepLines w:val="0"/>
      <w:tabs>
        <w:tab w:val="center" w:pos="6804"/>
        <w:tab w:val="right" w:pos="7371"/>
      </w:tabs>
      <w:overflowPunct w:val="0"/>
      <w:adjustRightInd w:val="0"/>
      <w:spacing w:before="0" w:after="0" w:line="360" w:lineRule="auto"/>
      <w:ind w:left="1701" w:hanging="1134" w:firstLineChars="177"/>
      <w:outlineLvl w:val="9"/>
    </w:pPr>
    <w:rPr>
      <w:b w:val="0"/>
      <w:bCs w:val="0"/>
      <w:kern w:val="0"/>
      <w:sz w:val="28"/>
      <w:szCs w:val="20"/>
    </w:rPr>
  </w:style>
  <w:style w:type="paragraph" w:customStyle="1" w:styleId="452">
    <w:name w:val="表格名称"/>
    <w:basedOn w:val="2"/>
    <w:next w:val="1"/>
    <w:qFormat/>
    <w:uiPriority w:val="99"/>
    <w:pPr>
      <w:tabs>
        <w:tab w:val="left" w:pos="720"/>
      </w:tabs>
      <w:spacing w:beforeLines="20" w:after="0" w:line="440" w:lineRule="exact"/>
      <w:ind w:firstLine="480" w:firstLineChars="177"/>
      <w:outlineLvl w:val="9"/>
    </w:pPr>
    <w:rPr>
      <w:rFonts w:eastAsia="黑体"/>
      <w:b w:val="0"/>
      <w:bCs w:val="0"/>
      <w:kern w:val="2"/>
      <w:sz w:val="24"/>
      <w:szCs w:val="20"/>
    </w:rPr>
  </w:style>
  <w:style w:type="paragraph" w:customStyle="1" w:styleId="453">
    <w:name w:val="xl45"/>
    <w:basedOn w:val="2"/>
    <w:next w:val="1"/>
    <w:qFormat/>
    <w:uiPriority w:val="99"/>
    <w:pPr>
      <w:keepNext w:val="0"/>
      <w:keepLines w:val="0"/>
      <w:widowControl/>
      <w:pBdr>
        <w:top w:val="single" w:color="auto" w:sz="8" w:space="0"/>
        <w:left w:val="single" w:color="auto" w:sz="8" w:space="0"/>
        <w:right w:val="single" w:color="auto" w:sz="12"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454">
    <w:name w:val="样式 首行缩进:  0.77 厘米 行距: 固定值 20 磅"/>
    <w:basedOn w:val="2"/>
    <w:next w:val="1"/>
    <w:qFormat/>
    <w:uiPriority w:val="99"/>
    <w:pPr>
      <w:keepNext w:val="0"/>
      <w:keepLines w:val="0"/>
      <w:spacing w:before="0" w:after="0" w:line="360" w:lineRule="auto"/>
      <w:ind w:firstLine="435" w:firstLineChars="177"/>
      <w:outlineLvl w:val="9"/>
    </w:pPr>
    <w:rPr>
      <w:b w:val="0"/>
      <w:bCs w:val="0"/>
      <w:kern w:val="2"/>
      <w:sz w:val="24"/>
      <w:szCs w:val="20"/>
    </w:rPr>
  </w:style>
  <w:style w:type="character" w:customStyle="1" w:styleId="455">
    <w:name w:val="l_text Char"/>
    <w:link w:val="456"/>
    <w:qFormat/>
    <w:locked/>
    <w:uiPriority w:val="0"/>
    <w:rPr>
      <w:rFonts w:ascii="宋体" w:hAnsi="宋体" w:eastAsia="宋体"/>
      <w:sz w:val="28"/>
      <w:szCs w:val="28"/>
      <w:lang w:val="en-GB"/>
    </w:rPr>
  </w:style>
  <w:style w:type="paragraph" w:customStyle="1" w:styleId="456">
    <w:name w:val="l_text"/>
    <w:basedOn w:val="2"/>
    <w:next w:val="1"/>
    <w:link w:val="455"/>
    <w:qFormat/>
    <w:uiPriority w:val="0"/>
    <w:pPr>
      <w:keepNext w:val="0"/>
      <w:keepLines w:val="0"/>
      <w:widowControl/>
      <w:overflowPunct w:val="0"/>
      <w:autoSpaceDE w:val="0"/>
      <w:autoSpaceDN w:val="0"/>
      <w:adjustRightInd w:val="0"/>
      <w:spacing w:before="0" w:after="0" w:line="480" w:lineRule="exact"/>
      <w:ind w:firstLine="567" w:firstLineChars="177"/>
      <w:outlineLvl w:val="9"/>
    </w:pPr>
    <w:rPr>
      <w:rFonts w:ascii="宋体" w:hAnsi="宋体" w:cstheme="minorBidi"/>
      <w:b w:val="0"/>
      <w:bCs w:val="0"/>
      <w:kern w:val="2"/>
      <w:sz w:val="28"/>
      <w:szCs w:val="28"/>
      <w:lang w:val="en-GB"/>
    </w:rPr>
  </w:style>
  <w:style w:type="paragraph" w:customStyle="1" w:styleId="457">
    <w:name w:val="一级条标题"/>
    <w:basedOn w:val="2"/>
    <w:next w:val="1"/>
    <w:qFormat/>
    <w:uiPriority w:val="99"/>
    <w:pPr>
      <w:keepNext w:val="0"/>
      <w:keepLines w:val="0"/>
      <w:widowControl/>
      <w:tabs>
        <w:tab w:val="left" w:pos="360"/>
      </w:tabs>
      <w:spacing w:before="0" w:after="0" w:line="500" w:lineRule="atLeast"/>
      <w:ind w:left="360" w:hanging="360" w:hangingChars="200"/>
      <w:outlineLvl w:val="2"/>
    </w:pPr>
    <w:rPr>
      <w:rFonts w:ascii="黑体" w:eastAsia="黑体"/>
      <w:b w:val="0"/>
      <w:bCs w:val="0"/>
      <w:kern w:val="0"/>
      <w:sz w:val="24"/>
      <w:szCs w:val="20"/>
    </w:rPr>
  </w:style>
  <w:style w:type="paragraph" w:customStyle="1" w:styleId="458">
    <w:name w:val="7"/>
    <w:basedOn w:val="2"/>
    <w:next w:val="21"/>
    <w:qFormat/>
    <w:uiPriority w:val="99"/>
    <w:pPr>
      <w:keepNext w:val="0"/>
      <w:keepLines w:val="0"/>
      <w:spacing w:before="0" w:after="0" w:line="400" w:lineRule="exact"/>
      <w:ind w:firstLine="516" w:firstLineChars="215"/>
      <w:outlineLvl w:val="9"/>
    </w:pPr>
    <w:rPr>
      <w:b w:val="0"/>
      <w:bCs w:val="0"/>
      <w:kern w:val="2"/>
      <w:sz w:val="24"/>
      <w:szCs w:val="24"/>
    </w:rPr>
  </w:style>
  <w:style w:type="paragraph" w:customStyle="1" w:styleId="459">
    <w:name w:val="图标1"/>
    <w:next w:val="1"/>
    <w:qFormat/>
    <w:uiPriority w:val="99"/>
    <w:pPr>
      <w:spacing w:line="0" w:lineRule="atLeast"/>
      <w:jc w:val="center"/>
    </w:pPr>
    <w:rPr>
      <w:rFonts w:ascii="Times New Roman" w:hAnsi="Times New Roman" w:eastAsia="宋体" w:cs="Times New Roman"/>
      <w:kern w:val="2"/>
      <w:sz w:val="21"/>
      <w:lang w:val="en-US" w:eastAsia="zh-CN" w:bidi="ar-SA"/>
    </w:rPr>
  </w:style>
  <w:style w:type="paragraph" w:customStyle="1" w:styleId="460">
    <w:name w:val="EIA标题3"/>
    <w:basedOn w:val="4"/>
    <w:next w:val="1"/>
    <w:qFormat/>
    <w:uiPriority w:val="99"/>
    <w:pPr>
      <w:tabs>
        <w:tab w:val="left" w:pos="720"/>
      </w:tabs>
      <w:spacing w:beforeLines="50" w:afterLines="50" w:line="440" w:lineRule="exact"/>
    </w:pPr>
    <w:rPr>
      <w:rFonts w:ascii="Times New Roman" w:hAnsi="Times New Roman" w:eastAsia="楷体_GB2312" w:cs="Times New Roman"/>
      <w:b/>
      <w:color w:val="000000"/>
      <w:kern w:val="0"/>
      <w:sz w:val="24"/>
      <w:szCs w:val="20"/>
    </w:rPr>
  </w:style>
  <w:style w:type="paragraph" w:customStyle="1" w:styleId="461">
    <w:name w:val="法规列表"/>
    <w:basedOn w:val="2"/>
    <w:next w:val="1"/>
    <w:qFormat/>
    <w:uiPriority w:val="99"/>
    <w:pPr>
      <w:keepNext w:val="0"/>
      <w:keepLines w:val="0"/>
      <w:tabs>
        <w:tab w:val="left" w:pos="420"/>
      </w:tabs>
      <w:spacing w:beforeLines="50" w:after="0" w:line="500" w:lineRule="atLeast"/>
      <w:ind w:left="432" w:hanging="432" w:firstLineChars="177"/>
      <w:outlineLvl w:val="9"/>
    </w:pPr>
    <w:rPr>
      <w:rFonts w:eastAsia="仿宋_GB2312"/>
      <w:b w:val="0"/>
      <w:bCs w:val="0"/>
      <w:kern w:val="2"/>
      <w:sz w:val="24"/>
      <w:szCs w:val="20"/>
    </w:rPr>
  </w:style>
  <w:style w:type="paragraph" w:customStyle="1" w:styleId="462">
    <w:name w:val="个人情况"/>
    <w:basedOn w:val="18"/>
    <w:next w:val="1"/>
    <w:qFormat/>
    <w:uiPriority w:val="99"/>
    <w:pPr>
      <w:widowControl/>
      <w:overflowPunct w:val="0"/>
      <w:autoSpaceDE w:val="0"/>
      <w:autoSpaceDN w:val="0"/>
      <w:adjustRightInd w:val="0"/>
      <w:spacing w:after="160"/>
      <w:ind w:firstLine="425" w:firstLineChars="177"/>
      <w:jc w:val="left"/>
    </w:pPr>
    <w:rPr>
      <w:rFonts w:hint="eastAsia" w:hAnsiTheme="minorHAnsi" w:cstheme="minorBidi"/>
      <w:sz w:val="20"/>
      <w:szCs w:val="20"/>
    </w:rPr>
  </w:style>
  <w:style w:type="paragraph" w:customStyle="1" w:styleId="463">
    <w:name w:val="河石管道 表格正文"/>
    <w:next w:val="1"/>
    <w:qFormat/>
    <w:uiPriority w:val="99"/>
    <w:pPr>
      <w:jc w:val="center"/>
    </w:pPr>
    <w:rPr>
      <w:rFonts w:ascii="Times New Roman" w:hAnsi="Times New Roman" w:eastAsia="宋体" w:cs="Times New Roman"/>
      <w:kern w:val="2"/>
      <w:sz w:val="18"/>
      <w:szCs w:val="21"/>
      <w:lang w:val="en-US" w:eastAsia="zh-CN" w:bidi="ar-SA"/>
    </w:rPr>
  </w:style>
  <w:style w:type="paragraph" w:customStyle="1" w:styleId="464">
    <w:name w:val="xl48"/>
    <w:basedOn w:val="2"/>
    <w:next w:val="1"/>
    <w:qFormat/>
    <w:uiPriority w:val="99"/>
    <w:pPr>
      <w:keepNext w:val="0"/>
      <w:keepLines w:val="0"/>
      <w:widowControl/>
      <w:pBdr>
        <w:top w:val="single" w:color="auto" w:sz="8" w:space="0"/>
        <w:left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465">
    <w:name w:val="正文缩近"/>
    <w:basedOn w:val="2"/>
    <w:next w:val="1"/>
    <w:qFormat/>
    <w:uiPriority w:val="99"/>
    <w:pPr>
      <w:keepNext w:val="0"/>
      <w:keepLines w:val="0"/>
      <w:spacing w:before="0" w:after="0" w:line="360" w:lineRule="auto"/>
      <w:ind w:firstLine="560" w:firstLineChars="200"/>
      <w:outlineLvl w:val="9"/>
    </w:pPr>
    <w:rPr>
      <w:b w:val="0"/>
      <w:bCs w:val="0"/>
      <w:kern w:val="2"/>
      <w:sz w:val="28"/>
      <w:szCs w:val="28"/>
    </w:rPr>
  </w:style>
  <w:style w:type="paragraph" w:customStyle="1" w:styleId="466">
    <w:name w:val="font10"/>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Symbol" w:hAnsi="Symbol" w:cs="宋体"/>
      <w:b w:val="0"/>
      <w:bCs w:val="0"/>
      <w:color w:val="000000"/>
      <w:kern w:val="0"/>
      <w:sz w:val="24"/>
      <w:szCs w:val="21"/>
    </w:rPr>
  </w:style>
  <w:style w:type="paragraph" w:customStyle="1" w:styleId="467">
    <w:name w:val="xl34"/>
    <w:basedOn w:val="2"/>
    <w:next w:val="1"/>
    <w:qFormat/>
    <w:uiPriority w:val="99"/>
    <w:pPr>
      <w:keepNext w:val="0"/>
      <w:keepLines w:val="0"/>
      <w:widowControl/>
      <w:pBdr>
        <w:bottom w:val="single" w:color="auto" w:sz="4" w:space="0"/>
        <w:right w:val="single" w:color="auto" w:sz="4" w:space="0"/>
      </w:pBdr>
      <w:spacing w:before="100" w:beforeAutospacing="1" w:after="100" w:afterAutospacing="1" w:line="500" w:lineRule="atLeast"/>
      <w:ind w:firstLine="425" w:firstLineChars="177"/>
      <w:jc w:val="center"/>
      <w:outlineLvl w:val="9"/>
    </w:pPr>
    <w:rPr>
      <w:rFonts w:ascii="楷体_GB2312" w:hAnsi="Arial Unicode MS" w:eastAsia="楷体_GB2312"/>
      <w:b w:val="0"/>
      <w:bCs w:val="0"/>
      <w:kern w:val="0"/>
      <w:sz w:val="24"/>
      <w:szCs w:val="24"/>
    </w:rPr>
  </w:style>
  <w:style w:type="paragraph" w:customStyle="1" w:styleId="468">
    <w:name w:val="xl31"/>
    <w:basedOn w:val="2"/>
    <w:next w:val="1"/>
    <w:qFormat/>
    <w:uiPriority w:val="99"/>
    <w:pPr>
      <w:keepNext w:val="0"/>
      <w:keepLines w:val="0"/>
      <w:widowControl/>
      <w:pBdr>
        <w:bottom w:val="single" w:color="auto" w:sz="12"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469">
    <w:name w:val="图表名称"/>
    <w:basedOn w:val="2"/>
    <w:next w:val="1"/>
    <w:qFormat/>
    <w:uiPriority w:val="99"/>
    <w:pPr>
      <w:keepNext w:val="0"/>
      <w:keepLines w:val="0"/>
      <w:spacing w:beforeLines="50" w:after="0" w:line="400" w:lineRule="exact"/>
      <w:ind w:firstLine="471" w:firstLineChars="177"/>
      <w:jc w:val="center"/>
      <w:outlineLvl w:val="9"/>
    </w:pPr>
    <w:rPr>
      <w:rFonts w:ascii="宋体" w:hAnsi="宋体" w:eastAsia="黑体"/>
      <w:b w:val="0"/>
      <w:bCs w:val="0"/>
      <w:kern w:val="2"/>
      <w:sz w:val="24"/>
      <w:szCs w:val="24"/>
    </w:rPr>
  </w:style>
  <w:style w:type="paragraph" w:customStyle="1" w:styleId="470">
    <w:name w:val="单元格"/>
    <w:basedOn w:val="2"/>
    <w:next w:val="1"/>
    <w:qFormat/>
    <w:uiPriority w:val="99"/>
    <w:pPr>
      <w:keepNext w:val="0"/>
      <w:keepLines w:val="0"/>
      <w:spacing w:before="0" w:after="0" w:line="500" w:lineRule="atLeast"/>
      <w:ind w:firstLine="425" w:firstLineChars="177"/>
      <w:jc w:val="center"/>
      <w:outlineLvl w:val="9"/>
    </w:pPr>
    <w:rPr>
      <w:rFonts w:ascii="楷体_GB2312" w:eastAsia="楷体_GB2312"/>
      <w:b w:val="0"/>
      <w:bCs w:val="0"/>
      <w:kern w:val="2"/>
      <w:sz w:val="24"/>
      <w:szCs w:val="20"/>
    </w:rPr>
  </w:style>
  <w:style w:type="paragraph" w:customStyle="1" w:styleId="471">
    <w:name w:val="Default Paragraph Font Para Char Char Char"/>
    <w:basedOn w:val="2"/>
    <w:next w:val="1"/>
    <w:qFormat/>
    <w:uiPriority w:val="99"/>
    <w:pPr>
      <w:keepNext w:val="0"/>
      <w:keepLines w:val="0"/>
      <w:widowControl/>
      <w:spacing w:before="0" w:after="160" w:line="240" w:lineRule="exact"/>
      <w:ind w:firstLine="425" w:firstLineChars="177"/>
      <w:jc w:val="left"/>
      <w:outlineLvl w:val="9"/>
    </w:pPr>
    <w:rPr>
      <w:rFonts w:ascii="Arial" w:hAnsi="Arial"/>
      <w:b w:val="0"/>
      <w:bCs w:val="0"/>
      <w:kern w:val="2"/>
      <w:sz w:val="24"/>
      <w:szCs w:val="24"/>
    </w:rPr>
  </w:style>
  <w:style w:type="paragraph" w:customStyle="1" w:styleId="472">
    <w:name w:val="font8"/>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b w:val="0"/>
      <w:bCs w:val="0"/>
      <w:color w:val="000000"/>
      <w:kern w:val="0"/>
      <w:sz w:val="24"/>
      <w:szCs w:val="21"/>
    </w:rPr>
  </w:style>
  <w:style w:type="paragraph" w:customStyle="1" w:styleId="473">
    <w:name w:val="样式 日期 + 宋体 行距: 1.5 倍行距2"/>
    <w:basedOn w:val="27"/>
    <w:next w:val="1"/>
    <w:qFormat/>
    <w:uiPriority w:val="99"/>
    <w:pPr>
      <w:widowControl/>
      <w:overflowPunct w:val="0"/>
      <w:autoSpaceDE w:val="0"/>
      <w:autoSpaceDN w:val="0"/>
      <w:adjustRightInd w:val="0"/>
      <w:spacing w:line="480" w:lineRule="exact"/>
      <w:ind w:left="0" w:leftChars="0" w:firstLine="425" w:firstLineChars="177"/>
    </w:pPr>
    <w:rPr>
      <w:rFonts w:ascii="宋体" w:hAnsi="宋体" w:cs="宋体"/>
      <w:color w:val="000000"/>
      <w:kern w:val="0"/>
      <w:sz w:val="28"/>
      <w:szCs w:val="20"/>
      <w:lang w:val="en-GB"/>
    </w:rPr>
  </w:style>
  <w:style w:type="paragraph" w:customStyle="1" w:styleId="474">
    <w:name w:val="表体"/>
    <w:basedOn w:val="151"/>
    <w:next w:val="1"/>
    <w:qFormat/>
    <w:uiPriority w:val="99"/>
    <w:pPr>
      <w:overflowPunct w:val="0"/>
      <w:spacing w:line="360" w:lineRule="exact"/>
      <w:ind w:left="-57" w:right="-57"/>
    </w:pPr>
    <w:rPr>
      <w:color w:val="000080"/>
      <w:kern w:val="24"/>
      <w:szCs w:val="20"/>
    </w:rPr>
  </w:style>
  <w:style w:type="paragraph" w:customStyle="1" w:styleId="475">
    <w:name w:val="样式 样式表格 + 首行缩进:  0.85 厘米"/>
    <w:basedOn w:val="342"/>
    <w:next w:val="1"/>
    <w:qFormat/>
    <w:uiPriority w:val="99"/>
    <w:pPr>
      <w:spacing w:line="320" w:lineRule="exact"/>
    </w:pPr>
    <w:rPr>
      <w:rFonts w:cs="宋体"/>
      <w:szCs w:val="20"/>
    </w:rPr>
  </w:style>
  <w:style w:type="paragraph" w:customStyle="1" w:styleId="476">
    <w:name w:val="y表头"/>
    <w:basedOn w:val="18"/>
    <w:next w:val="1"/>
    <w:qFormat/>
    <w:uiPriority w:val="99"/>
    <w:pPr>
      <w:tabs>
        <w:tab w:val="left" w:pos="900"/>
      </w:tabs>
      <w:adjustRightInd w:val="0"/>
      <w:spacing w:after="0"/>
      <w:ind w:firstLine="425" w:firstLineChars="177"/>
      <w:jc w:val="center"/>
    </w:pPr>
    <w:rPr>
      <w:rFonts w:hint="eastAsia" w:ascii="宋体" w:hAnsi="宋体" w:eastAsia="楷体_GB2312" w:cstheme="minorBidi"/>
      <w:b/>
      <w:sz w:val="24"/>
      <w:szCs w:val="20"/>
    </w:rPr>
  </w:style>
  <w:style w:type="paragraph" w:customStyle="1" w:styleId="477">
    <w:name w:val="xl32"/>
    <w:basedOn w:val="2"/>
    <w:next w:val="1"/>
    <w:qFormat/>
    <w:uiPriority w:val="99"/>
    <w:pPr>
      <w:keepNext w:val="0"/>
      <w:keepLines w:val="0"/>
      <w:widowControl/>
      <w:pBdr>
        <w:top w:val="single" w:color="auto" w:sz="12"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478">
    <w:name w:val="yz"/>
    <w:basedOn w:val="18"/>
    <w:next w:val="1"/>
    <w:qFormat/>
    <w:uiPriority w:val="99"/>
    <w:pPr>
      <w:tabs>
        <w:tab w:val="left" w:pos="900"/>
      </w:tabs>
      <w:adjustRightInd w:val="0"/>
      <w:spacing w:after="0"/>
      <w:ind w:firstLine="200" w:firstLineChars="200"/>
    </w:pPr>
    <w:rPr>
      <w:rFonts w:hint="eastAsia" w:ascii="宋体" w:hAnsi="宋体" w:cstheme="minorBidi"/>
      <w:sz w:val="24"/>
      <w:szCs w:val="20"/>
    </w:rPr>
  </w:style>
  <w:style w:type="paragraph" w:customStyle="1" w:styleId="479">
    <w:name w:val="图表目录1"/>
    <w:basedOn w:val="145"/>
    <w:next w:val="145"/>
    <w:qFormat/>
    <w:uiPriority w:val="99"/>
    <w:pPr>
      <w:tabs>
        <w:tab w:val="right" w:leader="dot" w:pos="8051"/>
      </w:tabs>
      <w:ind w:left="840" w:hanging="840"/>
    </w:pPr>
    <w:rPr>
      <w:rFonts w:hAnsi="Calibri"/>
      <w:szCs w:val="20"/>
    </w:rPr>
  </w:style>
  <w:style w:type="character" w:customStyle="1" w:styleId="480">
    <w:name w:val="正文001 Char1"/>
    <w:link w:val="481"/>
    <w:qFormat/>
    <w:locked/>
    <w:uiPriority w:val="0"/>
    <w:rPr>
      <w:rFonts w:ascii="Arial" w:hAnsi="Arial" w:cs="Arial"/>
      <w:sz w:val="24"/>
    </w:rPr>
  </w:style>
  <w:style w:type="paragraph" w:customStyle="1" w:styleId="481">
    <w:name w:val="正文001"/>
    <w:basedOn w:val="2"/>
    <w:next w:val="1"/>
    <w:link w:val="480"/>
    <w:qFormat/>
    <w:uiPriority w:val="0"/>
    <w:pPr>
      <w:keepNext w:val="0"/>
      <w:keepLines w:val="0"/>
      <w:spacing w:before="60" w:after="0" w:line="360" w:lineRule="auto"/>
      <w:ind w:firstLine="200" w:firstLineChars="200"/>
      <w:outlineLvl w:val="9"/>
    </w:pPr>
    <w:rPr>
      <w:rFonts w:ascii="Arial" w:hAnsi="Arial" w:cs="Arial" w:eastAsiaTheme="minorEastAsia"/>
      <w:b w:val="0"/>
      <w:bCs w:val="0"/>
      <w:kern w:val="2"/>
      <w:sz w:val="24"/>
      <w:szCs w:val="22"/>
    </w:rPr>
  </w:style>
  <w:style w:type="paragraph" w:customStyle="1" w:styleId="482">
    <w:name w:val="xl28"/>
    <w:basedOn w:val="2"/>
    <w:next w:val="1"/>
    <w:qFormat/>
    <w:uiPriority w:val="99"/>
    <w:pPr>
      <w:keepNext w:val="0"/>
      <w:keepLines w:val="0"/>
      <w:widowControl/>
      <w:pBdr>
        <w:bottom w:val="single" w:color="auto" w:sz="8" w:space="0"/>
        <w:right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483">
    <w:name w:val="表 头 Char"/>
    <w:basedOn w:val="2"/>
    <w:next w:val="1"/>
    <w:qFormat/>
    <w:uiPriority w:val="99"/>
    <w:pPr>
      <w:keepNext w:val="0"/>
      <w:keepLines w:val="0"/>
      <w:adjustRightInd w:val="0"/>
      <w:spacing w:before="120" w:after="120" w:line="360" w:lineRule="atLeast"/>
      <w:ind w:firstLine="425" w:firstLineChars="177"/>
      <w:jc w:val="center"/>
      <w:outlineLvl w:val="9"/>
    </w:pPr>
    <w:rPr>
      <w:rFonts w:eastAsia="黑体"/>
      <w:b w:val="0"/>
      <w:bCs w:val="0"/>
      <w:spacing w:val="10"/>
      <w:kern w:val="0"/>
      <w:sz w:val="24"/>
      <w:szCs w:val="20"/>
    </w:rPr>
  </w:style>
  <w:style w:type="paragraph" w:customStyle="1" w:styleId="484">
    <w:name w:val="6"/>
    <w:basedOn w:val="2"/>
    <w:next w:val="21"/>
    <w:qFormat/>
    <w:uiPriority w:val="99"/>
    <w:pPr>
      <w:keepNext w:val="0"/>
      <w:keepLines w:val="0"/>
      <w:spacing w:before="0" w:after="0" w:line="400" w:lineRule="exact"/>
      <w:ind w:firstLine="516" w:firstLineChars="215"/>
      <w:outlineLvl w:val="9"/>
    </w:pPr>
    <w:rPr>
      <w:b w:val="0"/>
      <w:bCs w:val="0"/>
      <w:kern w:val="2"/>
      <w:sz w:val="24"/>
      <w:szCs w:val="24"/>
    </w:rPr>
  </w:style>
  <w:style w:type="character" w:customStyle="1" w:styleId="485">
    <w:name w:val="cucd-TB Char"/>
    <w:link w:val="486"/>
    <w:qFormat/>
    <w:locked/>
    <w:uiPriority w:val="0"/>
    <w:rPr>
      <w:szCs w:val="24"/>
    </w:rPr>
  </w:style>
  <w:style w:type="paragraph" w:customStyle="1" w:styleId="486">
    <w:name w:val="cucd-TB"/>
    <w:next w:val="1"/>
    <w:link w:val="485"/>
    <w:qFormat/>
    <w:uiPriority w:val="0"/>
    <w:pPr>
      <w:spacing w:line="360" w:lineRule="auto"/>
      <w:jc w:val="center"/>
    </w:pPr>
    <w:rPr>
      <w:rFonts w:asciiTheme="minorHAnsi" w:hAnsiTheme="minorHAnsi" w:eastAsiaTheme="minorEastAsia" w:cstheme="minorBidi"/>
      <w:kern w:val="2"/>
      <w:sz w:val="21"/>
      <w:szCs w:val="24"/>
      <w:lang w:val="en-US" w:eastAsia="zh-CN" w:bidi="ar-SA"/>
    </w:rPr>
  </w:style>
  <w:style w:type="paragraph" w:customStyle="1" w:styleId="487">
    <w:name w:val="标准条文"/>
    <w:basedOn w:val="218"/>
    <w:next w:val="218"/>
    <w:qFormat/>
    <w:uiPriority w:val="99"/>
    <w:rPr>
      <w:rFonts w:hAnsi="Calibri"/>
    </w:rPr>
  </w:style>
  <w:style w:type="paragraph" w:customStyle="1" w:styleId="488">
    <w:name w:val="默认段落字体 Para Char Char Char Char Char Char1 Char Char Char Char"/>
    <w:basedOn w:val="2"/>
    <w:next w:val="1"/>
    <w:qFormat/>
    <w:uiPriority w:val="99"/>
    <w:pPr>
      <w:keepNext w:val="0"/>
      <w:keepLines w:val="0"/>
      <w:snapToGrid w:val="0"/>
      <w:spacing w:before="0" w:after="0" w:line="360" w:lineRule="auto"/>
      <w:ind w:firstLine="200" w:firstLineChars="200"/>
      <w:outlineLvl w:val="9"/>
    </w:pPr>
    <w:rPr>
      <w:rFonts w:eastAsia="仿宋_GB2312"/>
      <w:b w:val="0"/>
      <w:bCs w:val="0"/>
      <w:kern w:val="2"/>
      <w:sz w:val="24"/>
      <w:szCs w:val="24"/>
    </w:rPr>
  </w:style>
  <w:style w:type="paragraph" w:customStyle="1" w:styleId="489">
    <w:name w:val="1文章"/>
    <w:basedOn w:val="2"/>
    <w:next w:val="1"/>
    <w:qFormat/>
    <w:uiPriority w:val="99"/>
    <w:pPr>
      <w:keepNext w:val="0"/>
      <w:keepLines w:val="0"/>
      <w:snapToGrid w:val="0"/>
      <w:spacing w:before="0" w:after="0" w:line="420" w:lineRule="auto"/>
      <w:ind w:firstLine="516" w:firstLineChars="177"/>
      <w:outlineLvl w:val="9"/>
    </w:pPr>
    <w:rPr>
      <w:b w:val="0"/>
      <w:bCs w:val="0"/>
      <w:color w:val="000000"/>
      <w:kern w:val="2"/>
      <w:sz w:val="24"/>
      <w:szCs w:val="24"/>
    </w:rPr>
  </w:style>
  <w:style w:type="character" w:customStyle="1" w:styleId="490">
    <w:name w:val="cucd-TB-Head Char"/>
    <w:link w:val="491"/>
    <w:qFormat/>
    <w:locked/>
    <w:uiPriority w:val="0"/>
    <w:rPr>
      <w:rFonts w:ascii="宋体" w:hAnsi="宋体" w:eastAsia="黑体"/>
      <w:color w:val="548DD4"/>
      <w:sz w:val="24"/>
      <w:szCs w:val="21"/>
    </w:rPr>
  </w:style>
  <w:style w:type="paragraph" w:customStyle="1" w:styleId="491">
    <w:name w:val="cucd-TB-Head"/>
    <w:basedOn w:val="2"/>
    <w:next w:val="382"/>
    <w:link w:val="490"/>
    <w:qFormat/>
    <w:uiPriority w:val="0"/>
    <w:pPr>
      <w:keepNext w:val="0"/>
      <w:keepLines w:val="0"/>
      <w:spacing w:before="120" w:after="0" w:line="360" w:lineRule="auto"/>
      <w:ind w:firstLine="425" w:firstLineChars="177"/>
      <w:jc w:val="center"/>
      <w:outlineLvl w:val="9"/>
    </w:pPr>
    <w:rPr>
      <w:rFonts w:ascii="宋体" w:hAnsi="宋体" w:eastAsia="黑体" w:cstheme="minorBidi"/>
      <w:b w:val="0"/>
      <w:bCs w:val="0"/>
      <w:color w:val="548DD4"/>
      <w:kern w:val="2"/>
      <w:sz w:val="24"/>
      <w:szCs w:val="21"/>
    </w:rPr>
  </w:style>
  <w:style w:type="character" w:customStyle="1" w:styleId="492">
    <w:name w:val="表 头 Char1"/>
    <w:link w:val="493"/>
    <w:qFormat/>
    <w:locked/>
    <w:uiPriority w:val="0"/>
    <w:rPr>
      <w:rFonts w:ascii="黑体" w:hAnsi="黑体" w:eastAsia="黑体"/>
      <w:spacing w:val="10"/>
      <w:sz w:val="24"/>
    </w:rPr>
  </w:style>
  <w:style w:type="paragraph" w:customStyle="1" w:styleId="493">
    <w:name w:val="表 头"/>
    <w:basedOn w:val="2"/>
    <w:next w:val="1"/>
    <w:link w:val="492"/>
    <w:qFormat/>
    <w:uiPriority w:val="0"/>
    <w:pPr>
      <w:keepNext w:val="0"/>
      <w:keepLines w:val="0"/>
      <w:adjustRightInd w:val="0"/>
      <w:spacing w:before="60" w:after="120" w:line="360" w:lineRule="atLeast"/>
      <w:ind w:firstLine="425" w:firstLineChars="177"/>
      <w:jc w:val="center"/>
      <w:outlineLvl w:val="9"/>
    </w:pPr>
    <w:rPr>
      <w:rFonts w:ascii="黑体" w:hAnsi="黑体" w:eastAsia="黑体" w:cstheme="minorBidi"/>
      <w:b w:val="0"/>
      <w:bCs w:val="0"/>
      <w:spacing w:val="10"/>
      <w:kern w:val="2"/>
      <w:sz w:val="24"/>
      <w:szCs w:val="22"/>
    </w:rPr>
  </w:style>
  <w:style w:type="paragraph" w:customStyle="1" w:styleId="494">
    <w:name w:val="Char Char1 Char"/>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495">
    <w:name w:val="报告书表格"/>
    <w:basedOn w:val="2"/>
    <w:next w:val="1"/>
    <w:qFormat/>
    <w:uiPriority w:val="99"/>
    <w:pPr>
      <w:keepNext w:val="0"/>
      <w:keepLines w:val="0"/>
      <w:adjustRightInd w:val="0"/>
      <w:spacing w:before="60" w:after="60" w:line="240" w:lineRule="atLeast"/>
      <w:ind w:firstLine="425" w:firstLineChars="177"/>
      <w:jc w:val="center"/>
      <w:outlineLvl w:val="9"/>
    </w:pPr>
    <w:rPr>
      <w:b w:val="0"/>
      <w:bCs w:val="0"/>
      <w:kern w:val="0"/>
      <w:sz w:val="24"/>
      <w:szCs w:val="20"/>
    </w:rPr>
  </w:style>
  <w:style w:type="paragraph" w:customStyle="1" w:styleId="496">
    <w:name w:val="段"/>
    <w:next w:val="1"/>
    <w:qFormat/>
    <w:uiPriority w:val="99"/>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97">
    <w:name w:val="Char Char Char Char Char Char Char Char2 Char Char Char Char Char Char Char Char Char Char Char Char Char"/>
    <w:basedOn w:val="2"/>
    <w:next w:val="1"/>
    <w:qFormat/>
    <w:uiPriority w:val="99"/>
    <w:pPr>
      <w:keepNext w:val="0"/>
      <w:keepLines w:val="0"/>
      <w:spacing w:before="0" w:after="0" w:line="336" w:lineRule="auto"/>
      <w:ind w:firstLine="200" w:firstLineChars="200"/>
      <w:outlineLvl w:val="9"/>
    </w:pPr>
    <w:rPr>
      <w:rFonts w:ascii="宋体" w:hAnsi="宋体" w:eastAsia="汉鼎简书宋" w:cs="宋体"/>
      <w:b w:val="0"/>
      <w:bCs w:val="0"/>
      <w:spacing w:val="4"/>
      <w:kern w:val="2"/>
      <w:sz w:val="24"/>
      <w:szCs w:val="24"/>
    </w:rPr>
  </w:style>
  <w:style w:type="paragraph" w:customStyle="1" w:styleId="498">
    <w:name w:val="表头名称"/>
    <w:basedOn w:val="13"/>
    <w:next w:val="1"/>
    <w:qFormat/>
    <w:uiPriority w:val="99"/>
    <w:pPr>
      <w:autoSpaceDE w:val="0"/>
      <w:autoSpaceDN w:val="0"/>
      <w:snapToGrid/>
      <w:spacing w:line="360" w:lineRule="auto"/>
      <w:ind w:firstLine="0" w:firstLineChars="177"/>
      <w:jc w:val="center"/>
    </w:pPr>
    <w:rPr>
      <w:rFonts w:ascii="黑体" w:hAnsi="宋体" w:eastAsia="黑体"/>
      <w:sz w:val="24"/>
      <w:szCs w:val="20"/>
    </w:rPr>
  </w:style>
  <w:style w:type="paragraph" w:customStyle="1" w:styleId="499">
    <w:name w:val="font12"/>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rFonts w:ascii="Symbol" w:hAnsi="Symbol" w:cs="宋体"/>
      <w:b w:val="0"/>
      <w:bCs w:val="0"/>
      <w:color w:val="000000"/>
      <w:kern w:val="0"/>
      <w:sz w:val="24"/>
      <w:szCs w:val="21"/>
    </w:rPr>
  </w:style>
  <w:style w:type="paragraph" w:customStyle="1" w:styleId="500">
    <w:name w:val="AFTERTITLE"/>
    <w:basedOn w:val="2"/>
    <w:next w:val="1"/>
    <w:qFormat/>
    <w:uiPriority w:val="99"/>
    <w:pPr>
      <w:keepNext w:val="0"/>
      <w:keepLines w:val="0"/>
      <w:widowControl/>
      <w:spacing w:before="0" w:after="0" w:line="360" w:lineRule="atLeast"/>
      <w:ind w:firstLine="200" w:firstLineChars="200"/>
      <w:jc w:val="center"/>
      <w:outlineLvl w:val="9"/>
    </w:pPr>
    <w:rPr>
      <w:bCs w:val="0"/>
      <w:caps/>
      <w:kern w:val="0"/>
      <w:sz w:val="24"/>
      <w:szCs w:val="20"/>
      <w:lang w:val="fr-FR"/>
    </w:rPr>
  </w:style>
  <w:style w:type="paragraph" w:customStyle="1" w:styleId="501">
    <w:name w:val="font6"/>
    <w:basedOn w:val="2"/>
    <w:next w:val="1"/>
    <w:qFormat/>
    <w:uiPriority w:val="99"/>
    <w:pPr>
      <w:keepNext w:val="0"/>
      <w:keepLines w:val="0"/>
      <w:widowControl/>
      <w:spacing w:before="100" w:beforeAutospacing="1" w:after="100" w:afterAutospacing="1" w:line="500" w:lineRule="atLeast"/>
      <w:ind w:firstLine="425" w:firstLineChars="177"/>
      <w:jc w:val="left"/>
      <w:outlineLvl w:val="9"/>
    </w:pPr>
    <w:rPr>
      <w:b w:val="0"/>
      <w:bCs w:val="0"/>
      <w:color w:val="000000"/>
      <w:kern w:val="0"/>
      <w:sz w:val="24"/>
      <w:szCs w:val="21"/>
    </w:rPr>
  </w:style>
  <w:style w:type="paragraph" w:customStyle="1" w:styleId="502">
    <w:name w:val="表序"/>
    <w:basedOn w:val="2"/>
    <w:next w:val="1"/>
    <w:qFormat/>
    <w:uiPriority w:val="99"/>
    <w:pPr>
      <w:keepNext w:val="0"/>
      <w:keepLines w:val="0"/>
      <w:snapToGrid w:val="0"/>
      <w:spacing w:before="0" w:after="0" w:line="400" w:lineRule="exact"/>
      <w:ind w:firstLine="425" w:firstLineChars="177"/>
      <w:outlineLvl w:val="9"/>
    </w:pPr>
    <w:rPr>
      <w:rFonts w:ascii="宋体" w:hAnsi="宋体"/>
      <w:b w:val="0"/>
      <w:bCs w:val="0"/>
      <w:kern w:val="0"/>
      <w:sz w:val="24"/>
      <w:szCs w:val="20"/>
    </w:rPr>
  </w:style>
  <w:style w:type="paragraph" w:customStyle="1" w:styleId="503">
    <w:name w:val="段落2"/>
    <w:basedOn w:val="2"/>
    <w:next w:val="1"/>
    <w:qFormat/>
    <w:uiPriority w:val="99"/>
    <w:pPr>
      <w:keepNext w:val="0"/>
      <w:keepLines w:val="0"/>
      <w:adjustRightInd w:val="0"/>
      <w:spacing w:before="0" w:after="0" w:line="440" w:lineRule="atLeast"/>
      <w:ind w:firstLine="425" w:firstLineChars="177"/>
      <w:outlineLvl w:val="9"/>
    </w:pPr>
    <w:rPr>
      <w:b w:val="0"/>
      <w:bCs w:val="0"/>
      <w:spacing w:val="6"/>
      <w:kern w:val="2"/>
      <w:sz w:val="28"/>
      <w:szCs w:val="20"/>
    </w:rPr>
  </w:style>
  <w:style w:type="paragraph" w:customStyle="1" w:styleId="504">
    <w:name w:val="公式题注"/>
    <w:next w:val="1"/>
    <w:qFormat/>
    <w:uiPriority w:val="99"/>
    <w:pPr>
      <w:spacing w:line="0" w:lineRule="atLeast"/>
      <w:jc w:val="right"/>
    </w:pPr>
    <w:rPr>
      <w:rFonts w:ascii="Times New Roman" w:hAnsi="Times New Roman" w:eastAsia="黑体" w:cs="Times New Roman"/>
      <w:kern w:val="2"/>
      <w:sz w:val="24"/>
      <w:lang w:val="en-US" w:eastAsia="zh-CN" w:bidi="ar-SA"/>
    </w:rPr>
  </w:style>
  <w:style w:type="paragraph" w:customStyle="1" w:styleId="505">
    <w:name w:val="尾注文本1"/>
    <w:basedOn w:val="145"/>
    <w:next w:val="1"/>
    <w:qFormat/>
    <w:uiPriority w:val="99"/>
    <w:rPr>
      <w:rFonts w:hAnsi="Calibri"/>
      <w:sz w:val="21"/>
      <w:szCs w:val="20"/>
    </w:rPr>
  </w:style>
  <w:style w:type="paragraph" w:customStyle="1" w:styleId="506">
    <w:name w:val="正文文字缩进1"/>
    <w:basedOn w:val="21"/>
    <w:next w:val="1"/>
    <w:qFormat/>
    <w:uiPriority w:val="99"/>
    <w:pPr>
      <w:ind w:firstLine="551" w:firstLineChars="0"/>
    </w:pPr>
    <w:rPr>
      <w:rFonts w:ascii="黑体" w:eastAsia="黑体"/>
      <w:sz w:val="28"/>
      <w:szCs w:val="20"/>
    </w:rPr>
  </w:style>
  <w:style w:type="character" w:customStyle="1" w:styleId="507">
    <w:name w:val="样式4 Char"/>
    <w:link w:val="508"/>
    <w:qFormat/>
    <w:locked/>
    <w:uiPriority w:val="0"/>
    <w:rPr>
      <w:rFonts w:ascii="宋体" w:hAnsi="宋体" w:eastAsia="宋体"/>
      <w:bCs/>
      <w:sz w:val="24"/>
      <w:szCs w:val="24"/>
    </w:rPr>
  </w:style>
  <w:style w:type="paragraph" w:customStyle="1" w:styleId="508">
    <w:name w:val="样式4"/>
    <w:basedOn w:val="18"/>
    <w:next w:val="1"/>
    <w:link w:val="507"/>
    <w:qFormat/>
    <w:uiPriority w:val="0"/>
    <w:pPr>
      <w:spacing w:before="156" w:after="0" w:line="360" w:lineRule="auto"/>
      <w:ind w:firstLine="480" w:firstLineChars="200"/>
    </w:pPr>
    <w:rPr>
      <w:rFonts w:ascii="宋体" w:hAnsi="宋体" w:cstheme="minorBidi"/>
      <w:bCs/>
      <w:sz w:val="24"/>
    </w:rPr>
  </w:style>
  <w:style w:type="paragraph" w:customStyle="1" w:styleId="509">
    <w:name w:val="项目编号"/>
    <w:basedOn w:val="2"/>
    <w:next w:val="1"/>
    <w:qFormat/>
    <w:uiPriority w:val="99"/>
    <w:pPr>
      <w:keepNext w:val="0"/>
      <w:keepLines w:val="0"/>
      <w:spacing w:before="120" w:after="120" w:line="360" w:lineRule="auto"/>
      <w:ind w:firstLine="425" w:firstLineChars="177"/>
      <w:outlineLvl w:val="9"/>
    </w:pPr>
    <w:rPr>
      <w:b w:val="0"/>
      <w:bCs w:val="0"/>
      <w:kern w:val="2"/>
      <w:sz w:val="24"/>
      <w:szCs w:val="20"/>
    </w:rPr>
  </w:style>
  <w:style w:type="paragraph" w:customStyle="1" w:styleId="510">
    <w:name w:val="Char Char Char Char Char Char Char Char Char Char Char"/>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511">
    <w:name w:val="样式 样式 样式 首行缩进:  2 字符 + 首行缩进:  2 字符 + 首行缩进:  2 字符"/>
    <w:basedOn w:val="2"/>
    <w:next w:val="1"/>
    <w:qFormat/>
    <w:uiPriority w:val="99"/>
    <w:pPr>
      <w:keepNext w:val="0"/>
      <w:keepLines w:val="0"/>
      <w:spacing w:before="0" w:after="0" w:line="500" w:lineRule="atLeast"/>
      <w:ind w:firstLine="567" w:firstLineChars="200"/>
      <w:outlineLvl w:val="9"/>
    </w:pPr>
    <w:rPr>
      <w:rFonts w:ascii="宋体"/>
      <w:b w:val="0"/>
      <w:bCs w:val="0"/>
      <w:kern w:val="2"/>
      <w:sz w:val="27"/>
      <w:szCs w:val="20"/>
    </w:rPr>
  </w:style>
  <w:style w:type="paragraph" w:customStyle="1" w:styleId="512">
    <w:name w:val="表、图名"/>
    <w:basedOn w:val="2"/>
    <w:next w:val="1"/>
    <w:qFormat/>
    <w:uiPriority w:val="99"/>
    <w:pPr>
      <w:keepNext w:val="0"/>
      <w:keepLines w:val="0"/>
      <w:adjustRightInd w:val="0"/>
      <w:snapToGrid w:val="0"/>
      <w:spacing w:before="0" w:after="0" w:line="360" w:lineRule="auto"/>
      <w:ind w:firstLine="482" w:firstLineChars="177"/>
      <w:jc w:val="center"/>
      <w:outlineLvl w:val="9"/>
    </w:pPr>
    <w:rPr>
      <w:rFonts w:hAnsi="宋体"/>
      <w:bCs w:val="0"/>
      <w:color w:val="000000"/>
      <w:kern w:val="0"/>
      <w:sz w:val="24"/>
      <w:szCs w:val="21"/>
    </w:rPr>
  </w:style>
  <w:style w:type="paragraph" w:customStyle="1" w:styleId="513">
    <w:name w:val="正文 1"/>
    <w:basedOn w:val="2"/>
    <w:next w:val="1"/>
    <w:qFormat/>
    <w:uiPriority w:val="99"/>
    <w:pPr>
      <w:keepNext w:val="0"/>
      <w:keepLines w:val="0"/>
      <w:spacing w:before="0" w:after="0" w:line="480" w:lineRule="exact"/>
      <w:ind w:firstLine="567" w:firstLineChars="177"/>
      <w:outlineLvl w:val="9"/>
    </w:pPr>
    <w:rPr>
      <w:b w:val="0"/>
      <w:bCs w:val="0"/>
      <w:kern w:val="2"/>
      <w:sz w:val="28"/>
      <w:szCs w:val="20"/>
    </w:rPr>
  </w:style>
  <w:style w:type="paragraph" w:customStyle="1" w:styleId="514">
    <w:name w:val="z正文"/>
    <w:basedOn w:val="21"/>
    <w:next w:val="1"/>
    <w:qFormat/>
    <w:uiPriority w:val="99"/>
    <w:pPr>
      <w:autoSpaceDE w:val="0"/>
      <w:autoSpaceDN w:val="0"/>
      <w:adjustRightInd w:val="0"/>
      <w:snapToGrid w:val="0"/>
      <w:ind w:firstLine="200"/>
    </w:pPr>
  </w:style>
  <w:style w:type="paragraph" w:customStyle="1" w:styleId="515">
    <w:name w:val="样式 日期 + 宋体 行距: 1.5 倍行距"/>
    <w:basedOn w:val="27"/>
    <w:next w:val="1"/>
    <w:qFormat/>
    <w:uiPriority w:val="99"/>
    <w:pPr>
      <w:widowControl/>
      <w:overflowPunct w:val="0"/>
      <w:autoSpaceDE w:val="0"/>
      <w:autoSpaceDN w:val="0"/>
      <w:adjustRightInd w:val="0"/>
      <w:spacing w:line="480" w:lineRule="exact"/>
      <w:ind w:left="0" w:leftChars="0" w:firstLine="200" w:firstLineChars="200"/>
    </w:pPr>
    <w:rPr>
      <w:rFonts w:ascii="宋体" w:hAnsi="宋体" w:cs="宋体"/>
      <w:color w:val="000000"/>
      <w:kern w:val="0"/>
      <w:sz w:val="28"/>
      <w:szCs w:val="20"/>
      <w:lang w:val="en-GB"/>
    </w:rPr>
  </w:style>
  <w:style w:type="paragraph" w:customStyle="1" w:styleId="516">
    <w:name w:val="xl49"/>
    <w:basedOn w:val="2"/>
    <w:next w:val="1"/>
    <w:qFormat/>
    <w:uiPriority w:val="99"/>
    <w:pPr>
      <w:keepNext w:val="0"/>
      <w:keepLines w:val="0"/>
      <w:widowControl/>
      <w:pBdr>
        <w:left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517">
    <w:name w:val="xl25"/>
    <w:basedOn w:val="2"/>
    <w:next w:val="1"/>
    <w:qFormat/>
    <w:uiPriority w:val="99"/>
    <w:pPr>
      <w:keepNext w:val="0"/>
      <w:keepLines w:val="0"/>
      <w:widowControl/>
      <w:pBdr>
        <w:left w:val="single" w:color="auto" w:sz="4" w:space="0"/>
        <w:bottom w:val="single" w:color="auto" w:sz="4" w:space="0"/>
        <w:right w:val="single" w:color="auto" w:sz="4" w:space="0"/>
      </w:pBdr>
      <w:autoSpaceDE w:val="0"/>
      <w:autoSpaceDN w:val="0"/>
      <w:snapToGrid w:val="0"/>
      <w:spacing w:before="100" w:beforeAutospacing="1" w:after="100" w:afterAutospacing="1" w:line="500" w:lineRule="atLeast"/>
      <w:ind w:firstLine="425" w:firstLineChars="177"/>
      <w:jc w:val="center"/>
      <w:outlineLvl w:val="9"/>
    </w:pPr>
    <w:rPr>
      <w:rFonts w:ascii="Arial Unicode MS" w:hAnsi="Arial Unicode MS" w:eastAsia="Arial Unicode MS"/>
      <w:b w:val="0"/>
      <w:bCs w:val="0"/>
      <w:kern w:val="0"/>
      <w:sz w:val="24"/>
      <w:szCs w:val="20"/>
    </w:rPr>
  </w:style>
  <w:style w:type="paragraph" w:customStyle="1" w:styleId="518">
    <w:name w:val="Char Char Char Char Char Char Char Char Char Char"/>
    <w:basedOn w:val="2"/>
    <w:next w:val="1"/>
    <w:qFormat/>
    <w:uiPriority w:val="99"/>
    <w:pPr>
      <w:keepNext w:val="0"/>
      <w:keepLines w:val="0"/>
      <w:spacing w:before="0" w:after="0" w:line="500" w:lineRule="atLeast"/>
      <w:ind w:firstLine="425" w:firstLineChars="177"/>
      <w:jc w:val="center"/>
      <w:outlineLvl w:val="9"/>
    </w:pPr>
    <w:rPr>
      <w:rFonts w:ascii="黑体" w:hAnsi="宋体" w:eastAsia="黑体"/>
      <w:bCs w:val="0"/>
      <w:color w:val="000000"/>
      <w:kern w:val="24"/>
      <w:sz w:val="32"/>
      <w:szCs w:val="32"/>
    </w:rPr>
  </w:style>
  <w:style w:type="paragraph" w:customStyle="1" w:styleId="519">
    <w:name w:val="表内字"/>
    <w:next w:val="1"/>
    <w:qFormat/>
    <w:uiPriority w:val="99"/>
    <w:pPr>
      <w:spacing w:line="312" w:lineRule="auto"/>
      <w:jc w:val="center"/>
    </w:pPr>
    <w:rPr>
      <w:rFonts w:ascii="Times New Roman" w:hAnsi="Times New Roman" w:eastAsia="宋体" w:cs="Times New Roman"/>
      <w:color w:val="000000"/>
      <w:sz w:val="21"/>
      <w:lang w:val="en-US" w:eastAsia="zh-CN" w:bidi="ar-SA"/>
    </w:rPr>
  </w:style>
  <w:style w:type="paragraph" w:customStyle="1" w:styleId="520">
    <w:name w:val="表的格式（小四）"/>
    <w:basedOn w:val="2"/>
    <w:next w:val="1"/>
    <w:qFormat/>
    <w:uiPriority w:val="99"/>
    <w:pPr>
      <w:keepNext w:val="0"/>
      <w:keepLines w:val="0"/>
      <w:adjustRightInd w:val="0"/>
      <w:spacing w:before="0" w:after="0" w:line="360" w:lineRule="atLeast"/>
      <w:ind w:firstLine="425" w:firstLineChars="177"/>
      <w:jc w:val="center"/>
      <w:outlineLvl w:val="9"/>
    </w:pPr>
    <w:rPr>
      <w:b w:val="0"/>
      <w:bCs w:val="0"/>
      <w:kern w:val="0"/>
      <w:sz w:val="24"/>
      <w:szCs w:val="20"/>
    </w:rPr>
  </w:style>
  <w:style w:type="paragraph" w:customStyle="1" w:styleId="521">
    <w:name w:val="列出段落11"/>
    <w:basedOn w:val="2"/>
    <w:next w:val="1"/>
    <w:qFormat/>
    <w:uiPriority w:val="99"/>
    <w:pPr>
      <w:keepNext w:val="0"/>
      <w:keepLines w:val="0"/>
      <w:spacing w:before="0" w:after="0" w:line="500" w:lineRule="atLeast"/>
      <w:ind w:firstLine="420" w:firstLineChars="200"/>
      <w:outlineLvl w:val="9"/>
    </w:pPr>
    <w:rPr>
      <w:rFonts w:ascii="Calibri" w:hAnsi="Calibri"/>
      <w:b w:val="0"/>
      <w:bCs w:val="0"/>
      <w:kern w:val="2"/>
      <w:sz w:val="24"/>
      <w:szCs w:val="24"/>
    </w:rPr>
  </w:style>
  <w:style w:type="paragraph" w:customStyle="1" w:styleId="522">
    <w:name w:val="acee正文"/>
    <w:basedOn w:val="2"/>
    <w:next w:val="1"/>
    <w:qFormat/>
    <w:uiPriority w:val="99"/>
    <w:pPr>
      <w:keepNext w:val="0"/>
      <w:keepLines w:val="0"/>
      <w:spacing w:before="0" w:after="0" w:line="480" w:lineRule="exact"/>
      <w:ind w:firstLine="640" w:firstLineChars="200"/>
      <w:outlineLvl w:val="9"/>
    </w:pPr>
    <w:rPr>
      <w:rFonts w:ascii="仿宋_GB2312" w:hAnsi="宋体" w:eastAsia="仿宋_GB2312"/>
      <w:b w:val="0"/>
      <w:bCs w:val="0"/>
      <w:kern w:val="2"/>
      <w:sz w:val="32"/>
      <w:szCs w:val="24"/>
    </w:rPr>
  </w:style>
  <w:style w:type="paragraph" w:customStyle="1" w:styleId="523">
    <w:name w:val="xl56"/>
    <w:basedOn w:val="2"/>
    <w:next w:val="1"/>
    <w:qFormat/>
    <w:uiPriority w:val="99"/>
    <w:pPr>
      <w:keepNext w:val="0"/>
      <w:keepLines w:val="0"/>
      <w:widowControl/>
      <w:pBdr>
        <w:top w:val="single" w:color="auto" w:sz="12" w:space="0"/>
        <w:left w:val="single" w:color="auto" w:sz="8" w:space="0"/>
        <w:bottom w:val="single" w:color="auto" w:sz="8" w:space="0"/>
      </w:pBdr>
      <w:spacing w:before="100" w:beforeAutospacing="1" w:after="100" w:afterAutospacing="1" w:line="500" w:lineRule="atLeast"/>
      <w:ind w:firstLine="425" w:firstLineChars="177"/>
      <w:jc w:val="center"/>
      <w:outlineLvl w:val="9"/>
    </w:pPr>
    <w:rPr>
      <w:rFonts w:ascii="宋体" w:hAnsi="宋体" w:cs="宋体"/>
      <w:b w:val="0"/>
      <w:bCs w:val="0"/>
      <w:color w:val="000000"/>
      <w:kern w:val="0"/>
      <w:sz w:val="24"/>
      <w:szCs w:val="21"/>
    </w:rPr>
  </w:style>
  <w:style w:type="paragraph" w:customStyle="1" w:styleId="524">
    <w:name w:val="EIA标题2"/>
    <w:basedOn w:val="3"/>
    <w:next w:val="1"/>
    <w:qFormat/>
    <w:uiPriority w:val="99"/>
    <w:pPr>
      <w:tabs>
        <w:tab w:val="left" w:pos="576"/>
      </w:tabs>
      <w:spacing w:before="0" w:after="120" w:line="440" w:lineRule="exact"/>
      <w:ind w:firstLine="425" w:firstLineChars="177"/>
      <w:jc w:val="left"/>
    </w:pPr>
    <w:rPr>
      <w:rFonts w:ascii="Times New Roman" w:hAnsi="Times New Roman" w:eastAsia="黑体" w:cs="Times New Roman"/>
      <w:b w:val="0"/>
      <w:bCs w:val="0"/>
      <w:color w:val="000000"/>
      <w:sz w:val="24"/>
      <w:szCs w:val="20"/>
    </w:rPr>
  </w:style>
  <w:style w:type="paragraph" w:customStyle="1" w:styleId="525">
    <w:name w:val="样式"/>
    <w:basedOn w:val="2"/>
    <w:next w:val="1"/>
    <w:qFormat/>
    <w:uiPriority w:val="99"/>
    <w:pPr>
      <w:keepNext w:val="0"/>
      <w:keepLines w:val="0"/>
      <w:pBdr>
        <w:bottom w:val="single" w:color="auto" w:sz="4" w:space="1"/>
      </w:pBdr>
      <w:spacing w:before="0" w:after="0" w:line="500" w:lineRule="atLeast"/>
      <w:ind w:firstLine="425" w:firstLineChars="177"/>
      <w:outlineLvl w:val="9"/>
    </w:pPr>
    <w:rPr>
      <w:b w:val="0"/>
      <w:bCs w:val="0"/>
      <w:kern w:val="2"/>
      <w:sz w:val="18"/>
      <w:szCs w:val="24"/>
    </w:rPr>
  </w:style>
  <w:style w:type="paragraph" w:customStyle="1" w:styleId="526">
    <w:name w:val="样式 标题 4常用标题 4 + 段前: 6 磅 段后: 6 磅 行距: 固定值 26 磅"/>
    <w:basedOn w:val="5"/>
    <w:next w:val="1"/>
    <w:qFormat/>
    <w:uiPriority w:val="99"/>
    <w:pPr>
      <w:tabs>
        <w:tab w:val="left" w:pos="2250"/>
      </w:tabs>
      <w:spacing w:before="0" w:after="0" w:line="240" w:lineRule="auto"/>
      <w:ind w:left="2250" w:hanging="420" w:firstLineChars="177"/>
    </w:pPr>
    <w:rPr>
      <w:rFonts w:ascii="Arial" w:hAnsi="Arial" w:eastAsia="黑体" w:cs="宋体"/>
      <w:szCs w:val="20"/>
    </w:rPr>
  </w:style>
  <w:style w:type="paragraph" w:customStyle="1" w:styleId="527">
    <w:name w:val="EIA正文"/>
    <w:basedOn w:val="2"/>
    <w:next w:val="1"/>
    <w:qFormat/>
    <w:uiPriority w:val="99"/>
    <w:pPr>
      <w:keepNext w:val="0"/>
      <w:keepLines w:val="0"/>
      <w:spacing w:before="0" w:after="0" w:line="360" w:lineRule="auto"/>
      <w:ind w:firstLine="578" w:firstLineChars="177"/>
      <w:outlineLvl w:val="9"/>
    </w:pPr>
    <w:rPr>
      <w:rFonts w:ascii="宋体" w:hAnsi="宋体"/>
      <w:b w:val="0"/>
      <w:bCs w:val="0"/>
      <w:kern w:val="2"/>
      <w:sz w:val="24"/>
      <w:szCs w:val="20"/>
    </w:rPr>
  </w:style>
  <w:style w:type="paragraph" w:customStyle="1" w:styleId="528">
    <w:name w:val="5"/>
    <w:basedOn w:val="2"/>
    <w:next w:val="13"/>
    <w:qFormat/>
    <w:uiPriority w:val="99"/>
    <w:pPr>
      <w:keepNext w:val="0"/>
      <w:keepLines w:val="0"/>
      <w:spacing w:before="0" w:after="0" w:line="500" w:lineRule="atLeast"/>
      <w:ind w:firstLine="420" w:firstLineChars="177"/>
      <w:outlineLvl w:val="9"/>
    </w:pPr>
    <w:rPr>
      <w:b w:val="0"/>
      <w:bCs w:val="0"/>
      <w:kern w:val="2"/>
      <w:sz w:val="24"/>
      <w:szCs w:val="21"/>
    </w:rPr>
  </w:style>
  <w:style w:type="paragraph" w:customStyle="1" w:styleId="529">
    <w:name w:val="+正文"/>
    <w:basedOn w:val="2"/>
    <w:next w:val="1"/>
    <w:qFormat/>
    <w:uiPriority w:val="99"/>
    <w:pPr>
      <w:keepNext w:val="0"/>
      <w:keepLines w:val="0"/>
      <w:adjustRightInd w:val="0"/>
      <w:snapToGrid w:val="0"/>
      <w:spacing w:before="0" w:after="0" w:line="360" w:lineRule="auto"/>
      <w:ind w:firstLine="200" w:firstLineChars="200"/>
      <w:outlineLvl w:val="9"/>
    </w:pPr>
    <w:rPr>
      <w:b w:val="0"/>
      <w:bCs w:val="0"/>
      <w:kern w:val="2"/>
      <w:sz w:val="24"/>
      <w:szCs w:val="28"/>
    </w:rPr>
  </w:style>
  <w:style w:type="paragraph" w:customStyle="1" w:styleId="530">
    <w:name w:val="样式 宋体 四号 两端对齐 行距: 1.5 倍行距"/>
    <w:basedOn w:val="2"/>
    <w:next w:val="1"/>
    <w:qFormat/>
    <w:uiPriority w:val="99"/>
    <w:pPr>
      <w:keepNext w:val="0"/>
      <w:keepLines w:val="0"/>
      <w:widowControl/>
      <w:overflowPunct w:val="0"/>
      <w:autoSpaceDE w:val="0"/>
      <w:autoSpaceDN w:val="0"/>
      <w:adjustRightInd w:val="0"/>
      <w:spacing w:before="0" w:after="0" w:line="480" w:lineRule="exact"/>
      <w:ind w:firstLine="200" w:firstLineChars="200"/>
      <w:outlineLvl w:val="9"/>
    </w:pPr>
    <w:rPr>
      <w:rFonts w:ascii="宋体" w:hAnsi="宋体" w:cs="宋体"/>
      <w:b w:val="0"/>
      <w:bCs w:val="0"/>
      <w:kern w:val="0"/>
      <w:sz w:val="28"/>
      <w:szCs w:val="20"/>
      <w:lang w:val="en-GB"/>
    </w:rPr>
  </w:style>
  <w:style w:type="character" w:customStyle="1" w:styleId="531">
    <w:name w:val="sn Char Char"/>
    <w:link w:val="532"/>
    <w:qFormat/>
    <w:locked/>
    <w:uiPriority w:val="0"/>
    <w:rPr>
      <w:rFonts w:ascii="Arial" w:hAnsi="Arial" w:cs="Arial"/>
      <w:sz w:val="24"/>
      <w:szCs w:val="24"/>
    </w:rPr>
  </w:style>
  <w:style w:type="paragraph" w:customStyle="1" w:styleId="532">
    <w:name w:val="sn"/>
    <w:basedOn w:val="43"/>
    <w:next w:val="1"/>
    <w:link w:val="531"/>
    <w:qFormat/>
    <w:uiPriority w:val="0"/>
    <w:pPr>
      <w:spacing w:line="240" w:lineRule="auto"/>
      <w:ind w:firstLine="480" w:firstLineChars="200"/>
    </w:pPr>
    <w:rPr>
      <w:rFonts w:ascii="Arial" w:hAnsi="Arial" w:cs="Arial" w:eastAsiaTheme="minorEastAsia"/>
    </w:rPr>
  </w:style>
  <w:style w:type="paragraph" w:customStyle="1" w:styleId="533">
    <w:name w:val="Char Char Char Char2"/>
    <w:basedOn w:val="2"/>
    <w:next w:val="1"/>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534">
    <w:name w:val="1表格"/>
    <w:basedOn w:val="2"/>
    <w:next w:val="1"/>
    <w:qFormat/>
    <w:uiPriority w:val="99"/>
    <w:pPr>
      <w:keepNext w:val="0"/>
      <w:keepLines w:val="0"/>
      <w:snapToGrid w:val="0"/>
      <w:spacing w:before="0" w:after="0" w:line="500" w:lineRule="atLeast"/>
      <w:ind w:firstLine="425" w:firstLineChars="177"/>
      <w:jc w:val="center"/>
      <w:outlineLvl w:val="9"/>
    </w:pPr>
    <w:rPr>
      <w:b w:val="0"/>
      <w:bCs w:val="0"/>
      <w:color w:val="000000"/>
      <w:spacing w:val="4"/>
      <w:kern w:val="0"/>
      <w:sz w:val="24"/>
      <w:szCs w:val="24"/>
    </w:rPr>
  </w:style>
  <w:style w:type="paragraph" w:customStyle="1" w:styleId="535">
    <w:name w:val="样式 标题 3样式　标题 3　自动设置标题 3 Char章 + Times New 表题3"/>
    <w:basedOn w:val="4"/>
    <w:next w:val="1"/>
    <w:qFormat/>
    <w:uiPriority w:val="99"/>
    <w:pPr>
      <w:tabs>
        <w:tab w:val="left" w:pos="1830"/>
        <w:tab w:val="left" w:pos="3800"/>
        <w:tab w:val="left" w:pos="5200"/>
      </w:tabs>
      <w:autoSpaceDE w:val="0"/>
      <w:autoSpaceDN w:val="0"/>
      <w:adjustRightInd w:val="0"/>
      <w:spacing w:before="120" w:after="0" w:line="240" w:lineRule="auto"/>
      <w:ind w:left="1830" w:hanging="420"/>
    </w:pPr>
    <w:rPr>
      <w:rFonts w:ascii="Times New Roman" w:hAnsi="Times New Roman"/>
      <w:b/>
      <w:bCs/>
      <w:kern w:val="0"/>
      <w:sz w:val="28"/>
      <w:szCs w:val="28"/>
    </w:rPr>
  </w:style>
  <w:style w:type="paragraph" w:customStyle="1" w:styleId="536">
    <w:name w:val="Bullet_Indent"/>
    <w:basedOn w:val="2"/>
    <w:next w:val="1"/>
    <w:qFormat/>
    <w:uiPriority w:val="99"/>
    <w:pPr>
      <w:keepNext w:val="0"/>
      <w:keepLines w:val="0"/>
      <w:widowControl/>
      <w:spacing w:before="0" w:after="240" w:line="500" w:lineRule="atLeast"/>
      <w:ind w:left="1440" w:hanging="720" w:firstLineChars="177"/>
      <w:jc w:val="left"/>
      <w:outlineLvl w:val="9"/>
    </w:pPr>
    <w:rPr>
      <w:b w:val="0"/>
      <w:bCs w:val="0"/>
      <w:kern w:val="0"/>
      <w:sz w:val="24"/>
      <w:szCs w:val="20"/>
    </w:rPr>
  </w:style>
  <w:style w:type="paragraph" w:customStyle="1" w:styleId="537">
    <w:name w:val="zhengwen"/>
    <w:basedOn w:val="2"/>
    <w:next w:val="1"/>
    <w:qFormat/>
    <w:uiPriority w:val="99"/>
    <w:pPr>
      <w:keepNext w:val="0"/>
      <w:keepLines w:val="0"/>
      <w:widowControl/>
      <w:spacing w:before="100" w:beforeAutospacing="1" w:after="100" w:afterAutospacing="1" w:line="800" w:lineRule="atLeast"/>
      <w:ind w:firstLine="425" w:firstLineChars="177"/>
      <w:jc w:val="left"/>
      <w:outlineLvl w:val="9"/>
    </w:pPr>
    <w:rPr>
      <w:rFonts w:ascii="Arial Unicode MS" w:hAnsi="Arial Unicode MS"/>
      <w:b w:val="0"/>
      <w:bCs w:val="0"/>
      <w:color w:val="333333"/>
      <w:kern w:val="0"/>
      <w:sz w:val="18"/>
      <w:szCs w:val="18"/>
    </w:rPr>
  </w:style>
  <w:style w:type="paragraph" w:customStyle="1" w:styleId="538">
    <w:name w:val="xl50"/>
    <w:basedOn w:val="2"/>
    <w:next w:val="1"/>
    <w:qFormat/>
    <w:uiPriority w:val="99"/>
    <w:pPr>
      <w:keepNext w:val="0"/>
      <w:keepLines w:val="0"/>
      <w:widowControl/>
      <w:pBdr>
        <w:left w:val="single" w:color="auto" w:sz="8" w:space="0"/>
        <w:bottom w:val="single" w:color="auto" w:sz="8" w:space="0"/>
        <w:right w:val="single" w:color="auto" w:sz="8" w:space="0"/>
      </w:pBdr>
      <w:spacing w:before="100" w:beforeAutospacing="1" w:after="100" w:afterAutospacing="1" w:line="500" w:lineRule="atLeast"/>
      <w:ind w:firstLine="425" w:firstLineChars="177"/>
      <w:jc w:val="center"/>
      <w:outlineLvl w:val="9"/>
    </w:pPr>
    <w:rPr>
      <w:b w:val="0"/>
      <w:bCs w:val="0"/>
      <w:color w:val="000000"/>
      <w:kern w:val="0"/>
      <w:sz w:val="24"/>
      <w:szCs w:val="21"/>
    </w:rPr>
  </w:style>
  <w:style w:type="paragraph" w:customStyle="1" w:styleId="539">
    <w:name w:val="表格2"/>
    <w:basedOn w:val="2"/>
    <w:next w:val="1"/>
    <w:qFormat/>
    <w:uiPriority w:val="99"/>
    <w:pPr>
      <w:keepNext w:val="0"/>
      <w:keepLines w:val="0"/>
      <w:spacing w:beforeLines="5" w:after="0" w:line="500" w:lineRule="atLeast"/>
      <w:ind w:firstLine="425" w:firstLineChars="177"/>
      <w:jc w:val="center"/>
      <w:outlineLvl w:val="9"/>
    </w:pPr>
    <w:rPr>
      <w:rFonts w:ascii="宋体"/>
      <w:b w:val="0"/>
      <w:bCs w:val="0"/>
      <w:kern w:val="2"/>
      <w:sz w:val="24"/>
      <w:szCs w:val="20"/>
    </w:rPr>
  </w:style>
  <w:style w:type="paragraph" w:customStyle="1" w:styleId="540">
    <w:name w:val="Char Char Char Char1 Char Char Char1 Char Char Char"/>
    <w:basedOn w:val="2"/>
    <w:next w:val="1"/>
    <w:qFormat/>
    <w:uiPriority w:val="99"/>
    <w:pPr>
      <w:keepNext w:val="0"/>
      <w:keepLines w:val="0"/>
      <w:spacing w:before="0" w:after="0" w:line="360" w:lineRule="auto"/>
      <w:ind w:firstLine="200" w:firstLineChars="200"/>
      <w:outlineLvl w:val="9"/>
    </w:pPr>
    <w:rPr>
      <w:rFonts w:ascii="宋体" w:hAnsi="宋体" w:cs="宋体"/>
      <w:b w:val="0"/>
      <w:bCs w:val="0"/>
      <w:kern w:val="2"/>
      <w:sz w:val="24"/>
      <w:szCs w:val="24"/>
    </w:rPr>
  </w:style>
  <w:style w:type="paragraph" w:customStyle="1" w:styleId="541">
    <w:name w:val="IDC A-Head (2nd Line)"/>
    <w:basedOn w:val="2"/>
    <w:next w:val="1"/>
    <w:qFormat/>
    <w:uiPriority w:val="99"/>
    <w:pPr>
      <w:keepNext w:val="0"/>
      <w:keepLines w:val="0"/>
      <w:widowControl/>
      <w:numPr>
        <w:ilvl w:val="0"/>
        <w:numId w:val="2"/>
      </w:numPr>
      <w:spacing w:before="0" w:after="0" w:line="500" w:lineRule="atLeast"/>
      <w:ind w:firstLine="177" w:firstLineChars="177"/>
      <w:jc w:val="center"/>
      <w:outlineLvl w:val="9"/>
    </w:pPr>
    <w:rPr>
      <w:b w:val="0"/>
      <w:bCs w:val="0"/>
      <w:caps/>
      <w:kern w:val="0"/>
      <w:sz w:val="24"/>
      <w:szCs w:val="20"/>
    </w:rPr>
  </w:style>
  <w:style w:type="paragraph" w:customStyle="1" w:styleId="542">
    <w:name w:val="表格文字（黑体）"/>
    <w:basedOn w:val="206"/>
    <w:next w:val="1"/>
    <w:qFormat/>
    <w:uiPriority w:val="99"/>
    <w:rPr>
      <w:rFonts w:ascii="Times New Roman" w:hAnsi="Times New Roman" w:eastAsia="宋体"/>
      <w:kern w:val="2"/>
      <w:sz w:val="21"/>
    </w:rPr>
  </w:style>
  <w:style w:type="paragraph" w:customStyle="1" w:styleId="543">
    <w:name w:val="Body Text 21"/>
    <w:basedOn w:val="2"/>
    <w:next w:val="1"/>
    <w:qFormat/>
    <w:uiPriority w:val="99"/>
    <w:pPr>
      <w:keepNext w:val="0"/>
      <w:keepLines w:val="0"/>
      <w:autoSpaceDE w:val="0"/>
      <w:autoSpaceDN w:val="0"/>
      <w:adjustRightInd w:val="0"/>
      <w:spacing w:before="0" w:after="0" w:line="480" w:lineRule="exact"/>
      <w:ind w:firstLine="540" w:firstLineChars="177"/>
      <w:outlineLvl w:val="9"/>
    </w:pPr>
    <w:rPr>
      <w:rFonts w:ascii="宋体" w:hAnsi="Tms Rmn"/>
      <w:b w:val="0"/>
      <w:bCs w:val="0"/>
      <w:kern w:val="0"/>
      <w:sz w:val="24"/>
      <w:szCs w:val="20"/>
    </w:rPr>
  </w:style>
  <w:style w:type="character" w:customStyle="1" w:styleId="544">
    <w:name w:val="二级标题 Char"/>
    <w:basedOn w:val="63"/>
    <w:link w:val="545"/>
    <w:qFormat/>
    <w:locked/>
    <w:uiPriority w:val="0"/>
    <w:rPr>
      <w:rFonts w:ascii="Arial" w:hAnsi="黑体" w:eastAsia="黑体" w:cs="Arial"/>
      <w:color w:val="000000"/>
      <w:kern w:val="0"/>
      <w:sz w:val="28"/>
      <w:szCs w:val="30"/>
    </w:rPr>
  </w:style>
  <w:style w:type="paragraph" w:customStyle="1" w:styleId="545">
    <w:name w:val="二级标题"/>
    <w:basedOn w:val="3"/>
    <w:next w:val="1"/>
    <w:link w:val="544"/>
    <w:qFormat/>
    <w:uiPriority w:val="0"/>
    <w:pPr>
      <w:spacing w:before="200" w:after="200" w:line="360" w:lineRule="auto"/>
    </w:pPr>
    <w:rPr>
      <w:rFonts w:ascii="Arial" w:hAnsi="黑体" w:eastAsia="黑体" w:cs="Arial"/>
      <w:color w:val="000000"/>
      <w:kern w:val="0"/>
      <w:sz w:val="28"/>
      <w:szCs w:val="30"/>
    </w:rPr>
  </w:style>
  <w:style w:type="paragraph" w:customStyle="1" w:styleId="546">
    <w:name w:val="正文曹"/>
    <w:basedOn w:val="21"/>
    <w:next w:val="1"/>
    <w:qFormat/>
    <w:uiPriority w:val="99"/>
    <w:pPr>
      <w:widowControl/>
      <w:spacing w:line="500" w:lineRule="exact"/>
      <w:jc w:val="left"/>
    </w:pPr>
    <w:rPr>
      <w:rFonts w:ascii="宋体" w:hAnsi="宋体"/>
      <w:color w:val="000000"/>
    </w:rPr>
  </w:style>
  <w:style w:type="character" w:customStyle="1" w:styleId="547">
    <w:name w:val="【标题2】 Char Char"/>
    <w:link w:val="548"/>
    <w:qFormat/>
    <w:locked/>
    <w:uiPriority w:val="0"/>
    <w:rPr>
      <w:rFonts w:eastAsia="黑体" w:cstheme="minorBidi"/>
      <w:bCs/>
      <w:kern w:val="2"/>
      <w:sz w:val="28"/>
      <w:szCs w:val="22"/>
    </w:rPr>
  </w:style>
  <w:style w:type="paragraph" w:customStyle="1" w:styleId="548">
    <w:name w:val="【标题2】"/>
    <w:basedOn w:val="3"/>
    <w:next w:val="1"/>
    <w:link w:val="547"/>
    <w:qFormat/>
    <w:uiPriority w:val="0"/>
    <w:pPr>
      <w:keepNext w:val="0"/>
      <w:tabs>
        <w:tab w:val="left" w:pos="720"/>
      </w:tabs>
      <w:adjustRightInd w:val="0"/>
      <w:snapToGrid w:val="0"/>
      <w:spacing w:before="0" w:after="0" w:line="500" w:lineRule="exact"/>
    </w:pPr>
    <w:rPr>
      <w:rFonts w:ascii="Times New Roman" w:hAnsi="Times New Roman" w:eastAsia="黑体" w:cstheme="minorBidi"/>
      <w:b w:val="0"/>
      <w:sz w:val="28"/>
      <w:szCs w:val="22"/>
    </w:rPr>
  </w:style>
  <w:style w:type="character" w:customStyle="1" w:styleId="549">
    <w:name w:val="表格内正文 Char"/>
    <w:link w:val="550"/>
    <w:qFormat/>
    <w:locked/>
    <w:uiPriority w:val="0"/>
    <w:rPr>
      <w:rFonts w:ascii="宋体" w:hAnsi="宋体" w:eastAsia="宋体"/>
      <w:szCs w:val="24"/>
    </w:rPr>
  </w:style>
  <w:style w:type="paragraph" w:customStyle="1" w:styleId="550">
    <w:name w:val="表格内正文"/>
    <w:basedOn w:val="2"/>
    <w:next w:val="1"/>
    <w:link w:val="549"/>
    <w:qFormat/>
    <w:uiPriority w:val="0"/>
    <w:pPr>
      <w:keepNext w:val="0"/>
      <w:keepLines w:val="0"/>
      <w:spacing w:before="0" w:after="0" w:line="360" w:lineRule="auto"/>
      <w:jc w:val="center"/>
      <w:outlineLvl w:val="9"/>
    </w:pPr>
    <w:rPr>
      <w:rFonts w:ascii="宋体" w:hAnsi="宋体" w:cstheme="minorBidi"/>
      <w:b w:val="0"/>
      <w:bCs w:val="0"/>
      <w:kern w:val="2"/>
      <w:sz w:val="21"/>
      <w:szCs w:val="24"/>
    </w:rPr>
  </w:style>
  <w:style w:type="paragraph" w:customStyle="1" w:styleId="551">
    <w:name w:val="样式 cucd-0 + 宋体"/>
    <w:basedOn w:val="382"/>
    <w:next w:val="1"/>
    <w:qFormat/>
    <w:uiPriority w:val="99"/>
    <w:rPr>
      <w:rFonts w:ascii="宋体" w:hAnsi="宋体"/>
    </w:rPr>
  </w:style>
  <w:style w:type="paragraph" w:customStyle="1" w:styleId="552">
    <w:name w:val="Char Char Char Char Char Char Char Char Char Char Char Char1 Char Char Char Char Char Char Char Char Char Char Char Char1 Char"/>
    <w:basedOn w:val="2"/>
    <w:next w:val="1"/>
    <w:semiHidden/>
    <w:qFormat/>
    <w:uiPriority w:val="99"/>
    <w:pPr>
      <w:keepNext w:val="0"/>
      <w:keepLines w:val="0"/>
      <w:spacing w:before="0" w:after="0" w:line="336" w:lineRule="auto"/>
      <w:ind w:firstLine="200" w:firstLineChars="200"/>
      <w:outlineLvl w:val="9"/>
    </w:pPr>
    <w:rPr>
      <w:rFonts w:ascii="宋体" w:hAnsi="宋体" w:eastAsia="汉鼎简书宋" w:cs="宋体"/>
      <w:b w:val="0"/>
      <w:bCs w:val="0"/>
      <w:kern w:val="2"/>
      <w:sz w:val="24"/>
      <w:szCs w:val="24"/>
    </w:rPr>
  </w:style>
  <w:style w:type="paragraph" w:customStyle="1" w:styleId="553">
    <w:name w:val="Char Char Char1 Char"/>
    <w:basedOn w:val="2"/>
    <w:next w:val="1"/>
    <w:semiHidden/>
    <w:qFormat/>
    <w:uiPriority w:val="99"/>
    <w:pPr>
      <w:keepNext w:val="0"/>
      <w:keepLines w:val="0"/>
      <w:spacing w:before="0" w:after="0" w:line="500" w:lineRule="atLeast"/>
      <w:ind w:firstLine="425" w:firstLineChars="177"/>
      <w:outlineLvl w:val="9"/>
    </w:pPr>
    <w:rPr>
      <w:b w:val="0"/>
      <w:bCs w:val="0"/>
      <w:kern w:val="2"/>
      <w:sz w:val="24"/>
      <w:szCs w:val="24"/>
    </w:rPr>
  </w:style>
  <w:style w:type="paragraph" w:customStyle="1" w:styleId="554">
    <w:name w:val="正文(a)"/>
    <w:basedOn w:val="2"/>
    <w:next w:val="1"/>
    <w:semiHidden/>
    <w:qFormat/>
    <w:uiPriority w:val="99"/>
    <w:pPr>
      <w:keepNext w:val="0"/>
      <w:keepLines w:val="0"/>
      <w:widowControl/>
      <w:tabs>
        <w:tab w:val="left" w:pos="1139"/>
        <w:tab w:val="left" w:pos="1332"/>
      </w:tabs>
      <w:spacing w:before="0" w:after="0" w:line="351" w:lineRule="atLeast"/>
      <w:ind w:left="-141" w:firstLine="566" w:firstLineChars="177"/>
      <w:outlineLvl w:val="9"/>
    </w:pPr>
    <w:rPr>
      <w:rFonts w:ascii="宋体" w:cs="宋体"/>
      <w:b w:val="0"/>
      <w:color w:val="000000"/>
      <w:spacing w:val="5"/>
      <w:kern w:val="0"/>
      <w:sz w:val="24"/>
      <w:szCs w:val="21"/>
      <w:u w:color="000000"/>
    </w:rPr>
  </w:style>
  <w:style w:type="character" w:styleId="555">
    <w:name w:val="Placeholder Text"/>
    <w:basedOn w:val="50"/>
    <w:semiHidden/>
    <w:qFormat/>
    <w:uiPriority w:val="99"/>
    <w:rPr>
      <w:color w:val="808080"/>
    </w:rPr>
  </w:style>
  <w:style w:type="character" w:customStyle="1" w:styleId="556">
    <w:name w:val="页脚 Char1"/>
    <w:basedOn w:val="50"/>
    <w:semiHidden/>
    <w:qFormat/>
    <w:uiPriority w:val="99"/>
    <w:rPr>
      <w:rFonts w:ascii="Times New Roman" w:hAnsi="Times New Roman" w:eastAsia="宋体" w:cs="Times New Roman"/>
      <w:sz w:val="18"/>
      <w:szCs w:val="18"/>
    </w:rPr>
  </w:style>
  <w:style w:type="character" w:customStyle="1" w:styleId="557">
    <w:name w:val="文档结构图 Char1"/>
    <w:basedOn w:val="50"/>
    <w:semiHidden/>
    <w:qFormat/>
    <w:uiPriority w:val="99"/>
    <w:rPr>
      <w:rFonts w:ascii="宋体" w:hAnsi="Times New Roman" w:eastAsia="宋体" w:cs="Times New Roman"/>
      <w:sz w:val="18"/>
      <w:szCs w:val="18"/>
    </w:rPr>
  </w:style>
  <w:style w:type="character" w:customStyle="1" w:styleId="558">
    <w:name w:val="副标题 Char1"/>
    <w:basedOn w:val="50"/>
    <w:qFormat/>
    <w:uiPriority w:val="11"/>
    <w:rPr>
      <w:rFonts w:eastAsia="宋体" w:asciiTheme="majorHAnsi" w:hAnsiTheme="majorHAnsi" w:cstheme="majorBidi"/>
      <w:b/>
      <w:bCs/>
      <w:kern w:val="28"/>
      <w:sz w:val="32"/>
      <w:szCs w:val="32"/>
    </w:rPr>
  </w:style>
  <w:style w:type="character" w:customStyle="1" w:styleId="559">
    <w:name w:val="fontstyle21"/>
    <w:basedOn w:val="50"/>
    <w:qFormat/>
    <w:uiPriority w:val="0"/>
    <w:rPr>
      <w:rFonts w:hint="default" w:ascii="Times New Roman" w:hAnsi="Times New Roman" w:cs="Times New Roman"/>
      <w:color w:val="000000"/>
      <w:sz w:val="24"/>
      <w:szCs w:val="24"/>
    </w:rPr>
  </w:style>
  <w:style w:type="character" w:customStyle="1" w:styleId="560">
    <w:name w:val="正文文本 2 Char1"/>
    <w:basedOn w:val="50"/>
    <w:semiHidden/>
    <w:qFormat/>
    <w:uiPriority w:val="0"/>
    <w:rPr>
      <w:rFonts w:ascii="Times New Roman" w:hAnsi="Times New Roman" w:eastAsia="宋体" w:cs="Times New Roman"/>
      <w:szCs w:val="24"/>
    </w:rPr>
  </w:style>
  <w:style w:type="character" w:customStyle="1" w:styleId="561">
    <w:name w:val="正文文本 3 Char1"/>
    <w:basedOn w:val="50"/>
    <w:semiHidden/>
    <w:qFormat/>
    <w:uiPriority w:val="0"/>
    <w:rPr>
      <w:rFonts w:ascii="Times New Roman" w:hAnsi="Times New Roman" w:eastAsia="宋体" w:cs="Times New Roman"/>
      <w:sz w:val="16"/>
      <w:szCs w:val="16"/>
    </w:rPr>
  </w:style>
  <w:style w:type="character" w:customStyle="1" w:styleId="562">
    <w:name w:val="正文文本缩进 3 Char1"/>
    <w:basedOn w:val="50"/>
    <w:semiHidden/>
    <w:qFormat/>
    <w:uiPriority w:val="99"/>
    <w:rPr>
      <w:rFonts w:ascii="Times New Roman" w:hAnsi="Times New Roman" w:eastAsia="宋体" w:cs="Times New Roman"/>
      <w:sz w:val="16"/>
      <w:szCs w:val="16"/>
    </w:rPr>
  </w:style>
  <w:style w:type="character" w:customStyle="1" w:styleId="563">
    <w:name w:val="批注主题 Char1"/>
    <w:basedOn w:val="129"/>
    <w:semiHidden/>
    <w:qFormat/>
    <w:uiPriority w:val="99"/>
    <w:rPr>
      <w:rFonts w:ascii="Times New Roman" w:hAnsi="Times New Roman" w:eastAsia="宋体" w:cs="Times New Roman"/>
      <w:b/>
      <w:bCs/>
      <w:szCs w:val="24"/>
    </w:rPr>
  </w:style>
  <w:style w:type="character" w:customStyle="1" w:styleId="564">
    <w:name w:val="批注框文本 Char1"/>
    <w:basedOn w:val="50"/>
    <w:semiHidden/>
    <w:qFormat/>
    <w:uiPriority w:val="0"/>
    <w:rPr>
      <w:rFonts w:ascii="Times New Roman" w:hAnsi="Times New Roman" w:eastAsia="宋体" w:cs="Times New Roman"/>
      <w:sz w:val="18"/>
      <w:szCs w:val="18"/>
    </w:rPr>
  </w:style>
  <w:style w:type="character" w:customStyle="1" w:styleId="565">
    <w:name w:val="【正文】 Char Char"/>
    <w:qFormat/>
    <w:uiPriority w:val="0"/>
    <w:rPr>
      <w:sz w:val="24"/>
    </w:rPr>
  </w:style>
  <w:style w:type="character" w:customStyle="1" w:styleId="566">
    <w:name w:val="fontstyle31"/>
    <w:basedOn w:val="50"/>
    <w:qFormat/>
    <w:uiPriority w:val="0"/>
    <w:rPr>
      <w:rFonts w:hint="default" w:ascii="TimesNewRomanPS-ItalicMT" w:hAnsi="TimesNewRomanPS-ItalicMT"/>
      <w:i/>
      <w:iCs/>
      <w:color w:val="000000"/>
      <w:sz w:val="14"/>
      <w:szCs w:val="14"/>
    </w:rPr>
  </w:style>
  <w:style w:type="character" w:customStyle="1" w:styleId="567">
    <w:name w:val="表正文 Char1 Char Char"/>
    <w:qFormat/>
    <w:uiPriority w:val="0"/>
    <w:rPr>
      <w:sz w:val="24"/>
    </w:rPr>
  </w:style>
  <w:style w:type="character" w:customStyle="1" w:styleId="568">
    <w:name w:val="style81"/>
    <w:qFormat/>
    <w:uiPriority w:val="0"/>
    <w:rPr>
      <w:rFonts w:hint="eastAsia" w:ascii="宋体" w:hAnsi="宋体" w:eastAsia="黑体" w:cs="宋体"/>
      <w:kern w:val="2"/>
      <w:sz w:val="24"/>
      <w:szCs w:val="24"/>
      <w:lang w:val="en-US" w:eastAsia="zh-CN" w:bidi="ar-SA"/>
    </w:rPr>
  </w:style>
  <w:style w:type="character" w:customStyle="1" w:styleId="569">
    <w:name w:val="样式 正文zoe + 幼圆1 Char Char"/>
    <w:qFormat/>
    <w:uiPriority w:val="0"/>
    <w:rPr>
      <w:rFonts w:hint="eastAsia" w:ascii="幼圆" w:hAnsi="幼圆" w:eastAsia="宋体" w:cs="Times New Roman"/>
      <w:kern w:val="0"/>
      <w:sz w:val="24"/>
      <w:szCs w:val="20"/>
    </w:rPr>
  </w:style>
  <w:style w:type="character" w:customStyle="1" w:styleId="570">
    <w:name w:val="正文(首行缩进) Char Char"/>
    <w:qFormat/>
    <w:uiPriority w:val="0"/>
    <w:rPr>
      <w:snapToGrid w:val="0"/>
      <w:sz w:val="24"/>
      <w:szCs w:val="24"/>
    </w:rPr>
  </w:style>
  <w:style w:type="character" w:customStyle="1" w:styleId="571">
    <w:name w:val="表格 Char Char"/>
    <w:qFormat/>
    <w:uiPriority w:val="0"/>
    <w:rPr>
      <w:rFonts w:hint="eastAsia" w:ascii="宋体" w:hAnsi="宋体" w:eastAsia="宋体" w:cs="Times New Roman"/>
      <w:snapToGrid w:val="0"/>
      <w:kern w:val="0"/>
      <w:sz w:val="20"/>
      <w:szCs w:val="20"/>
    </w:rPr>
  </w:style>
  <w:style w:type="character" w:customStyle="1" w:styleId="572">
    <w:name w:val="Char Char17"/>
    <w:qFormat/>
    <w:uiPriority w:val="0"/>
    <w:rPr>
      <w:rFonts w:hint="default" w:ascii="Times New Roman" w:hAnsi="Times New Roman" w:eastAsia="黑体" w:cs="Times New Roman"/>
      <w:bCs/>
      <w:color w:val="000000"/>
      <w:sz w:val="28"/>
      <w:szCs w:val="28"/>
    </w:rPr>
  </w:style>
  <w:style w:type="character" w:customStyle="1" w:styleId="573">
    <w:name w:val="Char Char16"/>
    <w:qFormat/>
    <w:uiPriority w:val="0"/>
    <w:rPr>
      <w:rFonts w:hint="default" w:ascii="Times New Roman" w:hAnsi="Times New Roman" w:eastAsia="宋体" w:cs="Times New Roman"/>
      <w:b/>
      <w:bCs/>
      <w:color w:val="000000"/>
      <w:sz w:val="28"/>
      <w:szCs w:val="28"/>
    </w:rPr>
  </w:style>
  <w:style w:type="character" w:customStyle="1" w:styleId="574">
    <w:name w:val="正文文本缩进 Char Char"/>
    <w:basedOn w:val="50"/>
    <w:qFormat/>
    <w:uiPriority w:val="0"/>
  </w:style>
  <w:style w:type="character" w:customStyle="1" w:styleId="575">
    <w:name w:val="正文文本_"/>
    <w:qFormat/>
    <w:uiPriority w:val="0"/>
    <w:rPr>
      <w:rFonts w:hint="eastAsia" w:ascii="MingLiU" w:hAnsi="MingLiU" w:eastAsia="MingLiU" w:cs="MingLiU"/>
      <w:sz w:val="23"/>
      <w:szCs w:val="23"/>
      <w:u w:val="none"/>
    </w:rPr>
  </w:style>
  <w:style w:type="character" w:customStyle="1" w:styleId="576">
    <w:name w:val="正文文本 + Times New Roman3"/>
    <w:qFormat/>
    <w:uiPriority w:val="0"/>
    <w:rPr>
      <w:rFonts w:hint="default" w:ascii="Times New Roman" w:hAnsi="Times New Roman" w:eastAsia="MingLiU" w:cs="Times New Roman"/>
      <w:sz w:val="23"/>
      <w:szCs w:val="23"/>
      <w:u w:val="none"/>
    </w:rPr>
  </w:style>
  <w:style w:type="character" w:customStyle="1" w:styleId="577">
    <w:name w:val="正文文本 + Times New Roman2"/>
    <w:qFormat/>
    <w:uiPriority w:val="0"/>
    <w:rPr>
      <w:rFonts w:hint="default" w:ascii="Times New Roman" w:hAnsi="Times New Roman" w:eastAsia="MingLiU" w:cs="Times New Roman"/>
      <w:b/>
      <w:bCs/>
      <w:sz w:val="16"/>
      <w:szCs w:val="16"/>
      <w:u w:val="none"/>
    </w:rPr>
  </w:style>
  <w:style w:type="character" w:customStyle="1" w:styleId="578">
    <w:name w:val="正文文本 (2) + Times New Roman"/>
    <w:qFormat/>
    <w:uiPriority w:val="0"/>
    <w:rPr>
      <w:rFonts w:hint="default" w:ascii="Times New Roman" w:hAnsi="Times New Roman" w:eastAsia="MingLiU" w:cs="Times New Roman"/>
      <w:b/>
      <w:bCs/>
      <w:sz w:val="20"/>
      <w:szCs w:val="20"/>
      <w:lang w:bidi="ar-SA"/>
    </w:rPr>
  </w:style>
  <w:style w:type="character" w:customStyle="1" w:styleId="579">
    <w:name w:val="正文文本 + 间距 0 pt"/>
    <w:qFormat/>
    <w:uiPriority w:val="0"/>
    <w:rPr>
      <w:rFonts w:hint="eastAsia" w:ascii="MingLiU" w:hAnsi="MingLiU" w:eastAsia="MingLiU" w:cs="MingLiU"/>
      <w:spacing w:val="-11"/>
      <w:sz w:val="23"/>
      <w:szCs w:val="23"/>
      <w:u w:val="none"/>
    </w:rPr>
  </w:style>
  <w:style w:type="character" w:customStyle="1" w:styleId="580">
    <w:name w:val="正文文本 + 间距 0 pt10"/>
    <w:qFormat/>
    <w:uiPriority w:val="0"/>
    <w:rPr>
      <w:rFonts w:hint="eastAsia" w:ascii="MingLiU" w:hAnsi="MingLiU" w:eastAsia="MingLiU" w:cs="MingLiU"/>
      <w:spacing w:val="-15"/>
      <w:sz w:val="23"/>
      <w:szCs w:val="23"/>
      <w:u w:val="none"/>
    </w:rPr>
  </w:style>
  <w:style w:type="character" w:customStyle="1" w:styleId="581">
    <w:name w:val="Char Char172"/>
    <w:qFormat/>
    <w:uiPriority w:val="0"/>
    <w:rPr>
      <w:rFonts w:hint="default" w:ascii="Times New Roman" w:hAnsi="Times New Roman" w:eastAsia="黑体" w:cs="Times New Roman"/>
      <w:bCs/>
      <w:color w:val="000000"/>
      <w:sz w:val="28"/>
      <w:szCs w:val="28"/>
    </w:rPr>
  </w:style>
  <w:style w:type="character" w:customStyle="1" w:styleId="582">
    <w:name w:val="Char Char162"/>
    <w:qFormat/>
    <w:uiPriority w:val="0"/>
    <w:rPr>
      <w:rFonts w:hint="default" w:ascii="Times New Roman" w:hAnsi="Times New Roman" w:eastAsia="宋体" w:cs="Times New Roman"/>
      <w:b/>
      <w:bCs/>
      <w:color w:val="000000"/>
      <w:sz w:val="28"/>
      <w:szCs w:val="28"/>
    </w:rPr>
  </w:style>
  <w:style w:type="character" w:customStyle="1" w:styleId="583">
    <w:name w:val="Char Char171"/>
    <w:qFormat/>
    <w:uiPriority w:val="0"/>
    <w:rPr>
      <w:rFonts w:hint="default" w:ascii="Times New Roman" w:hAnsi="Times New Roman" w:eastAsia="黑体" w:cs="Times New Roman"/>
      <w:bCs/>
      <w:color w:val="000000"/>
      <w:sz w:val="28"/>
      <w:szCs w:val="28"/>
    </w:rPr>
  </w:style>
  <w:style w:type="character" w:customStyle="1" w:styleId="584">
    <w:name w:val="Char Char161"/>
    <w:qFormat/>
    <w:uiPriority w:val="0"/>
    <w:rPr>
      <w:rFonts w:hint="default" w:ascii="Times New Roman" w:hAnsi="Times New Roman" w:eastAsia="宋体" w:cs="Times New Roman"/>
      <w:b/>
      <w:bCs/>
      <w:color w:val="000000"/>
      <w:sz w:val="28"/>
      <w:szCs w:val="28"/>
    </w:rPr>
  </w:style>
  <w:style w:type="character" w:customStyle="1" w:styleId="585">
    <w:name w:val="样式 黑体 四号"/>
    <w:basedOn w:val="50"/>
    <w:qFormat/>
    <w:uiPriority w:val="0"/>
    <w:rPr>
      <w:rFonts w:hint="eastAsia" w:ascii="黑体" w:hAnsi="黑体" w:eastAsia="黑体"/>
      <w:sz w:val="28"/>
    </w:rPr>
  </w:style>
  <w:style w:type="character" w:customStyle="1" w:styleId="586">
    <w:name w:val="样式 黑体 小三"/>
    <w:basedOn w:val="50"/>
    <w:qFormat/>
    <w:uiPriority w:val="0"/>
    <w:rPr>
      <w:rFonts w:hint="default" w:ascii="Times New Roman" w:hAnsi="Times New Roman" w:eastAsia="仿宋_GB2312" w:cs="Times New Roman"/>
    </w:rPr>
  </w:style>
  <w:style w:type="character" w:customStyle="1" w:styleId="587">
    <w:name w:val="Normal Char Char"/>
    <w:qFormat/>
    <w:uiPriority w:val="0"/>
    <w:rPr>
      <w:rFonts w:hint="eastAsia" w:ascii="宋体" w:hAnsi="Times New Roman" w:eastAsia="宋体"/>
      <w:kern w:val="2"/>
      <w:sz w:val="24"/>
      <w:szCs w:val="22"/>
      <w:lang w:val="en-US" w:eastAsia="zh-CN" w:bidi="ar-SA"/>
    </w:rPr>
  </w:style>
  <w:style w:type="character" w:customStyle="1" w:styleId="588">
    <w:name w:val="Char Char4"/>
    <w:qFormat/>
    <w:uiPriority w:val="0"/>
    <w:rPr>
      <w:rFonts w:hint="eastAsia" w:ascii="楷体_GB2312" w:eastAsia="楷体_GB2312"/>
      <w:color w:val="000000"/>
      <w:sz w:val="24"/>
      <w:szCs w:val="24"/>
      <w:shd w:val="clear" w:color="auto" w:fill="FFFFFF"/>
      <w:lang w:val="zh-CN" w:eastAsia="zh-CN" w:bidi="ar-SA"/>
    </w:rPr>
  </w:style>
  <w:style w:type="character" w:customStyle="1" w:styleId="589">
    <w:name w:val="表头 Char"/>
    <w:qFormat/>
    <w:uiPriority w:val="0"/>
    <w:rPr>
      <w:rFonts w:hint="eastAsia" w:ascii="黑体" w:hAnsi="黑体" w:eastAsia="黑体"/>
      <w:kern w:val="2"/>
      <w:sz w:val="24"/>
      <w:szCs w:val="24"/>
      <w:lang w:val="en-US" w:eastAsia="zh-CN" w:bidi="ar-SA"/>
      <w14:shadow w14:blurRad="50800" w14:dist="38100" w14:dir="2700000" w14:sx="100000" w14:sy="100000" w14:kx="0" w14:ky="0" w14:algn="tl">
        <w14:srgbClr w14:val="000000">
          <w14:alpha w14:val="60000"/>
        </w14:srgbClr>
      </w14:shadow>
    </w:rPr>
  </w:style>
  <w:style w:type="character" w:customStyle="1" w:styleId="590">
    <w:name w:val="正文---------------- Char"/>
    <w:qFormat/>
    <w:uiPriority w:val="0"/>
    <w:rPr>
      <w:rFonts w:hint="default" w:ascii="Times New Roman" w:hAnsi="Times New Roman" w:eastAsia="宋体" w:cs="Times New Roman"/>
      <w:spacing w:val="16"/>
      <w:sz w:val="24"/>
      <w:szCs w:val="20"/>
    </w:rPr>
  </w:style>
  <w:style w:type="character" w:customStyle="1" w:styleId="591">
    <w:name w:val="表格标题 Char Char"/>
    <w:qFormat/>
    <w:uiPriority w:val="0"/>
    <w:rPr>
      <w:rFonts w:hint="eastAsia" w:ascii="宋体" w:hAnsi="宋体" w:eastAsia="宋体"/>
      <w:szCs w:val="21"/>
    </w:rPr>
  </w:style>
  <w:style w:type="character" w:customStyle="1" w:styleId="592">
    <w:name w:val="style151"/>
    <w:qFormat/>
    <w:uiPriority w:val="0"/>
    <w:rPr>
      <w:spacing w:val="240"/>
      <w:sz w:val="18"/>
      <w:szCs w:val="18"/>
    </w:rPr>
  </w:style>
  <w:style w:type="character" w:customStyle="1" w:styleId="593">
    <w:name w:val="正 Char1"/>
    <w:qFormat/>
    <w:uiPriority w:val="0"/>
    <w:rPr>
      <w:rFonts w:hint="eastAsia" w:ascii="宋体" w:hAnsi="宋体" w:eastAsia="宋体" w:cs="宋体"/>
      <w:sz w:val="24"/>
    </w:rPr>
  </w:style>
  <w:style w:type="character" w:customStyle="1" w:styleId="594">
    <w:name w:val="样式 样式 四号 蓝色 + 自动设置"/>
    <w:basedOn w:val="50"/>
    <w:qFormat/>
    <w:uiPriority w:val="0"/>
    <w:rPr>
      <w:color w:val="auto"/>
      <w:sz w:val="24"/>
    </w:rPr>
  </w:style>
  <w:style w:type="character" w:customStyle="1" w:styleId="595">
    <w:name w:val="apple-converted-space"/>
    <w:basedOn w:val="50"/>
    <w:qFormat/>
    <w:uiPriority w:val="0"/>
  </w:style>
  <w:style w:type="character" w:customStyle="1" w:styleId="596">
    <w:name w:val="正文111 Char Char"/>
    <w:qFormat/>
    <w:uiPriority w:val="0"/>
    <w:rPr>
      <w:rFonts w:hint="default" w:ascii="Times New Roman" w:hAnsi="Times New Roman" w:eastAsia="仿宋_GB2312" w:cs="Times New Roman"/>
      <w:spacing w:val="6"/>
      <w:sz w:val="24"/>
      <w:szCs w:val="24"/>
    </w:rPr>
  </w:style>
  <w:style w:type="character" w:customStyle="1" w:styleId="597">
    <w:name w:val="已访问的超链接1"/>
    <w:basedOn w:val="50"/>
    <w:qFormat/>
    <w:uiPriority w:val="0"/>
    <w:rPr>
      <w:color w:val="800080"/>
      <w:u w:val="single"/>
    </w:rPr>
  </w:style>
  <w:style w:type="character" w:customStyle="1" w:styleId="598">
    <w:name w:val="defaultfont"/>
    <w:basedOn w:val="50"/>
    <w:qFormat/>
    <w:uiPriority w:val="0"/>
  </w:style>
  <w:style w:type="character" w:customStyle="1" w:styleId="599">
    <w:name w:val="正文文本 2 Char Char Char"/>
    <w:qFormat/>
    <w:uiPriority w:val="0"/>
    <w:rPr>
      <w:kern w:val="2"/>
      <w:sz w:val="21"/>
      <w:szCs w:val="24"/>
    </w:rPr>
  </w:style>
  <w:style w:type="character" w:customStyle="1" w:styleId="600">
    <w:name w:val="题注 Char1 Char1"/>
    <w:qFormat/>
    <w:uiPriority w:val="0"/>
    <w:rPr>
      <w:rFonts w:hint="default" w:ascii="Arial" w:hAnsi="Arial" w:eastAsia="黑体" w:cs="Arial"/>
      <w:color w:val="000000"/>
      <w:spacing w:val="4"/>
      <w:kern w:val="2"/>
      <w:sz w:val="21"/>
      <w:szCs w:val="21"/>
      <w:lang w:val="en-US" w:eastAsia="zh-CN" w:bidi="ar-SA"/>
    </w:rPr>
  </w:style>
  <w:style w:type="character" w:customStyle="1" w:styleId="601">
    <w:name w:val="default1"/>
    <w:qFormat/>
    <w:uiPriority w:val="0"/>
    <w:rPr>
      <w:sz w:val="21"/>
      <w:szCs w:val="21"/>
    </w:rPr>
  </w:style>
  <w:style w:type="character" w:customStyle="1" w:styleId="602">
    <w:name w:val="正文（首行缩进两字） Char Char Char Char Char Char Char Char Char Char Char Char Char Char Char Char Char Char Char Char Char Char Char Char Char Char Char Char Char Char Char Char Char Char Char Char Char Char Char Char Char Char Char Char Char Char"/>
    <w:qFormat/>
    <w:uiPriority w:val="0"/>
    <w:rPr>
      <w:rFonts w:hint="eastAsia" w:ascii="宋体" w:hAnsi="宋体" w:eastAsia="宋体"/>
      <w:sz w:val="21"/>
      <w:lang w:val="en-US" w:eastAsia="zh-CN" w:bidi="ar-SA"/>
    </w:rPr>
  </w:style>
  <w:style w:type="character" w:customStyle="1" w:styleId="603">
    <w:name w:val="style3"/>
    <w:basedOn w:val="50"/>
    <w:qFormat/>
    <w:uiPriority w:val="0"/>
  </w:style>
  <w:style w:type="character" w:customStyle="1" w:styleId="604">
    <w:name w:val="textfont11"/>
    <w:qFormat/>
    <w:uiPriority w:val="0"/>
    <w:rPr>
      <w:color w:val="000000"/>
      <w:sz w:val="21"/>
      <w:szCs w:val="21"/>
      <w:u w:val="none"/>
    </w:rPr>
  </w:style>
  <w:style w:type="character" w:customStyle="1" w:styleId="605">
    <w:name w:val="正文2 Char Char"/>
    <w:qFormat/>
    <w:uiPriority w:val="0"/>
    <w:rPr>
      <w:sz w:val="21"/>
    </w:rPr>
  </w:style>
  <w:style w:type="character" w:customStyle="1" w:styleId="606">
    <w:name w:val="批注框文本 Char Char Char"/>
    <w:qFormat/>
    <w:uiPriority w:val="0"/>
    <w:rPr>
      <w:kern w:val="2"/>
      <w:sz w:val="18"/>
      <w:szCs w:val="18"/>
    </w:rPr>
  </w:style>
  <w:style w:type="character" w:customStyle="1" w:styleId="607">
    <w:name w:val="apple-style-span"/>
    <w:basedOn w:val="50"/>
    <w:qFormat/>
    <w:uiPriority w:val="0"/>
  </w:style>
  <w:style w:type="character" w:customStyle="1" w:styleId="608">
    <w:name w:val="zy"/>
    <w:basedOn w:val="50"/>
    <w:qFormat/>
    <w:uiPriority w:val="0"/>
  </w:style>
  <w:style w:type="character" w:customStyle="1" w:styleId="609">
    <w:name w:val="unnamed11"/>
    <w:qFormat/>
    <w:uiPriority w:val="0"/>
    <w:rPr>
      <w:spacing w:val="400"/>
      <w:sz w:val="18"/>
      <w:szCs w:val="18"/>
    </w:rPr>
  </w:style>
  <w:style w:type="character" w:customStyle="1" w:styleId="610">
    <w:name w:val="oblogtext"/>
    <w:basedOn w:val="50"/>
    <w:qFormat/>
    <w:uiPriority w:val="0"/>
  </w:style>
  <w:style w:type="character" w:customStyle="1" w:styleId="611">
    <w:name w:val="题注 Char1"/>
    <w:qFormat/>
    <w:uiPriority w:val="0"/>
    <w:rPr>
      <w:rFonts w:hint="default" w:ascii="Arial" w:hAnsi="Arial" w:eastAsia="黑体" w:cs="Arial"/>
    </w:rPr>
  </w:style>
  <w:style w:type="character" w:customStyle="1" w:styleId="612">
    <w:name w:val="txt31"/>
    <w:qFormat/>
    <w:uiPriority w:val="0"/>
    <w:rPr>
      <w:dstrike/>
      <w:sz w:val="18"/>
    </w:rPr>
  </w:style>
  <w:style w:type="character" w:customStyle="1" w:styleId="613">
    <w:name w:val="中创国发题注 Char"/>
    <w:qFormat/>
    <w:locked/>
    <w:uiPriority w:val="0"/>
    <w:rPr>
      <w:rFonts w:hint="default" w:ascii="Cambria" w:hAnsi="Cambria" w:eastAsia="黑体" w:cs="Cambria"/>
      <w:lang w:val="en-US" w:eastAsia="zh-CN" w:bidi="ar-SA"/>
    </w:rPr>
  </w:style>
  <w:style w:type="character" w:customStyle="1" w:styleId="614">
    <w:name w:val="样式 标题 2 + Times New Roman Char"/>
    <w:qFormat/>
    <w:uiPriority w:val="0"/>
    <w:rPr>
      <w:rFonts w:hint="default" w:ascii="Times New Roman" w:hAnsi="Times New Roman" w:eastAsia="黑体" w:cs="Times New Roman"/>
      <w:color w:val="000000"/>
      <w:kern w:val="2"/>
      <w:sz w:val="28"/>
      <w:szCs w:val="30"/>
      <w:lang w:val="en-US" w:eastAsia="zh-CN" w:bidi="ar-SA"/>
    </w:rPr>
  </w:style>
  <w:style w:type="character" w:customStyle="1" w:styleId="615">
    <w:name w:val="zw1"/>
    <w:qFormat/>
    <w:uiPriority w:val="0"/>
    <w:rPr>
      <w:rFonts w:hint="eastAsia" w:ascii="宋体" w:hAnsi="宋体" w:eastAsia="宋体"/>
      <w:spacing w:val="400"/>
      <w:sz w:val="22"/>
      <w:szCs w:val="22"/>
    </w:rPr>
  </w:style>
  <w:style w:type="character" w:customStyle="1" w:styleId="616">
    <w:name w:val="样式1 Char"/>
    <w:qFormat/>
    <w:uiPriority w:val="0"/>
    <w:rPr>
      <w:rFonts w:hint="default" w:ascii="Arial" w:hAnsi="Arial" w:eastAsia="宋体" w:cs="Arial"/>
      <w:kern w:val="2"/>
      <w:sz w:val="24"/>
      <w:szCs w:val="24"/>
      <w:lang w:val="en-US" w:eastAsia="zh-CN" w:bidi="ar-SA"/>
    </w:rPr>
  </w:style>
  <w:style w:type="character" w:customStyle="1" w:styleId="617">
    <w:name w:val="ddd"/>
    <w:basedOn w:val="50"/>
    <w:qFormat/>
    <w:uiPriority w:val="0"/>
  </w:style>
  <w:style w:type="character" w:customStyle="1" w:styleId="618">
    <w:name w:val="样式2 Char"/>
    <w:qFormat/>
    <w:uiPriority w:val="0"/>
    <w:rPr>
      <w:rFonts w:hint="eastAsia" w:ascii="宋体" w:hAnsi="黑体" w:eastAsia="黑体"/>
      <w:b/>
      <w:bCs/>
      <w:kern w:val="2"/>
      <w:sz w:val="32"/>
      <w:szCs w:val="32"/>
      <w:lang w:val="en-US" w:eastAsia="zh-CN" w:bidi="ar-SA"/>
    </w:rPr>
  </w:style>
  <w:style w:type="character" w:customStyle="1" w:styleId="619">
    <w:name w:val="f10wentitle"/>
    <w:basedOn w:val="50"/>
    <w:qFormat/>
    <w:uiPriority w:val="0"/>
  </w:style>
  <w:style w:type="character" w:customStyle="1" w:styleId="620">
    <w:name w:val="cucd-0 Char"/>
    <w:qFormat/>
    <w:uiPriority w:val="0"/>
    <w:rPr>
      <w:kern w:val="2"/>
      <w:sz w:val="24"/>
      <w:szCs w:val="24"/>
      <w:lang w:val="en-US" w:eastAsia="zh-CN" w:bidi="ar-SA"/>
    </w:rPr>
  </w:style>
  <w:style w:type="character" w:customStyle="1" w:styleId="621">
    <w:name w:val="6666661"/>
    <w:qFormat/>
    <w:uiPriority w:val="0"/>
    <w:rPr>
      <w:color w:val="666666"/>
      <w:sz w:val="18"/>
      <w:szCs w:val="18"/>
      <w:u w:val="none"/>
    </w:rPr>
  </w:style>
  <w:style w:type="character" w:customStyle="1" w:styleId="622">
    <w:name w:val="正文001 Char Char"/>
    <w:qFormat/>
    <w:uiPriority w:val="0"/>
    <w:rPr>
      <w:rFonts w:hint="default" w:ascii="Arial" w:hAnsi="Arial" w:eastAsia="宋体" w:cs="Arial"/>
      <w:kern w:val="2"/>
      <w:sz w:val="24"/>
      <w:lang w:val="en-US" w:eastAsia="zh-CN" w:bidi="ar-SA"/>
    </w:rPr>
  </w:style>
  <w:style w:type="character" w:customStyle="1" w:styleId="623">
    <w:name w:val="正文样式1 Char Char"/>
    <w:qFormat/>
    <w:uiPriority w:val="0"/>
    <w:rPr>
      <w:rFonts w:hint="eastAsia" w:ascii="宋体" w:hAnsi="宋体" w:eastAsia="宋体"/>
      <w:sz w:val="24"/>
    </w:rPr>
  </w:style>
  <w:style w:type="character" w:customStyle="1" w:styleId="624">
    <w:name w:val="tpc_content1"/>
    <w:qFormat/>
    <w:uiPriority w:val="0"/>
    <w:rPr>
      <w:sz w:val="17"/>
      <w:szCs w:val="17"/>
    </w:rPr>
  </w:style>
  <w:style w:type="character" w:customStyle="1" w:styleId="625">
    <w:name w:val="grame"/>
    <w:basedOn w:val="50"/>
    <w:qFormat/>
    <w:uiPriority w:val="0"/>
  </w:style>
  <w:style w:type="character" w:customStyle="1" w:styleId="626">
    <w:name w:val="cucd-3 Char Char"/>
    <w:qFormat/>
    <w:uiPriority w:val="0"/>
    <w:rPr>
      <w:b/>
      <w:sz w:val="28"/>
      <w:szCs w:val="24"/>
      <w:lang w:val="en-US" w:eastAsia="zh-CN" w:bidi="ar-SA"/>
    </w:rPr>
  </w:style>
  <w:style w:type="character" w:customStyle="1" w:styleId="627">
    <w:name w:val="正文样式 Char Char"/>
    <w:qFormat/>
    <w:uiPriority w:val="0"/>
    <w:rPr>
      <w:rFonts w:hint="eastAsia" w:ascii="宋体" w:hAnsi="宋体" w:eastAsia="宋体"/>
      <w:color w:val="000000"/>
      <w:sz w:val="24"/>
      <w:szCs w:val="24"/>
    </w:rPr>
  </w:style>
  <w:style w:type="character" w:customStyle="1" w:styleId="628">
    <w:name w:val="f9wen1"/>
    <w:qFormat/>
    <w:uiPriority w:val="0"/>
    <w:rPr>
      <w:dstrike/>
      <w:spacing w:val="12"/>
      <w:sz w:val="18"/>
    </w:rPr>
  </w:style>
  <w:style w:type="character" w:customStyle="1" w:styleId="629">
    <w:name w:val="正文文本缩进 3 Char Char Char"/>
    <w:qFormat/>
    <w:uiPriority w:val="0"/>
    <w:rPr>
      <w:rFonts w:hint="eastAsia" w:ascii="宋体" w:hAnsi="宋体" w:eastAsia="宋体"/>
      <w:kern w:val="2"/>
      <w:sz w:val="24"/>
    </w:rPr>
  </w:style>
  <w:style w:type="character" w:customStyle="1" w:styleId="630">
    <w:name w:val="正文样式10 Char Char"/>
    <w:qFormat/>
    <w:uiPriority w:val="0"/>
    <w:rPr>
      <w:rFonts w:hint="eastAsia" w:ascii="宋体" w:hAnsi="宋体" w:eastAsia="宋体" w:cs="Arial"/>
      <w:bCs/>
      <w:color w:val="FF00FF"/>
      <w:sz w:val="24"/>
      <w:lang w:val="zh-CN"/>
    </w:rPr>
  </w:style>
  <w:style w:type="character" w:customStyle="1" w:styleId="631">
    <w:name w:val="访问过的超链接1"/>
    <w:qFormat/>
    <w:uiPriority w:val="0"/>
    <w:rPr>
      <w:color w:val="800080"/>
      <w:u w:val="single"/>
    </w:rPr>
  </w:style>
  <w:style w:type="character" w:customStyle="1" w:styleId="632">
    <w:name w:val="a11"/>
    <w:qFormat/>
    <w:uiPriority w:val="0"/>
    <w:rPr>
      <w:color w:val="000000"/>
      <w:sz w:val="18"/>
      <w:szCs w:val="18"/>
    </w:rPr>
  </w:style>
  <w:style w:type="character" w:customStyle="1" w:styleId="633">
    <w:name w:val="表头 Char2"/>
    <w:qFormat/>
    <w:uiPriority w:val="0"/>
    <w:rPr>
      <w:rFonts w:hint="eastAsia" w:ascii="宋体" w:hAnsi="宋体" w:eastAsia="仿宋_GB2312"/>
      <w:b/>
      <w:color w:val="000000"/>
      <w:sz w:val="18"/>
    </w:rPr>
  </w:style>
  <w:style w:type="character" w:customStyle="1" w:styleId="634">
    <w:name w:val="正文1 Char Char"/>
    <w:qFormat/>
    <w:uiPriority w:val="0"/>
    <w:rPr>
      <w:rFonts w:hint="eastAsia" w:ascii="宋体" w:hAnsi="宋体" w:eastAsia="宋体"/>
      <w:sz w:val="28"/>
    </w:rPr>
  </w:style>
  <w:style w:type="character" w:customStyle="1" w:styleId="635">
    <w:name w:val="正文首行缩进 Char Char Char"/>
    <w:qFormat/>
    <w:uiPriority w:val="0"/>
    <w:rPr>
      <w:kern w:val="2"/>
      <w:sz w:val="24"/>
    </w:rPr>
  </w:style>
  <w:style w:type="character" w:customStyle="1" w:styleId="636">
    <w:name w:val="正文文本 3 Char Char Char"/>
    <w:qFormat/>
    <w:uiPriority w:val="0"/>
    <w:rPr>
      <w:kern w:val="2"/>
      <w:sz w:val="16"/>
      <w:szCs w:val="16"/>
    </w:rPr>
  </w:style>
  <w:style w:type="character" w:customStyle="1" w:styleId="637">
    <w:name w:val="日期 Char Char Char"/>
    <w:qFormat/>
    <w:uiPriority w:val="0"/>
    <w:rPr>
      <w:rFonts w:hint="eastAsia" w:ascii="黑体" w:hAnsi="黑体" w:eastAsia="黑体"/>
      <w:sz w:val="28"/>
      <w:lang w:val="en-GB"/>
    </w:rPr>
  </w:style>
  <w:style w:type="character" w:customStyle="1" w:styleId="638">
    <w:name w:val="批注主题 Char Char Char"/>
    <w:qFormat/>
    <w:uiPriority w:val="0"/>
    <w:rPr>
      <w:b/>
      <w:bCs/>
      <w:kern w:val="2"/>
      <w:sz w:val="21"/>
      <w:szCs w:val="24"/>
    </w:rPr>
  </w:style>
  <w:style w:type="character" w:customStyle="1" w:styleId="639">
    <w:name w:val="正文文本缩进 2 Char Char Char"/>
    <w:qFormat/>
    <w:uiPriority w:val="0"/>
    <w:rPr>
      <w:kern w:val="2"/>
      <w:sz w:val="27"/>
    </w:rPr>
  </w:style>
  <w:style w:type="character" w:customStyle="1" w:styleId="640">
    <w:name w:val="正文首行缩进 2 Char Char Char"/>
    <w:qFormat/>
    <w:uiPriority w:val="0"/>
    <w:rPr>
      <w:kern w:val="2"/>
      <w:sz w:val="28"/>
      <w:szCs w:val="24"/>
    </w:rPr>
  </w:style>
  <w:style w:type="character" w:customStyle="1" w:styleId="641">
    <w:name w:val="图表注 Char"/>
    <w:qFormat/>
    <w:uiPriority w:val="0"/>
    <w:rPr>
      <w:rFonts w:hint="default" w:ascii="Arial" w:hAnsi="Arial" w:eastAsia="黑体" w:cs="Arial"/>
      <w:kern w:val="2"/>
      <w:lang w:val="en-US" w:eastAsia="zh-CN" w:bidi="ar-SA"/>
    </w:rPr>
  </w:style>
  <w:style w:type="character" w:customStyle="1" w:styleId="642">
    <w:name w:val="表头 Char Char"/>
    <w:qFormat/>
    <w:uiPriority w:val="0"/>
    <w:rPr>
      <w:rFonts w:hint="eastAsia" w:ascii="宋体" w:hAnsi="宋体" w:eastAsia="宋体"/>
      <w:b/>
      <w:kern w:val="2"/>
      <w:sz w:val="24"/>
      <w:szCs w:val="24"/>
      <w:lang w:val="en-US" w:eastAsia="zh-CN" w:bidi="ar-SA"/>
    </w:rPr>
  </w:style>
  <w:style w:type="character" w:customStyle="1" w:styleId="643">
    <w:name w:val="javascript"/>
    <w:basedOn w:val="50"/>
    <w:qFormat/>
    <w:uiPriority w:val="0"/>
  </w:style>
  <w:style w:type="character" w:customStyle="1" w:styleId="644">
    <w:name w:val="content"/>
    <w:basedOn w:val="50"/>
    <w:qFormat/>
    <w:uiPriority w:val="0"/>
  </w:style>
  <w:style w:type="character" w:customStyle="1" w:styleId="645">
    <w:name w:val="文档结构图 Char Char Char"/>
    <w:qFormat/>
    <w:uiPriority w:val="0"/>
    <w:rPr>
      <w:kern w:val="2"/>
      <w:sz w:val="21"/>
      <w:szCs w:val="24"/>
      <w:shd w:val="clear" w:color="auto" w:fill="000080"/>
    </w:rPr>
  </w:style>
  <w:style w:type="character" w:customStyle="1" w:styleId="646">
    <w:name w:val="text1"/>
    <w:qFormat/>
    <w:uiPriority w:val="0"/>
    <w:rPr>
      <w:rFonts w:hint="eastAsia" w:ascii="宋体" w:hAnsi="宋体" w:eastAsia="宋体"/>
      <w:color w:val="999999"/>
      <w:sz w:val="18"/>
      <w:szCs w:val="18"/>
      <w:u w:val="none"/>
    </w:rPr>
  </w:style>
  <w:style w:type="character" w:customStyle="1" w:styleId="647">
    <w:name w:val="正文001 Char"/>
    <w:qFormat/>
    <w:uiPriority w:val="0"/>
    <w:rPr>
      <w:rFonts w:hint="default" w:ascii="Arial" w:hAnsi="Arial" w:eastAsia="宋体" w:cs="Arial"/>
      <w:kern w:val="2"/>
      <w:sz w:val="24"/>
      <w:lang w:val="en-US" w:eastAsia="zh-CN" w:bidi="ar-SA"/>
    </w:rPr>
  </w:style>
  <w:style w:type="character" w:customStyle="1" w:styleId="648">
    <w:name w:val="141"/>
    <w:qFormat/>
    <w:uiPriority w:val="0"/>
    <w:rPr>
      <w:color w:val="000000"/>
      <w:spacing w:val="330"/>
      <w:sz w:val="21"/>
      <w:szCs w:val="21"/>
    </w:rPr>
  </w:style>
  <w:style w:type="character" w:customStyle="1" w:styleId="649">
    <w:name w:val="red_font1"/>
    <w:qFormat/>
    <w:uiPriority w:val="0"/>
    <w:rPr>
      <w:color w:val="FF0000"/>
      <w:sz w:val="18"/>
      <w:szCs w:val="18"/>
      <w:u w:val="none"/>
    </w:rPr>
  </w:style>
  <w:style w:type="character" w:customStyle="1" w:styleId="650">
    <w:name w:val="cucd-1 Char Char"/>
    <w:qFormat/>
    <w:uiPriority w:val="0"/>
    <w:rPr>
      <w:rFonts w:hint="eastAsia" w:ascii="黑体" w:hAnsi="黑体" w:eastAsia="黑体"/>
      <w:b/>
      <w:sz w:val="36"/>
      <w:szCs w:val="24"/>
      <w:lang w:val="en-US" w:eastAsia="zh-CN" w:bidi="ar-SA"/>
    </w:rPr>
  </w:style>
  <w:style w:type="character" w:customStyle="1" w:styleId="651">
    <w:name w:val="题注 Char2"/>
    <w:qFormat/>
    <w:uiPriority w:val="0"/>
    <w:rPr>
      <w:rFonts w:hint="default" w:ascii="Arial" w:hAnsi="Arial" w:eastAsia="黑体" w:cs="Arial"/>
      <w:kern w:val="2"/>
      <w:lang w:val="en-US" w:eastAsia="zh-CN" w:bidi="ar-SA"/>
    </w:rPr>
  </w:style>
  <w:style w:type="character" w:customStyle="1" w:styleId="652">
    <w:name w:val="mainfont21"/>
    <w:qFormat/>
    <w:uiPriority w:val="0"/>
    <w:rPr>
      <w:color w:val="666666"/>
      <w:sz w:val="18"/>
      <w:szCs w:val="18"/>
      <w:u w:val="none"/>
    </w:rPr>
  </w:style>
  <w:style w:type="character" w:customStyle="1" w:styleId="653">
    <w:name w:val="标题 Char Char Char"/>
    <w:qFormat/>
    <w:uiPriority w:val="0"/>
    <w:rPr>
      <w:rFonts w:hint="default" w:ascii="Helvetica" w:hAnsi="Helvetica" w:eastAsia="黑体"/>
      <w:snapToGrid w:val="0"/>
      <w:color w:val="000000"/>
      <w:spacing w:val="4"/>
      <w:kern w:val="2"/>
      <w:sz w:val="32"/>
      <w:szCs w:val="32"/>
    </w:rPr>
  </w:style>
  <w:style w:type="character" w:customStyle="1" w:styleId="654">
    <w:name w:val="正文（首行缩进两字） Char Char Char Char Char Char Char Char Char Char Char Char Char Char Char Char Char Char Char Char Char Char Char Char Char Char Char Char Char Char Char Char Char Char Char Char Char Char Char Char Char Char Char Char Char Char Char"/>
    <w:qFormat/>
    <w:uiPriority w:val="0"/>
    <w:rPr>
      <w:rFonts w:hint="eastAsia" w:ascii="宋体" w:hAnsi="宋体" w:eastAsia="宋体"/>
      <w:kern w:val="2"/>
      <w:sz w:val="24"/>
      <w:lang w:val="en-US" w:eastAsia="zh-CN" w:bidi="ar-SA"/>
    </w:rPr>
  </w:style>
  <w:style w:type="character" w:customStyle="1" w:styleId="655">
    <w:name w:val="textcontents"/>
    <w:basedOn w:val="50"/>
    <w:qFormat/>
    <w:uiPriority w:val="0"/>
  </w:style>
  <w:style w:type="character" w:customStyle="1" w:styleId="656">
    <w:name w:val="批注文字 Char Char Char"/>
    <w:qFormat/>
    <w:uiPriority w:val="0"/>
    <w:rPr>
      <w:kern w:val="2"/>
      <w:sz w:val="21"/>
      <w:szCs w:val="24"/>
    </w:rPr>
  </w:style>
  <w:style w:type="character" w:customStyle="1" w:styleId="657">
    <w:name w:val="cucd-TB Char Char"/>
    <w:qFormat/>
    <w:uiPriority w:val="0"/>
    <w:rPr>
      <w:szCs w:val="24"/>
      <w:lang w:val="en-US" w:eastAsia="zh-CN" w:bidi="ar-SA"/>
    </w:rPr>
  </w:style>
  <w:style w:type="character" w:customStyle="1" w:styleId="658">
    <w:name w:val="zzsy051"/>
    <w:qFormat/>
    <w:uiPriority w:val="0"/>
    <w:rPr>
      <w:rFonts w:hint="eastAsia" w:ascii="宋体" w:hAnsi="宋体" w:eastAsia="宋体"/>
      <w:b/>
      <w:bCs/>
      <w:color w:val="FF0000"/>
      <w:sz w:val="24"/>
      <w:szCs w:val="24"/>
    </w:rPr>
  </w:style>
  <w:style w:type="character" w:customStyle="1" w:styleId="659">
    <w:name w:val="正文1 Char"/>
    <w:qFormat/>
    <w:uiPriority w:val="0"/>
    <w:rPr>
      <w:rFonts w:hint="eastAsia" w:ascii="宋体" w:hAnsi="宋体" w:eastAsia="宋体"/>
      <w:sz w:val="28"/>
    </w:rPr>
  </w:style>
  <w:style w:type="character" w:customStyle="1" w:styleId="660">
    <w:name w:val="样式 日期 + 宋体 Char"/>
    <w:qFormat/>
    <w:uiPriority w:val="0"/>
    <w:rPr>
      <w:rFonts w:hint="eastAsia" w:ascii="宋体" w:hAnsi="宋体" w:eastAsia="宋体"/>
      <w:kern w:val="2"/>
      <w:sz w:val="28"/>
      <w:lang w:val="en-GB" w:eastAsia="zh-CN" w:bidi="ar-SA"/>
    </w:rPr>
  </w:style>
  <w:style w:type="character" w:customStyle="1" w:styleId="661">
    <w:name w:val="HTML 预设格式 Char Char Char"/>
    <w:qFormat/>
    <w:uiPriority w:val="0"/>
    <w:rPr>
      <w:rFonts w:hint="default" w:ascii="Arial" w:hAnsi="Arial" w:cs="Arial"/>
      <w:sz w:val="21"/>
      <w:szCs w:val="21"/>
    </w:rPr>
  </w:style>
  <w:style w:type="character" w:customStyle="1" w:styleId="662">
    <w:name w:val="l_text Char Char"/>
    <w:qFormat/>
    <w:uiPriority w:val="0"/>
    <w:rPr>
      <w:rFonts w:hint="eastAsia" w:ascii="宋体" w:hAnsi="宋体" w:eastAsia="宋体"/>
      <w:sz w:val="28"/>
      <w:szCs w:val="28"/>
    </w:rPr>
  </w:style>
  <w:style w:type="character" w:customStyle="1" w:styleId="663">
    <w:name w:val="unnamed31"/>
    <w:qFormat/>
    <w:uiPriority w:val="0"/>
    <w:rPr>
      <w:sz w:val="18"/>
    </w:rPr>
  </w:style>
  <w:style w:type="character" w:customStyle="1" w:styleId="664">
    <w:name w:val="样式 日期 + 宋体 Char Char"/>
    <w:qFormat/>
    <w:uiPriority w:val="0"/>
    <w:rPr>
      <w:rFonts w:hint="eastAsia" w:ascii="宋体" w:hAnsi="宋体" w:eastAsia="宋体"/>
      <w:kern w:val="2"/>
      <w:sz w:val="28"/>
      <w:lang w:eastAsia="zh-CN" w:bidi="ar-SA"/>
    </w:rPr>
  </w:style>
  <w:style w:type="character" w:customStyle="1" w:styleId="665">
    <w:name w:val="正文1 Char1"/>
    <w:qFormat/>
    <w:uiPriority w:val="0"/>
    <w:rPr>
      <w:rFonts w:hint="eastAsia" w:ascii="宋体" w:hAnsi="宋体" w:eastAsia="宋体"/>
      <w:snapToGrid w:val="0"/>
      <w:sz w:val="24"/>
      <w:szCs w:val="24"/>
      <w:lang w:val="en-US" w:eastAsia="zh-CN" w:bidi="ar-SA"/>
    </w:rPr>
  </w:style>
  <w:style w:type="character" w:customStyle="1" w:styleId="666">
    <w:name w:val="页脚 Char Char Char"/>
    <w:qFormat/>
    <w:uiPriority w:val="0"/>
    <w:rPr>
      <w:kern w:val="2"/>
      <w:sz w:val="18"/>
      <w:szCs w:val="18"/>
    </w:rPr>
  </w:style>
  <w:style w:type="character" w:customStyle="1" w:styleId="667">
    <w:name w:val="cucd-TB-Head Char Char"/>
    <w:qFormat/>
    <w:uiPriority w:val="0"/>
    <w:rPr>
      <w:rFonts w:hint="eastAsia" w:ascii="宋体" w:hAnsi="宋体" w:eastAsia="黑体"/>
      <w:sz w:val="24"/>
      <w:szCs w:val="21"/>
    </w:rPr>
  </w:style>
  <w:style w:type="character" w:customStyle="1" w:styleId="668">
    <w:name w:val="样式表 Char Char"/>
    <w:qFormat/>
    <w:uiPriority w:val="0"/>
    <w:rPr>
      <w:rFonts w:hint="eastAsia" w:ascii="黑体" w:hAnsi="黑体" w:eastAsia="黑体" w:cs="宋体"/>
      <w:color w:val="000000"/>
      <w:spacing w:val="8"/>
    </w:rPr>
  </w:style>
  <w:style w:type="character" w:customStyle="1" w:styleId="669">
    <w:name w:val="px14"/>
    <w:basedOn w:val="50"/>
    <w:qFormat/>
    <w:uiPriority w:val="0"/>
  </w:style>
  <w:style w:type="character" w:customStyle="1" w:styleId="670">
    <w:name w:val="正文1-1 Char Char"/>
    <w:qFormat/>
    <w:uiPriority w:val="0"/>
    <w:rPr>
      <w:rFonts w:hint="eastAsia" w:ascii="宋体" w:hAnsi="宋体" w:eastAsia="仿宋_GB2312" w:cs="宋体"/>
      <w:sz w:val="28"/>
      <w:szCs w:val="24"/>
    </w:rPr>
  </w:style>
  <w:style w:type="character" w:customStyle="1" w:styleId="671">
    <w:name w:val="cucd-0 Char Char"/>
    <w:qFormat/>
    <w:uiPriority w:val="0"/>
    <w:rPr>
      <w:kern w:val="2"/>
      <w:sz w:val="24"/>
      <w:szCs w:val="24"/>
      <w:lang w:val="en-US" w:eastAsia="zh-CN" w:bidi="ar-SA"/>
    </w:rPr>
  </w:style>
  <w:style w:type="character" w:customStyle="1" w:styleId="672">
    <w:name w:val="postbody1"/>
    <w:qFormat/>
    <w:uiPriority w:val="0"/>
    <w:rPr>
      <w:sz w:val="21"/>
      <w:szCs w:val="21"/>
    </w:rPr>
  </w:style>
  <w:style w:type="character" w:customStyle="1" w:styleId="673">
    <w:name w:val="cucd-TB-Head Char1"/>
    <w:qFormat/>
    <w:uiPriority w:val="0"/>
    <w:rPr>
      <w:rFonts w:hint="eastAsia" w:ascii="宋体" w:hAnsi="宋体" w:eastAsia="宋体"/>
      <w:b/>
      <w:kern w:val="2"/>
      <w:sz w:val="24"/>
      <w:szCs w:val="24"/>
      <w:lang w:val="en-US" w:eastAsia="zh-CN" w:bidi="ar-SA"/>
    </w:rPr>
  </w:style>
  <w:style w:type="character" w:customStyle="1" w:styleId="674">
    <w:name w:val="defaultfont1"/>
    <w:basedOn w:val="50"/>
    <w:qFormat/>
    <w:uiPriority w:val="0"/>
  </w:style>
  <w:style w:type="character" w:customStyle="1" w:styleId="675">
    <w:name w:val="cucd-3 Char1"/>
    <w:qFormat/>
    <w:uiPriority w:val="0"/>
    <w:rPr>
      <w:b/>
      <w:kern w:val="2"/>
      <w:sz w:val="28"/>
      <w:szCs w:val="24"/>
      <w:lang w:val="en-US" w:eastAsia="zh-CN" w:bidi="ar-SA"/>
    </w:rPr>
  </w:style>
  <w:style w:type="character" w:customStyle="1" w:styleId="676">
    <w:name w:val="unnamed3"/>
    <w:basedOn w:val="50"/>
    <w:qFormat/>
    <w:uiPriority w:val="0"/>
  </w:style>
  <w:style w:type="character" w:customStyle="1" w:styleId="677">
    <w:name w:val="样式 方正宋三简体 四号"/>
    <w:qFormat/>
    <w:uiPriority w:val="0"/>
    <w:rPr>
      <w:rFonts w:hint="eastAsia" w:ascii="宋体" w:hAnsi="宋体" w:eastAsia="宋体"/>
      <w:sz w:val="27"/>
      <w:szCs w:val="27"/>
    </w:rPr>
  </w:style>
  <w:style w:type="character" w:customStyle="1" w:styleId="678">
    <w:name w:val="jc zi14"/>
    <w:basedOn w:val="50"/>
    <w:qFormat/>
    <w:uiPriority w:val="0"/>
  </w:style>
  <w:style w:type="character" w:customStyle="1" w:styleId="679">
    <w:name w:val="Default Char Char"/>
    <w:qFormat/>
    <w:uiPriority w:val="0"/>
    <w:rPr>
      <w:color w:val="000000"/>
      <w:sz w:val="24"/>
      <w:szCs w:val="24"/>
      <w:lang w:val="en-US" w:eastAsia="zh-CN" w:bidi="ar-SA"/>
    </w:rPr>
  </w:style>
  <w:style w:type="character" w:customStyle="1" w:styleId="680">
    <w:name w:val="正文文本缩进 3 Char Char"/>
    <w:basedOn w:val="50"/>
    <w:qFormat/>
    <w:uiPriority w:val="0"/>
    <w:rPr>
      <w:rFonts w:hint="eastAsia" w:ascii="宋体" w:hAnsi="宋体" w:eastAsia="宋体"/>
      <w:b/>
      <w:bCs/>
      <w:kern w:val="2"/>
      <w:sz w:val="24"/>
      <w:szCs w:val="24"/>
      <w:lang w:val="en-US" w:eastAsia="zh-CN" w:bidi="ar-SA"/>
    </w:rPr>
  </w:style>
  <w:style w:type="character" w:customStyle="1" w:styleId="681">
    <w:name w:val="fontstyle41"/>
    <w:basedOn w:val="50"/>
    <w:qFormat/>
    <w:uiPriority w:val="0"/>
    <w:rPr>
      <w:rFonts w:hint="eastAsia" w:ascii="SymbolMT" w:hAnsi="SymbolMT" w:eastAsia="SymbolMT"/>
      <w:color w:val="000000"/>
      <w:sz w:val="24"/>
      <w:szCs w:val="24"/>
    </w:rPr>
  </w:style>
  <w:style w:type="character" w:customStyle="1" w:styleId="682">
    <w:name w:val="fontstyle51"/>
    <w:basedOn w:val="50"/>
    <w:qFormat/>
    <w:uiPriority w:val="0"/>
    <w:rPr>
      <w:rFonts w:hint="default" w:ascii="TimesNewRomanPS-ItalicMT" w:hAnsi="TimesNewRomanPS-ItalicMT"/>
      <w:i/>
      <w:iCs/>
      <w:color w:val="000000"/>
      <w:sz w:val="24"/>
      <w:szCs w:val="24"/>
    </w:rPr>
  </w:style>
  <w:style w:type="character" w:customStyle="1" w:styleId="683">
    <w:name w:val="【表头】 Char Char"/>
    <w:qFormat/>
    <w:uiPriority w:val="0"/>
    <w:rPr>
      <w:b/>
      <w:sz w:val="24"/>
    </w:rPr>
  </w:style>
  <w:style w:type="character" w:customStyle="1" w:styleId="684">
    <w:name w:val="普通(网站) Char"/>
    <w:qFormat/>
    <w:locked/>
    <w:uiPriority w:val="0"/>
    <w:rPr>
      <w:rFonts w:hint="default" w:ascii="Calibri" w:hAnsi="Calibri"/>
      <w:color w:val="000000"/>
      <w:sz w:val="24"/>
      <w:szCs w:val="24"/>
    </w:rPr>
  </w:style>
  <w:style w:type="character" w:customStyle="1" w:styleId="685">
    <w:name w:val="默认段落字体1"/>
    <w:semiHidden/>
    <w:qFormat/>
    <w:uiPriority w:val="0"/>
    <w:rPr>
      <w:rFonts w:hint="default" w:ascii="Times New Roman" w:hAnsi="Times New Roman" w:cs="Times New Roman"/>
      <w:sz w:val="21"/>
    </w:rPr>
  </w:style>
  <w:style w:type="character" w:customStyle="1" w:styleId="686">
    <w:name w:val="正文首行缩进 Char2"/>
    <w:basedOn w:val="50"/>
    <w:semiHidden/>
    <w:qFormat/>
    <w:uiPriority w:val="99"/>
    <w:rPr>
      <w:rFonts w:hint="default" w:ascii="Times New Roman" w:hAnsi="Times New Roman" w:eastAsia="宋体" w:cs="Times New Roman"/>
      <w:kern w:val="0"/>
      <w:sz w:val="24"/>
      <w:szCs w:val="24"/>
    </w:rPr>
  </w:style>
  <w:style w:type="table" w:customStyle="1" w:styleId="687">
    <w:name w:val="网格型（pxg）2"/>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88">
    <w:name w:val="网格型4"/>
    <w:basedOn w:val="45"/>
    <w:qFormat/>
    <w:uiPriority w:val="0"/>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89">
    <w:name w:val="网格型1"/>
    <w:basedOn w:val="45"/>
    <w:qFormat/>
    <w:uiPriority w:val="0"/>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0">
    <w:name w:val="网格型刘1"/>
    <w:basedOn w:val="45"/>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691">
    <w:name w:val="网格型001"/>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2">
    <w:name w:val="网格型002"/>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3">
    <w:name w:val="网格型003"/>
    <w:basedOn w:val="45"/>
    <w:qFormat/>
    <w:uiPriority w:val="0"/>
    <w:rPr>
      <w:rFonts w:ascii="Calibri" w:hAnsi="Calibri"/>
      <w:color w:val="00000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4">
    <w:name w:val="网格型0031"/>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5">
    <w:name w:val="网格型004"/>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6">
    <w:name w:val="网格型005"/>
    <w:basedOn w:val="45"/>
    <w:qFormat/>
    <w:uiPriority w:val="0"/>
    <w:rPr>
      <w:rFonts w:ascii="Calibri" w:hAnsi="Calibri"/>
      <w:color w:val="00000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7">
    <w:name w:val="网格型0032"/>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8">
    <w:name w:val="网格型006"/>
    <w:basedOn w:val="45"/>
    <w:qFormat/>
    <w:uiPriority w:val="0"/>
    <w:rPr>
      <w:rFonts w:ascii="Calibri" w:hAnsi="Calibri"/>
      <w:color w:val="00000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699">
    <w:name w:val="网格型0033"/>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0">
    <w:name w:val="网格型0034"/>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1">
    <w:name w:val="网格型007"/>
    <w:basedOn w:val="45"/>
    <w:qFormat/>
    <w:uiPriority w:val="0"/>
    <w:rPr>
      <w:rFonts w:ascii="Calibri" w:hAnsi="Calibri"/>
      <w:color w:val="00000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2">
    <w:name w:val="网格型0035"/>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3">
    <w:name w:val="网格型008"/>
    <w:basedOn w:val="45"/>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4">
    <w:name w:val="网格型11"/>
    <w:basedOn w:val="45"/>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5">
    <w:name w:val="网格型2"/>
    <w:basedOn w:val="4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6">
    <w:name w:val="网格型3"/>
    <w:basedOn w:val="45"/>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7">
    <w:name w:val="网格型（pxg）1"/>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8">
    <w:name w:val="网格型（pxg）3"/>
    <w:basedOn w:val="45"/>
    <w:qFormat/>
    <w:uiPriority w:val="0"/>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customStyle="1" w:styleId="709">
    <w:name w:val="cucd-table"/>
    <w:basedOn w:val="45"/>
    <w:qFormat/>
    <w:uiPriority w:val="0"/>
    <w:pPr>
      <w:jc w:val="center"/>
    </w:pPr>
    <w:tblPr>
      <w:tblBorders>
        <w:top w:val="thinThickSmallGap" w:color="auto" w:sz="12" w:space="0"/>
        <w:left w:val="thinThickSmallGap" w:color="auto" w:sz="12" w:space="0"/>
        <w:bottom w:val="thickThinSmallGap" w:color="auto" w:sz="12" w:space="0"/>
        <w:right w:val="thickThinSmallGap" w:color="auto" w:sz="12" w:space="0"/>
        <w:insideH w:val="single" w:color="auto" w:sz="6" w:space="0"/>
        <w:insideV w:val="single" w:color="auto" w:sz="6" w:space="0"/>
      </w:tblBorders>
    </w:tblPr>
    <w:tcPr>
      <w:vAlign w:val="center"/>
    </w:tcPr>
    <w:tblStylePr w:type="firstRow">
      <w:rPr>
        <w:b/>
        <w:i w:val="0"/>
      </w:rPr>
      <w:tcPr>
        <w:tcBorders>
          <w:top w:val="thinThickSmallGap" w:color="auto" w:sz="12" w:space="0"/>
          <w:left w:val="thinThickSmallGap" w:color="auto" w:sz="12" w:space="0"/>
          <w:bottom w:val="single" w:color="auto" w:sz="4" w:space="0"/>
          <w:right w:val="thickThinSmallGap" w:color="auto" w:sz="12" w:space="0"/>
          <w:insideH w:val="single" w:sz="6" w:space="0"/>
          <w:insideV w:val="single" w:sz="6" w:space="0"/>
          <w:tl2br w:val="nil"/>
          <w:tr2bl w:val="nil"/>
        </w:tcBorders>
        <w:shd w:val="clear" w:color="auto" w:fill="D9D9D9"/>
      </w:tcPr>
    </w:tblStylePr>
  </w:style>
  <w:style w:type="table" w:customStyle="1" w:styleId="710">
    <w:name w:val="报告书格式"/>
    <w:basedOn w:val="45"/>
    <w:qFormat/>
    <w:uiPriority w:val="0"/>
    <w:pPr>
      <w:adjustRightInd w:val="0"/>
      <w:snapToGrid w:val="0"/>
      <w:jc w:val="center"/>
    </w:pPr>
    <w:rPr>
      <w:sz w:val="18"/>
      <w:szCs w:val="18"/>
    </w:rPr>
    <w:tblPr>
      <w:tblBorders>
        <w:top w:val="single" w:color="auto" w:sz="4" w:space="0"/>
        <w:bottom w:val="single" w:color="auto" w:sz="4" w:space="0"/>
        <w:insideH w:val="single" w:color="auto" w:sz="4" w:space="0"/>
        <w:insideV w:val="single" w:color="auto" w:sz="4" w:space="0"/>
      </w:tblBorders>
    </w:tblPr>
    <w:tcPr>
      <w:vAlign w:val="center"/>
    </w:tcPr>
  </w:style>
  <w:style w:type="table" w:customStyle="1" w:styleId="711">
    <w:name w:val="网格型刘11"/>
    <w:basedOn w:val="45"/>
    <w:qFormat/>
    <w:uiPriority w:val="9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2">
    <w:name w:val="普通(网站) Char1"/>
    <w:qFormat/>
    <w:locked/>
    <w:uiPriority w:val="0"/>
    <w:rPr>
      <w:rFonts w:ascii="Calibri" w:hAnsi="Calibri"/>
      <w:color w:val="000000"/>
      <w:sz w:val="24"/>
      <w:szCs w:val="24"/>
    </w:rPr>
  </w:style>
  <w:style w:type="character" w:customStyle="1" w:styleId="713">
    <w:name w:val="尾注文本 字符"/>
    <w:basedOn w:val="50"/>
    <w:link w:val="29"/>
    <w:semiHidden/>
    <w:qFormat/>
    <w:uiPriority w:val="99"/>
    <w:rPr>
      <w:rFonts w:ascii="Times New Roman" w:hAnsi="Times New Roman" w:eastAsia="宋体" w:cs="Times New Roman"/>
      <w:szCs w:val="24"/>
    </w:rPr>
  </w:style>
  <w:style w:type="table" w:customStyle="1" w:styleId="714">
    <w:name w:val="[表格样式]"/>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715">
    <w:name w:val="正文00 Char"/>
    <w:qFormat/>
    <w:uiPriority w:val="0"/>
    <w:rPr>
      <w:rFonts w:ascii="Times New Roman" w:hAnsi="Times New Roman" w:eastAsia="宋体" w:cs="Times New Roman"/>
      <w:sz w:val="24"/>
      <w:szCs w:val="24"/>
    </w:rPr>
  </w:style>
  <w:style w:type="character" w:customStyle="1" w:styleId="716">
    <w:name w:val="正文文本最新 Char Char Char Char Char Char Char"/>
    <w:qFormat/>
    <w:uiPriority w:val="0"/>
    <w:rPr>
      <w:rFonts w:eastAsia="宋体"/>
      <w:kern w:val="2"/>
      <w:sz w:val="28"/>
      <w:lang w:val="en-US" w:eastAsia="zh-CN"/>
    </w:rPr>
  </w:style>
  <w:style w:type="paragraph" w:styleId="717">
    <w:name w:val="List Paragraph"/>
    <w:basedOn w:val="1"/>
    <w:qFormat/>
    <w:uiPriority w:val="34"/>
    <w:pPr>
      <w:ind w:firstLine="420" w:firstLineChars="200"/>
    </w:pPr>
  </w:style>
  <w:style w:type="character" w:customStyle="1" w:styleId="718">
    <w:name w:val="缩进2 Char"/>
    <w:link w:val="719"/>
    <w:qFormat/>
    <w:uiPriority w:val="0"/>
    <w:rPr>
      <w:rFonts w:ascii="宋体" w:hAnsi="宋体"/>
      <w:sz w:val="24"/>
      <w:szCs w:val="21"/>
    </w:rPr>
  </w:style>
  <w:style w:type="paragraph" w:customStyle="1" w:styleId="719">
    <w:name w:val="缩进2"/>
    <w:basedOn w:val="1"/>
    <w:link w:val="718"/>
    <w:qFormat/>
    <w:uiPriority w:val="0"/>
    <w:pPr>
      <w:spacing w:line="360" w:lineRule="auto"/>
      <w:ind w:firstLine="200" w:firstLineChars="200"/>
    </w:pPr>
    <w:rPr>
      <w:rFonts w:ascii="宋体" w:hAnsi="宋体" w:eastAsiaTheme="minorEastAsia" w:cstheme="minorBidi"/>
      <w:sz w:val="24"/>
      <w:szCs w:val="21"/>
    </w:rPr>
  </w:style>
  <w:style w:type="character" w:customStyle="1" w:styleId="720">
    <w:name w:val="表文 Char"/>
    <w:link w:val="306"/>
    <w:qFormat/>
    <w:uiPriority w:val="0"/>
    <w:rPr>
      <w:rFonts w:ascii="Times New Roman" w:hAnsi="Times New Roman" w:eastAsia="宋体" w:cs="Times New Roman"/>
      <w:sz w:val="24"/>
      <w:szCs w:val="24"/>
    </w:rPr>
  </w:style>
  <w:style w:type="character" w:customStyle="1" w:styleId="721">
    <w:name w:val="表头 字符"/>
    <w:qFormat/>
    <w:uiPriority w:val="0"/>
    <w:rPr>
      <w:rFonts w:ascii="Times New Roman" w:hAnsi="Times New Roman" w:eastAsia="黑体"/>
      <w:sz w:val="24"/>
    </w:rPr>
  </w:style>
  <w:style w:type="character" w:customStyle="1" w:styleId="722">
    <w:name w:val="标题 4 字符"/>
    <w:qFormat/>
    <w:uiPriority w:val="0"/>
    <w:rPr>
      <w:rFonts w:ascii="Times New Roman" w:hAnsi="Times New Roman"/>
      <w:kern w:val="2"/>
      <w:sz w:val="24"/>
    </w:rPr>
  </w:style>
  <w:style w:type="character" w:customStyle="1" w:styleId="723">
    <w:name w:val="页眉 字符"/>
    <w:qFormat/>
    <w:uiPriority w:val="99"/>
    <w:rPr>
      <w:rFonts w:ascii="Times New Roman" w:hAnsi="Times New Roman" w:eastAsia="宋体"/>
      <w:sz w:val="18"/>
      <w:szCs w:val="18"/>
    </w:rPr>
  </w:style>
  <w:style w:type="character" w:customStyle="1" w:styleId="724">
    <w:name w:val="页脚 字符"/>
    <w:qFormat/>
    <w:uiPriority w:val="0"/>
    <w:rPr>
      <w:rFonts w:ascii="Times New Roman" w:hAnsi="Times New Roman" w:eastAsia="宋体"/>
      <w:sz w:val="18"/>
      <w:szCs w:val="18"/>
    </w:rPr>
  </w:style>
  <w:style w:type="character" w:customStyle="1" w:styleId="725">
    <w:name w:val="纯文本 字符"/>
    <w:qFormat/>
    <w:uiPriority w:val="0"/>
    <w:rPr>
      <w:rFonts w:ascii="宋体" w:hAnsi="Courier New"/>
    </w:rPr>
  </w:style>
  <w:style w:type="paragraph" w:customStyle="1" w:styleId="726">
    <w:name w:val="11111"/>
    <w:next w:val="1"/>
    <w:qFormat/>
    <w:uiPriority w:val="0"/>
    <w:pPr>
      <w:widowControl w:val="0"/>
      <w:spacing w:line="360" w:lineRule="auto"/>
      <w:ind w:firstLine="200" w:firstLineChars="200"/>
      <w:jc w:val="both"/>
    </w:pPr>
    <w:rPr>
      <w:rFonts w:ascii="Calibri" w:hAnsi="宋体" w:eastAsia="宋体" w:cs="宋体"/>
      <w:kern w:val="2"/>
      <w:sz w:val="21"/>
      <w:szCs w:val="24"/>
      <w:lang w:val="en-US" w:eastAsia="zh-CN" w:bidi="ar-SA"/>
    </w:rPr>
  </w:style>
  <w:style w:type="paragraph" w:customStyle="1" w:styleId="727">
    <w:name w:val="Body text|1"/>
    <w:link w:val="754"/>
    <w:qFormat/>
    <w:uiPriority w:val="0"/>
    <w:pPr>
      <w:widowControl w:val="0"/>
      <w:spacing w:after="100" w:line="434" w:lineRule="auto"/>
      <w:ind w:firstLine="400"/>
    </w:pPr>
    <w:rPr>
      <w:rFonts w:ascii="宋体" w:hAnsi="宋体" w:eastAsia="宋体" w:cs="宋体"/>
      <w:color w:val="000000"/>
      <w:sz w:val="22"/>
      <w:szCs w:val="22"/>
      <w:lang w:val="zh-TW" w:eastAsia="zh-TW" w:bidi="zh-TW"/>
    </w:rPr>
  </w:style>
  <w:style w:type="paragraph" w:customStyle="1" w:styleId="728">
    <w:name w:val="正文格式"/>
    <w:basedOn w:val="1"/>
    <w:qFormat/>
    <w:uiPriority w:val="0"/>
    <w:pPr>
      <w:spacing w:line="360" w:lineRule="auto"/>
      <w:ind w:firstLine="482"/>
    </w:pPr>
    <w:rPr>
      <w:rFonts w:ascii="Calibri" w:hAnsi="Calibri"/>
      <w:kern w:val="0"/>
    </w:rPr>
  </w:style>
  <w:style w:type="paragraph" w:customStyle="1" w:styleId="729">
    <w:name w:val="表格填充项"/>
    <w:basedOn w:val="1"/>
    <w:qFormat/>
    <w:uiPriority w:val="0"/>
    <w:pPr>
      <w:spacing w:line="240" w:lineRule="atLeast"/>
      <w:jc w:val="center"/>
    </w:pPr>
    <w:rPr>
      <w:rFonts w:ascii="宋体" w:hAnsi="宋体"/>
      <w:b/>
    </w:rPr>
  </w:style>
  <w:style w:type="paragraph" w:customStyle="1" w:styleId="730">
    <w:name w:val="表格 标题"/>
    <w:qFormat/>
    <w:uiPriority w:val="0"/>
    <w:pPr>
      <w:widowControl w:val="0"/>
      <w:spacing w:beforeLines="20" w:afterLines="20" w:line="500" w:lineRule="exact"/>
      <w:jc w:val="center"/>
    </w:pPr>
    <w:rPr>
      <w:rFonts w:ascii="Arial" w:hAnsi="Arial" w:eastAsia="仿宋_GB2312" w:cs="Times New Roman"/>
      <w:b/>
      <w:kern w:val="2"/>
      <w:sz w:val="24"/>
      <w:szCs w:val="24"/>
      <w:lang w:val="en-US" w:eastAsia="zh-CN" w:bidi="ar-SA"/>
    </w:rPr>
  </w:style>
  <w:style w:type="character" w:customStyle="1" w:styleId="731">
    <w:name w:val="表头1-1 字符"/>
    <w:link w:val="732"/>
    <w:qFormat/>
    <w:uiPriority w:val="0"/>
    <w:rPr>
      <w:rFonts w:eastAsia="宋体"/>
      <w:b/>
      <w:szCs w:val="24"/>
    </w:rPr>
  </w:style>
  <w:style w:type="paragraph" w:customStyle="1" w:styleId="732">
    <w:name w:val="表头1-1"/>
    <w:basedOn w:val="1"/>
    <w:link w:val="731"/>
    <w:qFormat/>
    <w:uiPriority w:val="0"/>
    <w:pPr>
      <w:spacing w:line="360" w:lineRule="auto"/>
      <w:jc w:val="center"/>
    </w:pPr>
    <w:rPr>
      <w:rFonts w:asciiTheme="minorHAnsi" w:hAnsiTheme="minorHAnsi" w:cstheme="minorBidi"/>
      <w:b/>
    </w:rPr>
  </w:style>
  <w:style w:type="paragraph" w:customStyle="1" w:styleId="733">
    <w:name w:val="Table Paragraph"/>
    <w:basedOn w:val="1"/>
    <w:qFormat/>
    <w:uiPriority w:val="1"/>
    <w:pPr>
      <w:autoSpaceDE w:val="0"/>
      <w:autoSpaceDN w:val="0"/>
      <w:adjustRightInd w:val="0"/>
      <w:jc w:val="left"/>
    </w:pPr>
    <w:rPr>
      <w:rFonts w:eastAsia="等线"/>
      <w:kern w:val="0"/>
      <w:sz w:val="24"/>
    </w:rPr>
  </w:style>
  <w:style w:type="character" w:customStyle="1" w:styleId="734">
    <w:name w:val="图头 Char"/>
    <w:link w:val="735"/>
    <w:qFormat/>
    <w:uiPriority w:val="0"/>
    <w:rPr>
      <w:rFonts w:ascii="黑体" w:eastAsia="黑体"/>
      <w:sz w:val="28"/>
      <w:szCs w:val="28"/>
    </w:rPr>
  </w:style>
  <w:style w:type="paragraph" w:customStyle="1" w:styleId="735">
    <w:name w:val="图头"/>
    <w:basedOn w:val="1"/>
    <w:link w:val="734"/>
    <w:qFormat/>
    <w:uiPriority w:val="0"/>
    <w:pPr>
      <w:spacing w:line="360" w:lineRule="auto"/>
      <w:jc w:val="center"/>
    </w:pPr>
    <w:rPr>
      <w:rFonts w:ascii="黑体" w:eastAsia="黑体" w:hAnsiTheme="minorHAnsi" w:cstheme="minorBidi"/>
      <w:sz w:val="28"/>
      <w:szCs w:val="28"/>
    </w:rPr>
  </w:style>
  <w:style w:type="character" w:customStyle="1" w:styleId="736">
    <w:name w:val="正文文本 字符"/>
    <w:qFormat/>
    <w:uiPriority w:val="0"/>
    <w:rPr>
      <w:rFonts w:eastAsia="宋体"/>
      <w:kern w:val="2"/>
      <w:sz w:val="21"/>
      <w:szCs w:val="24"/>
      <w:lang w:val="en-US" w:eastAsia="zh-CN" w:bidi="ar-SA"/>
    </w:rPr>
  </w:style>
  <w:style w:type="table" w:customStyle="1" w:styleId="737">
    <w:name w:val="Table Normal"/>
    <w:semiHidden/>
    <w:unhideWhenUsed/>
    <w:qFormat/>
    <w:uiPriority w:val="0"/>
    <w:rPr>
      <w:rFonts w:ascii="Arial" w:hAnsi="Arial" w:cs="Arial"/>
      <w:snapToGrid w:val="0"/>
      <w:color w:val="000000"/>
      <w:szCs w:val="21"/>
    </w:rPr>
    <w:tblPr>
      <w:tblCellMar>
        <w:top w:w="0" w:type="dxa"/>
        <w:left w:w="0" w:type="dxa"/>
        <w:bottom w:w="0" w:type="dxa"/>
        <w:right w:w="0" w:type="dxa"/>
      </w:tblCellMar>
    </w:tblPr>
  </w:style>
  <w:style w:type="character" w:customStyle="1" w:styleId="738">
    <w:name w:val="NormalCharacter"/>
    <w:semiHidden/>
    <w:qFormat/>
    <w:uiPriority w:val="0"/>
    <w:rPr>
      <w:kern w:val="2"/>
      <w:sz w:val="21"/>
      <w:szCs w:val="24"/>
      <w:lang w:val="en-US" w:eastAsia="zh-CN" w:bidi="ar-SA"/>
    </w:rPr>
  </w:style>
  <w:style w:type="paragraph" w:customStyle="1" w:styleId="739">
    <w:name w:val="Default1"/>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customStyle="1" w:styleId="740">
    <w:name w:val="样式 样式 样式 报告书正文 + 首行缩进:  2 字符1 + 加粗 + 首行缩进:  2 字符"/>
    <w:basedOn w:val="1"/>
    <w:qFormat/>
    <w:uiPriority w:val="0"/>
    <w:pPr>
      <w:adjustRightInd w:val="0"/>
      <w:snapToGrid w:val="0"/>
      <w:spacing w:line="360" w:lineRule="auto"/>
      <w:ind w:firstLine="200" w:firstLineChars="200"/>
    </w:pPr>
    <w:rPr>
      <w:rFonts w:cs="宋体"/>
      <w:sz w:val="24"/>
      <w:szCs w:val="20"/>
    </w:rPr>
  </w:style>
  <w:style w:type="paragraph" w:customStyle="1" w:styleId="741">
    <w:name w:val="aaa正文"/>
    <w:basedOn w:val="1"/>
    <w:qFormat/>
    <w:uiPriority w:val="0"/>
    <w:pPr>
      <w:spacing w:line="480" w:lineRule="exact"/>
      <w:ind w:firstLine="200" w:firstLineChars="200"/>
    </w:pPr>
    <w:rPr>
      <w:rFonts w:hAnsi="Calibri"/>
      <w:kern w:val="0"/>
      <w:sz w:val="24"/>
    </w:rPr>
  </w:style>
  <w:style w:type="paragraph" w:customStyle="1" w:styleId="742">
    <w:name w:val="样式 样式 行距: 1.5 倍行距 + 首行缩进:  2 字符"/>
    <w:basedOn w:val="1"/>
    <w:qFormat/>
    <w:uiPriority w:val="0"/>
    <w:pPr>
      <w:adjustRightInd w:val="0"/>
      <w:snapToGrid w:val="0"/>
      <w:spacing w:line="360" w:lineRule="auto"/>
      <w:ind w:firstLine="480" w:firstLineChars="200"/>
    </w:pPr>
    <w:rPr>
      <w:sz w:val="24"/>
      <w:szCs w:val="20"/>
    </w:rPr>
  </w:style>
  <w:style w:type="paragraph" w:customStyle="1" w:styleId="743">
    <w:name w:val="样式 样式 正文首行缩进正文首行缩进 Char + 首行缩进:  2 字符 + 首行缩进:  2 字符"/>
    <w:basedOn w:val="1"/>
    <w:qFormat/>
    <w:uiPriority w:val="0"/>
    <w:pPr>
      <w:adjustRightInd w:val="0"/>
      <w:snapToGrid w:val="0"/>
      <w:spacing w:line="360" w:lineRule="auto"/>
      <w:ind w:firstLine="480" w:firstLineChars="200"/>
      <w:textAlignment w:val="baseline"/>
    </w:pPr>
    <w:rPr>
      <w:rFonts w:ascii="宋体" w:hAnsi="Calibri" w:cs="宋体"/>
      <w:lang w:val="zh-CN"/>
    </w:rPr>
  </w:style>
  <w:style w:type="character" w:customStyle="1" w:styleId="744">
    <w:name w:val="标题4 Char1"/>
    <w:basedOn w:val="50"/>
    <w:qFormat/>
    <w:uiPriority w:val="0"/>
    <w:rPr>
      <w:rFonts w:ascii="Times New Roman" w:hAnsi="宋体" w:eastAsia="黑体" w:cs="Times New Roman"/>
      <w:sz w:val="24"/>
      <w:szCs w:val="24"/>
    </w:rPr>
  </w:style>
  <w:style w:type="paragraph" w:customStyle="1" w:styleId="745">
    <w:name w:val="Char4"/>
    <w:basedOn w:val="1"/>
    <w:next w:val="18"/>
    <w:qFormat/>
    <w:uiPriority w:val="0"/>
    <w:pPr>
      <w:jc w:val="left"/>
    </w:pPr>
    <w:rPr>
      <w:szCs w:val="21"/>
    </w:rPr>
  </w:style>
  <w:style w:type="paragraph" w:customStyle="1" w:styleId="746">
    <w:name w:val="表文00"/>
    <w:basedOn w:val="1"/>
    <w:next w:val="1"/>
    <w:qFormat/>
    <w:uiPriority w:val="0"/>
    <w:pPr>
      <w:autoSpaceDE w:val="0"/>
      <w:autoSpaceDN w:val="0"/>
      <w:contextualSpacing/>
      <w:jc w:val="center"/>
    </w:pPr>
    <w:rPr>
      <w:szCs w:val="18"/>
    </w:rPr>
  </w:style>
  <w:style w:type="paragraph" w:customStyle="1" w:styleId="747">
    <w:name w:val="样式 (中文) 仿宋_GB2312 四号 加粗 行距: 最小值 26 磅"/>
    <w:basedOn w:val="1"/>
    <w:link w:val="748"/>
    <w:qFormat/>
    <w:uiPriority w:val="0"/>
    <w:pPr>
      <w:spacing w:line="520" w:lineRule="atLeast"/>
    </w:pPr>
    <w:rPr>
      <w:rFonts w:eastAsia="仿宋_GB2312" w:cs="宋体"/>
      <w:b/>
      <w:bCs/>
      <w:sz w:val="28"/>
      <w:szCs w:val="20"/>
    </w:rPr>
  </w:style>
  <w:style w:type="character" w:customStyle="1" w:styleId="748">
    <w:name w:val="样式 (中文) 仿宋_GB2312 四号 加粗 行距: 最小值 26 磅 Char"/>
    <w:link w:val="747"/>
    <w:qFormat/>
    <w:uiPriority w:val="0"/>
    <w:rPr>
      <w:rFonts w:ascii="Times New Roman" w:hAnsi="Times New Roman" w:eastAsia="仿宋_GB2312" w:cs="宋体"/>
      <w:b/>
      <w:bCs/>
      <w:sz w:val="28"/>
      <w:szCs w:val="20"/>
    </w:rPr>
  </w:style>
  <w:style w:type="character" w:customStyle="1" w:styleId="749">
    <w:name w:val="表格标题 Char Char Char Char"/>
    <w:qFormat/>
    <w:uiPriority w:val="0"/>
    <w:rPr>
      <w:rFonts w:ascii="仿宋_GB2312" w:hAnsi="Arial" w:eastAsia="仿宋_GB2312"/>
      <w:kern w:val="24"/>
      <w:sz w:val="24"/>
      <w:szCs w:val="24"/>
    </w:rPr>
  </w:style>
  <w:style w:type="paragraph" w:customStyle="1" w:styleId="750">
    <w:name w:val="表中的文字"/>
    <w:basedOn w:val="219"/>
    <w:qFormat/>
    <w:uiPriority w:val="0"/>
    <w:pPr>
      <w:spacing w:line="440" w:lineRule="exact"/>
      <w:ind w:firstLine="0" w:firstLineChars="0"/>
    </w:pPr>
    <w:rPr>
      <w:bCs/>
      <w:color w:val="000000"/>
      <w:kern w:val="0"/>
      <w:sz w:val="21"/>
      <w:szCs w:val="21"/>
    </w:rPr>
  </w:style>
  <w:style w:type="character" w:customStyle="1" w:styleId="751">
    <w:name w:val="showhidemsg1"/>
    <w:basedOn w:val="50"/>
    <w:qFormat/>
    <w:uiPriority w:val="0"/>
  </w:style>
  <w:style w:type="character" w:customStyle="1" w:styleId="752">
    <w:name w:val="Table caption|1_"/>
    <w:basedOn w:val="50"/>
    <w:link w:val="753"/>
    <w:qFormat/>
    <w:uiPriority w:val="0"/>
    <w:rPr>
      <w:rFonts w:ascii="宋体" w:hAnsi="宋体" w:eastAsia="宋体" w:cs="宋体"/>
      <w:sz w:val="18"/>
      <w:szCs w:val="18"/>
      <w:lang w:val="zh-TW" w:eastAsia="zh-TW" w:bidi="zh-TW"/>
    </w:rPr>
  </w:style>
  <w:style w:type="paragraph" w:customStyle="1" w:styleId="753">
    <w:name w:val="Table caption|1"/>
    <w:basedOn w:val="1"/>
    <w:link w:val="752"/>
    <w:qFormat/>
    <w:uiPriority w:val="0"/>
    <w:pPr>
      <w:spacing w:line="314" w:lineRule="exact"/>
      <w:ind w:firstLine="1800"/>
      <w:jc w:val="left"/>
    </w:pPr>
    <w:rPr>
      <w:rFonts w:ascii="宋体" w:hAnsi="宋体" w:cs="宋体"/>
      <w:sz w:val="18"/>
      <w:szCs w:val="18"/>
      <w:lang w:val="zh-TW" w:eastAsia="zh-TW" w:bidi="zh-TW"/>
    </w:rPr>
  </w:style>
  <w:style w:type="character" w:customStyle="1" w:styleId="754">
    <w:name w:val="Body text|1_"/>
    <w:basedOn w:val="50"/>
    <w:link w:val="727"/>
    <w:qFormat/>
    <w:uiPriority w:val="0"/>
    <w:rPr>
      <w:rFonts w:ascii="宋体" w:hAnsi="宋体" w:eastAsia="宋体" w:cs="宋体"/>
      <w:color w:val="000000"/>
      <w:kern w:val="0"/>
      <w:sz w:val="22"/>
      <w:lang w:val="zh-TW" w:eastAsia="zh-TW" w:bidi="zh-TW"/>
    </w:rPr>
  </w:style>
  <w:style w:type="paragraph" w:customStyle="1" w:styleId="755">
    <w:name w:val="表内文字"/>
    <w:basedOn w:val="1"/>
    <w:qFormat/>
    <w:uiPriority w:val="0"/>
    <w:pPr>
      <w:widowControl/>
      <w:spacing w:after="200" w:line="276" w:lineRule="auto"/>
      <w:jc w:val="center"/>
    </w:pPr>
    <w:rPr>
      <w:color w:val="000000"/>
      <w:kern w:val="0"/>
      <w:sz w:val="22"/>
      <w:szCs w:val="18"/>
    </w:rPr>
  </w:style>
  <w:style w:type="paragraph" w:customStyle="1" w:styleId="756">
    <w:name w:val="a正文"/>
    <w:basedOn w:val="1"/>
    <w:qFormat/>
    <w:uiPriority w:val="0"/>
    <w:pPr>
      <w:spacing w:line="520" w:lineRule="exact"/>
      <w:ind w:firstLine="561"/>
    </w:pPr>
    <w:rPr>
      <w:sz w:val="28"/>
      <w:szCs w:val="22"/>
    </w:rPr>
  </w:style>
  <w:style w:type="paragraph" w:customStyle="1" w:styleId="757">
    <w:name w:val="列出段落2"/>
    <w:basedOn w:val="1"/>
    <w:qFormat/>
    <w:uiPriority w:val="34"/>
    <w:pPr>
      <w:widowControl/>
      <w:spacing w:after="200" w:line="276" w:lineRule="auto"/>
      <w:ind w:firstLine="420"/>
      <w:jc w:val="left"/>
    </w:pPr>
    <w:rPr>
      <w:rFonts w:ascii="Calibri" w:hAnsi="Calibri"/>
      <w:kern w:val="0"/>
      <w:sz w:val="24"/>
    </w:rPr>
  </w:style>
  <w:style w:type="paragraph" w:customStyle="1" w:styleId="758">
    <w:name w:val="00"/>
    <w:basedOn w:val="1"/>
    <w:qFormat/>
    <w:uiPriority w:val="0"/>
    <w:pPr>
      <w:spacing w:line="520" w:lineRule="exact"/>
      <w:ind w:firstLine="480"/>
    </w:pPr>
    <w:rPr>
      <w:rFonts w:hAnsi="宋体"/>
      <w:sz w:val="24"/>
    </w:rPr>
  </w:style>
  <w:style w:type="paragraph" w:customStyle="1" w:styleId="759">
    <w:name w:val="【标题1】"/>
    <w:basedOn w:val="1"/>
    <w:link w:val="760"/>
    <w:qFormat/>
    <w:uiPriority w:val="0"/>
    <w:pPr>
      <w:widowControl/>
      <w:tabs>
        <w:tab w:val="left" w:leader="middleDot" w:pos="7371"/>
      </w:tabs>
      <w:adjustRightInd w:val="0"/>
      <w:snapToGrid w:val="0"/>
      <w:spacing w:line="500" w:lineRule="exact"/>
      <w:outlineLvl w:val="0"/>
    </w:pPr>
    <w:rPr>
      <w:rFonts w:eastAsia="黑体"/>
      <w:color w:val="000000" w:themeColor="text1"/>
      <w:kern w:val="0"/>
      <w:sz w:val="32"/>
      <w:szCs w:val="32"/>
      <w14:textFill>
        <w14:solidFill>
          <w14:schemeClr w14:val="tx1"/>
        </w14:solidFill>
      </w14:textFill>
    </w:rPr>
  </w:style>
  <w:style w:type="character" w:customStyle="1" w:styleId="760">
    <w:name w:val="【标题1】 字符"/>
    <w:basedOn w:val="50"/>
    <w:link w:val="759"/>
    <w:qFormat/>
    <w:uiPriority w:val="0"/>
    <w:rPr>
      <w:rFonts w:eastAsia="黑体"/>
      <w:color w:val="000000" w:themeColor="text1"/>
      <w:sz w:val="32"/>
      <w:szCs w:val="32"/>
      <w14:textFill>
        <w14:solidFill>
          <w14:schemeClr w14:val="tx1"/>
        </w14:solidFill>
      </w14:textFill>
    </w:rPr>
  </w:style>
  <w:style w:type="table" w:customStyle="1" w:styleId="761">
    <w:name w:val="网格型111"/>
    <w:basedOn w:val="45"/>
    <w:qFormat/>
    <w:uiPriority w:val="59"/>
    <w:pPr>
      <w:jc w:val="center"/>
    </w:pPr>
    <w:rPr>
      <w:rFonts w:ascii="Calibri" w:hAnsi="Calibri"/>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762">
    <w:name w:val="[表格样式]42"/>
    <w:basedOn w:val="45"/>
    <w:qFormat/>
    <w:uiPriority w:val="99"/>
    <w:pPr>
      <w:adjustRightInd w:val="0"/>
      <w:snapToGrid w:val="0"/>
      <w:jc w:val="center"/>
    </w:pPr>
    <w:tblPr>
      <w:tblBorders>
        <w:top w:val="single" w:color="auto" w:sz="12" w:space="0"/>
        <w:bottom w:val="single" w:color="auto" w:sz="12" w:space="0"/>
        <w:insideH w:val="single" w:color="auto" w:sz="4" w:space="0"/>
        <w:insideV w:val="single" w:color="auto" w:sz="4" w:space="0"/>
      </w:tblBorders>
    </w:tblPr>
    <w:tcPr>
      <w:vAlign w:val="center"/>
    </w:tcPr>
  </w:style>
  <w:style w:type="paragraph" w:customStyle="1" w:styleId="763">
    <w:name w:val="【表中文字】-"/>
    <w:basedOn w:val="1"/>
    <w:link w:val="764"/>
    <w:qFormat/>
    <w:uiPriority w:val="0"/>
    <w:pPr>
      <w:jc w:val="center"/>
    </w:pPr>
    <w:rPr>
      <w:kern w:val="0"/>
      <w:sz w:val="20"/>
      <w:szCs w:val="20"/>
      <w:lang w:val="zh-CN"/>
    </w:rPr>
  </w:style>
  <w:style w:type="character" w:customStyle="1" w:styleId="764">
    <w:name w:val="【表中文字】- 字符"/>
    <w:link w:val="763"/>
    <w:qFormat/>
    <w:uiPriority w:val="0"/>
    <w:rPr>
      <w:lang w:val="zh-CN"/>
    </w:rPr>
  </w:style>
  <w:style w:type="character" w:customStyle="1" w:styleId="765">
    <w:name w:val="【正文】 Char1"/>
    <w:qFormat/>
    <w:locked/>
    <w:uiPriority w:val="0"/>
    <w:rPr>
      <w:kern w:val="2"/>
      <w:sz w:val="24"/>
      <w:szCs w:val="24"/>
    </w:rPr>
  </w:style>
  <w:style w:type="character" w:customStyle="1" w:styleId="766">
    <w:name w:val="正文文本首行缩进 字符1"/>
    <w:qFormat/>
    <w:uiPriority w:val="0"/>
    <w:rPr>
      <w:rFonts w:ascii="Times New Roman" w:hAnsi="Times New Roman"/>
    </w:rPr>
  </w:style>
  <w:style w:type="table" w:customStyle="1" w:styleId="767">
    <w:name w:val="[表格样式]32"/>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768">
    <w:name w:val="[表格样式]421"/>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769">
    <w:name w:val="[表格样式]51"/>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770">
    <w:name w:val="网格型1111"/>
    <w:basedOn w:val="45"/>
    <w:qFormat/>
    <w:uiPriority w:val="59"/>
    <w:pPr>
      <w:jc w:val="center"/>
    </w:pPr>
    <w:rPr>
      <w:rFonts w:ascii="Calibri" w:hAnsi="Calibri"/>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771">
    <w:name w:val="[表格样式]422"/>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772">
    <w:name w:val="标准正文 Char"/>
    <w:basedOn w:val="50"/>
    <w:qFormat/>
    <w:uiPriority w:val="0"/>
    <w:rPr>
      <w:rFonts w:hint="eastAsia" w:ascii="仿宋_GB2312" w:eastAsia="仿宋_GB2312" w:cs="仿宋_GB2312"/>
      <w:kern w:val="2"/>
      <w:sz w:val="24"/>
      <w:szCs w:val="24"/>
      <w:lang w:val="en-US" w:eastAsia="zh-CN"/>
    </w:rPr>
  </w:style>
  <w:style w:type="paragraph" w:customStyle="1" w:styleId="773">
    <w:name w:val="正文 New New"/>
    <w:qFormat/>
    <w:uiPriority w:val="99"/>
    <w:pPr>
      <w:widowControl w:val="0"/>
      <w:jc w:val="both"/>
    </w:pPr>
    <w:rPr>
      <w:rFonts w:ascii="Times New Roman" w:hAnsi="Times New Roman" w:eastAsia="宋体" w:cs="Times New Roman"/>
      <w:kern w:val="2"/>
      <w:sz w:val="21"/>
      <w:szCs w:val="24"/>
      <w:lang w:val="en-US" w:eastAsia="zh-CN" w:bidi="ar-SA"/>
    </w:rPr>
  </w:style>
  <w:style w:type="table" w:customStyle="1" w:styleId="774">
    <w:name w:val="[表格样式]423"/>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table" w:customStyle="1" w:styleId="775">
    <w:name w:val="[表格样式]424"/>
    <w:basedOn w:val="45"/>
    <w:qFormat/>
    <w:uiPriority w:val="99"/>
    <w:pPr>
      <w:adjustRightInd w:val="0"/>
      <w:snapToGrid w:val="0"/>
      <w:jc w:val="center"/>
    </w:pPr>
    <w:rPr>
      <w:snapToGrid w:val="0"/>
    </w:rPr>
    <w:tblPr>
      <w:tblBorders>
        <w:top w:val="single" w:color="auto" w:sz="12" w:space="0"/>
        <w:bottom w:val="single" w:color="auto" w:sz="12" w:space="0"/>
        <w:insideH w:val="single" w:color="auto" w:sz="4" w:space="0"/>
        <w:insideV w:val="single" w:color="auto" w:sz="4" w:space="0"/>
      </w:tblBorders>
    </w:tblPr>
    <w:tcPr>
      <w:vAlign w:val="center"/>
    </w:tcPr>
  </w:style>
  <w:style w:type="character" w:customStyle="1" w:styleId="776">
    <w:name w:val="font31"/>
    <w:basedOn w:val="50"/>
    <w:qFormat/>
    <w:uiPriority w:val="0"/>
    <w:rPr>
      <w:rFonts w:hint="eastAsia" w:ascii="宋体" w:hAnsi="宋体" w:eastAsia="宋体" w:cs="宋体"/>
      <w:color w:val="000000"/>
      <w:sz w:val="24"/>
      <w:szCs w:val="24"/>
      <w:u w:val="none"/>
    </w:rPr>
  </w:style>
  <w:style w:type="character" w:customStyle="1" w:styleId="777">
    <w:name w:val="font41"/>
    <w:basedOn w:val="50"/>
    <w:qFormat/>
    <w:uiPriority w:val="0"/>
    <w:rPr>
      <w:rFonts w:hint="default" w:ascii="Times New Roman" w:hAnsi="Times New Roman" w:cs="Times New Roman"/>
      <w:color w:val="000000"/>
      <w:sz w:val="24"/>
      <w:szCs w:val="24"/>
      <w:u w:val="none"/>
      <w:vertAlign w:val="subscript"/>
    </w:rPr>
  </w:style>
  <w:style w:type="character" w:customStyle="1" w:styleId="778">
    <w:name w:val="font21"/>
    <w:basedOn w:val="50"/>
    <w:qFormat/>
    <w:uiPriority w:val="0"/>
    <w:rPr>
      <w:rFonts w:hint="default" w:ascii="Times New Roman" w:hAnsi="Times New Roman" w:cs="Times New Roman"/>
      <w:color w:val="FF0000"/>
      <w:sz w:val="21"/>
      <w:szCs w:val="21"/>
      <w:u w:val="none"/>
    </w:rPr>
  </w:style>
  <w:style w:type="paragraph" w:customStyle="1" w:styleId="779">
    <w:name w:val="..正文"/>
    <w:basedOn w:val="1"/>
    <w:qFormat/>
    <w:uiPriority w:val="0"/>
    <w:pPr>
      <w:spacing w:line="500" w:lineRule="exact"/>
      <w:ind w:firstLine="480"/>
    </w:pPr>
    <w:rPr>
      <w:kern w:val="0"/>
    </w:rPr>
  </w:style>
  <w:style w:type="paragraph" w:customStyle="1" w:styleId="780">
    <w:name w:val="..【表中文字】"/>
    <w:basedOn w:val="781"/>
    <w:qFormat/>
    <w:uiPriority w:val="0"/>
    <w:pPr>
      <w:widowControl w:val="0"/>
    </w:pPr>
    <w:rPr>
      <w:rFonts w:ascii="Times New Roman" w:hAnsi="Times New Roman"/>
    </w:rPr>
  </w:style>
  <w:style w:type="paragraph" w:customStyle="1" w:styleId="781">
    <w:name w:val="图表内容"/>
    <w:next w:val="18"/>
    <w:qFormat/>
    <w:uiPriority w:val="0"/>
    <w:pPr>
      <w:jc w:val="center"/>
    </w:pPr>
    <w:rPr>
      <w:rFonts w:ascii="Calibri" w:hAnsi="Calibri" w:eastAsia="宋体" w:cs="Times New Roman"/>
      <w:kern w:val="2"/>
      <w:sz w:val="21"/>
      <w:szCs w:val="21"/>
      <w:lang w:val="en-US" w:eastAsia="zh-CN" w:bidi="ar-SA"/>
    </w:rPr>
  </w:style>
  <w:style w:type="paragraph" w:customStyle="1" w:styleId="782">
    <w:name w:val="..图片"/>
    <w:basedOn w:val="763"/>
    <w:qFormat/>
    <w:uiPriority w:val="0"/>
    <w:pPr>
      <w:keepNext/>
    </w:pPr>
  </w:style>
  <w:style w:type="paragraph" w:customStyle="1" w:styleId="783">
    <w:name w:val=".图名"/>
    <w:basedOn w:val="1"/>
    <w:qFormat/>
    <w:uiPriority w:val="0"/>
    <w:pPr>
      <w:spacing w:line="480" w:lineRule="exact"/>
      <w:ind w:firstLine="0" w:firstLineChars="0"/>
      <w:jc w:val="center"/>
    </w:pPr>
    <w:rPr>
      <w:rFonts w:eastAsia="黑体"/>
      <w:snapToGrid w:val="0"/>
    </w:rPr>
  </w:style>
  <w:style w:type="paragraph" w:customStyle="1" w:styleId="784">
    <w:name w:val="_Style 4"/>
    <w:qFormat/>
    <w:uiPriority w:val="1"/>
    <w:pPr>
      <w:widowControl w:val="0"/>
      <w:spacing w:line="440" w:lineRule="exact"/>
      <w:jc w:val="both"/>
    </w:pPr>
    <w:rPr>
      <w:rFonts w:ascii="Times New Roman" w:hAnsi="Times New Roman" w:eastAsia="仿宋_GB2312" w:cs="Times New Roman"/>
      <w:kern w:val="2"/>
      <w:sz w:val="24"/>
      <w:szCs w:val="24"/>
      <w:lang w:val="en-US" w:eastAsia="zh-CN" w:bidi="ar-SA"/>
    </w:rPr>
  </w:style>
  <w:style w:type="paragraph" w:customStyle="1" w:styleId="785">
    <w:name w:val=".表头"/>
    <w:basedOn w:val="1"/>
    <w:qFormat/>
    <w:uiPriority w:val="0"/>
    <w:pPr>
      <w:keepNext/>
      <w:tabs>
        <w:tab w:val="left" w:pos="1067"/>
      </w:tabs>
      <w:overflowPunct w:val="0"/>
      <w:spacing w:line="480" w:lineRule="exact"/>
      <w:ind w:firstLine="0" w:firstLineChars="0"/>
      <w:jc w:val="center"/>
    </w:pPr>
    <w:rPr>
      <w:rFonts w:eastAsia="黑体"/>
      <w:kern w:val="0"/>
      <w:szCs w:val="21"/>
    </w:rPr>
  </w:style>
  <w:style w:type="paragraph" w:customStyle="1" w:styleId="786">
    <w:name w:val="修复方案正文 宋体四号"/>
    <w:basedOn w:val="1"/>
    <w:qFormat/>
    <w:uiPriority w:val="0"/>
    <w:pPr>
      <w:spacing w:line="360" w:lineRule="auto"/>
      <w:ind w:firstLine="566" w:firstLineChars="202"/>
      <w:jc w:val="left"/>
    </w:pPr>
    <w:rPr>
      <w:rFonts w:ascii="宋体" w:hAnsi="宋体"/>
      <w:sz w:val="28"/>
      <w:szCs w:val="28"/>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3" Type="http://schemas.openxmlformats.org/officeDocument/2006/relationships/fontTable" Target="fontTable.xml"/><Relationship Id="rId82" Type="http://schemas.openxmlformats.org/officeDocument/2006/relationships/customXml" Target="../customXml/item3.xml"/><Relationship Id="rId81" Type="http://schemas.openxmlformats.org/officeDocument/2006/relationships/customXml" Target="../customXml/item2.xml"/><Relationship Id="rId80" Type="http://schemas.openxmlformats.org/officeDocument/2006/relationships/numbering" Target="numbering.xml"/><Relationship Id="rId8" Type="http://schemas.openxmlformats.org/officeDocument/2006/relationships/footer" Target="footer4.xml"/><Relationship Id="rId79" Type="http://schemas.openxmlformats.org/officeDocument/2006/relationships/customXml" Target="../customXml/item1.xml"/><Relationship Id="rId78" Type="http://schemas.openxmlformats.org/officeDocument/2006/relationships/image" Target="media/image63.png"/><Relationship Id="rId77" Type="http://schemas.openxmlformats.org/officeDocument/2006/relationships/image" Target="media/image62.png"/><Relationship Id="rId76" Type="http://schemas.openxmlformats.org/officeDocument/2006/relationships/image" Target="media/image61.png"/><Relationship Id="rId75" Type="http://schemas.openxmlformats.org/officeDocument/2006/relationships/image" Target="media/image60.png"/><Relationship Id="rId74" Type="http://schemas.openxmlformats.org/officeDocument/2006/relationships/image" Target="media/image59.png"/><Relationship Id="rId73" Type="http://schemas.openxmlformats.org/officeDocument/2006/relationships/image" Target="media/image58.png"/><Relationship Id="rId72" Type="http://schemas.openxmlformats.org/officeDocument/2006/relationships/image" Target="media/image57.png"/><Relationship Id="rId71" Type="http://schemas.openxmlformats.org/officeDocument/2006/relationships/image" Target="media/image56.jpeg"/><Relationship Id="rId70" Type="http://schemas.openxmlformats.org/officeDocument/2006/relationships/image" Target="media/image55.png"/><Relationship Id="rId7" Type="http://schemas.openxmlformats.org/officeDocument/2006/relationships/footer" Target="footer3.xml"/><Relationship Id="rId69" Type="http://schemas.openxmlformats.org/officeDocument/2006/relationships/image" Target="media/image54.png"/><Relationship Id="rId68" Type="http://schemas.openxmlformats.org/officeDocument/2006/relationships/image" Target="media/image53.png"/><Relationship Id="rId67" Type="http://schemas.openxmlformats.org/officeDocument/2006/relationships/image" Target="media/image52.png"/><Relationship Id="rId66" Type="http://schemas.openxmlformats.org/officeDocument/2006/relationships/image" Target="media/image51.wmf"/><Relationship Id="rId65" Type="http://schemas.openxmlformats.org/officeDocument/2006/relationships/image" Target="media/image50.png"/><Relationship Id="rId64" Type="http://schemas.openxmlformats.org/officeDocument/2006/relationships/image" Target="media/image49.png"/><Relationship Id="rId63" Type="http://schemas.openxmlformats.org/officeDocument/2006/relationships/image" Target="media/image48.png"/><Relationship Id="rId62" Type="http://schemas.openxmlformats.org/officeDocument/2006/relationships/image" Target="media/image47.png"/><Relationship Id="rId61" Type="http://schemas.openxmlformats.org/officeDocument/2006/relationships/image" Target="media/image46.png"/><Relationship Id="rId60" Type="http://schemas.openxmlformats.org/officeDocument/2006/relationships/image" Target="media/image45.png"/><Relationship Id="rId6" Type="http://schemas.openxmlformats.org/officeDocument/2006/relationships/footer" Target="footer2.xml"/><Relationship Id="rId59" Type="http://schemas.openxmlformats.org/officeDocument/2006/relationships/image" Target="media/image44.png"/><Relationship Id="rId58" Type="http://schemas.openxmlformats.org/officeDocument/2006/relationships/image" Target="media/image43.png"/><Relationship Id="rId57" Type="http://schemas.openxmlformats.org/officeDocument/2006/relationships/image" Target="media/image42.png"/><Relationship Id="rId56" Type="http://schemas.openxmlformats.org/officeDocument/2006/relationships/image" Target="media/image41.png"/><Relationship Id="rId55" Type="http://schemas.openxmlformats.org/officeDocument/2006/relationships/image" Target="media/image40.png"/><Relationship Id="rId54" Type="http://schemas.openxmlformats.org/officeDocument/2006/relationships/image" Target="media/image39.png"/><Relationship Id="rId53" Type="http://schemas.openxmlformats.org/officeDocument/2006/relationships/image" Target="media/image38.png"/><Relationship Id="rId52" Type="http://schemas.openxmlformats.org/officeDocument/2006/relationships/image" Target="media/image37.png"/><Relationship Id="rId51" Type="http://schemas.openxmlformats.org/officeDocument/2006/relationships/image" Target="media/image36.png"/><Relationship Id="rId50" Type="http://schemas.openxmlformats.org/officeDocument/2006/relationships/image" Target="media/image35.png"/><Relationship Id="rId5" Type="http://schemas.openxmlformats.org/officeDocument/2006/relationships/header" Target="header2.xml"/><Relationship Id="rId49" Type="http://schemas.openxmlformats.org/officeDocument/2006/relationships/image" Target="media/image34.png"/><Relationship Id="rId48" Type="http://schemas.openxmlformats.org/officeDocument/2006/relationships/image" Target="media/image33.png"/><Relationship Id="rId47" Type="http://schemas.openxmlformats.org/officeDocument/2006/relationships/image" Target="media/image32.jpeg"/><Relationship Id="rId46" Type="http://schemas.openxmlformats.org/officeDocument/2006/relationships/image" Target="media/image31.png"/><Relationship Id="rId45" Type="http://schemas.openxmlformats.org/officeDocument/2006/relationships/image" Target="media/image30.png"/><Relationship Id="rId44" Type="http://schemas.openxmlformats.org/officeDocument/2006/relationships/image" Target="media/image29.jpeg"/><Relationship Id="rId43" Type="http://schemas.openxmlformats.org/officeDocument/2006/relationships/image" Target="media/image28.png"/><Relationship Id="rId42" Type="http://schemas.openxmlformats.org/officeDocument/2006/relationships/image" Target="media/image27.png"/><Relationship Id="rId41" Type="http://schemas.openxmlformats.org/officeDocument/2006/relationships/image" Target="media/image26.png"/><Relationship Id="rId40" Type="http://schemas.openxmlformats.org/officeDocument/2006/relationships/image" Target="media/image25.png"/><Relationship Id="rId4" Type="http://schemas.openxmlformats.org/officeDocument/2006/relationships/footer" Target="footer1.xml"/><Relationship Id="rId39" Type="http://schemas.openxmlformats.org/officeDocument/2006/relationships/image" Target="media/image24.png"/><Relationship Id="rId38" Type="http://schemas.openxmlformats.org/officeDocument/2006/relationships/image" Target="media/image23.png"/><Relationship Id="rId37" Type="http://schemas.openxmlformats.org/officeDocument/2006/relationships/image" Target="media/image22.png"/><Relationship Id="rId36" Type="http://schemas.openxmlformats.org/officeDocument/2006/relationships/image" Target="media/image21.jpeg"/><Relationship Id="rId35" Type="http://schemas.openxmlformats.org/officeDocument/2006/relationships/image" Target="media/image20.jpeg"/><Relationship Id="rId34" Type="http://schemas.openxmlformats.org/officeDocument/2006/relationships/image" Target="media/image19.png"/><Relationship Id="rId33" Type="http://schemas.openxmlformats.org/officeDocument/2006/relationships/image" Target="media/image18.png"/><Relationship Id="rId32" Type="http://schemas.openxmlformats.org/officeDocument/2006/relationships/image" Target="media/image17.png"/><Relationship Id="rId31" Type="http://schemas.openxmlformats.org/officeDocument/2006/relationships/image" Target="media/image16.png"/><Relationship Id="rId30" Type="http://schemas.openxmlformats.org/officeDocument/2006/relationships/image" Target="media/image15.emf"/><Relationship Id="rId3" Type="http://schemas.openxmlformats.org/officeDocument/2006/relationships/header" Target="header1.xml"/><Relationship Id="rId29" Type="http://schemas.openxmlformats.org/officeDocument/2006/relationships/image" Target="media/image14.png"/><Relationship Id="rId28" Type="http://schemas.openxmlformats.org/officeDocument/2006/relationships/image" Target="media/image13.png"/><Relationship Id="rId27" Type="http://schemas.openxmlformats.org/officeDocument/2006/relationships/image" Target="media/image12.png"/><Relationship Id="rId26" Type="http://schemas.openxmlformats.org/officeDocument/2006/relationships/image" Target="media/image11.png"/><Relationship Id="rId25" Type="http://schemas.openxmlformats.org/officeDocument/2006/relationships/image" Target="media/image10.png"/><Relationship Id="rId24" Type="http://schemas.openxmlformats.org/officeDocument/2006/relationships/image" Target="media/image9.png"/><Relationship Id="rId23" Type="http://schemas.openxmlformats.org/officeDocument/2006/relationships/image" Target="media/image8.jpeg"/><Relationship Id="rId22" Type="http://schemas.openxmlformats.org/officeDocument/2006/relationships/image" Target="media/image7.jpeg"/><Relationship Id="rId21" Type="http://schemas.openxmlformats.org/officeDocument/2006/relationships/image" Target="media/image6.png"/><Relationship Id="rId20" Type="http://schemas.openxmlformats.org/officeDocument/2006/relationships/image" Target="media/image5.pn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png"/><Relationship Id="rId16" Type="http://schemas.openxmlformats.org/officeDocument/2006/relationships/image" Target="media/image1.png"/><Relationship Id="rId15" Type="http://schemas.openxmlformats.org/officeDocument/2006/relationships/theme" Target="theme/theme1.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26032;&#24314;&#25991;&#20214;&#22841;\Building%20Blocks.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85562ed8-2771-4773-adb2-ff3ae216ff55</errorID>
      <errorWord>》</errorWord>
      <group>L1_Word</group>
      <groupName>字词问题</groupName>
      <ability>L2_Typo</ability>
      <abilityName>字词错误</abilityName>
      <candidateList>
        <item>》等</item>
      </candidateList>
      <explain/>
      <paraID>376F43E6</paraID>
      <start>27</start>
      <end>28</end>
      <status>ignored</status>
      <modifiedWord/>
      <trackRevisions>false</trackRevisions>
    </reviewItem>
    <reviewItem>
      <errorID>ec51b340-b71a-4ebc-8a0e-959f64ff4e80</errorID>
      <errorWord>亟需</errorWord>
      <group>L1_Word</group>
      <groupName>字词问题</groupName>
      <ability>L2_Typo</ability>
      <abilityName>字词错误</abilityName>
      <candidateList>
        <item>亟须</item>
      </candidateList>
      <explain>存在发音相同字词的误用。</explain>
      <paraID>6959380B</paraID>
      <start>147</start>
      <end>149</end>
      <status>unmodified</status>
      <modifiedWord/>
      <trackRevisions>false</trackRevisions>
    </reviewItem>
    <reviewItem>
      <errorID>65b3317c-b711-40a6-8c22-888d908e3537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2A14D25</paraID>
      <start>15</start>
      <end>18</end>
      <status>unmodified</status>
      <modifiedWord/>
      <trackRevisions>false</trackRevisions>
    </reviewItem>
    <reviewItem>
      <errorID>85118f12-0642-40ec-a1b4-ea9141bea09e</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2A14D25</paraID>
      <start>32</start>
      <end>35</end>
      <status>unmodified</status>
      <modifiedWord/>
      <trackRevisions>false</trackRevisions>
    </reviewItem>
    <reviewItem>
      <errorID>7a5a7542-9c4d-4705-8bfa-e03d8001192c</errorID>
      <errorWord>采用以</errorWord>
      <group>L1_Word</group>
      <groupName>字词问题</groupName>
      <ability>L2_Typo</ability>
      <abilityName>字词错误</abilityName>
      <candidateList>
        <item>采用</item>
      </candidateList>
      <explain/>
      <paraID> 2A14D25</paraID>
      <start>135</start>
      <end>138</end>
      <status>unmodified</status>
      <modifiedWord/>
      <trackRevisions>false</trackRevisions>
    </reviewItem>
    <reviewItem>
      <errorID>c875f077-3b2b-4c6f-a83d-5d8695490eb4</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2A7467EC</paraID>
      <start>321</start>
      <end>322</end>
      <status>unmodified</status>
      <modifiedWord/>
      <trackRevisions>false</trackRevisions>
    </reviewItem>
    <reviewItem>
      <errorID>a425c4fe-ae70-4945-a4b0-370190dd20a1</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18F95C51</paraID>
      <start>5</start>
      <end>25</end>
      <status>modified</status>
      <modifiedWord>《产业结构调整指导目录（2024年本）》</modifiedWord>
      <trackRevisions>false</trackRevisions>
    </reviewItem>
    <reviewItem>
      <errorID>ad5e57fb-4391-4615-a057-e623a41dce29</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18F95C51</paraID>
      <start>44</start>
      <end>52</end>
      <status>unmodified</status>
      <modifiedWord/>
      <trackRevisions>false</trackRevisions>
    </reviewItem>
    <reviewItem>
      <errorID>177a1597-9fc7-40a9-8c57-d7851576ef09</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18F95C51</paraID>
      <start>85</start>
      <end>86</end>
      <status>unmodified</status>
      <modifiedWord/>
      <trackRevisions>false</trackRevisions>
    </reviewItem>
    <reviewItem>
      <errorID>00db59d6-65f2-47ae-b673-df65da36051f</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18F95C51</paraID>
      <start>88</start>
      <end>89</end>
      <status>unmodified</status>
      <modifiedWord/>
      <trackRevisions>false</trackRevisions>
    </reviewItem>
    <reviewItem>
      <errorID>17dceba5-a711-46db-bc00-c72b0dbfc84e</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18F95C51</paraID>
      <start>94</start>
      <end>95</end>
      <status>unmodified</status>
      <modifiedWord/>
      <trackRevisions>false</trackRevisions>
    </reviewItem>
    <reviewItem>
      <errorID>981d7296-702c-41cd-8603-4b6164681be4</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18F95C51</paraID>
      <start>97</start>
      <end>98</end>
      <status>unmodified</status>
      <modifiedWord/>
      <trackRevisions>false</trackRevisions>
    </reviewItem>
    <reviewItem>
      <errorID>53f325f9-cd5d-4e51-b11c-11612e2b172e</errorID>
      <errorWord>数据交集</errorWord>
      <group>L1_Knowledge</group>
      <groupName>知识性问题</groupName>
      <ability>L2_Term</ability>
      <abilityName>专业术语</abilityName>
      <candidateList>
        <item>数据采集</item>
      </candidateList>
      <explain/>
      <paraID>1A95C7E0</paraID>
      <start>47</start>
      <end>51</end>
      <status>unmodified</status>
      <modifiedWord/>
      <trackRevisions>false</trackRevisions>
    </reviewItem>
    <reviewItem>
      <errorID>893fdced-a21a-45f4-8603-865563b38aa4</errorID>
      <errorWord>平方里</errorWord>
      <group>L1_Knowledge</group>
      <groupName>知识性问题</groupName>
      <ability>L2_Knowledge</ability>
      <abilityName>其他知识</abilityName>
      <candidateList/>
      <explain>非法定单位</explain>
      <paraID>331494C3</paraID>
      <start>18</start>
      <end>21</end>
      <status>unmodified</status>
      <modifiedWord/>
      <trackRevisions>false</trackRevisions>
    </reviewItem>
    <reviewItem>
      <errorID>778f28cb-b2c2-4714-9325-6dd364573ee9</errorID>
      <errorWord>根据及</errorWord>
      <group>L1_Word</group>
      <groupName>字词问题</groupName>
      <ability>L2_Typo</ability>
      <abilityName>字词错误</abilityName>
      <candidateList>
        <item>根据</item>
      </candidateList>
      <explain/>
      <paraID>23B9157C</paraID>
      <start>11</start>
      <end>13</end>
      <status>modified</status>
      <modifiedWord>根据</modifiedWord>
      <trackRevisions>false</trackRevisions>
    </reviewItem>
    <reviewItem>
      <errorID>208110c6-3d23-45aa-9194-1f980ad897a6</errorID>
      <errorWord>永久基本 农田</errorWord>
      <group>L1_Political</group>
      <groupName>政治性问题</groupName>
      <ability>L2_Keyword</ability>
      <abilityName>固定表述</abilityName>
      <candidateList>
        <item>永久基本农田</item>
      </candidateList>
      <explain>词汇“永久基本农田”在特定场景下为固定表述形式，请确认此处的“永久基本 农田”是否存在不当。</explain>
      <paraID>77E7DF51</paraID>
      <start>3</start>
      <end>10</end>
      <status>unmodified</status>
      <modifiedWord/>
      <trackRevisions>false</trackRevisions>
    </reviewItem>
    <reviewItem>
      <errorID>bcae2ac6-7496-4cb5-bff1-d944baf161a0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43D99FEA</paraID>
      <start>32</start>
      <end>33</end>
      <status>unmodified</status>
      <modifiedWord/>
      <trackRevisions>false</trackRevisions>
    </reviewItem>
    <reviewItem>
      <errorID>71083720-2e06-4f24-808d-9286b3e4daf7</errorID>
      <errorWord>(</errorWord>
      <group>L1_Format</group>
      <groupName>格式问题</groupName>
      <ability>L2_HalfPunc_CN</ability>
      <abilityName>全半角问题</abilityName>
      <candidateList>
        <item>（</item>
      </candidateList>
      <explain>文本全半角错误。</explain>
      <paraID>7498348B</paraID>
      <start>21</start>
      <end>22</end>
      <status>unmodified</status>
      <modifiedWord/>
      <trackRevisions>false</trackRevisions>
    </reviewItem>
    <reviewItem>
      <errorID>2e0bf37c-0014-41a7-9f3a-787b19d62d36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7498348B</paraID>
      <start>26</start>
      <end>27</end>
      <status>unmodified</status>
      <modifiedWord/>
      <trackRevisions>false</trackRevisions>
    </reviewItem>
    <reviewItem>
      <errorID>ef6cb7d6-7212-4c5e-b954-9b648f98e345</errorID>
      <errorWord>)</errorWord>
      <group>L1_Format</group>
      <groupName>格式问题</groupName>
      <ability>L2_HalfPunc_CN</ability>
      <abilityName>全半角问题</abilityName>
      <candidateList>
        <item>）</item>
      </candidateList>
      <explain>文本全半角错误。</explain>
      <paraID>7498348B</paraID>
      <start>32</start>
      <end>33</end>
      <status>unmodified</status>
      <modifiedWord/>
      <trackRevisions>false</trackRevisions>
    </reviewItem>
    <reviewItem>
      <errorID>300b6878-740c-4f68-b98f-faa579c49c48</errorID>
      <errorWord>(</errorWord>
      <group>L1_Format</group>
      <groupName>格式问题</groupName>
      <ability>L2_HalfPunc_CN</ability>
      <abilityName>全半角问题</abilityName>
      <candidateList>
        <item>（</item>
      </candidateList>
      <explain>文本全半角错误。</explain>
      <paraID>7498348B</paraID>
      <start>34</start>
      <end>35</end>
      <status>unmodified</status>
      <modifiedWord/>
      <trackRevisions>false</trackRevisions>
    </reviewItem>
    <reviewItem>
      <errorID>4810c207-1c6d-47c9-bb2c-3cf10ea0d204</errorID>
      <errorWord>)</errorWord>
      <group>L1_Format</group>
      <groupName>格式问题</groupName>
      <ability>L2_HalfPunc_CN</ability>
      <abilityName>全半角问题</abilityName>
      <candidateList>
        <item>）</item>
      </candidateList>
      <explain>文本全半角错误。</explain>
      <paraID>7498348B</paraID>
      <start>43</start>
      <end>44</end>
      <status>unmodified</status>
      <modifiedWord/>
      <trackRevisions>false</trackRevisions>
    </reviewItem>
    <reviewItem>
      <errorID>feb7f0b5-bd86-4e3c-a3f5-d4778ec0f107</errorID>
      <errorWord>(</errorWord>
      <group>L1_Format</group>
      <groupName>格式问题</groupName>
      <ability>L2_HalfPunc_CN</ability>
      <abilityName>全半角问题</abilityName>
      <candidateList>
        <item>（</item>
      </candidateList>
      <explain>文本全半角错误。</explain>
      <paraID>62EE6164</paraID>
      <start>76</start>
      <end>77</end>
      <status>unmodified</status>
      <modifiedWord/>
      <trackRevisions>false</trackRevisions>
    </reviewItem>
    <reviewItem>
      <errorID>b3e58f0e-f2d5-4709-b7a6-65c80e654256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62EE6164</paraID>
      <start>81</start>
      <end>82</end>
      <status>unmodified</status>
      <modifiedWord/>
      <trackRevisions>false</trackRevisions>
    </reviewItem>
    <reviewItem>
      <errorID>18bb855f-c545-4b0a-85e8-e41a0a8de235</errorID>
      <errorWord>)</errorWord>
      <group>L1_Format</group>
      <groupName>格式问题</groupName>
      <ability>L2_HalfPunc_CN</ability>
      <abilityName>全半角问题</abilityName>
      <candidateList>
        <item>）</item>
      </candidateList>
      <explain>文本全半角错误。</explain>
      <paraID>62EE6164</paraID>
      <start>87</start>
      <end>88</end>
      <status>unmodified</status>
      <modifiedWord/>
      <trackRevisions>false</trackRevisions>
    </reviewItem>
    <reviewItem>
      <errorID>2fb05b78-7da6-421b-b6fd-7b844e555958</errorID>
      <errorWord>(</errorWord>
      <group>L1_Format</group>
      <groupName>格式问题</groupName>
      <ability>L2_HalfPunc_CN</ability>
      <abilityName>全半角问题</abilityName>
      <candidateList>
        <item>（</item>
      </candidateList>
      <explain>文本全半角错误。</explain>
      <paraID>62EE6164</paraID>
      <start>89</start>
      <end>90</end>
      <status>unmodified</status>
      <modifiedWord/>
      <trackRevisions>false</trackRevisions>
    </reviewItem>
    <reviewItem>
      <errorID>c1d2bf5a-9e68-4f94-9839-cde5a76e3f7c</errorID>
      <errorWord>)</errorWord>
      <group>L1_Format</group>
      <groupName>格式问题</groupName>
      <ability>L2_HalfPunc_CN</ability>
      <abilityName>全半角问题</abilityName>
      <candidateList>
        <item>）</item>
      </candidateList>
      <explain>文本全半角错误。</explain>
      <paraID>62EE6164</paraID>
      <start>98</start>
      <end>99</end>
      <status>unmodified</status>
      <modifiedWord/>
      <trackRevisions>false</trackRevisions>
    </reviewItem>
    <reviewItem>
      <errorID>09909e75-4e80-4941-9aa5-596ab78923a4</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42FD1DFE</paraID>
      <start>19</start>
      <end>22</end>
      <status>unmodified</status>
      <modifiedWord/>
      <trackRevisions>false</trackRevisions>
    </reviewItem>
    <reviewItem>
      <errorID>52e1d5d6-14c2-490a-a142-6e41f6cf9d4e</errorID>
      <errorWord>月1日实施</errorWord>
      <group>L1_Word</group>
      <groupName>字词问题</groupName>
      <ability>L2_Typo</ability>
      <abilityName>字词错误</abilityName>
      <candidateList>
        <item>月1日起实施</item>
      </candidateList>
      <explain/>
      <paraID>42FD1DFE</paraID>
      <start>42</start>
      <end>47</end>
      <status>unmodified</status>
      <modifiedWord/>
      <trackRevisions>false</trackRevisions>
    </reviewItem>
    <reviewItem>
      <errorID>dffc20b8-b7d8-40ce-a656-761bfe385e6b</errorID>
      <errorWord>月1日实施</errorWord>
      <group>L1_Word</group>
      <groupName>字词问题</groupName>
      <ability>L2_Typo</ability>
      <abilityName>字词错误</abilityName>
      <candidateList>
        <item>月1日起实施</item>
      </candidateList>
      <explain/>
      <paraID>32ABAD36</paraID>
      <start>53</start>
      <end>58</end>
      <status>unmodified</status>
      <modifiedWord/>
      <trackRevisions>false</trackRevisions>
    </reviewItem>
    <reviewItem>
      <errorID>d9063d53-739a-458e-a268-1f59bdcfee70</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A1E42E</paraID>
      <start>108</start>
      <end>111</end>
      <status>unmodified</status>
      <modifiedWord/>
      <trackRevisions>false</trackRevisions>
    </reviewItem>
    <reviewItem>
      <errorID>08eaf648-4432-49e6-a8b8-f19741349899</errorID>
      <errorWord>月1日实施</errorWord>
      <group>L1_Word</group>
      <groupName>字词问题</groupName>
      <ability>L2_Typo</ability>
      <abilityName>字词错误</abilityName>
      <candidateList>
        <item>月1日起实施</item>
      </candidateList>
      <explain/>
      <paraID>  A1E42E</paraID>
      <start>131</start>
      <end>136</end>
      <status>unmodified</status>
      <modifiedWord/>
      <trackRevisions>false</trackRevisions>
    </reviewItem>
    <reviewItem>
      <errorID>b3e86482-a437-4223-8a90-5b43dc42a2a9</errorID>
      <errorWord>土壤污防治</errorWord>
      <group>L1_Political</group>
      <groupName>政治性问题</groupName>
      <ability>L2_Unpolitical</ability>
      <abilityName>政治敏感错误</abilityName>
      <candidateList>
        <item>土壤污染防治</item>
      </candidateList>
      <explain/>
      <paraID> 8C8DD9E</paraID>
      <start>13</start>
      <end>18</end>
      <status>unmodified</status>
      <modifiedWord/>
      <trackRevisions>false</trackRevisions>
    </reviewItem>
    <reviewItem>
      <errorID>21bed89d-881f-4afd-9dbf-5cc717ec7d27</errorID>
      <errorWord>地下水管理条例</errorWord>
      <group>L1_Knowledge</group>
      <groupName>知识性问题</groupName>
      <ability>L2_Knowledge</ability>
      <abilityName>其他知识</abilityName>
      <candidateList>
        <item>《地下水管理条例》</item>
      </candidateList>
      <explain>完整法律法规名称需要加书名号，请注意检查。</explain>
      <paraID> 687D002</paraID>
      <start>0</start>
      <end>7</end>
      <status>unmodified</status>
      <modifiedWord/>
      <trackRevisions>false</trackRevisions>
    </reviewItem>
    <reviewItem>
      <errorID>bd7be5a6-2a20-4d24-a797-a21e1199fcfb</errorID>
      <errorWord>法律、法规</errorWord>
      <group>L1_Word</group>
      <groupName>字词问题</groupName>
      <ability>L2_Typo</ability>
      <abilityName>字词错误</abilityName>
      <candidateList>
        <item>法律法规</item>
      </candidateList>
      <explain/>
      <paraID>169AEA9B</paraID>
      <start>3</start>
      <end>8</end>
      <status>unmodified</status>
      <modifiedWord/>
      <trackRevisions>false</trackRevisions>
    </reviewItem>
    <reviewItem>
      <errorID>ed64a7ad-f39b-4296-8dfa-192543053257</errorID>
      <errorWord>(</errorWord>
      <group>L1_Format</group>
      <groupName>格式问题</groupName>
      <ability>L2_HalfPunc_CN</ability>
      <abilityName>全半角问题</abilityName>
      <candidateList>
        <item>（</item>
      </candidateList>
      <explain>文本全半角错误。</explain>
      <paraID>40717553</paraID>
      <start>23</start>
      <end>24</end>
      <status>unmodified</status>
      <modifiedWord/>
      <trackRevisions>false</trackRevisions>
    </reviewItem>
    <reviewItem>
      <errorID>c1a576bc-60c4-4778-a726-88cfeab234ad</errorID>
      <errorWord>)</errorWord>
      <group>L1_Format</group>
      <groupName>格式问题</groupName>
      <ability>L2_HalfPunc_CN</ability>
      <abilityName>全半角问题</abilityName>
      <candidateList>
        <item>）</item>
      </candidateList>
      <explain>文本全半角错误。</explain>
      <paraID>40717553</paraID>
      <start>39</start>
      <end>40</end>
      <status>unmodified</status>
      <modifiedWord/>
      <trackRevisions>false</trackRevisions>
    </reviewItem>
    <reviewItem>
      <errorID>03f6e495-cefc-4b9d-8132-1322001c3ca0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3E346AD8</paraID>
      <start>130</start>
      <end>131</end>
      <status>unmodified</status>
      <modifiedWord/>
      <trackRevisions>false</trackRevisions>
    </reviewItem>
    <reviewItem>
      <errorID>f08e453e-6afb-44e7-a859-eab36bcf5251</errorID>
      <errorWord>(</errorWord>
      <group>L1_Format</group>
      <groupName>格式问题</groupName>
      <ability>L2_HalfPunc_CN</ability>
      <abilityName>全半角问题</abilityName>
      <candidateList>
        <item>（</item>
      </candidateList>
      <explain>文本全半角错误。</explain>
      <paraID>3E346AD8</paraID>
      <start>347</start>
      <end>348</end>
      <status>unmodified</status>
      <modifiedWord/>
      <trackRevisions>false</trackRevisions>
    </reviewItem>
    <reviewItem>
      <errorID>a7bb5767-2c08-4c59-b1ba-66962d476284</errorID>
      <errorWord>)</errorWord>
      <group>L1_Format</group>
      <groupName>格式问题</groupName>
      <ability>L2_HalfPunc_CN</ability>
      <abilityName>全半角问题</abilityName>
      <candidateList>
        <item>）</item>
      </candidateList>
      <explain>文本全半角错误。</explain>
      <paraID>3E346AD8</paraID>
      <start>363</start>
      <end>364</end>
      <status>unmodified</status>
      <modifiedWord/>
      <trackRevisions>false</trackRevisions>
    </reviewItem>
    <reviewItem>
      <errorID>53404a28-725f-418b-8f28-643ace42292a</errorID>
      <errorWord>土地复垦条例</errorWord>
      <group>L1_Knowledge</group>
      <groupName>知识性问题</groupName>
      <ability>L2_Knowledge</ability>
      <abilityName>其他知识</abilityName>
      <candidateList>
        <item>《土地复垦条例》</item>
      </candidateList>
      <explain>完整法律法规名称需要加书名号，请注意检查。</explain>
      <paraID>3A86FFC5</paraID>
      <start>0</start>
      <end>6</end>
      <status>unmodified</status>
      <modifiedWord/>
      <trackRevisions>false</trackRevisions>
    </reviewItem>
    <reviewItem>
      <errorID>52708eae-f23e-423b-817d-6943d4f2dd21</errorID>
      <errorWord>全</errorWord>
      <group>L1_Word</group>
      <groupName>字词问题</groupName>
      <ability>L2_Typo</ability>
      <abilityName>字词错误</abilityName>
      <candidateList>
        <item>全过</item>
      </candidateList>
      <explain/>
      <paraID>64FDE953</paraID>
      <start>35</start>
      <end>36</end>
      <status>unmodified</status>
      <modifiedWord/>
      <trackRevisions>false</trackRevisions>
    </reviewItem>
    <reviewItem>
      <errorID>93392ee0-382f-4ef9-946f-f6672b7c2c6f</errorID>
      <errorWord>(一)</errorWord>
      <group>L1_Format</group>
      <groupName>格式问题</groupName>
      <ability>L2_Ordinal</ability>
      <abilityName>序号格式</abilityName>
      <candidateList>
        <item>（一）</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5C45D964</paraID>
      <start>0</start>
      <end>3</end>
      <status>unmodified</status>
      <modifiedWord/>
      <trackRevisions>false</trackRevisions>
    </reviewItem>
    <reviewItem>
      <errorID>fec4dc17-f186-4d88-b675-ebea334a4ca9</errorID>
      <errorWord>(二)</errorWord>
      <group>L1_Format</group>
      <groupName>格式问题</groupName>
      <ability>L2_Ordinal</ability>
      <abilityName>序号格式</abilityName>
      <candidateList>
        <item>（二）</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18190791</paraID>
      <start>0</start>
      <end>3</end>
      <status>unmodified</status>
      <modifiedWord/>
      <trackRevisions>false</trackRevisions>
    </reviewItem>
    <reviewItem>
      <errorID>60a91631-fc9b-4ca8-9c19-d2e5a2c303b6</errorID>
      <errorWord>(三)</errorWord>
      <group>L1_Format</group>
      <groupName>格式问题</groupName>
      <ability>L2_Ordinal</ability>
      <abilityName>序号格式</abilityName>
      <candidateList>
        <item>（三）</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18A72083</paraID>
      <start>0</start>
      <end>3</end>
      <status>unmodified</status>
      <modifiedWord/>
      <trackRevisions>false</trackRevisions>
    </reviewItem>
    <reviewItem>
      <errorID>3077e555-f80c-4435-984d-a89215035f94</errorID>
      <errorWord>(四)</errorWord>
      <group>L1_Format</group>
      <groupName>格式问题</groupName>
      <ability>L2_Ordinal</ability>
      <abilityName>序号格式</abilityName>
      <candidateList>
        <item>（四）</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17169BC5</paraID>
      <start>0</start>
      <end>3</end>
      <status>unmodified</status>
      <modifiedWord/>
      <trackRevisions>false</trackRevisions>
    </reviewItem>
    <reviewItem>
      <errorID>e1ca9dd5-6ef2-4caf-b697-da7d6e980cf3</errorID>
      <errorWord>II类</errorWord>
      <group>L1_Knowledge</group>
      <groupName>知识性问题</groupName>
      <ability>L2_Knowledge</ability>
      <abilityName>其他知识</abilityName>
      <candidateList>
        <item>Ⅱ类</item>
      </candidateList>
      <explain>中文环境下罗马数字格式错误。</explain>
      <paraID>2500E555</paraID>
      <start>4</start>
      <end>7</end>
      <status>unmodified</status>
      <modifiedWord/>
      <trackRevisions>false</trackRevisions>
    </reviewItem>
    <reviewItem>
      <errorID>34f01cbd-7441-4633-adc8-e10a77fe788e</errorID>
      <errorWord>黑龙江省水土保持规划</errorWord>
      <group>L1_Knowledge</group>
      <groupName>知识性问题</groupName>
      <ability>L2_Knowledge</ability>
      <abilityName>其他知识</abilityName>
      <candidateList>
        <item>黑龙江省水土保持条例</item>
      </candidateList>
      <explain>当前法律法规未收录或尚未生效，注意核查是否正确。</explain>
      <paraID>248C370C</paraID>
      <start>10</start>
      <end>20</end>
      <status>unmodified</status>
      <modifiedWord/>
      <trackRevisions>false</trackRevisions>
    </reviewItem>
    <reviewItem>
      <errorID>0db210cc-e3d6-4598-8a16-58a183eab81e</errorID>
      <errorWord>(</errorWord>
      <group>L1_Format</group>
      <groupName>格式问题</groupName>
      <ability>L2_HalfPunc_CN</ability>
      <abilityName>全半角问题</abilityName>
      <candidateList>
        <item>（</item>
      </candidateList>
      <explain>文本全半角错误。</explain>
      <paraID>248C370C</paraID>
      <start>21</start>
      <end>22</end>
      <status>unmodified</status>
      <modifiedWord/>
      <trackRevisions>false</trackRevisions>
    </reviewItem>
    <reviewItem>
      <errorID>db391c7f-59b9-4461-83d7-b7566ee9799a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248C370C</paraID>
      <start>26</start>
      <end>27</end>
      <status>unmodified</status>
      <modifiedWord/>
      <trackRevisions>false</trackRevisions>
    </reviewItem>
    <reviewItem>
      <errorID>0a3712cd-7c7e-49fd-96af-9a7912acb6e9</errorID>
      <errorWord>)</errorWord>
      <group>L1_Format</group>
      <groupName>格式问题</groupName>
      <ability>L2_HalfPunc_CN</ability>
      <abilityName>全半角问题</abilityName>
      <candidateList>
        <item>）</item>
      </candidateList>
      <explain>文本全半角错误。</explain>
      <paraID>248C370C</paraID>
      <start>32</start>
      <end>33</end>
      <status>unmodified</status>
      <modifiedWord/>
      <trackRevisions>false</trackRevisions>
    </reviewItem>
    <reviewItem>
      <errorID>d8f5a24a-ed1c-426d-9639-d2ba3e43fcdc</errorID>
      <errorWord>黑龙江省水土保持规划</errorWord>
      <group>L1_Knowledge</group>
      <groupName>知识性问题</groupName>
      <ability>L2_Knowledge</ability>
      <abilityName>其他知识</abilityName>
      <candidateList>
        <item>黑龙江省水土保持条例</item>
      </candidateList>
      <explain>当前法律法规未收录或尚未生效，注意核查是否正确。</explain>
      <paraID>70149CA2</paraID>
      <start>3</start>
      <end>13</end>
      <status>unmodified</status>
      <modifiedWord/>
      <trackRevisions>false</trackRevisions>
    </reviewItem>
    <reviewItem>
      <errorID>cbd3f422-dbeb-4509-b9b6-e19aeab6de9a</errorID>
      <errorWord>(</errorWord>
      <group>L1_Format</group>
      <groupName>格式问题</groupName>
      <ability>L2_HalfPunc_CN</ability>
      <abilityName>全半角问题</abilityName>
      <candidateList>
        <item>（</item>
      </candidateList>
      <explain>文本全半角错误。</explain>
      <paraID>70149CA2</paraID>
      <start>14</start>
      <end>15</end>
      <status>unmodified</status>
      <modifiedWord/>
      <trackRevisions>false</trackRevisions>
    </reviewItem>
    <reviewItem>
      <errorID>31fe989f-d3ee-4803-aa67-ef2987ce6c89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70149CA2</paraID>
      <start>19</start>
      <end>20</end>
      <status>unmodified</status>
      <modifiedWord/>
      <trackRevisions>false</trackRevisions>
    </reviewItem>
    <reviewItem>
      <errorID>f205fe30-b0aa-408f-9936-28f024468190</errorID>
      <errorWord>)</errorWord>
      <group>L1_Format</group>
      <groupName>格式问题</groupName>
      <ability>L2_HalfPunc_CN</ability>
      <abilityName>全半角问题</abilityName>
      <candidateList>
        <item>）</item>
      </candidateList>
      <explain>文本全半角错误。</explain>
      <paraID>70149CA2</paraID>
      <start>25</start>
      <end>26</end>
      <status>unmodified</status>
      <modifiedWord/>
      <trackRevisions>false</trackRevisions>
    </reviewItem>
    <reviewItem>
      <errorID>355983d1-01d3-4f55-81b7-e374fdba2f85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35A74299</paraID>
      <start>27</start>
      <end>28</end>
      <status>unmodified</status>
      <modifiedWord/>
      <trackRevisions>false</trackRevisions>
    </reviewItem>
    <reviewItem>
      <errorID>cb2d4c85-a1b9-4e5e-877f-5f885449e44f</errorID>
      <errorWord>土综合整治</errorWord>
      <group>L1_Political</group>
      <groupName>政治性问题</groupName>
      <ability>L2_Keyword</ability>
      <abilityName>固定表述</abilityName>
      <candidateList>
        <item>土地综合整治</item>
      </candidateList>
      <explain>词汇“土地综合整治”在特定场景下为固定表述形式，请确认此处的“土综合整治”是否存在不当。</explain>
      <paraID> 1FF01E0</paraID>
      <start>4</start>
      <end>9</end>
      <status>unmodified</status>
      <modifiedWord/>
      <trackRevisions>false</trackRevisions>
    </reviewItem>
    <reviewItem>
      <errorID>d6f32774-5b73-461f-b610-5d3feae641e6</errorID>
      <errorWord>-</errorWord>
      <group>L1_Format</group>
      <groupName>格式问题</groupName>
      <ability>L2_HalfPunc_CN</ability>
      <abilityName>全半角问题</abilityName>
      <candidateList>
        <item>－</item>
      </candidateList>
      <explain>文本全半角错误。</explain>
      <paraID> 1FF01E0</paraID>
      <start>87</start>
      <end>88</end>
      <status>unmodified</status>
      <modifiedWord/>
      <trackRevisions>false</trackRevisions>
    </reviewItem>
    <reviewItem>
      <errorID>3ade62c2-805a-430d-bd57-d4954ca59cca</errorID>
      <errorWord>保护生物多样性重大工程</errorWord>
      <group>L1_Political</group>
      <groupName>政治性问题</groupName>
      <ability>L2_Keyword</ability>
      <abilityName>固定表述</abilityName>
      <candidateList>
        <item>生物多样性保护重大工程</item>
      </candidateList>
      <explain>词汇“生物多样性保护重大工程”在特定场景下为固定表述形式，请确认此处的“保护生物多样性重大工程”是否存在不当。</explain>
      <paraID>40D37FEC</paraID>
      <start>61</start>
      <end>72</end>
      <status>unmodified</status>
      <modifiedWord/>
      <trackRevisions>false</trackRevisions>
    </reviewItem>
    <reviewItem>
      <errorID>791b282d-5972-4976-9f27-3e4f85eaa21d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12AFC6AD</paraID>
      <start>222</start>
      <end>223</end>
      <status>unmodified</status>
      <modifiedWord/>
      <trackRevisions>false</trackRevisions>
    </reviewItem>
    <reviewItem>
      <errorID>d72bfcb4-7a2e-45c0-bf11-df9469c6907c</errorID>
      <errorWord>的</errorWord>
      <group>L1_Word</group>
      <groupName>字词问题</groupName>
      <ability>L2_DDD</ability>
      <abilityName>的地得用法</abilityName>
      <candidateList>
        <item>地</item>
      </candidateList>
      <explain/>
      <paraID>6C109826</paraID>
      <start>159</start>
      <end>160</end>
      <status>unmodified</status>
      <modifiedWord/>
      <trackRevisions>false</trackRevisions>
    </reviewItem>
    <reviewItem>
      <errorID>71723508-7a9e-40d8-acdb-eceb322b8b7e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77DEEB33</paraID>
      <start>35</start>
      <end>36</end>
      <status>unmodified</status>
      <modifiedWord/>
      <trackRevisions>false</trackRevisions>
    </reviewItem>
    <reviewItem>
      <errorID>8c173641-58fc-4dc2-9070-54114e56fcb4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5B4E4E71</paraID>
      <start>32</start>
      <end>33</end>
      <status>unmodified</status>
      <modifiedWord/>
      <trackRevisions>false</trackRevisions>
    </reviewItem>
    <reviewItem>
      <errorID>09fd37c2-8ec3-4ad0-903f-11b49efe0a74</errorID>
      <errorWord>(</errorWord>
      <group>L1_Format</group>
      <groupName>格式问题</groupName>
      <ability>L2_HalfPunc_CN</ability>
      <abilityName>全半角问题</abilityName>
      <candidateList>
        <item>（</item>
      </candidateList>
      <explain>文本全半角错误。</explain>
      <paraID>38D078FC</paraID>
      <start>21</start>
      <end>22</end>
      <status>unmodified</status>
      <modifiedWord/>
      <trackRevisions>false</trackRevisions>
    </reviewItem>
    <reviewItem>
      <errorID>f489b99f-970f-49f9-b42c-f7f92e0965b7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38D078FC</paraID>
      <start>26</start>
      <end>27</end>
      <status>unmodified</status>
      <modifiedWord/>
      <trackRevisions>false</trackRevisions>
    </reviewItem>
    <reviewItem>
      <errorID>810d3a76-6de9-4f13-837a-26f9ada31d75</errorID>
      <errorWord>)</errorWord>
      <group>L1_Format</group>
      <groupName>格式问题</groupName>
      <ability>L2_HalfPunc_CN</ability>
      <abilityName>全半角问题</abilityName>
      <candidateList>
        <item>）</item>
      </candidateList>
      <explain>文本全半角错误。</explain>
      <paraID>38D078FC</paraID>
      <start>32</start>
      <end>33</end>
      <status>unmodified</status>
      <modifiedWord/>
      <trackRevisions>false</trackRevisions>
    </reviewItem>
    <reviewItem>
      <errorID>c17b1f09-f7a3-4a7e-8624-3d56acd81170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19F4D4E4</paraID>
      <start>120</start>
      <end>121</end>
      <status>unmodified</status>
      <modifiedWord/>
      <trackRevisions>false</trackRevisions>
    </reviewItem>
    <reviewItem>
      <errorID>26964dc6-1f62-4b81-89e6-517873a35249</errorID>
      <errorWord>(</errorWord>
      <group>L1_Format</group>
      <groupName>格式问题</groupName>
      <ability>L2_HalfPunc_CN</ability>
      <abilityName>全半角问题</abilityName>
      <candidateList>
        <item>（</item>
      </candidateList>
      <explain>文本全半角错误。</explain>
      <paraID>44C631A7</paraID>
      <start>25</start>
      <end>26</end>
      <status>unmodified</status>
      <modifiedWord/>
      <trackRevisions>false</trackRevisions>
    </reviewItem>
    <reviewItem>
      <errorID>e7e27b14-7699-4984-866f-f2d1e76dc27a</errorID>
      <errorWord>)</errorWord>
      <group>L1_Format</group>
      <groupName>格式问题</groupName>
      <ability>L2_HalfPunc_CN</ability>
      <abilityName>全半角问题</abilityName>
      <candidateList>
        <item>）</item>
      </candidateList>
      <explain>文本全半角错误。</explain>
      <paraID>44C631A7</paraID>
      <start>35</start>
      <end>36</end>
      <status>unmodified</status>
      <modifiedWord/>
      <trackRevisions>false</trackRevisions>
    </reviewItem>
    <reviewItem>
      <errorID>7a56911c-2b9e-4dca-9af1-75ce7da11a14</errorID>
      <errorWord>）年</errorWord>
      <group>L1_Word</group>
      <groupName>字词问题</groupName>
      <ability>L2_Typo</ability>
      <abilityName>字词错误</abilityName>
      <candidateList>
        <item>）</item>
      </candidateList>
      <explain/>
      <paraID>6F7D7CDC</paraID>
      <start>29</start>
      <end>31</end>
      <status>unmodified</status>
      <modifiedWord/>
      <trackRevisions>false</trackRevisions>
    </reviewItem>
    <reviewItem>
      <errorID>c2c65d42-503c-4695-8765-9840518e2601</errorID>
      <errorWord>[2021]</errorWord>
      <group>L1_Punc</group>
      <groupName>标点问题</groupName>
      <ability>L2_Punc_CN</ability>
      <abilityName>标点符号问题</abilityName>
      <candidateList>
        <item>〔2021〕</item>
      </candidateList>
      <explain/>
      <paraID>3DB170B4</paraID>
      <start>57</start>
      <end>63</end>
      <status>unmodified</status>
      <modifiedWord/>
      <trackRevisions>false</trackRevisions>
    </reviewItem>
    <reviewItem>
      <errorID>0ce0916d-5f34-4ea6-958d-48c4c645a73d</errorID>
      <errorWord>[2022]</errorWord>
      <group>L1_Punc</group>
      <groupName>标点问题</groupName>
      <ability>L2_Punc_CN</ability>
      <abilityName>标点符号问题</abilityName>
      <candidateList>
        <item>〔2022〕</item>
      </candidateList>
      <explain/>
      <paraID>556100B5</paraID>
      <start>2</start>
      <end>8</end>
      <status>unmodified</status>
      <modifiedWord/>
      <trackRevisions>false</trackRevisions>
    </reviewItem>
    <reviewItem>
      <errorID>88b2de18-79eb-4825-b0af-5f774dad0df4</errorID>
      <errorWord>状</errorWord>
      <group>L1_Word</group>
      <groupName>字词问题</groupName>
      <ability>L2_Typo</ability>
      <abilityName>字词错误</abilityName>
      <candidateList>
        <item>状态</item>
      </candidateList>
      <explain/>
      <paraID>5DCEF263</paraID>
      <start>31</start>
      <end>32</end>
      <status>unmodified</status>
      <modifiedWord/>
      <trackRevisions>false</trackRevisions>
    </reviewItem>
    <reviewItem>
      <errorID>1c6375ea-3b7f-4cce-ac9e-d8c9c70e3772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1994258D</paraID>
      <start>23</start>
      <end>24</end>
      <status>unmodified</status>
      <modifiedWord/>
      <trackRevisions>false</trackRevisions>
    </reviewItem>
    <reviewItem>
      <errorID>d9f1a8f3-04b2-481d-9c8b-e5ebf2e89472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4D5087A9</paraID>
      <start>17</start>
      <end>18</end>
      <status>unmodified</status>
      <modifiedWord/>
      <trackRevisions>false</trackRevisions>
    </reviewItem>
    <reviewItem>
      <errorID>27a3c04d-3cdd-44bc-8475-15ba3b069d35</errorID>
      <errorWord>有效治</errorWord>
      <group>L1_Word</group>
      <groupName>字词问题</groupName>
      <ability>L2_Typo</ability>
      <abilityName>字词错误</abilityName>
      <candidateList>
        <item>有效</item>
      </candidateList>
      <explain/>
      <paraID>6DC10CCE</paraID>
      <start>87</start>
      <end>89</end>
      <status>modified</status>
      <modifiedWord>有效</modifiedWord>
      <trackRevisions>false</trackRevisions>
    </reviewItem>
    <reviewItem>
      <errorID>678b8464-50ef-4faf-8a9e-8f93b06726b2</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6DC10CCE</paraID>
      <start>119</start>
      <end>120</end>
      <status>unmodified</status>
      <modifiedWord/>
      <trackRevisions>false</trackRevisions>
    </reviewItem>
    <reviewItem>
      <errorID>a4ec786d-f9ec-4110-b199-31951d0d80fd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29F1A9BB</paraID>
      <start>0</start>
      <end>2</end>
      <status>unmodified</status>
      <modifiedWord/>
      <trackRevisions>false</trackRevisions>
    </reviewItem>
    <reviewItem>
      <errorID>f2657363-2234-4c9d-b5fa-38a2928579ae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2A08A838</paraID>
      <start>0</start>
      <end>2</end>
      <status>unmodified</status>
      <modifiedWord/>
      <trackRevisions>false</trackRevisions>
    </reviewItem>
    <reviewItem>
      <errorID>7edd4a7e-fa61-4e65-96c7-1a57579ccbde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4B18E278</paraID>
      <start>0</start>
      <end>2</end>
      <status>unmodified</status>
      <modifiedWord/>
      <trackRevisions>false</trackRevisions>
    </reviewItem>
    <reviewItem>
      <errorID>8ad483b3-ecf9-44a0-9b1a-2e74dc95836c</errorID>
      <errorWord>不在</errorWord>
      <group>L1_Word</group>
      <groupName>字词问题</groupName>
      <ability>L2_Typo</ability>
      <abilityName>字词错误</abilityName>
      <candidateList>
        <item>不再</item>
      </candidateList>
      <explain/>
      <paraID>74453B7B</paraID>
      <start>33</start>
      <end>35</end>
      <status>unmodified</status>
      <modifiedWord/>
      <trackRevisions>false</trackRevisions>
    </reviewItem>
    <reviewItem>
      <errorID>7420b291-9296-4160-ae97-8770536d2916</errorID>
      <errorWord>法律、法规</errorWord>
      <group>L1_Word</group>
      <groupName>字词问题</groupName>
      <ability>L2_Typo</ability>
      <abilityName>字词错误</abilityName>
      <candidateList>
        <item>法律法规</item>
      </candidateList>
      <explain/>
      <paraID>6381602F</paraID>
      <start>7</start>
      <end>12</end>
      <status>unmodified</status>
      <modifiedWord/>
      <trackRevisions>false</trackRevisions>
    </reviewItem>
    <reviewItem>
      <errorID>0b68893b-3274-4969-b1a3-f063d69d2978</errorID>
      <errorWord>&lt;</errorWord>
      <group>L1_Format</group>
      <groupName>格式问题</groupName>
      <ability>L2_HalfPunc_CN</ability>
      <abilityName>全半角问题</abilityName>
      <candidateList>
        <item>〈</item>
      </candidateList>
      <explain>文本全半角错误。</explain>
      <paraID>42DB7A93</paraID>
      <start>12</start>
      <end>13</end>
      <status>unmodified</status>
      <modifiedWord/>
      <trackRevisions>false</trackRevisions>
    </reviewItem>
    <reviewItem>
      <errorID>0b483c9e-5a2d-45c8-9d69-2b372b2c8717</errorID>
      <errorWord>&gt;</errorWord>
      <group>L1_Format</group>
      <groupName>格式问题</groupName>
      <ability>L2_HalfPunc_CN</ability>
      <abilityName>全半角问题</abilityName>
      <candidateList>
        <item>〉</item>
      </candidateList>
      <explain>文本全半角错误。</explain>
      <paraID>42DB7A93</paraID>
      <start>25</start>
      <end>26</end>
      <status>unmodified</status>
      <modifiedWord/>
      <trackRevisions>false</trackRevisions>
    </reviewItem>
    <reviewItem>
      <errorID>de8b4d7c-4554-4b90-9316-4e1ddb2c6e53</errorID>
      <errorWord>[2012]77号</errorWord>
      <group>L1_Knowledge</group>
      <groupName>知识性问题</groupName>
      <ability>L2_Knowledge</ability>
      <abilityName>其他知识</abilityName>
      <candidateList>
        <item>〔2012〕77号</item>
      </candidateList>
      <explain>发文字号格式错误。</explain>
      <paraID>172BBEEA</paraID>
      <start>0</start>
      <end>9</end>
      <status>unmodified</status>
      <modifiedWord/>
      <trackRevisions>false</trackRevisions>
    </reviewItem>
    <reviewItem>
      <errorID>6396cf8c-0b1c-48c6-af49-633475d40750</errorID>
      <errorWord>[2012]98号</errorWord>
      <group>L1_Knowledge</group>
      <groupName>知识性问题</groupName>
      <ability>L2_Knowledge</ability>
      <abilityName>其他知识</abilityName>
      <candidateList>
        <item>〔2012〕98号</item>
      </candidateList>
      <explain>发文字号格式错误。</explain>
      <paraID>25831191</paraID>
      <start>0</start>
      <end>9</end>
      <status>unmodified</status>
      <modifiedWord/>
      <trackRevisions>false</trackRevisions>
    </reviewItem>
    <reviewItem>
      <errorID>155ce50e-65d7-4650-a3f8-b000fbedc473</errorID>
      <errorWord>[2015]178号</errorWord>
      <group>L1_Knowledge</group>
      <groupName>知识性问题</groupName>
      <ability>L2_Knowledge</ability>
      <abilityName>其他知识</abilityName>
      <candidateList>
        <item>〔2015〕178号</item>
      </candidateList>
      <explain>发文字号格式错误。</explain>
      <paraID>3F8AC137</paraID>
      <start>11</start>
      <end>21</end>
      <status>unmodified</status>
      <modifiedWord/>
      <trackRevisions>false</trackRevisions>
    </reviewItem>
    <reviewItem>
      <errorID>1a0cf0d1-7ff9-49e4-8c78-dc466751e41d</errorID>
      <errorWord>制</errorWord>
      <group>L1_Word</group>
      <groupName>字词问题</groupName>
      <ability>L2_Typo</ability>
      <abilityName>字词错误</abilityName>
      <candidateList>
        <item>制度</item>
      </candidateList>
      <explain/>
      <paraID>2726BEAC</paraID>
      <start>22</start>
      <end>23</end>
      <status>unmodified</status>
      <modifiedWord/>
      <trackRevisions>false</trackRevisions>
    </reviewItem>
    <reviewItem>
      <errorID>ddfe3f21-d062-49b5-b1de-dd7a54d72d62</errorID>
      <errorWord>[2017]84号</errorWord>
      <group>L1_Knowledge</group>
      <groupName>知识性问题</groupName>
      <ability>L2_Knowledge</ability>
      <abilityName>其他知识</abilityName>
      <candidateList>
        <item>〔2017〕84号</item>
      </candidateList>
      <explain>发文字号格式错误。</explain>
      <paraID>358D0BE7</paraID>
      <start>5</start>
      <end>14</end>
      <status>unmodified</status>
      <modifiedWord/>
      <trackRevisions>false</trackRevisions>
    </reviewItem>
    <reviewItem>
      <errorID>6795ea87-ab21-4e9a-bf6d-7489aeb7922b</errorID>
      <errorWord>[2013]</errorWord>
      <group>L1_Punc</group>
      <groupName>标点问题</groupName>
      <ability>L2_Punc_CN</ability>
      <abilityName>标点符号问题</abilityName>
      <candidateList>
        <item>〔2013〕</item>
      </candidateList>
      <explain/>
      <paraID>677B3EDA</paraID>
      <start>29</start>
      <end>35</end>
      <status>unmodified</status>
      <modifiedWord/>
      <trackRevisions>false</trackRevisions>
    </reviewItem>
    <reviewItem>
      <errorID>9801daea-6e30-41bf-b447-854dadf3be06</errorID>
      <errorWord>[2015]17号</errorWord>
      <group>L1_Knowledge</group>
      <groupName>知识性问题</groupName>
      <ability>L2_Knowledge</ability>
      <abilityName>其他知识</abilityName>
      <candidateList>
        <item>〔2015〕17号</item>
      </candidateList>
      <explain>发文字号格式错误。</explain>
      <paraID>4BB3588B</paraID>
      <start>28</start>
      <end>37</end>
      <status>unmodified</status>
      <modifiedWord/>
      <trackRevisions>false</trackRevisions>
    </reviewItem>
    <reviewItem>
      <errorID>870e7b30-3c2a-4728-b17e-d2bfcef3bd22</errorID>
      <errorWord>[2016]</errorWord>
      <group>L1_Punc</group>
      <groupName>标点问题</groupName>
      <ability>L2_Punc_CN</ability>
      <abilityName>标点符号问题</abilityName>
      <candidateList>
        <item>〔2016〕</item>
      </candidateList>
      <explain/>
      <paraID>39DF448E</paraID>
      <start>29</start>
      <end>35</end>
      <status>unmodified</status>
      <modifiedWord/>
      <trackRevisions>false</trackRevisions>
    </reviewItem>
    <reviewItem>
      <errorID>f1ca2035-34ef-4c9d-b149-2bb2fe8f993c</errorID>
      <errorWord>[2011]35号</errorWord>
      <group>L1_Knowledge</group>
      <groupName>知识性问题</groupName>
      <ability>L2_Knowledge</ability>
      <abilityName>其他知识</abilityName>
      <candidateList>
        <item>〔2011〕35号</item>
      </candidateList>
      <explain>发文字号格式错误。</explain>
      <paraID>3C7CEEA1</paraID>
      <start>27</start>
      <end>36</end>
      <status>unmodified</status>
      <modifiedWord/>
      <trackRevisions>false</trackRevisions>
    </reviewItem>
    <reviewItem>
      <errorID>418d0474-59d2-4f5c-a491-ea09c4cd69f8</errorID>
      <errorWord>[2016]81号</errorWord>
      <group>L1_Knowledge</group>
      <groupName>知识性问题</groupName>
      <ability>L2_Knowledge</ability>
      <abilityName>其他知识</abilityName>
      <candidateList>
        <item>〔2016〕81号</item>
      </candidateList>
      <explain>发文字号格式错误。</explain>
      <paraID>23D817A5</paraID>
      <start>4</start>
      <end>13</end>
      <status>unmodified</status>
      <modifiedWord/>
      <trackRevisions>false</trackRevisions>
    </reviewItem>
    <reviewItem>
      <errorID>efac2ce1-1c85-4618-b375-1e5359111f62</errorID>
      <errorWord>中共中央国务院</errorWord>
      <group>L1_Political</group>
      <groupName>政治性问题</groupName>
      <ability>L2_Keyword</ability>
      <abilityName>固定表述</abilityName>
      <candidateList>
        <item>中共中央、国务院</item>
      </candidateList>
      <explain>注意检查当前固定表述标点是否使用规范。</explain>
      <paraID>3C056401</paraID>
      <start>5</start>
      <end>12</end>
      <status>unmodified</status>
      <modifiedWord/>
      <trackRevisions>false</trackRevisions>
    </reviewItem>
    <reviewItem>
      <errorID>780acedc-e66b-4377-856e-f5bd668c787e</errorID>
      <errorWord>[2022]</errorWord>
      <group>L1_Punc</group>
      <groupName>标点问题</groupName>
      <ability>L2_Punc_CN</ability>
      <abilityName>标点符号问题</abilityName>
      <candidateList>
        <item>〔2022〕</item>
      </candidateList>
      <explain/>
      <paraID>743FD3A2</paraID>
      <start>30</start>
      <end>36</end>
      <status>unmodified</status>
      <modifiedWord/>
      <trackRevisions>false</trackRevisions>
    </reviewItem>
    <reviewItem>
      <errorID>2e117d5d-500c-4022-8dd1-59a7b5a9555f</errorID>
      <errorWord>国家发改委</errorWord>
      <group>L1_Knowledge</group>
      <groupName>知识性问题</groupName>
      <ability>L2_Knowledge</ability>
      <abilityName>其他知识</abilityName>
      <candidateList>
        <item>国家发展改革委</item>
      </candidateList>
      <explain/>
      <paraID>1A1EA948</paraID>
      <start>18</start>
      <end>23</end>
      <status>unmodified</status>
      <modifiedWord/>
      <trackRevisions>false</trackRevisions>
    </reviewItem>
    <reviewItem>
      <errorID>8535f749-8d93-4b02-baae-6eff8d3da892</errorID>
      <errorWord>[2018]</errorWord>
      <group>L1_Punc</group>
      <groupName>标点问题</groupName>
      <ability>L2_Punc_CN</ability>
      <abilityName>标点符号问题</abilityName>
      <candidateList>
        <item>〔2018〕</item>
      </candidateList>
      <explain/>
      <paraID>1797C296</paraID>
      <start>30</start>
      <end>36</end>
      <status>unmodified</status>
      <modifiedWord/>
      <trackRevisions>false</trackRevisions>
    </reviewItem>
    <reviewItem>
      <errorID>bccb4184-9423-4e6a-b06c-8dc875c29bf0</errorID>
      <errorWord>&lt;</errorWord>
      <group>L1_Format</group>
      <groupName>格式问题</groupName>
      <ability>L2_HalfPunc_CN</ability>
      <abilityName>全半角问题</abilityName>
      <candidateList>
        <item>〈</item>
      </candidateList>
      <explain>文本全半角错误。</explain>
      <paraID>63BA246E</paraID>
      <start>9</start>
      <end>10</end>
      <status>unmodified</status>
      <modifiedWord/>
      <trackRevisions>false</trackRevisions>
    </reviewItem>
    <reviewItem>
      <errorID>db1810a0-96a4-4e54-9554-37bc6fad8eb8</errorID>
      <errorWord>&gt;的通知》</errorWord>
      <group>L1_Punc</group>
      <groupName>标点问题</groupName>
      <ability>L2_Punc_CN</ability>
      <abilityName>标点符号问题</abilityName>
      <candidateList>
        <item>〉的通知》</item>
      </candidateList>
      <explain/>
      <paraID>63BA246E</paraID>
      <start>24</start>
      <end>29</end>
      <status>unmodified</status>
      <modifiedWord/>
      <trackRevisions>false</trackRevisions>
    </reviewItem>
    <reviewItem>
      <errorID>6ef008fe-ec5a-4191-8fe0-ec9f971e9701</errorID>
      <errorWord>[2024]41号</errorWord>
      <group>L1_Knowledge</group>
      <groupName>知识性问题</groupName>
      <ability>L2_Knowledge</ability>
      <abilityName>其他知识</abilityName>
      <candidateList>
        <item>〔2024〕41号</item>
      </candidateList>
      <explain>发文字号格式错误。</explain>
      <paraID>79F8EB43</paraID>
      <start>0</start>
      <end>9</end>
      <status>unmodified</status>
      <modifiedWord/>
      <trackRevisions>false</trackRevisions>
    </reviewItem>
    <reviewItem>
      <errorID>5da14184-5d05-4ad0-8103-b258f2492825</errorID>
      <errorWord>(</errorWord>
      <group>L1_Format</group>
      <groupName>格式问题</groupName>
      <ability>L2_HalfPunc_CN</ability>
      <abilityName>全半角问题</abilityName>
      <candidateList>
        <item>（</item>
      </candidateList>
      <explain>文本全半角错误。</explain>
      <paraID>4B3F19E2</paraID>
      <start>22</start>
      <end>23</end>
      <status>unmodified</status>
      <modifiedWord/>
      <trackRevisions>false</trackRevisions>
    </reviewItem>
    <reviewItem>
      <errorID>00db9908-9d88-4c23-abb5-e6600ef87b67</errorID>
      <errorWord>)</errorWord>
      <group>L1_Format</group>
      <groupName>格式问题</groupName>
      <ability>L2_HalfPunc_CN</ability>
      <abilityName>全半角问题</abilityName>
      <candidateList>
        <item>）</item>
      </candidateList>
      <explain>文本全半角错误。</explain>
      <paraID>4B3F19E2</paraID>
      <start>33</start>
      <end>34</end>
      <status>unmodified</status>
      <modifiedWord/>
      <trackRevisions>false</trackRevisions>
    </reviewItem>
    <reviewItem>
      <errorID>334f0a84-b161-44b5-bd6b-6f882ea4b73b</errorID>
      <errorWord>(</errorWord>
      <group>L1_Format</group>
      <groupName>格式问题</groupName>
      <ability>L2_HalfPunc_CN</ability>
      <abilityName>全半角问题</abilityName>
      <candidateList>
        <item>（</item>
      </candidateList>
      <explain>文本全半角错误。</explain>
      <paraID> 3A12C74</paraID>
      <start>20</start>
      <end>21</end>
      <status>unmodified</status>
      <modifiedWord/>
      <trackRevisions>false</trackRevisions>
    </reviewItem>
    <reviewItem>
      <errorID>651882c9-4efe-454e-aaff-eb9dd31da87f</errorID>
      <errorWord>)</errorWord>
      <group>L1_Format</group>
      <groupName>格式问题</groupName>
      <ability>L2_HalfPunc_CN</ability>
      <abilityName>全半角问题</abilityName>
      <candidateList>
        <item>）</item>
      </candidateList>
      <explain>文本全半角错误。</explain>
      <paraID> 3A12C74</paraID>
      <start>31</start>
      <end>32</end>
      <status>unmodified</status>
      <modifiedWord/>
      <trackRevisions>false</trackRevisions>
    </reviewItem>
    <reviewItem>
      <errorID>b8a25821-5098-4f54-bb3c-d116c260e97c</errorID>
      <errorWord>(</errorWord>
      <group>L1_Format</group>
      <groupName>格式问题</groupName>
      <ability>L2_HalfPunc_CN</ability>
      <abilityName>全半角问题</abilityName>
      <candidateList>
        <item>（</item>
      </candidateList>
      <explain>文本全半角错误。</explain>
      <paraID>5E2107EF</paraID>
      <start>21</start>
      <end>22</end>
      <status>unmodified</status>
      <modifiedWord/>
      <trackRevisions>false</trackRevisions>
    </reviewItem>
    <reviewItem>
      <errorID>a4635ba7-a5d5-41c2-9f38-f15f28c0b3d0</errorID>
      <errorWord>)</errorWord>
      <group>L1_Format</group>
      <groupName>格式问题</groupName>
      <ability>L2_HalfPunc_CN</ability>
      <abilityName>全半角问题</abilityName>
      <candidateList>
        <item>）</item>
      </candidateList>
      <explain>文本全半角错误。</explain>
      <paraID>5E2107EF</paraID>
      <start>32</start>
      <end>33</end>
      <status>unmodified</status>
      <modifiedWord/>
      <trackRevisions>false</trackRevisions>
    </reviewItem>
    <reviewItem>
      <errorID>0f15607d-21ba-4f9b-b4c9-791a88cd020f</errorID>
      <errorWord>(</errorWord>
      <group>L1_Format</group>
      <groupName>格式问题</groupName>
      <ability>L2_HalfPunc_CN</ability>
      <abilityName>全半角问题</abilityName>
      <candidateList>
        <item>（</item>
      </candidateList>
      <explain>文本全半角错误。</explain>
      <paraID>667F59F3</paraID>
      <start>19</start>
      <end>20</end>
      <status>unmodified</status>
      <modifiedWord/>
      <trackRevisions>false</trackRevisions>
    </reviewItem>
    <reviewItem>
      <errorID>e4558bb1-6637-4cf5-b693-e50d2609594c</errorID>
      <errorWord>)</errorWord>
      <group>L1_Format</group>
      <groupName>格式问题</groupName>
      <ability>L2_HalfPunc_CN</ability>
      <abilityName>全半角问题</abilityName>
      <candidateList>
        <item>）</item>
      </candidateList>
      <explain>文本全半角错误。</explain>
      <paraID>667F59F3</paraID>
      <start>30</start>
      <end>31</end>
      <status>unmodified</status>
      <modifiedWord/>
      <trackRevisions>false</trackRevisions>
    </reviewItem>
    <reviewItem>
      <errorID>c9d9f5a9-65a7-4f1c-a03b-be2c349c8d1b</errorID>
      <errorWord>(</errorWord>
      <group>L1_Format</group>
      <groupName>格式问题</groupName>
      <ability>L2_HalfPunc_CN</ability>
      <abilityName>全半角问题</abilityName>
      <candidateList>
        <item>（</item>
      </candidateList>
      <explain>文本全半角错误。</explain>
      <paraID>7090DCE0</paraID>
      <start>21</start>
      <end>22</end>
      <status>unmodified</status>
      <modifiedWord/>
      <trackRevisions>false</trackRevisions>
    </reviewItem>
    <reviewItem>
      <errorID>2f508d68-d923-46be-89ff-a67495b4cd2c</errorID>
      <errorWord>)</errorWord>
      <group>L1_Format</group>
      <groupName>格式问题</groupName>
      <ability>L2_HalfPunc_CN</ability>
      <abilityName>全半角问题</abilityName>
      <candidateList>
        <item>）</item>
      </candidateList>
      <explain>文本全半角错误。</explain>
      <paraID>7090DCE0</paraID>
      <start>32</start>
      <end>33</end>
      <status>unmodified</status>
      <modifiedWord/>
      <trackRevisions>false</trackRevisions>
    </reviewItem>
    <reviewItem>
      <errorID>8df5155d-0818-42ec-830e-9c03c63ea47d</errorID>
      <errorWord>(</errorWord>
      <group>L1_Format</group>
      <groupName>格式问题</groupName>
      <ability>L2_HalfPunc_CN</ability>
      <abilityName>全半角问题</abilityName>
      <candidateList>
        <item>（</item>
      </candidateList>
      <explain>文本全半角错误。</explain>
      <paraID>69D6E86C</paraID>
      <start>20</start>
      <end>21</end>
      <status>unmodified</status>
      <modifiedWord/>
      <trackRevisions>false</trackRevisions>
    </reviewItem>
    <reviewItem>
      <errorID>04f07aff-2da1-43a1-a579-09abf48ca964</errorID>
      <errorWord>)</errorWord>
      <group>L1_Format</group>
      <groupName>格式问题</groupName>
      <ability>L2_HalfPunc_CN</ability>
      <abilityName>全半角问题</abilityName>
      <candidateList>
        <item>）</item>
      </candidateList>
      <explain>文本全半角错误。</explain>
      <paraID>69D6E86C</paraID>
      <start>30</start>
      <end>31</end>
      <status>unmodified</status>
      <modifiedWord/>
      <trackRevisions>false</trackRevisions>
    </reviewItem>
    <reviewItem>
      <errorID>7621cdff-c8f9-46f5-bb8f-1e4af0d94eac</errorID>
      <errorWord>(</errorWord>
      <group>L1_Format</group>
      <groupName>格式问题</groupName>
      <ability>L2_HalfPunc_CN</ability>
      <abilityName>全半角问题</abilityName>
      <candidateList>
        <item>（</item>
      </candidateList>
      <explain>文本全半角错误。</explain>
      <paraID>2CB5F837</paraID>
      <start>19</start>
      <end>20</end>
      <status>unmodified</status>
      <modifiedWord/>
      <trackRevisions>false</trackRevisions>
    </reviewItem>
    <reviewItem>
      <errorID>72536904-fd0a-4997-a9f7-f56c4fe5b424</errorID>
      <errorWord>)</errorWord>
      <group>L1_Format</group>
      <groupName>格式问题</groupName>
      <ability>L2_HalfPunc_CN</ability>
      <abilityName>全半角问题</abilityName>
      <candidateList>
        <item>）</item>
      </candidateList>
      <explain>文本全半角错误。</explain>
      <paraID>2CB5F837</paraID>
      <start>31</start>
      <end>32</end>
      <status>unmodified</status>
      <modifiedWord/>
      <trackRevisions>false</trackRevisions>
    </reviewItem>
    <reviewItem>
      <errorID>323b6de3-5a37-484b-beea-b6f62a88491a</errorID>
      <errorWord>(</errorWord>
      <group>L1_Format</group>
      <groupName>格式问题</groupName>
      <ability>L2_HalfPunc_CN</ability>
      <abilityName>全半角问题</abilityName>
      <candidateList>
        <item>（</item>
      </candidateList>
      <explain>文本全半角错误。</explain>
      <paraID>5520F4E2</paraID>
      <start>19</start>
      <end>20</end>
      <status>unmodified</status>
      <modifiedWord/>
      <trackRevisions>false</trackRevisions>
    </reviewItem>
    <reviewItem>
      <errorID>66219485-97b6-42b2-aed0-ae2c17bf5115</errorID>
      <errorWord>)</errorWord>
      <group>L1_Format</group>
      <groupName>格式问题</groupName>
      <ability>L2_HalfPunc_CN</ability>
      <abilityName>全半角问题</abilityName>
      <candidateList>
        <item>）</item>
      </candidateList>
      <explain>文本全半角错误。</explain>
      <paraID>5520F4E2</paraID>
      <start>22</start>
      <end>23</end>
      <status>unmodified</status>
      <modifiedWord/>
      <trackRevisions>false</trackRevisions>
    </reviewItem>
    <reviewItem>
      <errorID>0660c3e9-e2d5-4eeb-bae8-827aed91f31b</errorID>
      <errorWord>(</errorWord>
      <group>L1_Format</group>
      <groupName>格式问题</groupName>
      <ability>L2_HalfPunc_CN</ability>
      <abilityName>全半角问题</abilityName>
      <candidateList>
        <item>（</item>
      </candidateList>
      <explain>文本全半角错误。</explain>
      <paraID>5520F4E2</paraID>
      <start>24</start>
      <end>25</end>
      <status>unmodified</status>
      <modifiedWord/>
      <trackRevisions>false</trackRevisions>
    </reviewItem>
    <reviewItem>
      <errorID>925e7938-8842-4d60-b5e6-5d4e335f0f89</errorID>
      <errorWord>)</errorWord>
      <group>L1_Format</group>
      <groupName>格式问题</groupName>
      <ability>L2_HalfPunc_CN</ability>
      <abilityName>全半角问题</abilityName>
      <candidateList>
        <item>）</item>
      </candidateList>
      <explain>文本全半角错误。</explain>
      <paraID>5520F4E2</paraID>
      <start>36</start>
      <end>37</end>
      <status>unmodified</status>
      <modifiedWord/>
      <trackRevisions>false</trackRevisions>
    </reviewItem>
    <reviewItem>
      <errorID>d8cd9529-5a13-4cbe-8dc0-cb9ce773e6e6</errorID>
      <errorWord>(</errorWord>
      <group>L1_Format</group>
      <groupName>格式问题</groupName>
      <ability>L2_HalfPunc_CN</ability>
      <abilityName>全半角问题</abilityName>
      <candidateList>
        <item>（</item>
      </candidateList>
      <explain>文本全半角错误。</explain>
      <paraID> C53BBB3</paraID>
      <start>20</start>
      <end>21</end>
      <status>unmodified</status>
      <modifiedWord/>
      <trackRevisions>false</trackRevisions>
    </reviewItem>
    <reviewItem>
      <errorID>32bbb6e0-8dbb-4a5b-a147-71966a57a30c</errorID>
      <errorWord>)</errorWord>
      <group>L1_Format</group>
      <groupName>格式问题</groupName>
      <ability>L2_HalfPunc_CN</ability>
      <abilityName>全半角问题</abilityName>
      <candidateList>
        <item>）</item>
      </candidateList>
      <explain>文本全半角错误。</explain>
      <paraID> C53BBB3</paraID>
      <start>33</start>
      <end>34</end>
      <status>unmodified</status>
      <modifiedWord/>
      <trackRevisions>false</trackRevisions>
    </reviewItem>
    <reviewItem>
      <errorID>24f27b77-2d7d-4648-ac17-8728716991e6</errorID>
      <errorWord>震动</errorWord>
      <group>L1_Word</group>
      <groupName>字词问题</groupName>
      <ability>L2_Typo</ability>
      <abilityName>字词错误</abilityName>
      <candidateList>
        <item>振动</item>
      </candidateList>
      <explain>存在发音相同字词的误用。</explain>
      <paraID> 5D6F489</paraID>
      <start>10</start>
      <end>12</end>
      <status>modified</status>
      <modifiedWord>振动</modifiedWord>
      <trackRevisions>false</trackRevisions>
    </reviewItem>
    <reviewItem>
      <errorID>338de2f7-7dba-4a9c-9cd1-343ceee1e6d9</errorID>
      <errorWord>黑龙江省环境保护条例</errorWord>
      <group>L1_Knowledge</group>
      <groupName>知识性问题</groupName>
      <ability>L2_Knowledge</ability>
      <abilityName>其他知识</abilityName>
      <candidateList/>
      <explain>该法规已废止，请注意检查引用是否正确。</explain>
      <paraID>67FC12CB</paraID>
      <start>4</start>
      <end>14</end>
      <status>unmodified</status>
      <modifiedWord/>
      <trackRevisions>false</trackRevisions>
    </reviewItem>
    <reviewItem>
      <errorID>348a1627-fef5-47d1-9320-5cf41836327b</errorID>
      <errorWord>[2012]29号</errorWord>
      <group>L1_Knowledge</group>
      <groupName>知识性问题</groupName>
      <ability>L2_Knowledge</ability>
      <abilityName>其他知识</abilityName>
      <candidateList>
        <item>〔2012〕29号</item>
      </candidateList>
      <explain>发文字号格式错误。</explain>
      <paraID>63CDF1B6</paraID>
      <start>2</start>
      <end>11</end>
      <status>unmodified</status>
      <modifiedWord/>
      <trackRevisions>false</trackRevisions>
    </reviewItem>
    <reviewItem>
      <errorID>00aa7aaa-d366-4fc1-81f2-9d605fc41e54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1595BFEE</paraID>
      <start>19</start>
      <end>20</end>
      <status>unmodified</status>
      <modifiedWord/>
      <trackRevisions>false</trackRevisions>
    </reviewItem>
    <reviewItem>
      <errorID>8a5a4d23-7b75-4ff8-929f-71e529b18340</errorID>
      <errorWord>[2016]3号</errorWord>
      <group>L1_Knowledge</group>
      <groupName>知识性问题</groupName>
      <ability>L2_Knowledge</ability>
      <abilityName>其他知识</abilityName>
      <candidateList>
        <item>〔2016〕3号</item>
      </candidateList>
      <explain>发文字号格式错误。</explain>
      <paraID> BF915CE</paraID>
      <start>4</start>
      <end>12</end>
      <status>unmodified</status>
      <modifiedWord/>
      <trackRevisions>false</trackRevisions>
    </reviewItem>
    <reviewItem>
      <errorID>c8dee554-dc58-48e3-ad02-e9082e98c71a</errorID>
      <errorWord>[2016]46号</errorWord>
      <group>L1_Knowledge</group>
      <groupName>知识性问题</groupName>
      <ability>L2_Knowledge</ability>
      <abilityName>其他知识</abilityName>
      <candidateList>
        <item>〔2016〕46号</item>
      </candidateList>
      <explain>发文字号格式错误。</explain>
      <paraID>5979F4CC</paraID>
      <start>6</start>
      <end>15</end>
      <status>unmodified</status>
      <modifiedWord/>
      <trackRevisions>false</trackRevisions>
    </reviewItem>
    <reviewItem>
      <errorID>7bb6b3f0-0d30-465d-a408-a3b2d45debe9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47152602</paraID>
      <start>16</start>
      <end>17</end>
      <status>unmodified</status>
      <modifiedWord/>
      <trackRevisions>false</trackRevisions>
    </reviewItem>
    <reviewItem>
      <errorID>2df8d788-3ce6-4f5a-9b01-74fa570ab277</errorID>
      <errorWord>[2012]</errorWord>
      <group>L1_Punc</group>
      <groupName>标点问题</groupName>
      <ability>L2_Punc_CN</ability>
      <abilityName>标点符号问题</abilityName>
      <candidateList>
        <item>〔2012〕</item>
      </candidateList>
      <explain/>
      <paraID>47152602</paraID>
      <start>34</start>
      <end>40</end>
      <status>unmodified</status>
      <modifiedWord/>
      <trackRevisions>false</trackRevisions>
    </reviewItem>
    <reviewItem>
      <errorID>fab2a12d-9fcc-4709-8ccb-6aae4937e6c3</errorID>
      <errorWord>[2020]14号</errorWord>
      <group>L1_Knowledge</group>
      <groupName>知识性问题</groupName>
      <ability>L2_Knowledge</ability>
      <abilityName>其他知识</abilityName>
      <candidateList>
        <item>〔2020〕14号</item>
      </candidateList>
      <explain>发文字号格式错误。</explain>
      <paraID>11606764</paraID>
      <start>6</start>
      <end>15</end>
      <status>unmodified</status>
      <modifiedWord/>
      <trackRevisions>false</trackRevisions>
    </reviewItem>
    <reviewItem>
      <errorID>73553991-d53c-41c7-b95b-29adc30ed394</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5DE95C27</paraID>
      <start>31</start>
      <end>32</end>
      <status>unmodified</status>
      <modifiedWord/>
      <trackRevisions>false</trackRevisions>
    </reviewItem>
    <reviewItem>
      <errorID>954ac4f5-8509-4b6d-b2d5-ad91bfa850f0</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4E6B634F</paraID>
      <start>19</start>
      <end>20</end>
      <status>unmodified</status>
      <modifiedWord/>
      <trackRevisions>false</trackRevisions>
    </reviewItem>
    <reviewItem>
      <errorID>35620e1b-f838-4c51-8410-ce3e1e09653e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6996C50C</paraID>
      <start>22</start>
      <end>23</end>
      <status>unmodified</status>
      <modifiedWord/>
      <trackRevisions>false</trackRevisions>
    </reviewItem>
    <reviewItem>
      <errorID>33285f45-b48e-4d40-a9f7-544e20bd0caa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2D22121A</paraID>
      <start>21</start>
      <end>22</end>
      <status>unmodified</status>
      <modifiedWord/>
      <trackRevisions>false</trackRevisions>
    </reviewItem>
    <reviewItem>
      <errorID>5d99d5ee-dfec-4d68-ae25-81615a1d3dce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29C5BCFE</paraID>
      <start>28</start>
      <end>29</end>
      <status>unmodified</status>
      <modifiedWord/>
      <trackRevisions>false</trackRevisions>
    </reviewItem>
    <reviewItem>
      <errorID>01effeaf-b82a-4f75-91b7-53933d2357ac</errorID>
      <errorWord>程</errorWord>
      <group>L1_Word</group>
      <groupName>字词问题</groupName>
      <ability>L2_Typo</ability>
      <abilityName>字词错误</abilityName>
      <candidateList>
        <item>程中</item>
      </candidateList>
      <explain/>
      <paraID>3AE861B6</paraID>
      <start>48</start>
      <end>49</end>
      <status>unmodified</status>
      <modifiedWord/>
      <trackRevisions>false</trackRevisions>
    </reviewItem>
    <reviewItem>
      <errorID>312f26dd-544b-446a-8da6-d44fdb5691b8</errorID>
      <errorWord>没</errorWord>
      <group>L1_Word</group>
      <groupName>字词问题</groupName>
      <ability>L2_Typo</ability>
      <abilityName>字词错误</abilityName>
      <candidateList>
        <item>没有</item>
      </candidateList>
      <explain/>
      <paraID>64FA2672</paraID>
      <start>55</start>
      <end>56</end>
      <status>unmodified</status>
      <modifiedWord/>
      <trackRevisions>false</trackRevisions>
    </reviewItem>
    <reviewItem>
      <errorID>a152d9b8-2f56-496f-a853-9b95ae20d94d</errorID>
      <errorWord>期期</errorWord>
      <group>L1_Word</group>
      <groupName>字词问题</groupName>
      <ability>L2_Typo</ability>
      <abilityName>字词错误</abilityName>
      <candidateList>
        <item>期</item>
      </candidateList>
      <explain/>
      <paraID>7E095962</paraID>
      <start>14</start>
      <end>15</end>
      <status>modified</status>
      <modifiedWord>期</modifiedWord>
      <trackRevisions>false</trackRevisions>
    </reviewItem>
    <reviewItem>
      <errorID>33de9e21-99b5-4001-9ecd-63b5eee57904</errorID>
      <errorWord>III类</errorWord>
      <group>L1_Knowledge</group>
      <groupName>知识性问题</groupName>
      <ability>L2_Knowledge</ability>
      <abilityName>其他知识</abilityName>
      <candidateList>
        <item>Ⅲ类</item>
      </candidateList>
      <explain>中文环境下罗马数字格式错误。</explain>
      <paraID>30DABF69</paraID>
      <start>26</start>
      <end>30</end>
      <status>unmodified</status>
      <modifiedWord/>
      <trackRevisions>false</trackRevisions>
    </reviewItem>
    <reviewItem>
      <errorID>942f99c8-54ed-4c2c-ae0e-1a37a636c358</errorID>
      <errorWord>III类</errorWord>
      <group>L1_Knowledge</group>
      <groupName>知识性问题</groupName>
      <ability>L2_Knowledge</ability>
      <abilityName>其他知识</abilityName>
      <candidateList>
        <item>Ⅲ类</item>
      </candidateList>
      <explain>中文环境下罗马数字格式错误。</explain>
      <paraID>30DABF69</paraID>
      <start>76</start>
      <end>80</end>
      <status>unmodified</status>
      <modifiedWord/>
      <trackRevisions>false</trackRevisions>
    </reviewItem>
    <reviewItem>
      <errorID>9efededf-0f84-4314-a16d-3460c99a195f</errorID>
      <errorWord>III类</errorWord>
      <group>L1_Knowledge</group>
      <groupName>知识性问题</groupName>
      <ability>L2_Knowledge</ability>
      <abilityName>其他知识</abilityName>
      <candidateList>
        <item>Ⅲ类</item>
      </candidateList>
      <explain>中文环境下罗马数字格式错误。</explain>
      <paraID>42CCE906</paraID>
      <start>42</start>
      <end>46</end>
      <status>unmodified</status>
      <modifiedWord/>
      <trackRevisions>false</trackRevisions>
    </reviewItem>
    <reviewItem>
      <errorID>758b6e41-5d15-44f4-97ab-4e758e21d105</errorID>
      <errorWord>～</errorWord>
      <group>L1_Format</group>
      <groupName>格式问题</groupName>
      <ability>L2_HalfPunc_CN</ability>
      <abilityName>全半角问题</abilityName>
      <candidateList>
        <item>~</item>
      </candidateList>
      <explain>文本全半角错误。</explain>
      <paraID>59A67A12</paraID>
      <start>3</start>
      <end>4</end>
      <status>unmodified</status>
      <modifiedWord/>
      <trackRevisions>false</trackRevisions>
    </reviewItem>
    <reviewItem>
      <errorID>05fcc07f-f4a7-4e45-aa73-aedd386b357a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5804B0ED</paraID>
      <start>58</start>
      <end>59</end>
      <status>unmodified</status>
      <modifiedWord/>
      <trackRevisions>false</trackRevisions>
    </reviewItem>
    <reviewItem>
      <errorID>1478de05-465a-43c1-a359-c80026598601</errorID>
      <errorWord>III类</errorWord>
      <group>L1_Knowledge</group>
      <groupName>知识性问题</groupName>
      <ability>L2_Knowledge</ability>
      <abilityName>其他知识</abilityName>
      <candidateList>
        <item>Ⅲ类</item>
      </candidateList>
      <explain>中文环境下罗马数字格式错误。</explain>
      <paraID>5804B0ED</paraID>
      <start>148</start>
      <end>152</end>
      <status>unmodified</status>
      <modifiedWord/>
      <trackRevisions>false</trackRevisions>
    </reviewItem>
    <reviewItem>
      <errorID>cd498a4c-ae14-466c-aea9-fa40b5a5a024</errorID>
      <errorWord>III类</errorWord>
      <group>L1_Knowledge</group>
      <groupName>知识性问题</groupName>
      <ability>L2_Knowledge</ability>
      <abilityName>其他知识</abilityName>
      <candidateList>
        <item>Ⅲ类</item>
      </candidateList>
      <explain>中文环境下罗马数字格式错误。</explain>
      <paraID>5804B0ED</paraID>
      <start>201</start>
      <end>205</end>
      <status>unmodified</status>
      <modifiedWord/>
      <trackRevisions>false</trackRevisions>
    </reviewItem>
    <reviewItem>
      <errorID>0075a5a6-c1c1-4c9f-be17-0138a9620f8b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4ED9C898</paraID>
      <start>0</start>
      <end>2</end>
      <status>unmodified</status>
      <modifiedWord/>
      <trackRevisions>false</trackRevisions>
    </reviewItem>
    <reviewItem>
      <errorID>7e6faa74-0042-42e1-bdb0-c007dbb72ba1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541F731</paraID>
      <start>0</start>
      <end>2</end>
      <status>unmodified</status>
      <modifiedWord/>
      <trackRevisions>false</trackRevisions>
    </reviewItem>
    <reviewItem>
      <errorID>cf535cee-322d-46c4-a134-80835af2c1c4</errorID>
      <errorWord>淋溶</errorWord>
      <group>L1_Word</group>
      <groupName>字词问题</groupName>
      <ability>L2_Typo</ability>
      <abilityName>字词错误</abilityName>
      <candidateList>
        <item>淋浴</item>
      </candidateList>
      <explain>存在字形相近字词的误用。</explain>
      <paraID>1B1403C7</paraID>
      <start>10</start>
      <end>12</end>
      <status>unmodified</status>
      <modifiedWord/>
      <trackRevisions>false</trackRevisions>
    </reviewItem>
    <reviewItem>
      <errorID>a0fc6dde-8825-4bab-bd6a-b02be91dc316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3A729005</paraID>
      <start>0</start>
      <end>2</end>
      <status>unmodified</status>
      <modifiedWord/>
      <trackRevisions>false</trackRevisions>
    </reviewItem>
    <reviewItem>
      <errorID>d8f07226-c7b4-4646-a073-ac9af1835504</errorID>
      <errorWord>)</errorWord>
      <group>L1_Format</group>
      <groupName>格式问题</groupName>
      <ability>L2_HalfPunc_CN</ability>
      <abilityName>全半角问题</abilityName>
      <candidateList>
        <item>）</item>
      </candidateList>
      <explain>文本全半角错误。</explain>
      <paraID>1BC6F4DA</paraID>
      <start>39</start>
      <end>40</end>
      <status>unmodified</status>
      <modifiedWord/>
      <trackRevisions>false</trackRevisions>
    </reviewItem>
    <reviewItem>
      <errorID>0317e58c-ac4e-47c7-85be-4758c9a83ce5</errorID>
      <errorWord>(</errorWord>
      <group>L1_Format</group>
      <groupName>格式问题</groupName>
      <ability>L2_HalfPunc_CN</ability>
      <abilityName>全半角问题</abilityName>
      <candidateList>
        <item>（</item>
      </candidateList>
      <explain>文本全半角错误。</explain>
      <paraID>77095AD9</paraID>
      <start>28</start>
      <end>29</end>
      <status>unmodified</status>
      <modifiedWord/>
      <trackRevisions>false</trackRevisions>
    </reviewItem>
    <reviewItem>
      <errorID>61c8139a-7154-448b-bb8d-3d9cbf8b4428</errorID>
      <errorWord>)</errorWord>
      <group>L1_Format</group>
      <groupName>格式问题</groupName>
      <ability>L2_HalfPunc_CN</ability>
      <abilityName>全半角问题</abilityName>
      <candidateList>
        <item>）</item>
      </candidateList>
      <explain>文本全半角错误。</explain>
      <paraID>77095AD9</paraID>
      <start>41</start>
      <end>42</end>
      <status>unmodified</status>
      <modifiedWord/>
      <trackRevisions>false</trackRevisions>
    </reviewItem>
    <reviewItem>
      <errorID>f870e40f-dd91-493a-b6a4-b19d269db71f</errorID>
      <errorWord>(</errorWord>
      <group>L1_Format</group>
      <groupName>格式问题</groupName>
      <ability>L2_HalfPunc_CN</ability>
      <abilityName>全半角问题</abilityName>
      <candidateList>
        <item>（</item>
      </candidateList>
      <explain>文本全半角错误。</explain>
      <paraID>6C1DB634</paraID>
      <start>16</start>
      <end>17</end>
      <status>unmodified</status>
      <modifiedWord/>
      <trackRevisions>false</trackRevisions>
    </reviewItem>
    <reviewItem>
      <errorID>9a4b7719-48ac-4ea9-906f-aeb1ff5f4e8c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57029B4C</paraID>
      <start>0</start>
      <end>2</end>
      <status>unmodified</status>
      <modifiedWord/>
      <trackRevisions>false</trackRevisions>
    </reviewItem>
    <reviewItem>
      <errorID>ac922ba7-2681-45d1-ac3e-a53d1cd9c459</errorID>
      <errorWord>(</errorWord>
      <group>L1_Format</group>
      <groupName>格式问题</groupName>
      <ability>L2_HalfPunc_CN</ability>
      <abilityName>全半角问题</abilityName>
      <candidateList>
        <item>（</item>
      </candidateList>
      <explain>文本全半角错误。</explain>
      <paraID>2DDEE27D</paraID>
      <start>19</start>
      <end>20</end>
      <status>unmodified</status>
      <modifiedWord/>
      <trackRevisions>false</trackRevisions>
    </reviewItem>
    <reviewItem>
      <errorID>9af68dee-5ced-4ebd-9577-3bc0c277882b</errorID>
      <errorWord>)</errorWord>
      <group>L1_Format</group>
      <groupName>格式问题</groupName>
      <ability>L2_HalfPunc_CN</ability>
      <abilityName>全半角问题</abilityName>
      <candidateList>
        <item>）</item>
      </candidateList>
      <explain>文本全半角错误。</explain>
      <paraID>2DDEE27D</paraID>
      <start>30</start>
      <end>31</end>
      <status>unmodified</status>
      <modifiedWord/>
      <trackRevisions>false</trackRevisions>
    </reviewItem>
    <reviewItem>
      <errorID>7325304d-c9b3-445d-bde3-88eecd251079</errorID>
      <errorWord>(</errorWord>
      <group>L1_Format</group>
      <groupName>格式问题</groupName>
      <ability>L2_HalfPunc_CN</ability>
      <abilityName>全半角问题</abilityName>
      <candidateList>
        <item>（</item>
      </candidateList>
      <explain>文本全半角错误。</explain>
      <paraID>7D25918C</paraID>
      <start>19</start>
      <end>20</end>
      <status>unmodified</status>
      <modifiedWord/>
      <trackRevisions>false</trackRevisions>
    </reviewItem>
    <reviewItem>
      <errorID>6c1db1f1-f561-4da0-ac8f-8d91de8e625f</errorID>
      <errorWord>)</errorWord>
      <group>L1_Format</group>
      <groupName>格式问题</groupName>
      <ability>L2_HalfPunc_CN</ability>
      <abilityName>全半角问题</abilityName>
      <candidateList>
        <item>）</item>
      </candidateList>
      <explain>文本全半角错误。</explain>
      <paraID>7D25918C</paraID>
      <start>30</start>
      <end>31</end>
      <status>unmodified</status>
      <modifiedWord/>
      <trackRevisions>false</trackRevisions>
    </reviewItem>
    <reviewItem>
      <errorID>dfc68e96-667e-4ff4-806a-0e5ef3543a8b</errorID>
      <errorWord>(</errorWord>
      <group>L1_Format</group>
      <groupName>格式问题</groupName>
      <ability>L2_HalfPunc_CN</ability>
      <abilityName>全半角问题</abilityName>
      <candidateList>
        <item>（</item>
      </candidateList>
      <explain>文本全半角错误。</explain>
      <paraID>75B81398</paraID>
      <start>3</start>
      <end>4</end>
      <status>unmodified</status>
      <modifiedWord/>
      <trackRevisions>false</trackRevisions>
    </reviewItem>
    <reviewItem>
      <errorID>01cc844f-f160-4e41-98ce-aa71a7d11a89</errorID>
      <errorWord>)</errorWord>
      <group>L1_Format</group>
      <groupName>格式问题</groupName>
      <ability>L2_HalfPunc_CN</ability>
      <abilityName>全半角问题</abilityName>
      <candidateList>
        <item>）</item>
      </candidateList>
      <explain>文本全半角错误。</explain>
      <paraID>75B81398</paraID>
      <start>9</start>
      <end>10</end>
      <status>unmodified</status>
      <modifiedWord/>
      <trackRevisions>false</trackRevisions>
    </reviewItem>
    <reviewItem>
      <errorID>9e476c40-583b-4deb-8065-4d0c94db68cc</errorID>
      <errorWord>(</errorWord>
      <group>L1_Format</group>
      <groupName>格式问题</groupName>
      <ability>L2_HalfPunc_CN</ability>
      <abilityName>全半角问题</abilityName>
      <candidateList>
        <item>（</item>
      </candidateList>
      <explain>文本全半角错误。</explain>
      <paraID>42D34272</paraID>
      <start>7</start>
      <end>8</end>
      <status>unmodified</status>
      <modifiedWord/>
      <trackRevisions>false</trackRevisions>
    </reviewItem>
    <reviewItem>
      <errorID>c3868a82-658d-4712-a197-85efde59dc58</errorID>
      <errorWord>)</errorWord>
      <group>L1_Format</group>
      <groupName>格式问题</groupName>
      <ability>L2_HalfPunc_CN</ability>
      <abilityName>全半角问题</abilityName>
      <candidateList>
        <item>）</item>
      </candidateList>
      <explain>文本全半角错误。</explain>
      <paraID>42D34272</paraID>
      <start>9</start>
      <end>10</end>
      <status>unmodified</status>
      <modifiedWord/>
      <trackRevisions>false</trackRevisions>
    </reviewItem>
    <reviewItem>
      <errorID>67df6bca-f9d8-4792-bb38-e3ee5f28186e</errorID>
      <errorWord>(</errorWord>
      <group>L1_Format</group>
      <groupName>格式问题</groupName>
      <ability>L2_HalfPunc_CN</ability>
      <abilityName>全半角问题</abilityName>
      <candidateList>
        <item>（</item>
      </candidateList>
      <explain>文本全半角错误。</explain>
      <paraID>31BE6D51</paraID>
      <start>20</start>
      <end>21</end>
      <status>unmodified</status>
      <modifiedWord/>
      <trackRevisions>false</trackRevisions>
    </reviewItem>
    <reviewItem>
      <errorID>acb29a82-cec4-4748-b8a2-b196d519053d</errorID>
      <errorWord>)</errorWord>
      <group>L1_Format</group>
      <groupName>格式问题</groupName>
      <ability>L2_HalfPunc_CN</ability>
      <abilityName>全半角问题</abilityName>
      <candidateList>
        <item>）</item>
      </candidateList>
      <explain>文本全半角错误。</explain>
      <paraID>31BE6D51</paraID>
      <start>31</start>
      <end>32</end>
      <status>unmodified</status>
      <modifiedWord/>
      <trackRevisions>false</trackRevisions>
    </reviewItem>
    <reviewItem>
      <errorID>201ee67a-8bad-4305-8f46-cbccc8a03138</errorID>
      <errorWord>(</errorWord>
      <group>L1_Format</group>
      <groupName>格式问题</groupName>
      <ability>L2_HalfPunc_CN</ability>
      <abilityName>全半角问题</abilityName>
      <candidateList>
        <item>（</item>
      </candidateList>
      <explain>文本全半角错误。</explain>
      <paraID>39FB31AF</paraID>
      <start>20</start>
      <end>21</end>
      <status>unmodified</status>
      <modifiedWord/>
      <trackRevisions>false</trackRevisions>
    </reviewItem>
    <reviewItem>
      <errorID>0011a77f-e207-4b05-ba5e-91946e992a50</errorID>
      <errorWord>)</errorWord>
      <group>L1_Format</group>
      <groupName>格式问题</groupName>
      <ability>L2_HalfPunc_CN</ability>
      <abilityName>全半角问题</abilityName>
      <candidateList>
        <item>）</item>
      </candidateList>
      <explain>文本全半角错误。</explain>
      <paraID>39FB31AF</paraID>
      <start>31</start>
      <end>32</end>
      <status>unmodified</status>
      <modifiedWord/>
      <trackRevisions>false</trackRevisions>
    </reviewItem>
    <reviewItem>
      <errorID>4d66f1e7-717c-45ac-91c5-ec038fac7b1b</errorID>
      <errorWord>(</errorWord>
      <group>L1_Format</group>
      <groupName>格式问题</groupName>
      <ability>L2_HalfPunc_CN</ability>
      <abilityName>全半角问题</abilityName>
      <candidateList>
        <item>（</item>
      </candidateList>
      <explain>文本全半角错误。</explain>
      <paraID> CFDD5DF</paraID>
      <start>20</start>
      <end>21</end>
      <status>unmodified</status>
      <modifiedWord/>
      <trackRevisions>false</trackRevisions>
    </reviewItem>
    <reviewItem>
      <errorID>a249cee1-12cd-49ef-afea-24a70416dc59</errorID>
      <errorWord>)</errorWord>
      <group>L1_Format</group>
      <groupName>格式问题</groupName>
      <ability>L2_HalfPunc_CN</ability>
      <abilityName>全半角问题</abilityName>
      <candidateList>
        <item>）</item>
      </candidateList>
      <explain>文本全半角错误。</explain>
      <paraID> CFDD5DF</paraID>
      <start>31</start>
      <end>32</end>
      <status>unmodified</status>
      <modifiedWord/>
      <trackRevisions>false</trackRevisions>
    </reviewItem>
    <reviewItem>
      <errorID>872dea3b-1b2a-44b0-99c7-31503631220c</errorID>
      <errorWord>海拔高度</errorWord>
      <group>L1_Word</group>
      <groupName>字词问题</groupName>
      <ability>L2_Typo</ability>
      <abilityName>字词错误</abilityName>
      <candidateList>
        <item>海拔</item>
      </candidateList>
      <explain/>
      <paraID>2B3B1B14</paraID>
      <start>2</start>
      <end>6</end>
      <status>unmodified</status>
      <modifiedWord/>
      <trackRevisions>false</trackRevisions>
    </reviewItem>
    <reviewItem>
      <errorID>e07d3d4e-1227-4e8e-a322-4cf61f7f3b39</errorID>
      <errorWord>(</errorWord>
      <group>L1_Format</group>
      <groupName>格式问题</groupName>
      <ability>L2_HalfPunc_CN</ability>
      <abilityName>全半角问题</abilityName>
      <candidateList>
        <item>（</item>
      </candidateList>
      <explain>文本全半角错误。</explain>
      <paraID>1C160E08</paraID>
      <start>8</start>
      <end>9</end>
      <status>unmodified</status>
      <modifiedWord/>
      <trackRevisions>false</trackRevisions>
    </reviewItem>
    <reviewItem>
      <errorID>14f01646-b301-42f0-b404-d8868cb53932</errorID>
      <errorWord>)</errorWord>
      <group>L1_Format</group>
      <groupName>格式问题</groupName>
      <ability>L2_HalfPunc_CN</ability>
      <abilityName>全半角问题</abilityName>
      <candidateList>
        <item>）</item>
      </candidateList>
      <explain>文本全半角错误。</explain>
      <paraID>1C160E08</paraID>
      <start>10</start>
      <end>11</end>
      <status>unmodified</status>
      <modifiedWord/>
      <trackRevisions>false</trackRevisions>
    </reviewItem>
    <reviewItem>
      <errorID>8a064b65-ad71-485f-a2b5-8050b18e2ff1</errorID>
      <errorWord>)</errorWord>
      <group>L1_Format</group>
      <groupName>格式问题</groupName>
      <ability>L2_HalfPunc_CN</ability>
      <abilityName>全半角问题</abilityName>
      <candidateList>
        <item>）</item>
      </candidateList>
      <explain>文本全半角错误。</explain>
      <paraID>12D197DA</paraID>
      <start>95</start>
      <end>96</end>
      <status>unmodified</status>
      <modifiedWord/>
      <trackRevisions>false</trackRevisions>
    </reviewItem>
    <reviewItem>
      <errorID>749c38be-8d31-43c3-94f4-738f4e8242ea</errorID>
      <errorWord>)</errorWord>
      <group>L1_Format</group>
      <groupName>格式问题</groupName>
      <ability>L2_HalfPunc_CN</ability>
      <abilityName>全半角问题</abilityName>
      <candidateList>
        <item>）</item>
      </candidateList>
      <explain>文本全半角错误。</explain>
      <paraID>12D197DA</paraID>
      <start>118</start>
      <end>119</end>
      <status>unmodified</status>
      <modifiedWord/>
      <trackRevisions>false</trackRevisions>
    </reviewItem>
    <reviewItem>
      <errorID>ba4a08d1-762f-4ffc-9edf-666fa15080f3</errorID>
      <errorWord>III类</errorWord>
      <group>L1_Knowledge</group>
      <groupName>知识性问题</groupName>
      <ability>L2_Knowledge</ability>
      <abilityName>其他知识</abilityName>
      <candidateList>
        <item>Ⅲ类</item>
      </candidateList>
      <explain>中文环境下罗马数字格式错误。</explain>
      <paraID>43834FFC</paraID>
      <start>134</start>
      <end>138</end>
      <status>unmodified</status>
      <modifiedWord/>
      <trackRevisions>false</trackRevisions>
    </reviewItem>
    <reviewItem>
      <errorID>f6786c21-5337-4874-8ecc-0779a8c68a53</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166A4FB6</paraID>
      <start>71</start>
      <end>76</end>
      <status>unmodified</status>
      <modifiedWord/>
      <trackRevisions>false</trackRevisions>
    </reviewItem>
    <reviewItem>
      <errorID>cc73ef36-8e6f-42e3-95f9-c40a5b7318ba</errorID>
      <errorWord>集中水</errorWord>
      <group>L1_Word</group>
      <groupName>字词问题</groupName>
      <ability>L2_Typo</ability>
      <abilityName>字词错误</abilityName>
      <candidateList>
        <item>集中</item>
      </candidateList>
      <explain/>
      <paraID>44DD535F</paraID>
      <start>59</start>
      <end>62</end>
      <status>unmodified</status>
      <modifiedWord/>
      <trackRevisions>false</trackRevisions>
    </reviewItem>
    <reviewItem>
      <errorID>a2f059d0-3a04-42b8-bbef-be5e2960bb51</errorID>
      <errorWord>相关的其它</errorWord>
      <group>L1_Word</group>
      <groupName>字词问题</groupName>
      <ability>L2_Alias</ability>
      <abilityName>也作/曾用词</abilityName>
      <candidateList>
        <item>相关的其他</item>
      </candidateList>
      <explain>词汇[相关的其它]为不规范表述或旧称，其规范书面表述为[相关的其他]。</explain>
      <paraID>2BCE1EBB</paraID>
      <start>86</start>
      <end>91</end>
      <status>unmodified</status>
      <modifiedWord/>
      <trackRevisions>false</trackRevisions>
    </reviewItem>
    <reviewItem>
      <errorID>4bfc5a5f-e270-4d96-a859-9665cd95e99b</errorID>
      <errorWord>为为</errorWord>
      <group>L1_Word</group>
      <groupName>字词问题</groupName>
      <ability>L2_Typo</ability>
      <abilityName>字词错误</abilityName>
      <candidateList>
        <item>为</item>
      </candidateList>
      <explain/>
      <paraID> 2563D4E</paraID>
      <start>24</start>
      <end>25</end>
      <status>modified</status>
      <modifiedWord>为</modifiedWord>
      <trackRevisions>false</trackRevisions>
    </reviewItem>
    <reviewItem>
      <errorID>16011ead-542e-4f04-bcfd-0cc00656b506</errorID>
      <errorWord>位于位于</errorWord>
      <group>L1_Word</group>
      <groupName>字词问题</groupName>
      <ability>L2_Typo</ability>
      <abilityName>字词错误</abilityName>
      <candidateList>
        <item>位于</item>
      </candidateList>
      <explain/>
      <paraID> 2563D4E</paraID>
      <start>93</start>
      <end>95</end>
      <status>modified</status>
      <modifiedWord>位于</modifiedWord>
      <trackRevisions>false</trackRevisions>
    </reviewItem>
    <reviewItem>
      <errorID>3e9c988d-5ecb-4288-b0eb-655c452aa113</errorID>
      <errorWord>&lt;</errorWord>
      <group>L1_Format</group>
      <groupName>格式问题</groupName>
      <ability>L2_HalfPunc_CN</ability>
      <abilityName>全半角问题</abilityName>
      <candidateList>
        <item>〈</item>
      </candidateList>
      <explain>文本全半角错误。</explain>
      <paraID>4034FAA5</paraID>
      <start>17</start>
      <end>18</end>
      <status>unmodified</status>
      <modifiedWord/>
      <trackRevisions>false</trackRevisions>
    </reviewItem>
    <reviewItem>
      <errorID>2383d3a2-8325-469c-a82f-5f5ce5fc3819</errorID>
      <errorWord>&gt;</errorWord>
      <group>L1_Format</group>
      <groupName>格式问题</groupName>
      <ability>L2_HalfPunc_CN</ability>
      <abilityName>全半角问题</abilityName>
      <candidateList>
        <item>〉</item>
      </candidateList>
      <explain>文本全半角错误。</explain>
      <paraID>4034FAA5</paraID>
      <start>34</start>
      <end>35</end>
      <status>unmodified</status>
      <modifiedWord/>
      <trackRevisions>false</trackRevisions>
    </reviewItem>
    <reviewItem>
      <errorID>01781e3b-6ae5-40b0-b0e2-c64c3c039984</errorID>
      <errorWord>。</errorWord>
      <group>L1_Format</group>
      <groupName>格式问题</groupName>
      <ability>L2_HalfPunc_CN</ability>
      <abilityName>全半角问题</abilityName>
      <candidateList>
        <item>.</item>
      </candidateList>
      <explain>文本全半角错误。</explain>
      <paraID>11049F8C</paraID>
      <start>40</start>
      <end>41</end>
      <status>unmodified</status>
      <modifiedWord/>
      <trackRevisions>false</trackRevisions>
    </reviewItem>
    <reviewItem>
      <errorID>5f8bb2ca-444a-442c-a142-8a080d00178f</errorID>
      <errorWord>引用水</errorWord>
      <group>L1_Word</group>
      <groupName>字词问题</groupName>
      <ability>L2_Typo</ability>
      <abilityName>字词错误</abilityName>
      <candidateList>
        <item>饮用水</item>
      </candidateList>
      <explain/>
      <paraID>31E7F977</paraID>
      <start>42</start>
      <end>45</end>
      <status>modified</status>
      <modifiedWord>饮用水</modifiedWord>
      <trackRevisions>false</trackRevisions>
    </reviewItem>
    <reviewItem>
      <errorID>8c8a1b5c-66a6-427c-a1a2-2578b3e7e9bc</errorID>
      <errorWord>)</errorWord>
      <group>L1_Format</group>
      <groupName>格式问题</groupName>
      <ability>L2_HalfPunc_CN</ability>
      <abilityName>全半角问题</abilityName>
      <candidateList>
        <item>）</item>
      </candidateList>
      <explain>文本全半角错误。</explain>
      <paraID>346052A0</paraID>
      <start>123</start>
      <end>124</end>
      <status>unmodified</status>
      <modifiedWord/>
      <trackRevisions>false</trackRevisions>
    </reviewItem>
    <reviewItem>
      <errorID>30738582-0347-4fd7-9ee1-96f41b4deb15</errorID>
      <errorWord>~</errorWord>
      <group>L1_Format</group>
      <groupName>格式问题</groupName>
      <ability>L2_HalfPunc_CN</ability>
      <abilityName>全半角问题</abilityName>
      <candidateList>
        <item>～</item>
      </candidateList>
      <explain>文本全半角错误。</explain>
      <paraID>206B599C</paraID>
      <start>63</start>
      <end>64</end>
      <status>unmodified</status>
      <modifiedWord/>
      <trackRevisions>false</trackRevisions>
    </reviewItem>
    <reviewItem>
      <errorID>97426e75-511e-406e-8b30-bb0b90bb2baf</errorID>
      <errorWord>＜</errorWord>
      <group>L1_Format</group>
      <groupName>格式问题</groupName>
      <ability>L2_HalfPunc_CN</ability>
      <abilityName>全半角问题</abilityName>
      <candidateList>
        <item>&lt;</item>
      </candidateList>
      <explain>文本全半角错误。</explain>
      <paraID>784B2170</paraID>
      <start>0</start>
      <end>1</end>
      <status>unmodified</status>
      <modifiedWord/>
      <trackRevisions>false</trackRevisions>
    </reviewItem>
    <reviewItem>
      <errorID>5ec43391-3506-4431-ae47-4134c24cb2cc</errorID>
      <errorWord>（</errorWord>
      <group>L1_Format</group>
      <groupName>格式问题</groupName>
      <ability>L2_HalfPunc_CN</ability>
      <abilityName>全半角问题</abilityName>
      <candidateList>
        <item>(</item>
      </candidateList>
      <explain>文本全半角错误。</explain>
      <paraID>784B2170</paraID>
      <start>4</start>
      <end>5</end>
      <status>unmodified</status>
      <modifiedWord/>
      <trackRevisions>false</trackRevisions>
    </reviewItem>
    <reviewItem>
      <errorID>dcb5c585-92fb-405e-aaa3-63931120c855</errorID>
      <errorWord>）</errorWord>
      <group>L1_Format</group>
      <groupName>格式问题</groupName>
      <ability>L2_HalfPunc_CN</ability>
      <abilityName>全半角问题</abilityName>
      <candidateList>
        <item>)</item>
      </candidateList>
      <explain>文本全半角错误。</explain>
      <paraID>784B2170</paraID>
      <start>6</start>
      <end>7</end>
      <status>unmodified</status>
      <modifiedWord/>
      <trackRevisions>false</trackRevisions>
    </reviewItem>
    <reviewItem>
      <errorID>374b9514-1b1d-45aa-b6d4-a80321e7d095</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377FB9EA</paraID>
      <start>0</start>
      <end>2</end>
      <status>unmodified</status>
      <modifiedWord/>
      <trackRevisions>false</trackRevisions>
    </reviewItem>
    <reviewItem>
      <errorID>673ffb2b-8baa-4e8b-9223-3f88b6a8c466</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6621DD52</paraID>
      <start>0</start>
      <end>2</end>
      <status>unmodified</status>
      <modifiedWord/>
      <trackRevisions>false</trackRevisions>
    </reviewItem>
    <reviewItem>
      <errorID>05a3eab7-f0ea-4169-9143-fa50e4206d1a</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398BD79E</paraID>
      <start>0</start>
      <end>2</end>
      <status>unmodified</status>
      <modifiedWord/>
      <trackRevisions>false</trackRevisions>
    </reviewItem>
    <reviewItem>
      <errorID>ad480f61-d15f-4522-a98e-00ff7bc4efe9</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5FF434BA</paraID>
      <start>0</start>
      <end>2</end>
      <status>unmodified</status>
      <modifiedWord/>
      <trackRevisions>false</trackRevisions>
    </reviewItem>
    <reviewItem>
      <errorID>7d80aec9-539b-49bb-9345-8437bed07c8a</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70C6E94</paraID>
      <start>0</start>
      <end>2</end>
      <status>unmodified</status>
      <modifiedWord/>
      <trackRevisions>false</trackRevisions>
    </reviewItem>
    <reviewItem>
      <errorID>07a5fed5-5bcb-438e-927e-78d9487292de</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1F1F5F4A</paraID>
      <start>0</start>
      <end>2</end>
      <status>unmodified</status>
      <modifiedWord/>
      <trackRevisions>false</trackRevisions>
    </reviewItem>
    <reviewItem>
      <errorID>cb73350f-9b42-4c5f-a962-040ba24d7134</errorID>
      <errorWord>《环境影响评价技术导则 生态影响（HJ19-2022）》</errorWord>
      <group>L1_Knowledge</group>
      <groupName>知识性问题</groupName>
      <ability>L2_Knowledge</ability>
      <abilityName>其他知识</abilityName>
      <candidateList>
        <item>《环境影响评价技术导则 生态影响》（HJ19-2022）</item>
      </candidateList>
      <explain>疑似政策文件、法律法规名称等书写不规范，请注意检查。</explain>
      <paraID>2813A671</paraID>
      <start>94</start>
      <end>122</end>
      <status>unmodified</status>
      <modifiedWord/>
      <trackRevisions>false</trackRevisions>
    </reviewItem>
    <reviewItem>
      <errorID>e751d3e9-121f-47fd-aafc-9105d731482f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11E09E62</paraID>
      <start>0</start>
      <end>2</end>
      <status>unmodified</status>
      <modifiedWord/>
      <trackRevisions>false</trackRevisions>
    </reviewItem>
    <reviewItem>
      <errorID>9c3f36ec-95bb-4444-be3b-25c6b078a977</errorID>
      <errorWord>-</errorWord>
      <group>L1_Format</group>
      <groupName>格式问题</groupName>
      <ability>L2_HalfPunc_CN</ability>
      <abilityName>全半角问题</abilityName>
      <candidateList>
        <item>－</item>
      </candidateList>
      <explain>文本全半角错误。</explain>
      <paraID>41916C69</paraID>
      <start>12</start>
      <end>13</end>
      <status>unmodified</status>
      <modifiedWord/>
      <trackRevisions>false</trackRevisions>
    </reviewItem>
    <reviewItem>
      <errorID>880c1f6c-7192-4eee-bdbd-ec818e3439e1</errorID>
      <errorWord>-</errorWord>
      <group>L1_Format</group>
      <groupName>格式问题</groupName>
      <ability>L2_HalfPunc_CN</ability>
      <abilityName>全半角问题</abilityName>
      <candidateList>
        <item>－</item>
      </candidateList>
      <explain>文本全半角错误。</explain>
      <paraID>17D5122E</paraID>
      <start>9</start>
      <end>10</end>
      <status>unmodified</status>
      <modifiedWord/>
      <trackRevisions>false</trackRevisions>
    </reviewItem>
    <reviewItem>
      <errorID>cfd55911-167e-45b3-a581-25a1d059a78a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5495B68B</paraID>
      <start>0</start>
      <end>2</end>
      <status>unmodified</status>
      <modifiedWord/>
      <trackRevisions>false</trackRevisions>
    </reviewItem>
    <reviewItem>
      <errorID>cd53e9b5-2659-44c6-bf4d-ca0effb77750</errorID>
      <errorWord>IV</errorWord>
      <group>L1_Knowledge</group>
      <groupName>知识性问题</groupName>
      <ability>L2_Knowledge</ability>
      <abilityName>其他知识</abilityName>
      <candidateList>
        <item>Ⅳ</item>
      </candidateList>
      <explain>中文环境下罗马数字格式错误。</explain>
      <paraID>4A4EA873</paraID>
      <start>33</start>
      <end>35</end>
      <status>unmodified</status>
      <modifiedWord/>
      <trackRevisions>false</trackRevisions>
    </reviewItem>
    <reviewItem>
      <errorID>58771025-a977-4dc7-a814-9ea5f0990d7c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578268D4</paraID>
      <start>0</start>
      <end>2</end>
      <status>unmodified</status>
      <modifiedWord/>
      <trackRevisions>false</trackRevisions>
    </reviewItem>
    <reviewItem>
      <errorID>42102970-09f8-4ceb-895a-664ed126b0ed</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FEA4AEC</paraID>
      <start>0</start>
      <end>2</end>
      <status>unmodified</status>
      <modifiedWord/>
      <trackRevisions>false</trackRevisions>
    </reviewItem>
    <reviewItem>
      <errorID>1dd548cc-6012-475d-a9ed-bcfea57428ce</errorID>
      <errorWord>III</errorWord>
      <group>L1_Word</group>
      <groupName>字词问题</groupName>
      <ability>L2_Typo</ability>
      <abilityName>字词错误</abilityName>
      <candidateList>
        <item>Ⅲ</item>
      </candidateList>
      <explain/>
      <paraID>1C441050</paraID>
      <start>16</start>
      <end>19</end>
      <status>unmodified</status>
      <modifiedWord/>
      <trackRevisions>false</trackRevisions>
    </reviewItem>
    <reviewItem>
      <errorID>822adbbe-f2e9-409f-b626-74b55f900d51</errorID>
      <errorWord>(</errorWord>
      <group>L1_Format</group>
      <groupName>格式问题</groupName>
      <ability>L2_HalfPunc_CN</ability>
      <abilityName>全半角问题</abilityName>
      <candidateList>
        <item>（</item>
      </candidateList>
      <explain>文本全半角错误。</explain>
      <paraID>35851466</paraID>
      <start>20</start>
      <end>21</end>
      <status>unmodified</status>
      <modifiedWord/>
      <trackRevisions>false</trackRevisions>
    </reviewItem>
    <reviewItem>
      <errorID>b6198493-57e4-4944-83f8-4e2d4b0233c0</errorID>
      <errorWord>)</errorWord>
      <group>L1_Format</group>
      <groupName>格式问题</groupName>
      <ability>L2_HalfPunc_CN</ability>
      <abilityName>全半角问题</abilityName>
      <candidateList>
        <item>）</item>
      </candidateList>
      <explain>文本全半角错误。</explain>
      <paraID>35851466</paraID>
      <start>31</start>
      <end>32</end>
      <status>unmodified</status>
      <modifiedWord/>
      <trackRevisions>false</trackRevisions>
    </reviewItem>
    <reviewItem>
      <errorID>ad6d733b-7fd9-44b2-97fa-94fbdb5813c3</errorID>
      <errorWord>III类</errorWord>
      <group>L1_Knowledge</group>
      <groupName>知识性问题</groupName>
      <ability>L2_Knowledge</ability>
      <abilityName>其他知识</abilityName>
      <candidateList>
        <item>Ⅲ类</item>
      </candidateList>
      <explain>中文环境下罗马数字格式错误。</explain>
      <paraID>16D1F1BD</paraID>
      <start>25</start>
      <end>29</end>
      <status>unmodified</status>
      <modifiedWord/>
      <trackRevisions>false</trackRevisions>
    </reviewItem>
    <reviewItem>
      <errorID>8bfbb93b-786e-409b-9378-790e293df05d</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 14C892D</paraID>
      <start>4</start>
      <end>7</end>
      <status>unmodified</status>
      <modifiedWord/>
      <trackRevisions>false</trackRevisions>
    </reviewItem>
    <reviewItem>
      <errorID>24d15950-1faa-4828-a5d6-b2b573da0fb5</errorID>
      <errorWord>淋溶</errorWord>
      <group>L1_Word</group>
      <groupName>字词问题</groupName>
      <ability>L2_Typo</ability>
      <abilityName>字词错误</abilityName>
      <candidateList>
        <item>淋浴</item>
      </candidateList>
      <explain>存在字形相近字词的误用。</explain>
      <paraID>3E4EF3A0</paraID>
      <start>10</start>
      <end>12</end>
      <status>unmodified</status>
      <modifiedWord/>
      <trackRevisions>false</trackRevisions>
    </reviewItem>
    <reviewItem>
      <errorID>950fba34-348c-41f5-a4f2-468e01d8f8de</errorID>
      <errorWord>，</errorWord>
      <group>L1_Word</group>
      <groupName>字词问题</groupName>
      <ability>L2_Typo</ability>
      <abilityName>字词错误</abilityName>
      <candidateList>
        <item>，在</item>
      </candidateList>
      <explain/>
      <paraID>11985242</paraID>
      <start>27</start>
      <end>28</end>
      <status>unmodified</status>
      <modifiedWord/>
      <trackRevisions>false</trackRevisions>
    </reviewItem>
    <reviewItem>
      <errorID>c4f988b8-bd4c-45f3-b4b4-b35ba244e459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2A5F50E7</paraID>
      <start>82</start>
      <end>83</end>
      <status>unmodified</status>
      <modifiedWord/>
      <trackRevisions>false</trackRevisions>
    </reviewItem>
    <reviewItem>
      <errorID>c3f39c4e-de13-46dd-8cfb-737a2708beec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274E020</paraID>
      <start>0</start>
      <end>2</end>
      <status>unmodified</status>
      <modifiedWord/>
      <trackRevisions>false</trackRevisions>
    </reviewItem>
    <reviewItem>
      <errorID>6ab57d59-a26e-415d-b5cf-f1d629c64e99</errorID>
      <errorWord>分</errorWord>
      <group>L1_Word</group>
      <groupName>字词问题</groupName>
      <ability>L2_Typo</ability>
      <abilityName>字词错误</abilityName>
      <candidateList>
        <item>分为</item>
      </candidateList>
      <explain/>
      <paraID>664FDBC6</paraID>
      <start>66</start>
      <end>67</end>
      <status>unmodified</status>
      <modifiedWord/>
      <trackRevisions>false</trackRevisions>
    </reviewItem>
    <reviewItem>
      <errorID>90f8ea07-0ded-4910-95b8-8f74a9d7ea30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8B526AD</paraID>
      <start>0</start>
      <end>2</end>
      <status>unmodified</status>
      <modifiedWord/>
      <trackRevisions>false</trackRevisions>
    </reviewItem>
    <reviewItem>
      <errorID>2accbd83-9b45-48d9-b176-fc0099815927</errorID>
      <errorWord>(</errorWord>
      <group>L1_Format</group>
      <groupName>格式问题</groupName>
      <ability>L2_HalfPunc_CN</ability>
      <abilityName>全半角问题</abilityName>
      <candidateList>
        <item>（</item>
      </candidateList>
      <explain>文本全半角错误。</explain>
      <paraID>5E46CE63</paraID>
      <start>23</start>
      <end>24</end>
      <status>unmodified</status>
      <modifiedWord/>
      <trackRevisions>false</trackRevisions>
    </reviewItem>
    <reviewItem>
      <errorID>98904d70-a1a2-4e63-83b4-774b45918199</errorID>
      <errorWord>)</errorWord>
      <group>L1_Format</group>
      <groupName>格式问题</groupName>
      <ability>L2_HalfPunc_CN</ability>
      <abilityName>全半角问题</abilityName>
      <candidateList>
        <item>）</item>
      </candidateList>
      <explain>文本全半角错误。</explain>
      <paraID>5E46CE63</paraID>
      <start>36</start>
      <end>37</end>
      <status>unmodified</status>
      <modifiedWord/>
      <trackRevisions>false</trackRevisions>
    </reviewItem>
    <reviewItem>
      <errorID>d6770a02-e013-413f-a077-c832fe613722</errorID>
      <errorWord>II类</errorWord>
      <group>L1_Knowledge</group>
      <groupName>知识性问题</groupName>
      <ability>L2_Knowledge</ability>
      <abilityName>其他知识</abilityName>
      <candidateList>
        <item>Ⅱ类</item>
      </candidateList>
      <explain>中文环境下罗马数字格式错误。</explain>
      <paraID>5E46CE63</paraID>
      <start>42</start>
      <end>45</end>
      <status>unmodified</status>
      <modifiedWord/>
      <trackRevisions>false</trackRevisions>
    </reviewItem>
    <reviewItem>
      <errorID>51850ec9-c079-48d1-9db6-2501b1ec5583</errorID>
      <errorWord>(</errorWord>
      <group>L1_Format</group>
      <groupName>格式问题</groupName>
      <ability>L2_HalfPunc_CN</ability>
      <abilityName>全半角问题</abilityName>
      <candidateList>
        <item>（</item>
      </candidateList>
      <explain>文本全半角错误。</explain>
      <paraID>5E46CE63</paraID>
      <start>175</start>
      <end>176</end>
      <status>unmodified</status>
      <modifiedWord/>
      <trackRevisions>false</trackRevisions>
    </reviewItem>
    <reviewItem>
      <errorID>ad786932-b9d5-46d8-9f75-e36ca9a2ecda</errorID>
      <errorWord>)</errorWord>
      <group>L1_Format</group>
      <groupName>格式问题</groupName>
      <ability>L2_HalfPunc_CN</ability>
      <abilityName>全半角问题</abilityName>
      <candidateList>
        <item>）</item>
      </candidateList>
      <explain>文本全半角错误。</explain>
      <paraID>5E46CE63</paraID>
      <start>194</start>
      <end>195</end>
      <status>unmodified</status>
      <modifiedWord/>
      <trackRevisions>false</trackRevisions>
    </reviewItem>
    <reviewItem>
      <errorID>9cf93557-02be-44cf-bb01-50cf0405baec</errorID>
      <errorWord>(</errorWord>
      <group>L1_Format</group>
      <groupName>格式问题</groupName>
      <ability>L2_HalfPunc_CN</ability>
      <abilityName>全半角问题</abilityName>
      <candidateList>
        <item>（</item>
      </candidateList>
      <explain>文本全半角错误。</explain>
      <paraID>5E46CE63</paraID>
      <start>202</start>
      <end>203</end>
      <status>unmodified</status>
      <modifiedWord/>
      <trackRevisions>false</trackRevisions>
    </reviewItem>
    <reviewItem>
      <errorID>5d6b3377-6969-48a3-a0f7-d892255598d1</errorID>
      <errorWord>)</errorWord>
      <group>L1_Format</group>
      <groupName>格式问题</groupName>
      <ability>L2_HalfPunc_CN</ability>
      <abilityName>全半角问题</abilityName>
      <candidateList>
        <item>）</item>
      </candidateList>
      <explain>文本全半角错误。</explain>
      <paraID>5E46CE63</paraID>
      <start>226</start>
      <end>227</end>
      <status>unmodified</status>
      <modifiedWord/>
      <trackRevisions>false</trackRevisions>
    </reviewItem>
    <reviewItem>
      <errorID>f72204b5-5a74-42fc-8d44-ec793acc9a4d</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4AF34167</paraID>
      <start>239</start>
      <end>240</end>
      <status>unmodified</status>
      <modifiedWord/>
      <trackRevisions>false</trackRevisions>
    </reviewItem>
    <reviewItem>
      <errorID>8647b656-2fa6-4317-b896-e2f1f1b5dd13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71E96E04</paraID>
      <start>6</start>
      <end>7</end>
      <status>unmodified</status>
      <modifiedWord/>
      <trackRevisions>false</trackRevisions>
    </reviewItem>
    <reviewItem>
      <errorID>5c753095-8401-4eb8-9fdc-90ed7d65a46b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3B6ECDF7</paraID>
      <start>6</start>
      <end>7</end>
      <status>unmodified</status>
      <modifiedWord/>
      <trackRevisions>false</trackRevisions>
    </reviewItem>
    <reviewItem>
      <errorID>cd0e8d6e-8ed5-489d-9fbc-f7d14414c6b3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142E02FF</paraID>
      <start>6</start>
      <end>7</end>
      <status>unmodified</status>
      <modifiedWord/>
      <trackRevisions>false</trackRevisions>
    </reviewItem>
    <reviewItem>
      <errorID>5d14e00d-ce5f-46f5-87df-d6da6ec2d393</errorID>
      <errorWord>*</errorWord>
      <group>L1_Punc</group>
      <groupName>标点问题</groupName>
      <ability>L2_Punc_CN</ability>
      <abilityName>标点符号问题</abilityName>
      <candidateList/>
      <explain/>
      <paraID>5B7E83D2</paraID>
      <start>0</start>
      <end>1</end>
      <status>unmodified</status>
      <modifiedWord/>
      <trackRevisions>false</trackRevisions>
    </reviewItem>
    <reviewItem>
      <errorID>154ba293-a555-4aaa-b460-ddc81da4af7a</errorID>
      <errorWord>*</errorWord>
      <group>L1_Punc</group>
      <groupName>标点问题</groupName>
      <ability>L2_Punc_CN</ability>
      <abilityName>标点符号问题</abilityName>
      <candidateList/>
      <explain/>
      <paraID>63EA366A</paraID>
      <start>0</start>
      <end>1</end>
      <status>unmodified</status>
      <modifiedWord/>
      <trackRevisions>false</trackRevisions>
    </reviewItem>
    <reviewItem>
      <errorID>202e3c97-7d8e-40d0-8740-0ec65bb0a9d7</errorID>
      <errorWord>*</errorWord>
      <group>L1_Punc</group>
      <groupName>标点问题</groupName>
      <ability>L2_Punc_CN</ability>
      <abilityName>标点符号问题</abilityName>
      <candidateList/>
      <explain/>
      <paraID>524620A2</paraID>
      <start>0</start>
      <end>1</end>
      <status>unmodified</status>
      <modifiedWord/>
      <trackRevisions>false</trackRevisions>
    </reviewItem>
    <reviewItem>
      <errorID>b602d53c-d4c0-4b8d-a5c9-ab03be11ac4e</errorID>
      <errorWord>*</errorWord>
      <group>L1_Punc</group>
      <groupName>标点问题</groupName>
      <ability>L2_Punc_CN</ability>
      <abilityName>标点符号问题</abilityName>
      <candidateList/>
      <explain/>
      <paraID>34C286CA</paraID>
      <start>0</start>
      <end>1</end>
      <status>unmodified</status>
      <modifiedWord/>
      <trackRevisions>false</trackRevisions>
    </reviewItem>
    <reviewItem>
      <errorID>39581be0-855d-4fce-ab73-83f9cd8b6d37</errorID>
      <errorWord>*</errorWord>
      <group>L1_Punc</group>
      <groupName>标点问题</groupName>
      <ability>L2_Punc_CN</ability>
      <abilityName>标点符号问题</abilityName>
      <candidateList/>
      <explain/>
      <paraID>614AF2C7</paraID>
      <start>0</start>
      <end>1</end>
      <status>unmodified</status>
      <modifiedWord/>
      <trackRevisions>false</trackRevisions>
    </reviewItem>
    <reviewItem>
      <errorID>0aaca9fe-8dfa-438b-9847-d187dba2f958</errorID>
      <errorWord>*</errorWord>
      <group>L1_Punc</group>
      <groupName>标点问题</groupName>
      <ability>L2_Punc_CN</ability>
      <abilityName>标点符号问题</abilityName>
      <candidateList/>
      <explain/>
      <paraID> FFA423A</paraID>
      <start>0</start>
      <end>1</end>
      <status>unmodified</status>
      <modifiedWord/>
      <trackRevisions>false</trackRevisions>
    </reviewItem>
    <reviewItem>
      <errorID>b21c0877-09c7-4baf-89d3-45fe20a20c73</errorID>
      <errorWord>*</errorWord>
      <group>L1_Punc</group>
      <groupName>标点问题</groupName>
      <ability>L2_Punc_CN</ability>
      <abilityName>标点符号问题</abilityName>
      <candidateList/>
      <explain/>
      <paraID>2C42A946</paraID>
      <start>0</start>
      <end>1</end>
      <status>unmodified</status>
      <modifiedWord/>
      <trackRevisions>false</trackRevisions>
    </reviewItem>
    <reviewItem>
      <errorID>de2b7add-5738-4c73-99c5-ceb903a280c5</errorID>
      <errorWord>*</errorWord>
      <group>L1_Punc</group>
      <groupName>标点问题</groupName>
      <ability>L2_Punc_CN</ability>
      <abilityName>标点符号问题</abilityName>
      <candidateList/>
      <explain/>
      <paraID>5ACB881C</paraID>
      <start>0</start>
      <end>1</end>
      <status>unmodified</status>
      <modifiedWord/>
      <trackRevisions>false</trackRevisions>
    </reviewItem>
    <reviewItem>
      <errorID>731bfd80-bb1e-4756-b5cf-cf5c5bb0eff8</errorID>
      <errorWord>*</errorWord>
      <group>L1_Punc</group>
      <groupName>标点问题</groupName>
      <ability>L2_Punc_CN</ability>
      <abilityName>标点符号问题</abilityName>
      <candidateList/>
      <explain/>
      <paraID>2CC42CBF</paraID>
      <start>0</start>
      <end>1</end>
      <status>unmodified</status>
      <modifiedWord/>
      <trackRevisions>false</trackRevisions>
    </reviewItem>
    <reviewItem>
      <errorID>867d5c0e-4669-45c3-bc39-4e3c537c49c2</errorID>
      <errorWord>*</errorWord>
      <group>L1_Punc</group>
      <groupName>标点问题</groupName>
      <ability>L2_Punc_CN</ability>
      <abilityName>标点符号问题</abilityName>
      <candidateList/>
      <explain/>
      <paraID>35D21DFE</paraID>
      <start>0</start>
      <end>1</end>
      <status>unmodified</status>
      <modifiedWord/>
      <trackRevisions>false</trackRevisions>
    </reviewItem>
    <reviewItem>
      <errorID>c480a779-9577-4ed5-9068-6e3a97a252ec</errorID>
      <errorWord>(</errorWord>
      <group>L1_Format</group>
      <groupName>格式问题</groupName>
      <ability>L2_HalfPunc_CN</ability>
      <abilityName>全半角问题</abilityName>
      <candidateList>
        <item>（</item>
      </candidateList>
      <explain>文本全半角错误。</explain>
      <paraID>35D21DFE</paraID>
      <start>8</start>
      <end>9</end>
      <status>unmodified</status>
      <modifiedWord/>
      <trackRevisions>false</trackRevisions>
    </reviewItem>
    <reviewItem>
      <errorID>dcb22341-2ce1-48d3-bb17-7a9b4ddeaafc</errorID>
      <errorWord>)</errorWord>
      <group>L1_Format</group>
      <groupName>格式问题</groupName>
      <ability>L2_HalfPunc_CN</ability>
      <abilityName>全半角问题</abilityName>
      <candidateList>
        <item>）</item>
      </candidateList>
      <explain>文本全半角错误。</explain>
      <paraID>35D21DFE</paraID>
      <start>12</start>
      <end>13</end>
      <status>unmodified</status>
      <modifiedWord/>
      <trackRevisions>false</trackRevisions>
    </reviewItem>
    <reviewItem>
      <errorID>50788928-75bb-484f-9206-8016617743b8</errorID>
      <errorWord>*</errorWord>
      <group>L1_Punc</group>
      <groupName>标点问题</groupName>
      <ability>L2_Punc_CN</ability>
      <abilityName>标点符号问题</abilityName>
      <candidateList/>
      <explain/>
      <paraID>188D4A69</paraID>
      <start>0</start>
      <end>1</end>
      <status>unmodified</status>
      <modifiedWord/>
      <trackRevisions>false</trackRevisions>
    </reviewItem>
    <reviewItem>
      <errorID>8ddc6722-554b-4b96-aab2-25fa0208e65e</errorID>
      <errorWord>*</errorWord>
      <group>L1_Punc</group>
      <groupName>标点问题</groupName>
      <ability>L2_Punc_CN</ability>
      <abilityName>标点符号问题</abilityName>
      <candidateList/>
      <explain/>
      <paraID>25DF5241</paraID>
      <start>0</start>
      <end>1</end>
      <status>unmodified</status>
      <modifiedWord/>
      <trackRevisions>false</trackRevisions>
    </reviewItem>
    <reviewItem>
      <errorID>ea367f81-d88e-4d70-a453-c9ac063409f5</errorID>
      <errorWord>*</errorWord>
      <group>L1_Punc</group>
      <groupName>标点问题</groupName>
      <ability>L2_Punc_CN</ability>
      <abilityName>标点符号问题</abilityName>
      <candidateList/>
      <explain/>
      <paraID>4348F395</paraID>
      <start>0</start>
      <end>1</end>
      <status>unmodified</status>
      <modifiedWord/>
      <trackRevisions>false</trackRevisions>
    </reviewItem>
    <reviewItem>
      <errorID>dfaeb55a-9ccc-403c-91d4-5a94a1885a3c</errorID>
      <errorWord>*</errorWord>
      <group>L1_Punc</group>
      <groupName>标点问题</groupName>
      <ability>L2_Punc_CN</ability>
      <abilityName>标点符号问题</abilityName>
      <candidateList/>
      <explain/>
      <paraID> 3D1A204</paraID>
      <start>0</start>
      <end>1</end>
      <status>unmodified</status>
      <modifiedWord/>
      <trackRevisions>false</trackRevisions>
    </reviewItem>
    <reviewItem>
      <errorID>bf28c223-31ba-4ced-8d84-41a9f5128bc3</errorID>
      <errorWord>*</errorWord>
      <group>L1_Punc</group>
      <groupName>标点问题</groupName>
      <ability>L2_Punc_CN</ability>
      <abilityName>标点符号问题</abilityName>
      <candidateList/>
      <explain/>
      <paraID>7443C4DD</paraID>
      <start>0</start>
      <end>1</end>
      <status>unmodified</status>
      <modifiedWord/>
      <trackRevisions>false</trackRevisions>
    </reviewItem>
    <reviewItem>
      <errorID>1f905d64-f160-463e-bfcf-9c3610e365f1</errorID>
      <errorWord>*</errorWord>
      <group>L1_Punc</group>
      <groupName>标点问题</groupName>
      <ability>L2_Punc_CN</ability>
      <abilityName>标点符号问题</abilityName>
      <candidateList/>
      <explain/>
      <paraID>7CE4CDF0</paraID>
      <start>0</start>
      <end>1</end>
      <status>unmodified</status>
      <modifiedWord/>
      <trackRevisions>false</trackRevisions>
    </reviewItem>
    <reviewItem>
      <errorID>265b7c89-f466-4578-9343-83ae63887004</errorID>
      <errorWord>*</errorWord>
      <group>L1_Punc</group>
      <groupName>标点问题</groupName>
      <ability>L2_Punc_CN</ability>
      <abilityName>标点符号问题</abilityName>
      <candidateList/>
      <explain/>
      <paraID>2BF64080</paraID>
      <start>0</start>
      <end>1</end>
      <status>unmodified</status>
      <modifiedWord/>
      <trackRevisions>false</trackRevisions>
    </reviewItem>
    <reviewItem>
      <errorID>0e119544-140f-4bd4-84d8-7781f5aa79dc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7EF5C97B</paraID>
      <start>6</start>
      <end>7</end>
      <status>unmodified</status>
      <modifiedWord/>
      <trackRevisions>false</trackRevisions>
    </reviewItem>
    <reviewItem>
      <errorID>c4eed2f8-92bf-4af8-90ce-0c55cdb6a27e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46026336</paraID>
      <start>6</start>
      <end>7</end>
      <status>unmodified</status>
      <modifiedWord/>
      <trackRevisions>false</trackRevisions>
    </reviewItem>
    <reviewItem>
      <errorID>49a86ec8-26ea-4f91-8463-ca79bb19d27d</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7394D430</paraID>
      <start>6</start>
      <end>7</end>
      <status>unmodified</status>
      <modifiedWord/>
      <trackRevisions>false</trackRevisions>
    </reviewItem>
    <reviewItem>
      <errorID>daeb9f63-7506-4948-b881-6d93cc4af657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68739BF3</paraID>
      <start>6</start>
      <end>7</end>
      <status>unmodified</status>
      <modifiedWord/>
      <trackRevisions>false</trackRevisions>
    </reviewItem>
    <reviewItem>
      <errorID>ecab64b4-3610-4cfd-b094-48bfd7c1fbea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8A042E</paraID>
      <start>6</start>
      <end>7</end>
      <status>unmodified</status>
      <modifiedWord/>
      <trackRevisions>false</trackRevisions>
    </reviewItem>
    <reviewItem>
      <errorID>31fef91c-eeb7-4be8-bf3e-528f9ff0d46a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58E16E71</paraID>
      <start>6</start>
      <end>7</end>
      <status>unmodified</status>
      <modifiedWord/>
      <trackRevisions>false</trackRevisions>
    </reviewItem>
    <reviewItem>
      <errorID>4dde72b6-c016-4b96-b5f4-a3a8f80d0a79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5675CB76</paraID>
      <start>6</start>
      <end>7</end>
      <status>unmodified</status>
      <modifiedWord/>
      <trackRevisions>false</trackRevisions>
    </reviewItem>
    <reviewItem>
      <errorID>b31d09d8-4dd8-4c9f-a3ba-48822b83a18f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4E646D14</paraID>
      <start>6</start>
      <end>7</end>
      <status>unmodified</status>
      <modifiedWord/>
      <trackRevisions>false</trackRevisions>
    </reviewItem>
    <reviewItem>
      <errorID>ce86ca3e-828a-44a5-a2d1-6f0ce424f3c3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3C780B06</paraID>
      <start>6</start>
      <end>7</end>
      <status>unmodified</status>
      <modifiedWord/>
      <trackRevisions>false</trackRevisions>
    </reviewItem>
    <reviewItem>
      <errorID>4053285a-06b0-4651-b7dc-0f97269c8bf4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41B78292</paraID>
      <start>0</start>
      <end>2</end>
      <status>unmodified</status>
      <modifiedWord/>
      <trackRevisions>false</trackRevisions>
    </reviewItem>
    <reviewItem>
      <errorID>5b027175-3bd6-4bdf-993a-397e15671e1a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3390B94B</paraID>
      <start>6</start>
      <end>7</end>
      <status>unmodified</status>
      <modifiedWord/>
      <trackRevisions>false</trackRevisions>
    </reviewItem>
    <reviewItem>
      <errorID>ad11c947-9da2-4323-8735-7ad1338dd36e</errorID>
      <errorWord>*</errorWord>
      <group>L1_Punc</group>
      <groupName>标点问题</groupName>
      <ability>L2_Punc_CN</ability>
      <abilityName>标点符号问题</abilityName>
      <candidateList/>
      <explain/>
      <paraID>581CFFF8</paraID>
      <start>0</start>
      <end>1</end>
      <status>unmodified</status>
      <modifiedWord/>
      <trackRevisions>false</trackRevisions>
    </reviewItem>
    <reviewItem>
      <errorID>a868673b-4a96-48b3-9f84-05ddf2ca315d</errorID>
      <errorWord>*</errorWord>
      <group>L1_Punc</group>
      <groupName>标点问题</groupName>
      <ability>L2_Punc_CN</ability>
      <abilityName>标点符号问题</abilityName>
      <candidateList/>
      <explain/>
      <paraID>47F57324</paraID>
      <start>0</start>
      <end>1</end>
      <status>unmodified</status>
      <modifiedWord/>
      <trackRevisions>false</trackRevisions>
    </reviewItem>
    <reviewItem>
      <errorID>98642082-716b-4a9f-bbe9-cfeee3a65f0f</errorID>
      <errorWord>*</errorWord>
      <group>L1_Punc</group>
      <groupName>标点问题</groupName>
      <ability>L2_Punc_CN</ability>
      <abilityName>标点符号问题</abilityName>
      <candidateList/>
      <explain/>
      <paraID>5AFCEEBC</paraID>
      <start>0</start>
      <end>1</end>
      <status>unmodified</status>
      <modifiedWord/>
      <trackRevisions>false</trackRevisions>
    </reviewItem>
    <reviewItem>
      <errorID>3fd23153-e313-43a1-961b-86ffccf908f5</errorID>
      <errorWord>*</errorWord>
      <group>L1_Punc</group>
      <groupName>标点问题</groupName>
      <ability>L2_Punc_CN</ability>
      <abilityName>标点符号问题</abilityName>
      <candidateList/>
      <explain/>
      <paraID>5C4BE30A</paraID>
      <start>0</start>
      <end>1</end>
      <status>unmodified</status>
      <modifiedWord/>
      <trackRevisions>false</trackRevisions>
    </reviewItem>
    <reviewItem>
      <errorID>6030792e-4b27-4f28-b245-e45abfdf302b</errorID>
      <errorWord>*</errorWord>
      <group>L1_Punc</group>
      <groupName>标点问题</groupName>
      <ability>L2_Punc_CN</ability>
      <abilityName>标点符号问题</abilityName>
      <candidateList/>
      <explain/>
      <paraID> B04761C</paraID>
      <start>0</start>
      <end>1</end>
      <status>unmodified</status>
      <modifiedWord/>
      <trackRevisions>false</trackRevisions>
    </reviewItem>
    <reviewItem>
      <errorID>ad28c157-e78d-4070-a45a-41f31c5ea6f5</errorID>
      <errorWord>丁脂</errorWord>
      <group>L1_Word</group>
      <groupName>字词问题</groupName>
      <ability>L2_Typo</ability>
      <abilityName>字词错误</abilityName>
      <candidateList>
        <item>丁酯</item>
      </candidateList>
      <explain/>
      <paraID> B04761C</paraID>
      <start>7</start>
      <end>9</end>
      <status>unmodified</status>
      <modifiedWord/>
      <trackRevisions>false</trackRevisions>
    </reviewItem>
    <reviewItem>
      <errorID>13fefef0-e67e-4de6-a0ac-f809311ed7fb</errorID>
      <errorWord>*</errorWord>
      <group>L1_Punc</group>
      <groupName>标点问题</groupName>
      <ability>L2_Punc_CN</ability>
      <abilityName>标点符号问题</abilityName>
      <candidateList/>
      <explain/>
      <paraID>21CC0B58</paraID>
      <start>0</start>
      <end>1</end>
      <status>unmodified</status>
      <modifiedWord/>
      <trackRevisions>false</trackRevisions>
    </reviewItem>
    <reviewItem>
      <errorID>abb06749-9c90-44f1-9dbc-42012925e7a6</errorID>
      <errorWord>脂</errorWord>
      <group>L1_Word</group>
      <groupName>字词问题</groupName>
      <ability>L2_Typo</ability>
      <abilityName>字词错误</abilityName>
      <candidateList>
        <item>酯</item>
      </candidateList>
      <explain/>
      <paraID>21CC0B58</paraID>
      <start>8</start>
      <end>9</end>
      <status>unmodified</status>
      <modifiedWord/>
      <trackRevisions>false</trackRevisions>
    </reviewItem>
    <reviewItem>
      <errorID>7b6bfafc-3f79-463f-9b86-f0a24ed7b45b</errorID>
      <errorWord>*</errorWord>
      <group>L1_Punc</group>
      <groupName>标点问题</groupName>
      <ability>L2_Punc_CN</ability>
      <abilityName>标点符号问题</abilityName>
      <candidateList/>
      <explain/>
      <paraID>6D33FB8E</paraID>
      <start>0</start>
      <end>1</end>
      <status>unmodified</status>
      <modifiedWord/>
      <trackRevisions>false</trackRevisions>
    </reviewItem>
    <reviewItem>
      <errorID>018f9d2e-e294-4110-b128-6f61d3263a9c</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68471822</paraID>
      <start>6</start>
      <end>7</end>
      <status>unmodified</status>
      <modifiedWord/>
      <trackRevisions>false</trackRevisions>
    </reviewItem>
    <reviewItem>
      <errorID>efd57b49-5e22-45a0-bc8f-05b8bc7802be</errorID>
      <errorWord>*</errorWord>
      <group>L1_Punc</group>
      <groupName>标点问题</groupName>
      <ability>L2_Punc_CN</ability>
      <abilityName>标点符号问题</abilityName>
      <candidateList/>
      <explain/>
      <paraID>38484641</paraID>
      <start>0</start>
      <end>1</end>
      <status>unmodified</status>
      <modifiedWord/>
      <trackRevisions>false</trackRevisions>
    </reviewItem>
    <reviewItem>
      <errorID>cf08f6fb-ed2f-4296-8b5e-d4116035d6e3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69A56929</paraID>
      <start>0</start>
      <end>2</end>
      <status>unmodified</status>
      <modifiedWord/>
      <trackRevisions>false</trackRevisions>
    </reviewItem>
    <reviewItem>
      <errorID>0f600f42-f2fc-49b7-b7f9-df55e3d2afc0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46A6CBDF</paraID>
      <start>0</start>
      <end>2</end>
      <status>unmodified</status>
      <modifiedWord/>
      <trackRevisions>false</trackRevisions>
    </reviewItem>
    <reviewItem>
      <errorID>ff56b08e-5c5f-445a-a52f-528c2de0b46a</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1C9CFF46</paraID>
      <start>194</start>
      <end>195</end>
      <status>unmodified</status>
      <modifiedWord/>
      <trackRevisions>false</trackRevisions>
    </reviewItem>
    <reviewItem>
      <errorID>9d123404-f681-4b5d-9db2-8df7c4f66e82</errorID>
      <errorWord>推上</errorWord>
      <group>L1_Word</group>
      <groupName>字词问题</groupName>
      <ability>L2_Typo</ability>
      <abilityName>字词错误</abilityName>
      <candidateList>
        <item>推土</item>
      </candidateList>
      <explain>存在字形相近字词的误用。</explain>
      <paraID>13C7B960</paraID>
      <start>20</start>
      <end>22</end>
      <status>modified</status>
      <modifiedWord>推土</modifiedWord>
      <trackRevisions>false</trackRevisions>
    </reviewItem>
    <reviewItem>
      <errorID>81fd2d8e-a969-4cfe-8f5b-e4cbb75f0874</errorID>
      <errorWord>淋溶</errorWord>
      <group>L1_Word</group>
      <groupName>字词问题</groupName>
      <ability>L2_Typo</ability>
      <abilityName>字词错误</abilityName>
      <candidateList>
        <item>淋浴</item>
      </candidateList>
      <explain/>
      <paraID>66DD9BCF</paraID>
      <start>38</start>
      <end>40</end>
      <status>unmodified</status>
      <modifiedWord/>
      <trackRevisions>false</trackRevisions>
    </reviewItem>
    <reviewItem>
      <errorID>28bc6e5d-8ddb-425f-ad4e-e137d1265d66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62511A9C</paraID>
      <start>16</start>
      <end>17</end>
      <status>unmodified</status>
      <modifiedWord/>
      <trackRevisions>false</trackRevisions>
    </reviewItem>
    <reviewItem>
      <errorID>74d73b58-1647-4007-9274-7321d7f60d78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50F8A0F0</paraID>
      <start>17</start>
      <end>18</end>
      <status>unmodified</status>
      <modifiedWord/>
      <trackRevisions>false</trackRevisions>
    </reviewItem>
    <reviewItem>
      <errorID>535a013d-7d74-4249-be04-3d4413a11402</errorID>
      <errorWord>时候</errorWord>
      <group>L1_Word</group>
      <groupName>字词问题</groupName>
      <ability>L2_Typo</ability>
      <abilityName>字词错误</abilityName>
      <candidateList>
        <item>时</item>
      </candidateList>
      <explain/>
      <paraID>427C16C1</paraID>
      <start>39</start>
      <end>40</end>
      <status>modified</status>
      <modifiedWord>时</modifiedWord>
      <trackRevisions>false</trackRevisions>
    </reviewItem>
    <reviewItem>
      <errorID>9dc111d0-56ca-4294-9212-d951543061e2</errorID>
      <errorWord>推铺</errorWord>
      <group>L1_Word</group>
      <groupName>字词问题</groupName>
      <ability>L2_Typo</ability>
      <abilityName>字词错误</abilityName>
      <candidateList>
        <item>摊铺</item>
      </candidateList>
      <explain/>
      <paraID>39AF60B5</paraID>
      <start>16</start>
      <end>18</end>
      <status>unmodified</status>
      <modifiedWord/>
      <trackRevisions>false</trackRevisions>
    </reviewItem>
    <reviewItem>
      <errorID>dcdb74cd-6ddc-4933-a106-d41e36182025</errorID>
      <errorWord>掺合</errorWord>
      <group>L1_Word</group>
      <groupName>字词问题</groupName>
      <ability>L2_Typo</ability>
      <abilityName>字词错误</abilityName>
      <candidateList>
        <item>掺和</item>
      </candidateList>
      <explain/>
      <paraID>1511E9C3</paraID>
      <start>5</start>
      <end>7</end>
      <status>unmodified</status>
      <modifiedWord/>
      <trackRevisions>false</trackRevisions>
    </reviewItem>
    <reviewItem>
      <errorID>ca7decb3-fb22-4aee-9df0-c25fd68f7004</errorID>
      <errorWord>(</errorWord>
      <group>L1_Format</group>
      <groupName>格式问题</groupName>
      <ability>L2_HalfPunc_CN</ability>
      <abilityName>全半角问题</abilityName>
      <candidateList>
        <item>（</item>
      </candidateList>
      <explain>文本全半角错误。</explain>
      <paraID>1511E9C3</paraID>
      <start>14</start>
      <end>15</end>
      <status>unmodified</status>
      <modifiedWord/>
      <trackRevisions>false</trackRevisions>
    </reviewItem>
    <reviewItem>
      <errorID>37194e8c-fb1e-4e2e-88bd-b477efbaf733</errorID>
      <errorWord>)</errorWord>
      <group>L1_Format</group>
      <groupName>格式问题</groupName>
      <ability>L2_HalfPunc_CN</ability>
      <abilityName>全半角问题</abilityName>
      <candidateList>
        <item>）</item>
      </candidateList>
      <explain>文本全半角错误。</explain>
      <paraID>1511E9C3</paraID>
      <start>27</start>
      <end>28</end>
      <status>unmodified</status>
      <modifiedWord/>
      <trackRevisions>false</trackRevisions>
    </reviewItem>
    <reviewItem>
      <errorID>12674922-f831-4b64-a532-7d5f2db04e32</errorID>
      <errorWord>推铺</errorWord>
      <group>L1_Word</group>
      <groupName>字词问题</groupName>
      <ability>L2_Typo</ability>
      <abilityName>字词错误</abilityName>
      <candidateList>
        <item>摊铺</item>
      </candidateList>
      <explain/>
      <paraID>48802440</paraID>
      <start>103</start>
      <end>105</end>
      <status>unmodified</status>
      <modifiedWord/>
      <trackRevisions>false</trackRevisions>
    </reviewItem>
    <reviewItem>
      <errorID>bb263504-16ef-4f7f-b0d8-2c93c40390f0</errorID>
      <errorWord>程</errorWord>
      <group>L1_Word</group>
      <groupName>字词问题</groupName>
      <ability>L2_Typo</ability>
      <abilityName>字词错误</abilityName>
      <candidateList>
        <item>程中</item>
      </candidateList>
      <explain/>
      <paraID> 70E622F</paraID>
      <start>30</start>
      <end>31</end>
      <status>unmodified</status>
      <modifiedWord/>
      <trackRevisions>false</trackRevisions>
    </reviewItem>
    <reviewItem>
      <errorID>ff9792be-902c-4ec7-b5ae-88eb21d65b61</errorID>
      <errorWord>如表</errorWord>
      <group>L1_Word</group>
      <groupName>字词问题</groupName>
      <ability>L2_Typo</ability>
      <abilityName>字词错误</abilityName>
      <candidateList>
        <item>如</item>
      </candidateList>
      <explain/>
      <paraID>1BE24FA3</paraID>
      <start>86</start>
      <end>87</end>
      <status>modified</status>
      <modifiedWord>如</modifiedWord>
      <trackRevisions>false</trackRevisions>
    </reviewItem>
    <reviewItem>
      <errorID>38a42b3e-86b7-4f3f-b9a8-2dace8315119</errorID>
      <errorWord>《扬尘源颗粒物排放清单编制技术指南》（试行）</errorWord>
      <group>L1_Knowledge</group>
      <groupName>知识性问题</groupName>
      <ability>L2_Knowledge</ability>
      <abilityName>其他知识</abilityName>
      <candidateList>
        <item>《扬尘源颗粒物排放清单编制技术指南（试行）》</item>
      </candidateList>
      <explain>疑似政策文件、法律法规名称等书写不规范，请注意检查。</explain>
      <paraID>4AED4B96</paraID>
      <start>2</start>
      <end>24</end>
      <status>unmodified</status>
      <modifiedWord/>
      <trackRevisions>false</trackRevisions>
    </reviewItem>
    <reviewItem>
      <errorID>bf8b246c-2535-4aad-95c1-19cdad058778</errorID>
      <errorWord>的</errorWord>
      <group>L1_Word</group>
      <groupName>字词问题</groupName>
      <ability>L2_DDD</ability>
      <abilityName>的地得用法</abilityName>
      <candidateList>
        <item>地</item>
      </candidateList>
      <explain/>
      <paraID> 8CB0F72</paraID>
      <start>69</start>
      <end>70</end>
      <status>unmodified</status>
      <modifiedWord/>
      <trackRevisions>false</trackRevisions>
    </reviewItem>
    <reviewItem>
      <errorID>fa3cbca6-6512-4fbb-9956-a644d434405c</errorID>
      <errorWord>减小</errorWord>
      <group>L1_Word</group>
      <groupName>字词问题</groupName>
      <ability>L2_Typo</ability>
      <abilityName>字词错误</abilityName>
      <candidateList>
        <item>减少</item>
      </candidateList>
      <explain>存在字形相近字词的误用。</explain>
      <paraID> 8CB0F72</paraID>
      <start>70</start>
      <end>72</end>
      <status>unmodified</status>
      <modifiedWord/>
      <trackRevisions>false</trackRevisions>
    </reviewItem>
    <reviewItem>
      <errorID>4d04c381-b5a7-4a01-b79c-0ea40cce8949</errorID>
      <errorWord>大部分为</errorWord>
      <group>L1_Word</group>
      <groupName>字词问题</groupName>
      <ability>L2_Typo</ability>
      <abilityName>字词错误</abilityName>
      <candidateList>
        <item>大部分</item>
      </candidateList>
      <explain/>
      <paraID>26A04792</paraID>
      <start>104</start>
      <end>107</end>
      <status>modified</status>
      <modifiedWord>大部分</modifiedWord>
      <trackRevisions>false</trackRevisions>
    </reviewItem>
    <reviewItem>
      <errorID>2d69536c-f648-4e56-b8b9-19cbdb38a4a2</errorID>
      <errorWord>途径</errorWord>
      <group>L1_Word</group>
      <groupName>字词问题</groupName>
      <ability>L2_Typo</ability>
      <abilityName>字词错误</abilityName>
      <candidateList>
        <item>途经</item>
      </candidateList>
      <explain>存在发音相同字词的误用。</explain>
      <paraID>26A04792</paraID>
      <start>161</start>
      <end>163</end>
      <status>modified</status>
      <modifiedWord>途经</modifiedWord>
      <trackRevisions>false</trackRevisions>
    </reviewItem>
    <reviewItem>
      <errorID>4dd194ae-09f1-4ec9-951c-f846a863b04d</errorID>
      <errorWord>途径</errorWord>
      <group>L1_Word</group>
      <groupName>字词问题</groupName>
      <ability>L2_Typo</ability>
      <abilityName>字词错误</abilityName>
      <candidateList>
        <item>途经</item>
      </candidateList>
      <explain>存在发音相同字词的误用。</explain>
      <paraID>26A04792</paraID>
      <start>171</start>
      <end>173</end>
      <status>modified</status>
      <modifiedWord>途经</modifiedWord>
      <trackRevisions>false</trackRevisions>
    </reviewItem>
    <reviewItem>
      <errorID>9f98e4cc-3c8f-4328-9104-1edfa4d426af</errorID>
      <errorWord>(</errorWord>
      <group>L1_Format</group>
      <groupName>格式问题</groupName>
      <ability>L2_HalfPunc_CN</ability>
      <abilityName>全半角问题</abilityName>
      <candidateList>
        <item>（</item>
      </candidateList>
      <explain>文本全半角错误。</explain>
      <paraID>21377F87</paraID>
      <start>4</start>
      <end>5</end>
      <status>unmodified</status>
      <modifiedWord/>
      <trackRevisions>false</trackRevisions>
    </reviewItem>
    <reviewItem>
      <errorID>04c5e687-301e-4d22-972b-58504ab9efe8</errorID>
      <errorWord>)</errorWord>
      <group>L1_Format</group>
      <groupName>格式问题</groupName>
      <ability>L2_HalfPunc_CN</ability>
      <abilityName>全半角问题</abilityName>
      <candidateList>
        <item>）</item>
      </candidateList>
      <explain>文本全半角错误。</explain>
      <paraID>21377F87</paraID>
      <start>10</start>
      <end>11</end>
      <status>unmodified</status>
      <modifiedWord/>
      <trackRevisions>false</trackRevisions>
    </reviewItem>
    <reviewItem>
      <errorID>8d1ac28b-4084-4b5c-acf7-255e300d0d5f</errorID>
      <errorWord>(</errorWord>
      <group>L1_Format</group>
      <groupName>格式问题</groupName>
      <ability>L2_HalfPunc_CN</ability>
      <abilityName>全半角问题</abilityName>
      <candidateList>
        <item>（</item>
      </candidateList>
      <explain>文本全半角错误。</explain>
      <paraID>4D295C9E</paraID>
      <start>3</start>
      <end>4</end>
      <status>unmodified</status>
      <modifiedWord/>
      <trackRevisions>false</trackRevisions>
    </reviewItem>
    <reviewItem>
      <errorID>fc6887c2-bce3-4c4c-a564-63071d0c0197</errorID>
      <errorWord>)</errorWord>
      <group>L1_Format</group>
      <groupName>格式问题</groupName>
      <ability>L2_HalfPunc_CN</ability>
      <abilityName>全半角问题</abilityName>
      <candidateList>
        <item>）</item>
      </candidateList>
      <explain>文本全半角错误。</explain>
      <paraID>4D295C9E</paraID>
      <start>8</start>
      <end>9</end>
      <status>unmodified</status>
      <modifiedWord/>
      <trackRevisions>false</trackRevisions>
    </reviewItem>
    <reviewItem>
      <errorID>2cb2e97c-aba9-4872-b9c7-d043bdcd0a06</errorID>
      <errorWord>(</errorWord>
      <group>L1_Format</group>
      <groupName>格式问题</groupName>
      <ability>L2_HalfPunc_CN</ability>
      <abilityName>全半角问题</abilityName>
      <candidateList>
        <item>（</item>
      </candidateList>
      <explain>文本全半角错误。</explain>
      <paraID>4FB971FD</paraID>
      <start>4</start>
      <end>5</end>
      <status>unmodified</status>
      <modifiedWord/>
      <trackRevisions>false</trackRevisions>
    </reviewItem>
    <reviewItem>
      <errorID>69458be3-0871-4b76-97be-417190ee377c</errorID>
      <errorWord>)</errorWord>
      <group>L1_Format</group>
      <groupName>格式问题</groupName>
      <ability>L2_HalfPunc_CN</ability>
      <abilityName>全半角问题</abilityName>
      <candidateList>
        <item>）</item>
      </candidateList>
      <explain>文本全半角错误。</explain>
      <paraID>4FB971FD</paraID>
      <start>10</start>
      <end>11</end>
      <status>unmodified</status>
      <modifiedWord/>
      <trackRevisions>false</trackRevisions>
    </reviewItem>
    <reviewItem>
      <errorID>8af425c5-ac67-4b70-81db-235c88ebcf31</errorID>
      <errorWord>、以及</errorWord>
      <group>L1_Punc</group>
      <groupName>标点问题</groupName>
      <ability>L2_Punc_CN</ability>
      <abilityName>标点符号问题</abilityName>
      <candidateList>
        <item>，以及</item>
      </candidateList>
      <explain>连接词前后不宜使用顿号，建议使用逗号。</explain>
      <paraID>2858E3F4</paraID>
      <start>82</start>
      <end>85</end>
      <status>unmodified</status>
      <modifiedWord/>
      <trackRevisions>false</trackRevisions>
    </reviewItem>
    <reviewItem>
      <errorID>d72a0736-ea13-4416-9d44-230f6366381c</errorID>
      <errorWord>日</errorWord>
      <group>L1_Knowledge</group>
      <groupName>知识性问题</groupName>
      <ability>L2_Knowledge</ability>
      <abilityName>其他知识</abilityName>
      <candidateList>
        <item>年</item>
      </candidateList>
      <explain/>
      <paraID>3F707DC2</paraID>
      <start>6</start>
      <end>7</end>
      <status>unmodified</status>
      <modifiedWord/>
      <trackRevisions>false</trackRevisions>
    </reviewItem>
    <reviewItem>
      <errorID>db94359a-aee5-46d9-8117-1ff10a76d169</errorID>
      <errorWord>日</errorWord>
      <group>L1_Knowledge</group>
      <groupName>知识性问题</groupName>
      <ability>L2_Knowledge</ability>
      <abilityName>其他知识</abilityName>
      <candidateList>
        <item>年</item>
      </candidateList>
      <explain/>
      <paraID>3F707DC2</paraID>
      <start>39</start>
      <end>40</end>
      <status>unmodified</status>
      <modifiedWord/>
      <trackRevisions>false</trackRevisions>
    </reviewItem>
    <reviewItem>
      <errorID>2749cedd-22a5-4b80-952e-20356d638aea</errorID>
      <errorWord>（</errorWord>
      <group>L1_Format</group>
      <groupName>格式问题</groupName>
      <ability>L2_HalfPunc_CN</ability>
      <abilityName>全半角问题</abilityName>
      <candidateList>
        <item>(</item>
      </candidateList>
      <explain>文本全半角错误。</explain>
      <paraID>59C28775</paraID>
      <start>3</start>
      <end>4</end>
      <status>unmodified</status>
      <modifiedWord/>
      <trackRevisions>false</trackRevisions>
    </reviewItem>
    <reviewItem>
      <errorID>a94caaea-7294-493c-a0ec-ccdda1d86a8b</errorID>
      <errorWord>）</errorWord>
      <group>L1_Format</group>
      <groupName>格式问题</groupName>
      <ability>L2_HalfPunc_CN</ability>
      <abilityName>全半角问题</abilityName>
      <candidateList>
        <item>)</item>
      </candidateList>
      <explain>文本全半角错误。</explain>
      <paraID>59C28775</paraID>
      <start>8</start>
      <end>9</end>
      <status>unmodified</status>
      <modifiedWord/>
      <trackRevisions>false</trackRevisions>
    </reviewItem>
    <reviewItem>
      <errorID>3407129b-bc53-44c7-9bda-7cdb23a56fc4</errorID>
      <errorWord>（</errorWord>
      <group>L1_Format</group>
      <groupName>格式问题</groupName>
      <ability>L2_HalfPunc_CN</ability>
      <abilityName>全半角问题</abilityName>
      <candidateList>
        <item>(</item>
      </candidateList>
      <explain>文本全半角错误。</explain>
      <paraID> A04FCD7</paraID>
      <start>4</start>
      <end>5</end>
      <status>unmodified</status>
      <modifiedWord/>
      <trackRevisions>false</trackRevisions>
    </reviewItem>
    <reviewItem>
      <errorID>727df623-ebc0-4741-81ad-cc1db5141230</errorID>
      <errorWord>）</errorWord>
      <group>L1_Format</group>
      <groupName>格式问题</groupName>
      <ability>L2_HalfPunc_CN</ability>
      <abilityName>全半角问题</abilityName>
      <candidateList>
        <item>)</item>
      </candidateList>
      <explain>文本全半角错误。</explain>
      <paraID> A04FCD7</paraID>
      <start>9</start>
      <end>10</end>
      <status>unmodified</status>
      <modifiedWord/>
      <trackRevisions>false</trackRevisions>
    </reviewItem>
    <reviewItem>
      <errorID>21605ce8-002d-48b5-82b9-be439552b410</errorID>
      <errorWord>(</errorWord>
      <group>L1_Format</group>
      <groupName>格式问题</groupName>
      <ability>L2_HalfPunc_CN</ability>
      <abilityName>全半角问题</abilityName>
      <candidateList>
        <item>（</item>
      </candidateList>
      <explain>文本全半角错误。</explain>
      <paraID>1BC0E173</paraID>
      <start>2</start>
      <end>3</end>
      <status>unmodified</status>
      <modifiedWord/>
      <trackRevisions>false</trackRevisions>
    </reviewItem>
    <reviewItem>
      <errorID>438507f0-0077-41d4-bac3-4484c4a9af95</errorID>
      <errorWord>)</errorWord>
      <group>L1_Format</group>
      <groupName>格式问题</groupName>
      <ability>L2_HalfPunc_CN</ability>
      <abilityName>全半角问题</abilityName>
      <candidateList>
        <item>）</item>
      </candidateList>
      <explain>文本全半角错误。</explain>
      <paraID>1BC0E173</paraID>
      <start>6</start>
      <end>7</end>
      <status>unmodified</status>
      <modifiedWord/>
      <trackRevisions>false</trackRevisions>
    </reviewItem>
    <reviewItem>
      <errorID>96673f4d-9c20-4ee3-9394-f7f941af3276</errorID>
      <errorWord>(</errorWord>
      <group>L1_Format</group>
      <groupName>格式问题</groupName>
      <ability>L2_HalfPunc_CN</ability>
      <abilityName>全半角问题</abilityName>
      <candidateList>
        <item>（</item>
      </candidateList>
      <explain>文本全半角错误。</explain>
      <paraID>328C6FEB</paraID>
      <start>40</start>
      <end>41</end>
      <status>unmodified</status>
      <modifiedWord/>
      <trackRevisions>false</trackRevisions>
    </reviewItem>
    <reviewItem>
      <errorID>9c4b4748-79ce-44fb-baca-6bc719ad1fcf</errorID>
      <errorWord>)</errorWord>
      <group>L1_Format</group>
      <groupName>格式问题</groupName>
      <ability>L2_HalfPunc_CN</ability>
      <abilityName>全半角问题</abilityName>
      <candidateList>
        <item>）</item>
      </candidateList>
      <explain>文本全半角错误。</explain>
      <paraID>328C6FEB</paraID>
      <start>52</start>
      <end>53</end>
      <status>unmodified</status>
      <modifiedWord/>
      <trackRevisions>false</trackRevisions>
    </reviewItem>
    <reviewItem>
      <errorID>50980cde-5ca3-4dab-b86c-38343693b793</errorID>
      <errorWord>(</errorWord>
      <group>L1_Format</group>
      <groupName>格式问题</groupName>
      <ability>L2_HalfPunc_CN</ability>
      <abilityName>全半角问题</abilityName>
      <candidateList>
        <item>（</item>
      </candidateList>
      <explain>文本全半角错误。</explain>
      <paraID>2989D360</paraID>
      <start>1</start>
      <end>2</end>
      <status>unmodified</status>
      <modifiedWord/>
      <trackRevisions>false</trackRevisions>
    </reviewItem>
    <reviewItem>
      <errorID>11ce6436-8df5-4f69-af66-413c8a9db376</errorID>
      <errorWord>)</errorWord>
      <group>L1_Format</group>
      <groupName>格式问题</groupName>
      <ability>L2_HalfPunc_CN</ability>
      <abilityName>全半角问题</abilityName>
      <candidateList>
        <item>）</item>
      </candidateList>
      <explain>文本全半角错误。</explain>
      <paraID>2989D360</paraID>
      <start>3</start>
      <end>4</end>
      <status>unmodified</status>
      <modifiedWord/>
      <trackRevisions>false</trackRevisions>
    </reviewItem>
    <reviewItem>
      <errorID>2edaf80f-56aa-4a43-9e64-1a64ffbc06e0</errorID>
      <errorWord>增加</errorWord>
      <group>L1_Grammar</group>
      <groupName>语法问题</groupName>
      <ability>L2_Grammar</ability>
      <abilityName>语法错误</abilityName>
      <candidateList>
        <item>提高</item>
      </candidateList>
      <explain>“增加～质量”搭配不当，建议修改为“提高～质量”。</explain>
      <paraID>502796CA</paraID>
      <start>20</start>
      <end>22</end>
      <status>unmodified</status>
      <modifiedWord/>
      <trackRevisions>false</trackRevisions>
    </reviewItem>
    <reviewItem>
      <errorID>e1566ffe-87aa-454a-bfdf-12af7c2f9467</errorID>
      <errorWord>由</errorWord>
      <group>L1_Word</group>
      <groupName>字词问题</groupName>
      <ability>L2_Typo</ability>
      <abilityName>字词错误</abilityName>
      <candidateList>
        <item>再</item>
      </candidateList>
      <explain>存在字形相近字词的误用。</explain>
      <paraID>502796CA</paraID>
      <start>149</start>
      <end>150</end>
      <status>unmodified</status>
      <modifiedWord/>
      <trackRevisions>false</trackRevisions>
    </reviewItem>
    <reviewItem>
      <errorID>656fef8c-b6c8-43b7-9f59-8ba302064f6f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54543474</paraID>
      <start>54</start>
      <end>55</end>
      <status>unmodified</status>
      <modifiedWord/>
      <trackRevisions>false</trackRevisions>
    </reviewItem>
    <reviewItem>
      <errorID>22bea078-d707-4176-b410-46ddbb85cab5</errorID>
      <errorWord>泄露</errorWord>
      <group>L1_Word</group>
      <groupName>字词问题</groupName>
      <ability>L2_Typo</ability>
      <abilityName>字词错误</abilityName>
      <candidateList>
        <item>泄漏</item>
      </candidateList>
      <explain>存在发音相同字词的误用。</explain>
      <paraID>3A546002</paraID>
      <start>28</start>
      <end>30</end>
      <status>modified</status>
      <modifiedWord>泄漏</modifiedWord>
      <trackRevisions>false</trackRevisions>
    </reviewItem>
    <reviewItem>
      <errorID>1fec1ac1-b20f-4fe2-abda-00564f842b1c</errorID>
      <errorWord>来自于</errorWord>
      <group>L1_Grammar</group>
      <groupName>语法问题</groupName>
      <ability>L2_Grammar</ability>
      <abilityName>语法错误</abilityName>
      <candidateList>
        <item>来自</item>
      </candidateList>
      <explain>该表达中的“来自于”存在语义重复。【词汇解析】来自：表示“来源于”。包含了“于”的意思。</explain>
      <paraID>3CBFA7CF</paraID>
      <start>9</start>
      <end>12</end>
      <status>unmodified</status>
      <modifiedWord/>
      <trackRevisions>false</trackRevisions>
    </reviewItem>
    <reviewItem>
      <errorID>9b0f5b94-17bb-4aeb-9ac4-2aa0e6947b72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44097BED</paraID>
      <start>0</start>
      <end>2</end>
      <status>unmodified</status>
      <modifiedWord/>
      <trackRevisions>false</trackRevisions>
    </reviewItem>
    <reviewItem>
      <errorID>06b3c05c-5990-47c0-8a01-9b009861513f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1E5EB3E3</paraID>
      <start>0</start>
      <end>2</end>
      <status>unmodified</status>
      <modifiedWord/>
      <trackRevisions>false</trackRevisions>
    </reviewItem>
    <reviewItem>
      <errorID>28d5508c-6d89-4b30-a218-99d84d8b8489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5BE2F8F5</paraID>
      <start>0</start>
      <end>2</end>
      <status>unmodified</status>
      <modifiedWord/>
      <trackRevisions>false</trackRevisions>
    </reviewItem>
    <reviewItem>
      <errorID>c61f9fab-f702-487f-9684-aee5b4b1c0b5</errorID>
      <errorWord>（</errorWord>
      <group>L1_Punc</group>
      <groupName>标点问题</groupName>
      <ability>L2_Punc_CN</ability>
      <abilityName>标点符号问题</abilityName>
      <candidateList/>
      <explain>同一形式括号套用。</explain>
      <paraID> 7807137</paraID>
      <start>38</start>
      <end>39</end>
      <status>unmodified</status>
      <modifiedWord/>
      <trackRevisions>false</trackRevisions>
    </reviewItem>
    <reviewItem>
      <errorID>75bf2af6-eb3d-4d7f-b34e-85748aadaed6</errorID>
      <errorWord>(</errorWord>
      <group>L1_Punc</group>
      <groupName>标点问题</groupName>
      <ability>L2_Punc_CN</ability>
      <abilityName>标点符号问题</abilityName>
      <candidateList/>
      <explain>同一形式括号套用。</explain>
      <paraID> 7807137</paraID>
      <start>56</start>
      <end>57</end>
      <status>unmodified</status>
      <modifiedWord/>
      <trackRevisions>false</trackRevisions>
    </reviewItem>
    <reviewItem>
      <errorID>9b312f90-7b91-47f7-8e87-6ea9a8ccc0f8</errorID>
      <errorWord>)</errorWord>
      <group>L1_Punc</group>
      <groupName>标点问题</groupName>
      <ability>L2_Punc_CN</ability>
      <abilityName>标点符号问题</abilityName>
      <candidateList/>
      <explain>同一形式括号套用。</explain>
      <paraID> 7807137</paraID>
      <start>58</start>
      <end>59</end>
      <status>unmodified</status>
      <modifiedWord/>
      <trackRevisions>false</trackRevisions>
    </reviewItem>
    <reviewItem>
      <errorID>950136b8-2d3a-43a3-a604-0c9d536408e0</errorID>
      <errorWord>）</errorWord>
      <group>L1_Punc</group>
      <groupName>标点问题</groupName>
      <ability>L2_Punc_CN</ability>
      <abilityName>标点符号问题</abilityName>
      <candidateList/>
      <explain>同一形式括号套用。</explain>
      <paraID> 7807137</paraID>
      <start>59</start>
      <end>60</end>
      <status>unmodified</status>
      <modifiedWord/>
      <trackRevisions>false</trackRevisions>
    </reviewItem>
    <reviewItem>
      <errorID>9de4c298-5839-4f56-ba38-b450fbb2a524</errorID>
      <errorWord>)</errorWord>
      <group>L1_Format</group>
      <groupName>格式问题</groupName>
      <ability>L2_HalfPunc_CN</ability>
      <abilityName>全半角问题</abilityName>
      <candidateList>
        <item>）</item>
      </candidateList>
      <explain>文本全半角错误。</explain>
      <paraID> 28D03AB</paraID>
      <start>41</start>
      <end>42</end>
      <status>unmodified</status>
      <modifiedWord/>
      <trackRevisions>false</trackRevisions>
    </reviewItem>
    <reviewItem>
      <errorID>c527d8e4-015e-4c28-ae74-08ebb401fdcb</errorID>
      <errorWord>)</errorWord>
      <group>L1_Format</group>
      <groupName>格式问题</groupName>
      <ability>L2_HalfPunc_CN</ability>
      <abilityName>全半角问题</abilityName>
      <candidateList>
        <item>）</item>
      </candidateList>
      <explain>文本全半角错误。</explain>
      <paraID> 28D03AB</paraID>
      <start>68</start>
      <end>69</end>
      <status>unmodified</status>
      <modifiedWord/>
      <trackRevisions>false</trackRevisions>
    </reviewItem>
    <reviewItem>
      <errorID>0aa1405e-8348-42ce-a036-073cf5dc4e2a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400C6C20</paraID>
      <start>0</start>
      <end>2</end>
      <status>unmodified</status>
      <modifiedWord/>
      <trackRevisions>false</trackRevisions>
    </reviewItem>
    <reviewItem>
      <errorID>a5f6bbbf-843d-4971-abc4-1d80fac312db</errorID>
      <errorWord>穆棱县</errorWord>
      <group>L1_Word</group>
      <groupName>字词问题</groupName>
      <ability>L2_Typo</ability>
      <abilityName>字词错误</abilityName>
      <candidateList>
        <item>穆棱市</item>
      </candidateList>
      <explain/>
      <paraID>16DA89B6</paraID>
      <start>26</start>
      <end>29</end>
      <status>modified</status>
      <modifiedWord>穆棱市</modifiedWord>
      <trackRevisions>false</trackRevisions>
    </reviewItem>
    <reviewItem>
      <errorID>d352ea35-fb4e-4a5a-8ba6-4e71c0ce3649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16DA89B6</paraID>
      <start>179</start>
      <end>180</end>
      <status>unmodified</status>
      <modifiedWord/>
      <trackRevisions>false</trackRevisions>
    </reviewItem>
    <reviewItem>
      <errorID>5ba0e58a-2156-4ec3-aaf7-26cd206bd4ce</errorID>
      <errorWord>~</errorWord>
      <group>L1_Format</group>
      <groupName>格式问题</groupName>
      <ability>L2_HalfPunc_CN</ability>
      <abilityName>全半角问题</abilityName>
      <candidateList>
        <item>～</item>
      </candidateList>
      <explain>文本全半角错误。</explain>
      <paraID>1EC11132</paraID>
      <start>173</start>
      <end>174</end>
      <status>unmodified</status>
      <modifiedWord/>
      <trackRevisions>false</trackRevisions>
    </reviewItem>
    <reviewItem>
      <errorID>c11fb202-727c-4f97-9b67-8b172e138bcd</errorID>
      <errorWord>~</errorWord>
      <group>L1_Format</group>
      <groupName>格式问题</groupName>
      <ability>L2_HalfPunc_CN</ability>
      <abilityName>全半角问题</abilityName>
      <candidateList>
        <item>～</item>
      </candidateList>
      <explain>文本全半角错误。</explain>
      <paraID>1EC11132</paraID>
      <start>247</start>
      <end>248</end>
      <status>unmodified</status>
      <modifiedWord/>
      <trackRevisions>false</trackRevisions>
    </reviewItem>
    <reviewItem>
      <errorID>56619563-30fd-47ef-8edd-0afc042d0ffc</errorID>
      <errorWord>~</errorWord>
      <group>L1_Format</group>
      <groupName>格式问题</groupName>
      <ability>L2_HalfPunc_CN</ability>
      <abilityName>全半角问题</abilityName>
      <candidateList>
        <item>～</item>
      </candidateList>
      <explain>文本全半角错误。</explain>
      <paraID>2DCE2D66</paraID>
      <start>63</start>
      <end>64</end>
      <status>unmodified</status>
      <modifiedWord/>
      <trackRevisions>false</trackRevisions>
    </reviewItem>
    <reviewItem>
      <errorID>2ec82362-ab7c-4699-b776-c2581c0c6da7</errorID>
      <errorWord>冲击平原</errorWord>
      <group>L1_Word</group>
      <groupName>字词问题</groupName>
      <ability>L2_Typo</ability>
      <abilityName>字词错误</abilityName>
      <candidateList>
        <item>冲积平原</item>
      </candidateList>
      <explain/>
      <paraID> 620719B</paraID>
      <start>172</start>
      <end>176</end>
      <status>unmodified</status>
      <modifiedWord/>
      <trackRevisions>false</trackRevisions>
    </reviewItem>
    <reviewItem>
      <errorID>41083ca8-5ccd-45d5-a2be-85b7de95fb9d</errorID>
      <errorWord>~</errorWord>
      <group>L1_Format</group>
      <groupName>格式问题</groupName>
      <ability>L2_HalfPunc_CN</ability>
      <abilityName>全半角问题</abilityName>
      <candidateList>
        <item>～</item>
      </candidateList>
      <explain>文本全半角错误。</explain>
      <paraID> 620719B</paraID>
      <start>190</start>
      <end>191</end>
      <status>unmodified</status>
      <modifiedWord/>
      <trackRevisions>false</trackRevisions>
    </reviewItem>
    <reviewItem>
      <errorID>e8dfc50f-0ba0-41d7-a93f-79c15d0643ad</errorID>
      <errorWord>~</errorWord>
      <group>L1_Format</group>
      <groupName>格式问题</groupName>
      <ability>L2_HalfPunc_CN</ability>
      <abilityName>全半角问题</abilityName>
      <candidateList>
        <item>～</item>
      </candidateList>
      <explain>文本全半角错误。</explain>
      <paraID> 620719B</paraID>
      <start>239</start>
      <end>240</end>
      <status>unmodified</status>
      <modifiedWord/>
      <trackRevisions>false</trackRevisions>
    </reviewItem>
    <reviewItem>
      <errorID>448793c9-3791-48c8-8e38-eccace198e1d</errorID>
      <errorWord>-</errorWord>
      <group>L1_Format</group>
      <groupName>格式问题</groupName>
      <ability>L2_HalfPunc_CN</ability>
      <abilityName>全半角问题</abilityName>
      <candidateList>
        <item>－</item>
      </candidateList>
      <explain>文本全半角错误。</explain>
      <paraID>65D5FCC6</paraID>
      <start>6</start>
      <end>7</end>
      <status>unmodified</status>
      <modifiedWord/>
      <trackRevisions>false</trackRevisions>
    </reviewItem>
    <reviewItem>
      <errorID>b86382b8-c0af-4c04-bc29-8b236d20f533</errorID>
      <errorWord>主要成因类型以冲积为主</errorWord>
      <group>L1_Grammar</group>
      <groupName>语法问题</groupName>
      <ability>L2_Grammar</ability>
      <abilityName>语法错误</abilityName>
      <candidateList>
        <item>成因类型以冲积为主</item>
      </candidateList>
      <explain>该表达中的“主要成因类型以冲积为主”存在语义重复。</explain>
      <paraID>5B77CFC6</paraID>
      <start>5</start>
      <end>16</end>
      <status>unmodified</status>
      <modifiedWord/>
      <trackRevisions>false</trackRevisions>
    </reviewItem>
    <reviewItem>
      <errorID>d5ba9318-bbbe-46aa-bdc9-7e4629618505</errorID>
      <errorWord>(</errorWord>
      <group>L1_Format</group>
      <groupName>格式问题</groupName>
      <ability>L2_HalfPunc_CN</ability>
      <abilityName>全半角问题</abilityName>
      <candidateList>
        <item>（</item>
      </candidateList>
      <explain>文本全半角错误。</explain>
      <paraID>31731D1A</paraID>
      <start>1</start>
      <end>2</end>
      <status>unmodified</status>
      <modifiedWord/>
      <trackRevisions>false</trackRevisions>
    </reviewItem>
    <reviewItem>
      <errorID>731b317d-ff76-4e24-a10b-424519768208</errorID>
      <errorWord>)</errorWord>
      <group>L1_Format</group>
      <groupName>格式问题</groupName>
      <ability>L2_HalfPunc_CN</ability>
      <abilityName>全半角问题</abilityName>
      <candidateList>
        <item>）</item>
      </candidateList>
      <explain>文本全半角错误。</explain>
      <paraID>31731D1A</paraID>
      <start>3</start>
      <end>4</end>
      <status>unmodified</status>
      <modifiedWord/>
      <trackRevisions>false</trackRevisions>
    </reviewItem>
    <reviewItem>
      <errorID>ca25451d-c2b2-4b3c-9084-46b72e7be19f</errorID>
      <errorWord>（</errorWord>
      <group>L1_Format</group>
      <groupName>格式问题</groupName>
      <ability>L2_HalfPunc_CN</ability>
      <abilityName>全半角问题</abilityName>
      <candidateList>
        <item>(</item>
      </candidateList>
      <explain>文本全半角错误。</explain>
      <paraID> 7742248</paraID>
      <start>0</start>
      <end>1</end>
      <status>unmodified</status>
      <modifiedWord/>
      <trackRevisions>false</trackRevisions>
    </reviewItem>
    <reviewItem>
      <errorID>624d7954-0e5d-47d4-b8c6-df8933778e52</errorID>
      <errorWord>）</errorWord>
      <group>L1_Format</group>
      <groupName>格式问题</groupName>
      <ability>L2_HalfPunc_CN</ability>
      <abilityName>全半角问题</abilityName>
      <candidateList>
        <item>)</item>
      </candidateList>
      <explain>文本全半角错误。</explain>
      <paraID> 7742248</paraID>
      <start>2</start>
      <end>3</end>
      <status>unmodified</status>
      <modifiedWord/>
      <trackRevisions>false</trackRevisions>
    </reviewItem>
    <reviewItem>
      <errorID>9791c188-6d50-4882-9229-32176c5b3f03</errorID>
      <errorWord>＞</errorWord>
      <group>L1_Format</group>
      <groupName>格式问题</groupName>
      <ability>L2_HalfPunc_CN</ability>
      <abilityName>全半角问题</abilityName>
      <candidateList>
        <item>&gt;</item>
      </candidateList>
      <explain>文本全半角错误。</explain>
      <paraID>5CEE6CCC</paraID>
      <start>0</start>
      <end>1</end>
      <status>unmodified</status>
      <modifiedWord/>
      <trackRevisions>false</trackRevisions>
    </reviewItem>
    <reviewItem>
      <errorID>f04bd23d-2013-4c45-a42f-429d6dda4f9d</errorID>
      <errorWord>-</errorWord>
      <group>L1_Format</group>
      <groupName>格式问题</groupName>
      <ability>L2_HalfPunc_CN</ability>
      <abilityName>全半角问题</abilityName>
      <candidateList>
        <item>－</item>
      </candidateList>
      <explain>文本全半角错误。</explain>
      <paraID>6857236C</paraID>
      <start>6</start>
      <end>7</end>
      <status>unmodified</status>
      <modifiedWord/>
      <trackRevisions>false</trackRevisions>
    </reviewItem>
    <reviewItem>
      <errorID>03d7e766-c48f-4b13-8b10-5787e0fe4408</errorID>
      <errorWord>（</errorWord>
      <group>L1_Format</group>
      <groupName>格式问题</groupName>
      <ability>L2_HalfPunc_CN</ability>
      <abilityName>全半角问题</abilityName>
      <candidateList>
        <item>(</item>
      </candidateList>
      <explain>文本全半角错误。</explain>
      <paraID>1E1A50E0</paraID>
      <start>0</start>
      <end>1</end>
      <status>unmodified</status>
      <modifiedWord/>
      <trackRevisions>false</trackRevisions>
    </reviewItem>
    <reviewItem>
      <errorID>892a6e29-4023-4852-bf1b-353c3425494c</errorID>
      <errorWord>）</errorWord>
      <group>L1_Format</group>
      <groupName>格式问题</groupName>
      <ability>L2_HalfPunc_CN</ability>
      <abilityName>全半角问题</abilityName>
      <candidateList>
        <item>)</item>
      </candidateList>
      <explain>文本全半角错误。</explain>
      <paraID>1E1A50E0</paraID>
      <start>2</start>
      <end>3</end>
      <status>unmodified</status>
      <modifiedWord/>
      <trackRevisions>false</trackRevisions>
    </reviewItem>
    <reviewItem>
      <errorID>630b2e81-cf28-48b8-9c0c-273c0224f3b8</errorID>
      <errorWord>～</errorWord>
      <group>L1_Format</group>
      <groupName>格式问题</groupName>
      <ability>L2_HalfPunc_CN</ability>
      <abilityName>全半角问题</abilityName>
      <candidateList>
        <item>~</item>
      </candidateList>
      <explain>文本全半角错误。</explain>
      <paraID>18E2B8A3</paraID>
      <start>1</start>
      <end>2</end>
      <status>unmodified</status>
      <modifiedWord/>
      <trackRevisions>false</trackRevisions>
    </reviewItem>
    <reviewItem>
      <errorID>b4e14fcd-a5ac-4637-9acb-9d1741cabd2f</errorID>
      <errorWord>～</errorWord>
      <group>L1_Format</group>
      <groupName>格式问题</groupName>
      <ability>L2_HalfPunc_CN</ability>
      <abilityName>全半角问题</abilityName>
      <candidateList>
        <item>~</item>
      </candidateList>
      <explain>文本全半角错误。</explain>
      <paraID> 339B731</paraID>
      <start>1</start>
      <end>2</end>
      <status>unmodified</status>
      <modifiedWord/>
      <trackRevisions>false</trackRevisions>
    </reviewItem>
    <reviewItem>
      <errorID>2be58d9d-1df8-4b3f-879f-9e08ee8436bd</errorID>
      <errorWord>-</errorWord>
      <group>L1_Format</group>
      <groupName>格式问题</groupName>
      <ability>L2_HalfPunc_CN</ability>
      <abilityName>全半角问题</abilityName>
      <candidateList>
        <item>－</item>
      </candidateList>
      <explain>文本全半角错误。</explain>
      <paraID>7665E8ED</paraID>
      <start>7</start>
      <end>8</end>
      <status>unmodified</status>
      <modifiedWord/>
      <trackRevisions>false</trackRevisions>
    </reviewItem>
    <reviewItem>
      <errorID>a733cede-8bd8-4a20-8368-268758d842e8</errorID>
      <errorWord>-</errorWord>
      <group>L1_Format</group>
      <groupName>格式问题</groupName>
      <ability>L2_HalfPunc_CN</ability>
      <abilityName>全半角问题</abilityName>
      <candidateList>
        <item>－</item>
      </candidateList>
      <explain>文本全半角错误。</explain>
      <paraID>5CD66B80</paraID>
      <start>15</start>
      <end>16</end>
      <status>unmodified</status>
      <modifiedWord/>
      <trackRevisions>false</trackRevisions>
    </reviewItem>
    <reviewItem>
      <errorID>32713eb3-48c0-40b3-9d84-2553ced6b4fa</errorID>
      <errorWord>-</errorWord>
      <group>L1_Format</group>
      <groupName>格式问题</groupName>
      <ability>L2_HalfPunc_CN</ability>
      <abilityName>全半角问题</abilityName>
      <candidateList>
        <item>－</item>
      </candidateList>
      <explain>文本全半角错误。</explain>
      <paraID>3BCCC80E</paraID>
      <start>4</start>
      <end>5</end>
      <status>unmodified</status>
      <modifiedWord/>
      <trackRevisions>false</trackRevisions>
    </reviewItem>
    <reviewItem>
      <errorID>d1683fbc-cbcd-4206-b5a4-e49312ee7fa3</errorID>
      <errorWord>~</errorWord>
      <group>L1_Format</group>
      <groupName>格式问题</groupName>
      <ability>L2_HalfPunc_CN</ability>
      <abilityName>全半角问题</abilityName>
      <candidateList>
        <item>～</item>
      </candidateList>
      <explain>文本全半角错误。</explain>
      <paraID>64E97265</paraID>
      <start>185</start>
      <end>186</end>
      <status>unmodified</status>
      <modifiedWord/>
      <trackRevisions>false</trackRevisions>
    </reviewItem>
    <reviewItem>
      <errorID>2b231a74-4a5b-4503-af85-47c4aaf03d83</errorID>
      <errorWord>~</errorWord>
      <group>L1_Format</group>
      <groupName>格式问题</groupName>
      <ability>L2_HalfPunc_CN</ability>
      <abilityName>全半角问题</abilityName>
      <candidateList>
        <item>～</item>
      </candidateList>
      <explain>文本全半角错误。</explain>
      <paraID>64E97265</paraID>
      <start>291</start>
      <end>292</end>
      <status>unmodified</status>
      <modifiedWord/>
      <trackRevisions>false</trackRevisions>
    </reviewItem>
    <reviewItem>
      <errorID>d8e1611b-9910-475c-a76d-085b16846dbf</errorID>
      <errorWord>古生带</errorWord>
      <group>L1_Word</group>
      <groupName>字词问题</groupName>
      <ability>L2_Typo</ability>
      <abilityName>字词错误</abilityName>
      <candidateList>
        <item>古生代</item>
      </candidateList>
      <explain/>
      <paraID>53714E84</paraID>
      <start>4</start>
      <end>7</end>
      <status>unmodified</status>
      <modifiedWord/>
      <trackRevisions>false</trackRevisions>
    </reviewItem>
    <reviewItem>
      <errorID>602bcf49-fec9-4b63-beef-c377abdaccac</errorID>
      <errorWord>,</errorWord>
      <group>L1_Format</group>
      <groupName>格式问题</groupName>
      <ability>L2_HalfPunc_CN</ability>
      <abilityName>全半角问题</abilityName>
      <candidateList>
        <item>，</item>
      </candidateList>
      <explain>文本全半角错误。</explain>
      <paraID>253E814B</paraID>
      <start>123</start>
      <end>124</end>
      <status>unmodified</status>
      <modifiedWord/>
      <trackRevisions>false</trackRevisions>
    </reviewItem>
    <reviewItem>
      <errorID>85a7388c-874c-4aa4-ac73-10b0b821b843</errorID>
      <errorWord>，</errorWord>
      <group>L1_Word</group>
      <groupName>字词问题</groupName>
      <ability>L2_Typo</ability>
      <abilityName>字词错误</abilityName>
      <candidateList>
        <item>，有</item>
      </candidateList>
      <explain/>
      <paraID>61E2D15E</paraID>
      <start>29</start>
      <end>30</end>
      <status>unmodified</status>
      <modifiedWord/>
      <trackRevisions>false</trackRevisions>
    </reviewItem>
    <reviewItem>
      <errorID>a9c30bc9-b476-4a00-9401-c39022ea4726</errorID>
      <errorWord>重碳酸钠</errorWord>
      <group>L1_Knowledge</group>
      <groupName>知识性问题</groupName>
      <ability>L2_Term</ability>
      <abilityName>专业术语</abilityName>
      <candidateList>
        <item>碳酸氢钠</item>
      </candidateList>
      <explain>医学名词[重碳酸钠]为不规范表述或旧称，其规范书面表述为[碳酸氢钠]。</explain>
      <paraID>7D478C09</paraID>
      <start>221</start>
      <end>225</end>
      <status>unmodified</status>
      <modifiedWord/>
      <trackRevisions>false</trackRevisions>
    </reviewItem>
    <reviewItem>
      <errorID>a063c7e8-8cac-4013-9e5e-cbcadf2b780c</errorID>
      <errorWord>年平均降水量</errorWord>
      <group>L1_Word</group>
      <groupName>字词问题</groupName>
      <ability>L2_Alias</ability>
      <abilityName>也作/曾用词</abilityName>
      <candidateList>
        <item>平均年降水量</item>
      </candidateList>
      <explain>词汇[年平均降水量]为不规范表述或旧称，其规范书面表述为[平均年降水量]。</explain>
      <paraID> 7A1C68F</paraID>
      <start>104</start>
      <end>110</end>
      <status>unmodified</status>
      <modifiedWord/>
      <trackRevisions>false</trackRevisions>
    </reviewItem>
    <reviewItem>
      <errorID>0497bbb6-ca31-404f-948d-6540ae518495</errorID>
      <errorWord>也成为了</errorWord>
      <group>L1_Word</group>
      <groupName>字词问题</groupName>
      <ability>L2_Typo</ability>
      <abilityName>字词错误</abilityName>
      <candidateList>
        <item>也成了</item>
      </candidateList>
      <explain/>
      <paraID> 7A1C68F</paraID>
      <start>233</start>
      <end>237</end>
      <status>unmodified</status>
      <modifiedWord/>
      <trackRevisions>false</trackRevisions>
    </reviewItem>
    <reviewItem>
      <errorID>8b54f1cb-7078-4e0d-97d0-8c1d748f790a</errorID>
      <errorWord>的粘性</errorWord>
      <group>L1_Word</group>
      <groupName>字词问题</groupName>
      <ability>L2_Typo</ability>
      <abilityName>字词错误</abilityName>
      <candidateList>
        <item>的黏性</item>
      </candidateList>
      <explain/>
      <paraID>7D36B0AF</paraID>
      <start>9</start>
      <end>12</end>
      <status>unmodified</status>
      <modifiedWord/>
      <trackRevisions>false</trackRevisions>
    </reviewItem>
    <reviewItem>
      <errorID>32595fa1-e2d1-44a4-8411-807318e20b0c</errorID>
      <errorWord>-</errorWord>
      <group>L1_Format</group>
      <groupName>格式问题</groupName>
      <ability>L2_HalfPunc_CN</ability>
      <abilityName>全半角问题</abilityName>
      <candidateList>
        <item>－</item>
      </candidateList>
      <explain>文本全半角错误。</explain>
      <paraID>76F3475B</paraID>
      <start>45</start>
      <end>46</end>
      <status>unmodified</status>
      <modifiedWord/>
      <trackRevisions>false</trackRevisions>
    </reviewItem>
    <reviewItem>
      <errorID>48fe7ba4-8144-4a4f-aa28-113e50fb3926</errorID>
      <errorWord>迳流</errorWord>
      <group>L1_Word</group>
      <groupName>字词问题</groupName>
      <ability>L2_Variant</ability>
      <abilityName>异形词</abilityName>
      <candidateList>
        <item>径流</item>
      </candidateList>
      <explain>词汇[迳流]的规范词形写作[径流]。</explain>
      <paraID>76F3475B</paraID>
      <start>46</start>
      <end>48</end>
      <status>unmodified</status>
      <modifiedWord/>
      <trackRevisions>false</trackRevisions>
    </reviewItem>
    <reviewItem>
      <errorID>14ad0fb7-9a20-4831-9c5d-fb8eb6257750</errorID>
      <errorWord>-</errorWord>
      <group>L1_Format</group>
      <groupName>格式问题</groupName>
      <ability>L2_HalfPunc_CN</ability>
      <abilityName>全半角问题</abilityName>
      <candidateList>
        <item>－</item>
      </candidateList>
      <explain>文本全半角错误。</explain>
      <paraID>76F3475B</paraID>
      <start>48</start>
      <end>49</end>
      <status>unmodified</status>
      <modifiedWord/>
      <trackRevisions>false</trackRevisions>
    </reviewItem>
    <reviewItem>
      <errorID>c1b5fd16-b257-4e35-a1af-9198fef9147f</errorID>
      <errorWord>迳流</errorWord>
      <group>L1_Word</group>
      <groupName>字词问题</groupName>
      <ability>L2_Variant</ability>
      <abilityName>异形词</abilityName>
      <candidateList>
        <item>径流</item>
      </candidateList>
      <explain>词汇[迳流]的规范词形写作[径流]。</explain>
      <paraID>76F3475B</paraID>
      <start>115</start>
      <end>117</end>
      <status>unmodified</status>
      <modifiedWord/>
      <trackRevisions>false</trackRevisions>
    </reviewItem>
    <reviewItem>
      <errorID>6bf5f980-23e2-493e-8011-d4ba8d05cfb5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7873854E</paraID>
      <start>27</start>
      <end>28</end>
      <status>unmodified</status>
      <modifiedWord/>
      <trackRevisions>false</trackRevisions>
    </reviewItem>
    <reviewItem>
      <errorID>57a9c948-031a-4898-801a-a9a5074a5aeb</errorID>
      <errorWord>~</errorWord>
      <group>L1_Format</group>
      <groupName>格式问题</groupName>
      <ability>L2_HalfPunc_CN</ability>
      <abilityName>全半角问题</abilityName>
      <candidateList>
        <item>～</item>
      </candidateList>
      <explain>文本全半角错误。</explain>
      <paraID> 2270A08</paraID>
      <start>74</start>
      <end>75</end>
      <status>unmodified</status>
      <modifiedWord/>
      <trackRevisions>false</trackRevisions>
    </reviewItem>
    <reviewItem>
      <errorID>3a0374ec-319a-425c-b5a2-e3d8bfb9b716</errorID>
      <errorWord>2023年04月22日</errorWord>
      <group>L1_Knowledge</group>
      <groupName>知识性问题</groupName>
      <ability>L2_Time</ability>
      <abilityName>日期时间</abilityName>
      <candidateList>
        <item>2023年4月22日</item>
      </candidateList>
      <explain>根据日常书写习惯，月份一般会省略前导零。</explain>
      <paraID>62DE6A18</paraID>
      <start>0</start>
      <end>11</end>
      <status>unmodified</status>
      <modifiedWord/>
      <trackRevisions>false</trackRevisions>
    </reviewItem>
    <reviewItem>
      <errorID>c01548c1-3024-4577-8fa8-0713814be4d9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62DE6A18</paraID>
      <start>11</start>
      <end>12</end>
      <status>unmodified</status>
      <modifiedWord/>
      <trackRevisions>false</trackRevisions>
    </reviewItem>
    <reviewItem>
      <errorID>48a65b74-677f-4725-af15-92c33064cee8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51F0A9D9</paraID>
      <start>18</start>
      <end>19</end>
      <status>unmodified</status>
      <modifiedWord/>
      <trackRevisions>false</trackRevisions>
    </reviewItem>
    <reviewItem>
      <errorID>e6d35678-1162-48bc-ab8f-9764cac47ec5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51F0A9D9</paraID>
      <start>48</start>
      <end>49</end>
      <status>unmodified</status>
      <modifiedWord/>
      <trackRevisions>false</trackRevisions>
    </reviewItem>
    <reviewItem>
      <errorID>12fa5535-7bf0-499f-95d5-9ec4d66368d5</errorID>
      <errorWord>污染污染</errorWord>
      <group>L1_Word</group>
      <groupName>字词问题</groupName>
      <ability>L2_Typo</ability>
      <abilityName>字词错误</abilityName>
      <candidateList>
        <item>污染</item>
      </candidateList>
      <explain/>
      <paraID> 80BCE17</paraID>
      <start>10</start>
      <end>14</end>
      <status>unmodified</status>
      <modifiedWord/>
      <trackRevisions>false</trackRevisions>
    </reviewItem>
    <reviewItem>
      <errorID>c8e94e3a-fdf2-40ba-a7d8-a952b78ea67f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6F7A4807</paraID>
      <start>55</start>
      <end>56</end>
      <status>unmodified</status>
      <modifiedWord/>
      <trackRevisions>false</trackRevisions>
    </reviewItem>
    <reviewItem>
      <errorID>7eb3d222-68ee-4dd1-a867-80117f8c5b6b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2B66AC10</paraID>
      <start>0</start>
      <end>2</end>
      <status>unmodified</status>
      <modifiedWord/>
      <trackRevisions>false</trackRevisions>
    </reviewItem>
    <reviewItem>
      <errorID>b43f671b-8318-4cce-8b4f-8c0d5c82610d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539C157B</paraID>
      <start>0</start>
      <end>2</end>
      <status>unmodified</status>
      <modifiedWord/>
      <trackRevisions>false</trackRevisions>
    </reviewItem>
    <reviewItem>
      <errorID>0a35fdec-cb04-4269-ba53-cc30a29e4d82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6FA482AB</paraID>
      <start>0</start>
      <end>2</end>
      <status>unmodified</status>
      <modifiedWord/>
      <trackRevisions>false</trackRevisions>
    </reviewItem>
    <reviewItem>
      <errorID>0f7da565-eea4-4c78-a47f-813b231b448b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1F7A9A7D</paraID>
      <start>0</start>
      <end>2</end>
      <status>unmodified</status>
      <modifiedWord/>
      <trackRevisions>false</trackRevisions>
    </reviewItem>
    <reviewItem>
      <errorID>4a675484-06cd-461e-a553-5e04113830fa</errorID>
      <errorWord>(</errorWord>
      <group>L1_Format</group>
      <groupName>格式问题</groupName>
      <ability>L2_HalfPunc_CN</ability>
      <abilityName>全半角问题</abilityName>
      <candidateList>
        <item>（</item>
      </candidateList>
      <explain>文本全半角错误。</explain>
      <paraID>2FB4DD8D</paraID>
      <start>7</start>
      <end>8</end>
      <status>unmodified</status>
      <modifiedWord/>
      <trackRevisions>false</trackRevisions>
    </reviewItem>
    <reviewItem>
      <errorID>9a2e51c9-322c-4a5f-adad-d1e30e45e45d</errorID>
      <errorWord>)</errorWord>
      <group>L1_Format</group>
      <groupName>格式问题</groupName>
      <ability>L2_HalfPunc_CN</ability>
      <abilityName>全半角问题</abilityName>
      <candidateList>
        <item>）</item>
      </candidateList>
      <explain>文本全半角错误。</explain>
      <paraID>2FB4DD8D</paraID>
      <start>12</start>
      <end>13</end>
      <status>unmodified</status>
      <modifiedWord/>
      <trackRevisions>false</trackRevisions>
    </reviewItem>
    <reviewItem>
      <errorID>5fe7ae4e-aa58-43f9-b337-b0b90f25a487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7CC38515</paraID>
      <start>0</start>
      <end>2</end>
      <status>unmodified</status>
      <modifiedWord/>
      <trackRevisions>false</trackRevisions>
    </reviewItem>
    <reviewItem>
      <errorID>7eb37f2c-aa1a-4b12-9c6e-07263af1ab43</errorID>
      <errorWord>(</errorWord>
      <group>L1_Format</group>
      <groupName>格式问题</groupName>
      <ability>L2_HalfPunc_CN</ability>
      <abilityName>全半角问题</abilityName>
      <candidateList>
        <item>（</item>
      </candidateList>
      <explain>文本全半角错误。</explain>
      <paraID>2478F267</paraID>
      <start>7</start>
      <end>8</end>
      <status>unmodified</status>
      <modifiedWord/>
      <trackRevisions>false</trackRevisions>
    </reviewItem>
    <reviewItem>
      <errorID>84ed66ff-327b-4b0b-b94b-362e1104f771</errorID>
      <errorWord>)</errorWord>
      <group>L1_Format</group>
      <groupName>格式问题</groupName>
      <ability>L2_HalfPunc_CN</ability>
      <abilityName>全半角问题</abilityName>
      <candidateList>
        <item>）</item>
      </candidateList>
      <explain>文本全半角错误。</explain>
      <paraID>2478F267</paraID>
      <start>12</start>
      <end>13</end>
      <status>unmodified</status>
      <modifiedWord/>
      <trackRevisions>false</trackRevisions>
    </reviewItem>
    <reviewItem>
      <errorID>e48d7bae-ca02-4c22-a84a-f3fc368a7908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3D043A77</paraID>
      <start>0</start>
      <end>2</end>
      <status>unmodified</status>
      <modifiedWord/>
      <trackRevisions>false</trackRevisions>
    </reviewItem>
    <reviewItem>
      <errorID>7e7ef7e0-1116-41bd-bb5a-ae2d94c84153</errorID>
      <errorWord>(</errorWord>
      <group>L1_Format</group>
      <groupName>格式问题</groupName>
      <ability>L2_HalfPunc_CN</ability>
      <abilityName>全半角问题</abilityName>
      <candidateList>
        <item>（</item>
      </candidateList>
      <explain>文本全半角错误。</explain>
      <paraID>34E9F222</paraID>
      <start>6</start>
      <end>7</end>
      <status>unmodified</status>
      <modifiedWord/>
      <trackRevisions>false</trackRevisions>
    </reviewItem>
    <reviewItem>
      <errorID>9637bf37-57ac-44e1-b826-ad221b5e3624</errorID>
      <errorWord>)</errorWord>
      <group>L1_Format</group>
      <groupName>格式问题</groupName>
      <ability>L2_HalfPunc_CN</ability>
      <abilityName>全半角问题</abilityName>
      <candidateList>
        <item>）</item>
      </candidateList>
      <explain>文本全半角错误。</explain>
      <paraID>34E9F222</paraID>
      <start>11</start>
      <end>12</end>
      <status>unmodified</status>
      <modifiedWord/>
      <trackRevisions>false</trackRevisions>
    </reviewItem>
    <reviewItem>
      <errorID>ead27e30-d4b6-4e32-b018-36917a0c658f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28A411E</paraID>
      <start>0</start>
      <end>2</end>
      <status>unmodified</status>
      <modifiedWord/>
      <trackRevisions>false</trackRevisions>
    </reviewItem>
    <reviewItem>
      <errorID>858bcd1b-adbe-44b7-8311-161eb4eb60bb</errorID>
      <errorWord>(</errorWord>
      <group>L1_Format</group>
      <groupName>格式问题</groupName>
      <ability>L2_HalfPunc_CN</ability>
      <abilityName>全半角问题</abilityName>
      <candidateList>
        <item>（</item>
      </candidateList>
      <explain>文本全半角错误。</explain>
      <paraID>30CAD5CC</paraID>
      <start>34</start>
      <end>35</end>
      <status>unmodified</status>
      <modifiedWord/>
      <trackRevisions>false</trackRevisions>
    </reviewItem>
    <reviewItem>
      <errorID>5f6fa41b-e92c-4ee2-8a0b-220275a1e2ba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5C79189B</paraID>
      <start>0</start>
      <end>2</end>
      <status>unmodified</status>
      <modifiedWord/>
      <trackRevisions>false</trackRevisions>
    </reviewItem>
    <reviewItem>
      <errorID>0a21cc98-c5e7-41e7-b866-0ae9bbae0dc7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733C91D1</paraID>
      <start>0</start>
      <end>2</end>
      <status>unmodified</status>
      <modifiedWord/>
      <trackRevisions>false</trackRevisions>
    </reviewItem>
    <reviewItem>
      <errorID>f8ca1879-8da8-4e51-bc14-2dc2c816e051</errorID>
      <errorWord>(</errorWord>
      <group>L1_Format</group>
      <groupName>格式问题</groupName>
      <ability>L2_HalfPunc_CN</ability>
      <abilityName>全半角问题</abilityName>
      <candidateList>
        <item>（</item>
      </candidateList>
      <explain>文本全半角错误。</explain>
      <paraID> 6EC3E18</paraID>
      <start>6</start>
      <end>7</end>
      <status>unmodified</status>
      <modifiedWord/>
      <trackRevisions>false</trackRevisions>
    </reviewItem>
    <reviewItem>
      <errorID>bd219a67-fbdf-4270-9eb2-9a8eab44d16f</errorID>
      <errorWord>)</errorWord>
      <group>L1_Format</group>
      <groupName>格式问题</groupName>
      <ability>L2_HalfPunc_CN</ability>
      <abilityName>全半角问题</abilityName>
      <candidateList>
        <item>）</item>
      </candidateList>
      <explain>文本全半角错误。</explain>
      <paraID> 6EC3E18</paraID>
      <start>11</start>
      <end>12</end>
      <status>unmodified</status>
      <modifiedWord/>
      <trackRevisions>false</trackRevisions>
    </reviewItem>
    <reviewItem>
      <errorID>d69f6c37-709f-43b5-b084-aa52d38ba4fb</errorID>
      <errorWord>III类</errorWord>
      <group>L1_Knowledge</group>
      <groupName>知识性问题</groupName>
      <ability>L2_Knowledge</ability>
      <abilityName>其他知识</abilityName>
      <candidateList>
        <item>Ⅲ类</item>
      </candidateList>
      <explain>中文环境下罗马数字格式错误。</explain>
      <paraID>76C112C5</paraID>
      <start>73</start>
      <end>77</end>
      <status>unmodified</status>
      <modifiedWord/>
      <trackRevisions>false</trackRevisions>
    </reviewItem>
    <reviewItem>
      <errorID>f2061ab5-55bb-4e90-873b-d9e37d491344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2213CC36</paraID>
      <start>0</start>
      <end>2</end>
      <status>unmodified</status>
      <modifiedWord/>
      <trackRevisions>false</trackRevisions>
    </reviewItem>
    <reviewItem>
      <errorID>35eedccd-7826-44f9-8549-1e48022ae7e9</errorID>
      <errorWord>.</errorWord>
      <group>L1_Format</group>
      <groupName>格式问题</groupName>
      <ability>L2_HalfPunc_CN</ability>
      <abilityName>全半角问题</abilityName>
      <candidateList>
        <item>。</item>
      </candidateList>
      <explain>文本全半角错误。</explain>
      <paraID>18819A69</paraID>
      <start>29</start>
      <end>30</end>
      <status>unmodified</status>
      <modifiedWord/>
      <trackRevisions>false</trackRevisions>
    </reviewItem>
    <reviewItem>
      <errorID>250aa7eb-dca7-4de9-8391-6659d3bedda0</errorID>
      <errorWord>其它</errorWord>
      <group>L1_Word</group>
      <groupName>字词问题</groupName>
      <ability>L2_Alias</ability>
      <abilityName>也作/曾用词</abilityName>
      <candidateList>
        <item>其他</item>
      </candidateList>
      <explain>词汇[其它]为不规范表述或旧称，其规范书面表述为[其他]。</explain>
      <paraID>236B48F4</paraID>
      <start>0</start>
      <end>2</end>
      <status>unmodified</status>
      <modifiedWord/>
      <trackRevisions>false</trackRevisions>
    </reviewItem>
    <reviewItem>
      <errorID>dc810b3e-d4e3-444a-9756-e33e0b98e501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4140F226</paraID>
      <start>9</start>
      <end>10</end>
      <status>unmodified</status>
      <modifiedWord/>
      <trackRevisions>false</trackRevisions>
    </reviewItem>
    <reviewItem>
      <errorID>de6e41c6-ddab-42d8-8f9b-33960a7cf2d5</errorID>
      <errorWord>（</errorWord>
      <group>L1_Punc</group>
      <groupName>标点问题</groupName>
      <ability>L2_Punc_CN</ability>
      <abilityName>标点符号问题</abilityName>
      <candidateList/>
      <explain>同一形式括号套用。</explain>
      <paraID>68FCAA20</paraID>
      <start>38</start>
      <end>39</end>
      <status>unmodified</status>
      <modifiedWord/>
      <trackRevisions>false</trackRevisions>
    </reviewItem>
    <reviewItem>
      <errorID>eaecd6b6-ae6b-4b81-bc8d-95023690da2a</errorID>
      <errorWord>(</errorWord>
      <group>L1_Punc</group>
      <groupName>标点问题</groupName>
      <ability>L2_Punc_CN</ability>
      <abilityName>标点符号问题</abilityName>
      <candidateList/>
      <explain>同一形式括号套用。</explain>
      <paraID>68FCAA20</paraID>
      <start>45</start>
      <end>46</end>
      <status>unmodified</status>
      <modifiedWord/>
      <trackRevisions>false</trackRevisions>
    </reviewItem>
    <reviewItem>
      <errorID>e17a50bc-b425-4269-80f2-8ff8e37fd6bb</errorID>
      <errorWord>)</errorWord>
      <group>L1_Punc</group>
      <groupName>标点问题</groupName>
      <ability>L2_Punc_CN</ability>
      <abilityName>标点符号问题</abilityName>
      <candidateList/>
      <explain>同一形式括号套用。</explain>
      <paraID>68FCAA20</paraID>
      <start>47</start>
      <end>48</end>
      <status>unmodified</status>
      <modifiedWord/>
      <trackRevisions>false</trackRevisions>
    </reviewItem>
    <reviewItem>
      <errorID>391b5ce3-3dd7-4c74-a27b-8cc03c8562f1</errorID>
      <errorWord>(</errorWord>
      <group>L1_Punc</group>
      <groupName>标点问题</groupName>
      <ability>L2_Punc_CN</ability>
      <abilityName>标点符号问题</abilityName>
      <candidateList/>
      <explain>同一形式括号套用。</explain>
      <paraID>68FCAA20</paraID>
      <start>55</start>
      <end>56</end>
      <status>unmodified</status>
      <modifiedWord/>
      <trackRevisions>false</trackRevisions>
    </reviewItem>
    <reviewItem>
      <errorID>496e67b5-36bd-4238-90b5-03205494e591</errorID>
      <errorWord>)</errorWord>
      <group>L1_Punc</group>
      <groupName>标点问题</groupName>
      <ability>L2_Punc_CN</ability>
      <abilityName>标点符号问题</abilityName>
      <candidateList/>
      <explain>同一形式括号套用。</explain>
      <paraID>68FCAA20</paraID>
      <start>57</start>
      <end>58</end>
      <status>unmodified</status>
      <modifiedWord/>
      <trackRevisions>false</trackRevisions>
    </reviewItem>
    <reviewItem>
      <errorID>5f2a7dc2-8af6-4dcd-8e0b-80f9ebf83c45</errorID>
      <errorWord>）</errorWord>
      <group>L1_Punc</group>
      <groupName>标点问题</groupName>
      <ability>L2_Punc_CN</ability>
      <abilityName>标点符号问题</abilityName>
      <candidateList/>
      <explain>同一形式括号套用。</explain>
      <paraID>68FCAA20</paraID>
      <start>58</start>
      <end>59</end>
      <status>unmodified</status>
      <modifiedWord/>
      <trackRevisions>false</trackRevisions>
    </reviewItem>
    <reviewItem>
      <errorID>1727746e-8748-400d-a39c-5ed813187d89</errorID>
      <errorWord>(</errorWord>
      <group>L1_Format</group>
      <groupName>格式问题</groupName>
      <ability>L2_HalfPunc_CN</ability>
      <abilityName>全半角问题</abilityName>
      <candidateList>
        <item>（</item>
      </candidateList>
      <explain>文本全半角错误。</explain>
      <paraID>60309A17</paraID>
      <start>6</start>
      <end>7</end>
      <status>unmodified</status>
      <modifiedWord/>
      <trackRevisions>false</trackRevisions>
    </reviewItem>
    <reviewItem>
      <errorID>4991531d-0760-4b89-8938-17910486d306</errorID>
      <errorWord>)</errorWord>
      <group>L1_Format</group>
      <groupName>格式问题</groupName>
      <ability>L2_HalfPunc_CN</ability>
      <abilityName>全半角问题</abilityName>
      <candidateList>
        <item>）</item>
      </candidateList>
      <explain>文本全半角错误。</explain>
      <paraID>60309A17</paraID>
      <start>9</start>
      <end>10</end>
      <status>unmodified</status>
      <modifiedWord/>
      <trackRevisions>false</trackRevisions>
    </reviewItem>
    <reviewItem>
      <errorID>a77a8bb5-5685-43d1-bc27-ab35238d40ee</errorID>
      <errorWord>(</errorWord>
      <group>L1_Format</group>
      <groupName>格式问题</groupName>
      <ability>L2_HalfPunc_CN</ability>
      <abilityName>全半角问题</abilityName>
      <candidateList>
        <item>（</item>
      </candidateList>
      <explain>文本全半角错误。</explain>
      <paraID>60309A17</paraID>
      <start>12</start>
      <end>13</end>
      <status>unmodified</status>
      <modifiedWord/>
      <trackRevisions>false</trackRevisions>
    </reviewItem>
    <reviewItem>
      <errorID>5e054d97-6124-4fb0-8c7b-514492b3701c</errorID>
      <errorWord>)</errorWord>
      <group>L1_Format</group>
      <groupName>格式问题</groupName>
      <ability>L2_HalfPunc_CN</ability>
      <abilityName>全半角问题</abilityName>
      <candidateList>
        <item>）</item>
      </candidateList>
      <explain>文本全半角错误。</explain>
      <paraID>60309A17</paraID>
      <start>15</start>
      <end>16</end>
      <status>unmodified</status>
      <modifiedWord/>
      <trackRevisions>false</trackRevisions>
    </reviewItem>
    <reviewItem>
      <errorID>f394ee38-8c1b-4150-aba2-4e16f7b437a9</errorID>
      <errorWord>(</errorWord>
      <group>L1_Format</group>
      <groupName>格式问题</groupName>
      <ability>L2_HalfPunc_CN</ability>
      <abilityName>全半角问题</abilityName>
      <candidateList>
        <item>（</item>
      </candidateList>
      <explain>文本全半角错误。</explain>
      <paraID>60309A17</paraID>
      <start>18</start>
      <end>19</end>
      <status>unmodified</status>
      <modifiedWord/>
      <trackRevisions>false</trackRevisions>
    </reviewItem>
    <reviewItem>
      <errorID>fa7d7dd0-7934-4166-9976-3e206f04b72b</errorID>
      <errorWord>)</errorWord>
      <group>L1_Format</group>
      <groupName>格式问题</groupName>
      <ability>L2_HalfPunc_CN</ability>
      <abilityName>全半角问题</abilityName>
      <candidateList>
        <item>）</item>
      </candidateList>
      <explain>文本全半角错误。</explain>
      <paraID>60309A17</paraID>
      <start>21</start>
      <end>22</end>
      <status>unmodified</status>
      <modifiedWord/>
      <trackRevisions>false</trackRevisions>
    </reviewItem>
    <reviewItem>
      <errorID>8e5d4b05-71fe-4e36-8596-5850e26f3cf9</errorID>
      <errorWord>(</errorWord>
      <group>L1_Format</group>
      <groupName>格式问题</groupName>
      <ability>L2_HalfPunc_CN</ability>
      <abilityName>全半角问题</abilityName>
      <candidateList>
        <item>（</item>
      </candidateList>
      <explain>文本全半角错误。</explain>
      <paraID>60309A17</paraID>
      <start>24</start>
      <end>25</end>
      <status>unmodified</status>
      <modifiedWord/>
      <trackRevisions>false</trackRevisions>
    </reviewItem>
    <reviewItem>
      <errorID>268a6b3a-b80c-4c0f-8076-5462bcdc5584</errorID>
      <errorWord>)</errorWord>
      <group>L1_Format</group>
      <groupName>格式问题</groupName>
      <ability>L2_HalfPunc_CN</ability>
      <abilityName>全半角问题</abilityName>
      <candidateList>
        <item>）</item>
      </candidateList>
      <explain>文本全半角错误。</explain>
      <paraID>60309A17</paraID>
      <start>27</start>
      <end>28</end>
      <status>unmodified</status>
      <modifiedWord/>
      <trackRevisions>false</trackRevisions>
    </reviewItem>
    <reviewItem>
      <errorID>1cb2c772-a5c0-4bf7-8e55-a1ea36f3de43</errorID>
      <errorWord>(</errorWord>
      <group>L1_Format</group>
      <groupName>格式问题</groupName>
      <ability>L2_HalfPunc_CN</ability>
      <abilityName>全半角问题</abilityName>
      <candidateList>
        <item>（</item>
      </candidateList>
      <explain>文本全半角错误。</explain>
      <paraID>60309A17</paraID>
      <start>30</start>
      <end>31</end>
      <status>unmodified</status>
      <modifiedWord/>
      <trackRevisions>false</trackRevisions>
    </reviewItem>
    <reviewItem>
      <errorID>cf384a38-82fa-471d-a503-17db01ed675f</errorID>
      <errorWord>)</errorWord>
      <group>L1_Format</group>
      <groupName>格式问题</groupName>
      <ability>L2_HalfPunc_CN</ability>
      <abilityName>全半角问题</abilityName>
      <candidateList>
        <item>）</item>
      </candidateList>
      <explain>文本全半角错误。</explain>
      <paraID>60309A17</paraID>
      <start>33</start>
      <end>34</end>
      <status>unmodified</status>
      <modifiedWord/>
      <trackRevisions>false</trackRevisions>
    </reviewItem>
    <reviewItem>
      <errorID>fd211cf4-6651-49c9-8a9c-60b7a5a153b8</errorID>
      <errorWord>(</errorWord>
      <group>L1_Format</group>
      <groupName>格式问题</groupName>
      <ability>L2_HalfPunc_CN</ability>
      <abilityName>全半角问题</abilityName>
      <candidateList>
        <item>（</item>
      </candidateList>
      <explain>文本全半角错误。</explain>
      <paraID>60309A17</paraID>
      <start>36</start>
      <end>37</end>
      <status>unmodified</status>
      <modifiedWord/>
      <trackRevisions>false</trackRevisions>
    </reviewItem>
    <reviewItem>
      <errorID>9e089179-a454-426c-823f-94e2caa8951c</errorID>
      <errorWord>)</errorWord>
      <group>L1_Format</group>
      <groupName>格式问题</groupName>
      <ability>L2_HalfPunc_CN</ability>
      <abilityName>全半角问题</abilityName>
      <candidateList>
        <item>）</item>
      </candidateList>
      <explain>文本全半角错误。</explain>
      <paraID>60309A17</paraID>
      <start>39</start>
      <end>40</end>
      <status>unmodified</status>
      <modifiedWord/>
      <trackRevisions>false</trackRevisions>
    </reviewItem>
    <reviewItem>
      <errorID>86d1935a-4657-46d4-8e1e-7339c8befe36</errorID>
      <errorWord>-</errorWord>
      <group>L1_Format</group>
      <groupName>格式问题</groupName>
      <ability>L2_HalfPunc_CN</ability>
      <abilityName>全半角问题</abilityName>
      <candidateList>
        <item>－</item>
      </candidateList>
      <explain>文本全半角错误。</explain>
      <paraID>43945905</paraID>
      <start>185</start>
      <end>186</end>
      <status>unmodified</status>
      <modifiedWord/>
      <trackRevisions>false</trackRevisions>
    </reviewItem>
    <reviewItem>
      <errorID>3e87c9e7-e04e-4023-920a-271c82425163</errorID>
      <errorWord>(</errorWord>
      <group>L1_Format</group>
      <groupName>格式问题</groupName>
      <ability>L2_HalfPunc_CN</ability>
      <abilityName>全半角问题</abilityName>
      <candidateList>
        <item>（</item>
      </candidateList>
      <explain>文本全半角错误。</explain>
      <paraID>2D27E78A</paraID>
      <start>24</start>
      <end>25</end>
      <status>unmodified</status>
      <modifiedWord/>
      <trackRevisions>false</trackRevisions>
    </reviewItem>
    <reviewItem>
      <errorID>2cb22cdf-2460-4a60-abad-3882b90d468b</errorID>
      <errorWord>)</errorWord>
      <group>L1_Format</group>
      <groupName>格式问题</groupName>
      <ability>L2_HalfPunc_CN</ability>
      <abilityName>全半角问题</abilityName>
      <candidateList>
        <item>）</item>
      </candidateList>
      <explain>文本全半角错误。</explain>
      <paraID>2D27E78A</paraID>
      <start>26</start>
      <end>27</end>
      <status>unmodified</status>
      <modifiedWord/>
      <trackRevisions>false</trackRevisions>
    </reviewItem>
    <reviewItem>
      <errorID>432f726f-9166-48b4-a20d-be708e2006b2</errorID>
      <errorWord>(</errorWord>
      <group>L1_Format</group>
      <groupName>格式问题</groupName>
      <ability>L2_HalfPunc_CN</ability>
      <abilityName>全半角问题</abilityName>
      <candidateList>
        <item>（</item>
      </candidateList>
      <explain>文本全半角错误。</explain>
      <paraID>2D27E78A</paraID>
      <start>33</start>
      <end>34</end>
      <status>unmodified</status>
      <modifiedWord/>
      <trackRevisions>false</trackRevisions>
    </reviewItem>
    <reviewItem>
      <errorID>259bdd8a-a6e6-4bfd-90ce-c2edda80743f</errorID>
      <errorWord>)</errorWord>
      <group>L1_Format</group>
      <groupName>格式问题</groupName>
      <ability>L2_HalfPunc_CN</ability>
      <abilityName>全半角问题</abilityName>
      <candidateList>
        <item>）</item>
      </candidateList>
      <explain>文本全半角错误。</explain>
      <paraID>2D27E78A</paraID>
      <start>35</start>
      <end>36</end>
      <status>unmodified</status>
      <modifiedWord/>
      <trackRevisions>false</trackRevisions>
    </reviewItem>
    <reviewItem>
      <errorID>24d868e8-fdd3-476e-a8e7-f12198c4f7de</errorID>
      <errorWord>(</errorWord>
      <group>L1_Format</group>
      <groupName>格式问题</groupName>
      <ability>L2_HalfPunc_CN</ability>
      <abilityName>全半角问题</abilityName>
      <candidateList>
        <item>（</item>
      </candidateList>
      <explain>文本全半角错误。</explain>
      <paraID>2D27E78A</paraID>
      <start>41</start>
      <end>42</end>
      <status>unmodified</status>
      <modifiedWord/>
      <trackRevisions>false</trackRevisions>
    </reviewItem>
    <reviewItem>
      <errorID>eafa0e23-b2e4-4719-a301-c3240a1677ca</errorID>
      <errorWord>)</errorWord>
      <group>L1_Format</group>
      <groupName>格式问题</groupName>
      <ability>L2_HalfPunc_CN</ability>
      <abilityName>全半角问题</abilityName>
      <candidateList>
        <item>）</item>
      </candidateList>
      <explain>文本全半角错误。</explain>
      <paraID>2D27E78A</paraID>
      <start>43</start>
      <end>44</end>
      <status>unmodified</status>
      <modifiedWord/>
      <trackRevisions>false</trackRevisions>
    </reviewItem>
    <reviewItem>
      <errorID>cd04f4a5-8c7f-4065-b138-a92a64812730</errorID>
      <errorWord>(</errorWord>
      <group>L1_Format</group>
      <groupName>格式问题</groupName>
      <ability>L2_HalfPunc_CN</ability>
      <abilityName>全半角问题</abilityName>
      <candidateList>
        <item>（</item>
      </candidateList>
      <explain>文本全半角错误。</explain>
      <paraID>2D27E78A</paraID>
      <start>49</start>
      <end>50</end>
      <status>unmodified</status>
      <modifiedWord/>
      <trackRevisions>false</trackRevisions>
    </reviewItem>
    <reviewItem>
      <errorID>574dfa34-eeea-428d-9176-7b4e4abed46c</errorID>
      <errorWord>)</errorWord>
      <group>L1_Format</group>
      <groupName>格式问题</groupName>
      <ability>L2_HalfPunc_CN</ability>
      <abilityName>全半角问题</abilityName>
      <candidateList>
        <item>）</item>
      </candidateList>
      <explain>文本全半角错误。</explain>
      <paraID>2D27E78A</paraID>
      <start>51</start>
      <end>52</end>
      <status>unmodified</status>
      <modifiedWord/>
      <trackRevisions>false</trackRevisions>
    </reviewItem>
    <reviewItem>
      <errorID>af285b04-02d5-46ca-a188-984813d6151e</errorID>
      <errorWord>(</errorWord>
      <group>L1_Format</group>
      <groupName>格式问题</groupName>
      <ability>L2_HalfPunc_CN</ability>
      <abilityName>全半角问题</abilityName>
      <candidateList>
        <item>（</item>
      </candidateList>
      <explain>文本全半角错误。</explain>
      <paraID>2D27E78A</paraID>
      <start>56</start>
      <end>57</end>
      <status>unmodified</status>
      <modifiedWord/>
      <trackRevisions>false</trackRevisions>
    </reviewItem>
    <reviewItem>
      <errorID>6fc0efdd-bb9c-43cc-b39a-a3a2ea036b19</errorID>
      <errorWord>)</errorWord>
      <group>L1_Format</group>
      <groupName>格式问题</groupName>
      <ability>L2_HalfPunc_CN</ability>
      <abilityName>全半角问题</abilityName>
      <candidateList>
        <item>）</item>
      </candidateList>
      <explain>文本全半角错误。</explain>
      <paraID>2D27E78A</paraID>
      <start>65</start>
      <end>66</end>
      <status>unmodified</status>
      <modifiedWord/>
      <trackRevisions>false</trackRevisions>
    </reviewItem>
    <reviewItem>
      <errorID>662ac693-d638-4f8d-aede-99b564605838</errorID>
      <errorWord>(</errorWord>
      <group>L1_Format</group>
      <groupName>格式问题</groupName>
      <ability>L2_HalfPunc_CN</ability>
      <abilityName>全半角问题</abilityName>
      <candidateList>
        <item>（</item>
      </candidateList>
      <explain>文本全半角错误。</explain>
      <paraID>2D27E78A</paraID>
      <start>71</start>
      <end>72</end>
      <status>unmodified</status>
      <modifiedWord/>
      <trackRevisions>false</trackRevisions>
    </reviewItem>
    <reviewItem>
      <errorID>3fc1dc6a-6629-43f0-a998-d99f3a620fbe</errorID>
      <errorWord>)</errorWord>
      <group>L1_Format</group>
      <groupName>格式问题</groupName>
      <ability>L2_HalfPunc_CN</ability>
      <abilityName>全半角问题</abilityName>
      <candidateList>
        <item>）</item>
      </candidateList>
      <explain>文本全半角错误。</explain>
      <paraID>2D27E78A</paraID>
      <start>75</start>
      <end>76</end>
      <status>unmodified</status>
      <modifiedWord/>
      <trackRevisions>false</trackRevisions>
    </reviewItem>
    <reviewItem>
      <errorID>c49f21cc-b371-4efd-ac1d-1b7bd359c931</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3097AB2B</paraID>
      <start>24</start>
      <end>25</end>
      <status>unmodified</status>
      <modifiedWord/>
      <trackRevisions>false</trackRevisions>
    </reviewItem>
    <reviewItem>
      <errorID>60f241bb-0383-4880-9fc6-27fe6fc0f96d</errorID>
      <errorWord>(</errorWord>
      <group>L1_Format</group>
      <groupName>格式问题</groupName>
      <ability>L2_HalfPunc_CN</ability>
      <abilityName>全半角问题</abilityName>
      <candidateList>
        <item>（</item>
      </candidateList>
      <explain>文本全半角错误。</explain>
      <paraID>3097AB2B</paraID>
      <start>55</start>
      <end>56</end>
      <status>unmodified</status>
      <modifiedWord/>
      <trackRevisions>false</trackRevisions>
    </reviewItem>
    <reviewItem>
      <errorID>1c5c176a-ecda-4ee7-bfda-e1a9718ea52b</errorID>
      <errorWord>)</errorWord>
      <group>L1_Format</group>
      <groupName>格式问题</groupName>
      <ability>L2_HalfPunc_CN</ability>
      <abilityName>全半角问题</abilityName>
      <candidateList>
        <item>）</item>
      </candidateList>
      <explain>文本全半角错误。</explain>
      <paraID>3097AB2B</paraID>
      <start>58</start>
      <end>59</end>
      <status>unmodified</status>
      <modifiedWord/>
      <trackRevisions>false</trackRevisions>
    </reviewItem>
    <reviewItem>
      <errorID>8e0c56d5-a36d-4d89-a1bc-041d78a26226</errorID>
      <errorWord>统计统计</errorWord>
      <group>L1_Word</group>
      <groupName>字词问题</groupName>
      <ability>L2_Typo</ability>
      <abilityName>字词错误</abilityName>
      <candidateList>
        <item>统计</item>
      </candidateList>
      <explain/>
      <paraID> 249918B</paraID>
      <start>45</start>
      <end>47</end>
      <status>modified</status>
      <modifiedWord>统计</modifiedWord>
      <trackRevisions>false</trackRevisions>
    </reviewItem>
    <reviewItem>
      <errorID>e48160de-9eca-475d-a070-59e11cda8fc1</errorID>
      <errorWord>(</errorWord>
      <group>L1_Format</group>
      <groupName>格式问题</groupName>
      <ability>L2_HalfPunc_CN</ability>
      <abilityName>全半角问题</abilityName>
      <candidateList>
        <item>（</item>
      </candidateList>
      <explain>文本全半角错误。</explain>
      <paraID>5999150B</paraID>
      <start>2</start>
      <end>3</end>
      <status>unmodified</status>
      <modifiedWord/>
      <trackRevisions>false</trackRevisions>
    </reviewItem>
    <reviewItem>
      <errorID>d41eba60-a96f-4614-b148-c85bdf79ce47</errorID>
      <errorWord>)</errorWord>
      <group>L1_Format</group>
      <groupName>格式问题</groupName>
      <ability>L2_HalfPunc_CN</ability>
      <abilityName>全半角问题</abilityName>
      <candidateList>
        <item>）</item>
      </candidateList>
      <explain>文本全半角错误。</explain>
      <paraID>5999150B</paraID>
      <start>4</start>
      <end>5</end>
      <status>unmodified</status>
      <modifiedWord/>
      <trackRevisions>false</trackRevisions>
    </reviewItem>
    <reviewItem>
      <errorID>662a3806-8103-4cb4-9952-ec31197b54ea</errorID>
      <errorWord>(</errorWord>
      <group>L1_Format</group>
      <groupName>格式问题</groupName>
      <ability>L2_HalfPunc_CN</ability>
      <abilityName>全半角问题</abilityName>
      <candidateList>
        <item>（</item>
      </candidateList>
      <explain>文本全半角错误。</explain>
      <paraID>64755A11</paraID>
      <start>2</start>
      <end>3</end>
      <status>unmodified</status>
      <modifiedWord/>
      <trackRevisions>false</trackRevisions>
    </reviewItem>
    <reviewItem>
      <errorID>f052453d-8e05-466f-8a7f-cf2d0d101b42</errorID>
      <errorWord>)</errorWord>
      <group>L1_Format</group>
      <groupName>格式问题</groupName>
      <ability>L2_HalfPunc_CN</ability>
      <abilityName>全半角问题</abilityName>
      <candidateList>
        <item>）</item>
      </candidateList>
      <explain>文本全半角错误。</explain>
      <paraID>64755A11</paraID>
      <start>4</start>
      <end>5</end>
      <status>unmodified</status>
      <modifiedWord/>
      <trackRevisions>false</trackRevisions>
    </reviewItem>
    <reviewItem>
      <errorID>a0e0dc04-455b-40cb-ac03-016ac80bad81</errorID>
      <errorWord>(</errorWord>
      <group>L1_Format</group>
      <groupName>格式问题</groupName>
      <ability>L2_HalfPunc_CN</ability>
      <abilityName>全半角问题</abilityName>
      <candidateList>
        <item>（</item>
      </candidateList>
      <explain>文本全半角错误。</explain>
      <paraID> 83F4ED5</paraID>
      <start>2</start>
      <end>3</end>
      <status>unmodified</status>
      <modifiedWord/>
      <trackRevisions>false</trackRevisions>
    </reviewItem>
    <reviewItem>
      <errorID>135161b4-f372-4efa-ade5-c82866141861</errorID>
      <errorWord>)</errorWord>
      <group>L1_Format</group>
      <groupName>格式问题</groupName>
      <ability>L2_HalfPunc_CN</ability>
      <abilityName>全半角问题</abilityName>
      <candidateList>
        <item>）</item>
      </candidateList>
      <explain>文本全半角错误。</explain>
      <paraID> 83F4ED5</paraID>
      <start>4</start>
      <end>5</end>
      <status>unmodified</status>
      <modifiedWord/>
      <trackRevisions>false</trackRevisions>
    </reviewItem>
    <reviewItem>
      <errorID>3ac875a6-98b6-4147-9b00-017d94a72833</errorID>
      <errorWord>(</errorWord>
      <group>L1_Format</group>
      <groupName>格式问题</groupName>
      <ability>L2_HalfPunc_CN</ability>
      <abilityName>全半角问题</abilityName>
      <candidateList>
        <item>（</item>
      </candidateList>
      <explain>文本全半角错误。</explain>
      <paraID>46563717</paraID>
      <start>2</start>
      <end>3</end>
      <status>unmodified</status>
      <modifiedWord/>
      <trackRevisions>false</trackRevisions>
    </reviewItem>
    <reviewItem>
      <errorID>3274e576-2610-4560-a383-313fcd63b1fd</errorID>
      <errorWord>)</errorWord>
      <group>L1_Format</group>
      <groupName>格式问题</groupName>
      <ability>L2_HalfPunc_CN</ability>
      <abilityName>全半角问题</abilityName>
      <candidateList>
        <item>）</item>
      </candidateList>
      <explain>文本全半角错误。</explain>
      <paraID>46563717</paraID>
      <start>4</start>
      <end>5</end>
      <status>unmodified</status>
      <modifiedWord/>
      <trackRevisions>false</trackRevisions>
    </reviewItem>
    <reviewItem>
      <errorID>a6e2c8a8-99e3-4541-ab32-10abcaff3e69</errorID>
      <errorWord>(</errorWord>
      <group>L1_Format</group>
      <groupName>格式问题</groupName>
      <ability>L2_HalfPunc_CN</ability>
      <abilityName>全半角问题</abilityName>
      <candidateList>
        <item>（</item>
      </candidateList>
      <explain>文本全半角错误。</explain>
      <paraID> F87EBDF</paraID>
      <start>2</start>
      <end>3</end>
      <status>unmodified</status>
      <modifiedWord/>
      <trackRevisions>false</trackRevisions>
    </reviewItem>
    <reviewItem>
      <errorID>4f3e7006-50d8-4f3f-9ae5-f6062d04c3bc</errorID>
      <errorWord>)</errorWord>
      <group>L1_Format</group>
      <groupName>格式问题</groupName>
      <ability>L2_HalfPunc_CN</ability>
      <abilityName>全半角问题</abilityName>
      <candidateList>
        <item>）</item>
      </candidateList>
      <explain>文本全半角错误。</explain>
      <paraID> F87EBDF</paraID>
      <start>12</start>
      <end>13</end>
      <status>unmodified</status>
      <modifiedWord/>
      <trackRevisions>false</trackRevisions>
    </reviewItem>
    <reviewItem>
      <errorID>31f1b172-5ffd-49fb-afa1-5e5239f02b48</errorID>
      <errorWord>(</errorWord>
      <group>L1_Format</group>
      <groupName>格式问题</groupName>
      <ability>L2_HalfPunc_CN</ability>
      <abilityName>全半角问题</abilityName>
      <candidateList>
        <item>（</item>
      </candidateList>
      <explain>文本全半角错误。</explain>
      <paraID>5ACD1202</paraID>
      <start>3</start>
      <end>4</end>
      <status>unmodified</status>
      <modifiedWord/>
      <trackRevisions>false</trackRevisions>
    </reviewItem>
    <reviewItem>
      <errorID>e8cc1acf-8794-4449-bfe1-cc8ffabf48af</errorID>
      <errorWord>)</errorWord>
      <group>L1_Format</group>
      <groupName>格式问题</groupName>
      <ability>L2_HalfPunc_CN</ability>
      <abilityName>全半角问题</abilityName>
      <candidateList>
        <item>）</item>
      </candidateList>
      <explain>文本全半角错误。</explain>
      <paraID>5ACD1202</paraID>
      <start>7</start>
      <end>8</end>
      <status>unmodified</status>
      <modifiedWord/>
      <trackRevisions>false</trackRevisions>
    </reviewItem>
    <reviewItem>
      <errorID>3baf6f7e-5a5a-458a-9e2b-3f8e3033c161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4A92FDFB</paraID>
      <start>0</start>
      <end>2</end>
      <status>unmodified</status>
      <modifiedWord/>
      <trackRevisions>false</trackRevisions>
    </reviewItem>
    <reviewItem>
      <errorID>cb9ff910-478f-4892-9ab4-68a4d09d1c23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7AFF5505</paraID>
      <start>0</start>
      <end>2</end>
      <status>unmodified</status>
      <modifiedWord/>
      <trackRevisions>false</trackRevisions>
    </reviewItem>
    <reviewItem>
      <errorID>86bde9f6-c2b7-448b-8beb-8c6d6565644f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23364315</paraID>
      <start>0</start>
      <end>2</end>
      <status>unmodified</status>
      <modifiedWord/>
      <trackRevisions>false</trackRevisions>
    </reviewItem>
    <reviewItem>
      <errorID>a8e871a7-206d-44b9-a230-48456ea80a8f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2C8F572C</paraID>
      <start>0</start>
      <end>2</end>
      <status>unmodified</status>
      <modifiedWord/>
      <trackRevisions>false</trackRevisions>
    </reviewItem>
    <reviewItem>
      <errorID>23c8042a-1dbe-4fd1-adfa-016505016c1a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7FA97CF5</paraID>
      <start>0</start>
      <end>2</end>
      <status>unmodified</status>
      <modifiedWord/>
      <trackRevisions>false</trackRevisions>
    </reviewItem>
    <reviewItem>
      <errorID>dd54b4d8-3a16-45a8-98f6-2d02da21a450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5D1F86A2</paraID>
      <start>0</start>
      <end>2</end>
      <status>unmodified</status>
      <modifiedWord/>
      <trackRevisions>false</trackRevisions>
    </reviewItem>
    <reviewItem>
      <errorID>3c761a9b-3d1c-4a94-9673-fc125e9398bc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1AF40D1C</paraID>
      <start>0</start>
      <end>2</end>
      <status>unmodified</status>
      <modifiedWord/>
      <trackRevisions>false</trackRevisions>
    </reviewItem>
    <reviewItem>
      <errorID>337f797d-76d5-497b-97f3-0e4a357070ae</errorID>
      <errorWord>,</errorWord>
      <group>L1_Format</group>
      <groupName>格式问题</groupName>
      <ability>L2_HalfPunc_CN</ability>
      <abilityName>全半角问题</abilityName>
      <candidateList>
        <item>，</item>
      </candidateList>
      <explain>文本全半角错误。</explain>
      <paraID> 2A5982C</paraID>
      <start>1</start>
      <end>2</end>
      <status>unmodified</status>
      <modifiedWord/>
      <trackRevisions>false</trackRevisions>
    </reviewItem>
    <reviewItem>
      <errorID>02f3aaac-a9a8-404a-8e48-a20ac8d84d08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348C4D6A</paraID>
      <start>0</start>
      <end>2</end>
      <status>unmodified</status>
      <modifiedWord/>
      <trackRevisions>false</trackRevisions>
    </reviewItem>
    <reviewItem>
      <errorID>64ea1016-5fba-4bd7-b755-7b4f6f4fba22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38F32992</paraID>
      <start>0</start>
      <end>2</end>
      <status>unmodified</status>
      <modifiedWord/>
      <trackRevisions>false</trackRevisions>
    </reviewItem>
    <reviewItem>
      <errorID>2ed40209-bd6f-4d84-8d91-865a5049d77b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29E68582</paraID>
      <start>0</start>
      <end>2</end>
      <status>unmodified</status>
      <modifiedWord/>
      <trackRevisions>false</trackRevisions>
    </reviewItem>
    <reviewItem>
      <errorID>071c7347-0f54-49fe-ac95-bdddf7bb7e21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553E8A6D</paraID>
      <start>0</start>
      <end>2</end>
      <status>unmodified</status>
      <modifiedWord/>
      <trackRevisions>false</trackRevisions>
    </reviewItem>
    <reviewItem>
      <errorID>b3ea0fa9-0c44-4a7e-84bd-b518027d3c08</errorID>
      <errorWord>\</errorWord>
      <group>L1_Punc</group>
      <groupName>标点问题</groupName>
      <ability>L2_Punc_CN</ability>
      <abilityName>标点符号问题</abilityName>
      <candidateList/>
      <explain/>
      <paraID>7C6395FF</paraID>
      <start>0</start>
      <end>1</end>
      <status>unmodified</status>
      <modifiedWord/>
      <trackRevisions>false</trackRevisions>
    </reviewItem>
    <reviewItem>
      <errorID>8e37a0cd-ad7b-4493-b58a-902c688cf03c</errorID>
      <errorWord>)</errorWord>
      <group>L1_Format</group>
      <groupName>格式问题</groupName>
      <ability>L2_HalfPunc_CN</ability>
      <abilityName>全半角问题</abilityName>
      <candidateList>
        <item>）</item>
      </candidateList>
      <explain>文本全半角错误。</explain>
      <paraID>71AE9875</paraID>
      <start>46</start>
      <end>47</end>
      <status>unmodified</status>
      <modifiedWord/>
      <trackRevisions>false</trackRevisions>
    </reviewItem>
    <reviewItem>
      <errorID>393c6fc7-6f7b-404f-8047-9a8be6ea084a</errorID>
      <errorWord>(</errorWord>
      <group>L1_Format</group>
      <groupName>格式问题</groupName>
      <ability>L2_HalfPunc_CN</ability>
      <abilityName>全半角问题</abilityName>
      <candidateList>
        <item>（</item>
      </candidateList>
      <explain>文本全半角错误。</explain>
      <paraID>71AE9875</paraID>
      <start>102</start>
      <end>103</end>
      <status>unmodified</status>
      <modifiedWord/>
      <trackRevisions>false</trackRevisions>
    </reviewItem>
    <reviewItem>
      <errorID>3b3bf16a-272b-4325-98d6-ceab026e6c34</errorID>
      <errorWord>)</errorWord>
      <group>L1_Format</group>
      <groupName>格式问题</groupName>
      <ability>L2_HalfPunc_CN</ability>
      <abilityName>全半角问题</abilityName>
      <candidateList>
        <item>）</item>
      </candidateList>
      <explain>文本全半角错误。</explain>
      <paraID>71AE9875</paraID>
      <start>105</start>
      <end>106</end>
      <status>unmodified</status>
      <modifiedWord/>
      <trackRevisions>false</trackRevisions>
    </reviewItem>
    <reviewItem>
      <errorID>a18f796d-6e83-4d26-9095-2b4e828d0e07</errorID>
      <errorWord>)</errorWord>
      <group>L1_Format</group>
      <groupName>格式问题</groupName>
      <ability>L2_HalfPunc_CN</ability>
      <abilityName>全半角问题</abilityName>
      <candidateList>
        <item>）</item>
      </candidateList>
      <explain>文本全半角错误。</explain>
      <paraID>71AE9875</paraID>
      <start>165</start>
      <end>166</end>
      <status>unmodified</status>
      <modifiedWord/>
      <trackRevisions>false</trackRevisions>
    </reviewItem>
    <reviewItem>
      <errorID>9b196dc2-448f-4b90-8e39-655db69a7628</errorID>
      <errorWord>)</errorWord>
      <group>L1_Format</group>
      <groupName>格式问题</groupName>
      <ability>L2_HalfPunc_CN</ability>
      <abilityName>全半角问题</abilityName>
      <candidateList>
        <item>）</item>
      </candidateList>
      <explain>文本全半角错误。</explain>
      <paraID>71AE9875</paraID>
      <start>222</start>
      <end>223</end>
      <status>unmodified</status>
      <modifiedWord/>
      <trackRevisions>false</trackRevisions>
    </reviewItem>
    <reviewItem>
      <errorID>27eafafd-0d11-414b-b1d2-767be610cd1a</errorID>
      <errorWord>)</errorWord>
      <group>L1_Format</group>
      <groupName>格式问题</groupName>
      <ability>L2_HalfPunc_CN</ability>
      <abilityName>全半角问题</abilityName>
      <candidateList>
        <item>）</item>
      </candidateList>
      <explain>文本全半角错误。</explain>
      <paraID>71AE9875</paraID>
      <start>270</start>
      <end>271</end>
      <status>unmodified</status>
      <modifiedWord/>
      <trackRevisions>false</trackRevisions>
    </reviewItem>
    <reviewItem>
      <errorID>6ff4cfcd-4736-4177-8a0f-536272062333</errorID>
      <errorWord>)</errorWord>
      <group>L1_Format</group>
      <groupName>格式问题</groupName>
      <ability>L2_HalfPunc_CN</ability>
      <abilityName>全半角问题</abilityName>
      <candidateList>
        <item>）</item>
      </candidateList>
      <explain>文本全半角错误。</explain>
      <paraID>71AE9875</paraID>
      <start>315</start>
      <end>316</end>
      <status>unmodified</status>
      <modifiedWord/>
      <trackRevisions>false</trackRevisions>
    </reviewItem>
    <reviewItem>
      <errorID>2bf71d69-2936-4e55-a550-82aab86be268</errorID>
      <errorWord>本次本次</errorWord>
      <group>L1_Word</group>
      <groupName>字词问题</groupName>
      <ability>L2_Typo</ability>
      <abilityName>字词错误</abilityName>
      <candidateList>
        <item>本次</item>
      </candidateList>
      <explain/>
      <paraID>  2A19C7</paraID>
      <start>3</start>
      <end>7</end>
      <status>unmodified</status>
      <modifiedWord/>
      <trackRevisions>false</trackRevisions>
    </reviewItem>
    <reviewItem>
      <errorID>2a9dd73f-b16b-47dc-b9c6-dad5d4f0ca92</errorID>
      <errorWord>)</errorWord>
      <group>L1_Format</group>
      <groupName>格式问题</groupName>
      <ability>L2_HalfPunc_CN</ability>
      <abilityName>全半角问题</abilityName>
      <candidateList>
        <item>）</item>
      </candidateList>
      <explain>文本全半角错误。</explain>
      <paraID>3DBC16C2</paraID>
      <start>46</start>
      <end>47</end>
      <status>unmodified</status>
      <modifiedWord/>
      <trackRevisions>false</trackRevisions>
    </reviewItem>
    <reviewItem>
      <errorID>4c970008-1e55-48e7-867a-41a464281f93</errorID>
      <errorWord>(</errorWord>
      <group>L1_Format</group>
      <groupName>格式问题</groupName>
      <ability>L2_HalfPunc_CN</ability>
      <abilityName>全半角问题</abilityName>
      <candidateList>
        <item>（</item>
      </candidateList>
      <explain>文本全半角错误。</explain>
      <paraID>3DBC16C2</paraID>
      <start>98</start>
      <end>99</end>
      <status>unmodified</status>
      <modifiedWord/>
      <trackRevisions>false</trackRevisions>
    </reviewItem>
    <reviewItem>
      <errorID>7019f8a1-3103-453c-9ff1-1d39ef72fd77</errorID>
      <errorWord>)</errorWord>
      <group>L1_Format</group>
      <groupName>格式问题</groupName>
      <ability>L2_HalfPunc_CN</ability>
      <abilityName>全半角问题</abilityName>
      <candidateList>
        <item>）</item>
      </candidateList>
      <explain>文本全半角错误。</explain>
      <paraID>3DBC16C2</paraID>
      <start>102</start>
      <end>103</end>
      <status>unmodified</status>
      <modifiedWord/>
      <trackRevisions>false</trackRevisions>
    </reviewItem>
    <reviewItem>
      <errorID>91d842e8-f086-49a9-9824-0a9b6a955b92</errorID>
      <errorWord>)</errorWord>
      <group>L1_Format</group>
      <groupName>格式问题</groupName>
      <ability>L2_HalfPunc_CN</ability>
      <abilityName>全半角问题</abilityName>
      <candidateList>
        <item>）</item>
      </candidateList>
      <explain>文本全半角错误。</explain>
      <paraID>3DBC16C2</paraID>
      <start>160</start>
      <end>161</end>
      <status>unmodified</status>
      <modifiedWord/>
      <trackRevisions>false</trackRevisions>
    </reviewItem>
    <reviewItem>
      <errorID>a5ab99d6-5adb-4de1-b42b-f2db8fe05567</errorID>
      <errorWord>)</errorWord>
      <group>L1_Format</group>
      <groupName>格式问题</groupName>
      <ability>L2_HalfPunc_CN</ability>
      <abilityName>全半角问题</abilityName>
      <candidateList>
        <item>）</item>
      </candidateList>
      <explain>文本全半角错误。</explain>
      <paraID>3DBC16C2</paraID>
      <start>215</start>
      <end>216</end>
      <status>unmodified</status>
      <modifiedWord/>
      <trackRevisions>false</trackRevisions>
    </reviewItem>
    <reviewItem>
      <errorID>ab293e31-a487-4534-b224-ca6589075e28</errorID>
      <errorWord>)</errorWord>
      <group>L1_Format</group>
      <groupName>格式问题</groupName>
      <ability>L2_HalfPunc_CN</ability>
      <abilityName>全半角问题</abilityName>
      <candidateList>
        <item>）</item>
      </candidateList>
      <explain>文本全半角错误。</explain>
      <paraID>3DBC16C2</paraID>
      <start>259</start>
      <end>260</end>
      <status>unmodified</status>
      <modifiedWord/>
      <trackRevisions>false</trackRevisions>
    </reviewItem>
    <reviewItem>
      <errorID>ad5de12c-3284-495e-ada3-39c58b1cef26</errorID>
      <errorWord>(</errorWord>
      <group>L1_Format</group>
      <groupName>格式问题</groupName>
      <ability>L2_HalfPunc_CN</ability>
      <abilityName>全半角问题</abilityName>
      <candidateList>
        <item>（</item>
      </candidateList>
      <explain>文本全半角错误。</explain>
      <paraID>3DBC16C2</paraID>
      <start>293</start>
      <end>294</end>
      <status>unmodified</status>
      <modifiedWord/>
      <trackRevisions>false</trackRevisions>
    </reviewItem>
    <reviewItem>
      <errorID>4e1bf5c6-3857-41af-a8fa-ffef2aab1000</errorID>
      <errorWord>)</errorWord>
      <group>L1_Format</group>
      <groupName>格式问题</groupName>
      <ability>L2_HalfPunc_CN</ability>
      <abilityName>全半角问题</abilityName>
      <candidateList>
        <item>）</item>
      </candidateList>
      <explain>文本全半角错误。</explain>
      <paraID>3DBC16C2</paraID>
      <start>296</start>
      <end>297</end>
      <status>unmodified</status>
      <modifiedWord/>
      <trackRevisions>false</trackRevisions>
    </reviewItem>
    <reviewItem>
      <errorID>bc03b9e8-6c92-49bb-8380-b19d80f60807</errorID>
      <errorWord>(</errorWord>
      <group>L1_Format</group>
      <groupName>格式问题</groupName>
      <ability>L2_HalfPunc_CN</ability>
      <abilityName>全半角问题</abilityName>
      <candidateList>
        <item>（</item>
      </candidateList>
      <explain>文本全半角错误。</explain>
      <paraID>3DBC16C2</paraID>
      <start>331</start>
      <end>332</end>
      <status>unmodified</status>
      <modifiedWord/>
      <trackRevisions>false</trackRevisions>
    </reviewItem>
    <reviewItem>
      <errorID>8b7f2bd4-1ca5-49f0-b201-be67111457e7</errorID>
      <errorWord>)</errorWord>
      <group>L1_Format</group>
      <groupName>格式问题</groupName>
      <ability>L2_HalfPunc_CN</ability>
      <abilityName>全半角问题</abilityName>
      <candidateList>
        <item>）</item>
      </candidateList>
      <explain>文本全半角错误。</explain>
      <paraID>3DBC16C2</paraID>
      <start>344</start>
      <end>345</end>
      <status>unmodified</status>
      <modifiedWord/>
      <trackRevisions>false</trackRevisions>
    </reviewItem>
    <reviewItem>
      <errorID>f36db70b-7ece-4e1b-8c94-b5b350ba3619</errorID>
      <errorWord>中有</errorWord>
      <group>L1_Word</group>
      <groupName>字词问题</groupName>
      <ability>L2_Typo</ability>
      <abilityName>字词错误</abilityName>
      <candidateList>
        <item>中</item>
      </candidateList>
      <explain/>
      <paraID>2B22653A</paraID>
      <start>111</start>
      <end>113</end>
      <status>unmodified</status>
      <modifiedWord/>
      <trackRevisions>false</trackRevisions>
    </reviewItem>
    <reviewItem>
      <errorID>507ae52e-e3ee-47ff-9805-86a97e65ea3f</errorID>
      <errorWord>的</errorWord>
      <group>L1_Word</group>
      <groupName>字词问题</groupName>
      <ability>L2_DDD</ability>
      <abilityName>的地得用法</abilityName>
      <candidateList>
        <item>地</item>
      </candidateList>
      <explain/>
      <paraID>6B0FACB8</paraID>
      <start>159</start>
      <end>160</end>
      <status>unmodified</status>
      <modifiedWord/>
      <trackRevisions>false</trackRevisions>
    </reviewItem>
    <reviewItem>
      <errorID>4c19b37f-be03-4a74-a518-f1857709dba6</errorID>
      <errorWord>为为</errorWord>
      <group>L1_Word</group>
      <groupName>字词问题</groupName>
      <ability>L2_Typo</ability>
      <abilityName>字词错误</abilityName>
      <candidateList>
        <item>为</item>
      </candidateList>
      <explain/>
      <paraID>793BB01D</paraID>
      <start>95</start>
      <end>96</end>
      <status>modified</status>
      <modifiedWord>为</modifiedWord>
      <trackRevisions>false</trackRevisions>
    </reviewItem>
    <reviewItem>
      <errorID>4be7453a-fb8c-43eb-b994-1ad18a040c2f</errorID>
      <errorWord>(</errorWord>
      <group>L1_Format</group>
      <groupName>格式问题</groupName>
      <ability>L2_HalfPunc_CN</ability>
      <abilityName>全半角问题</abilityName>
      <candidateList>
        <item>（</item>
      </candidateList>
      <explain>文本全半角错误。</explain>
      <paraID>420FE422</paraID>
      <start>14</start>
      <end>15</end>
      <status>unmodified</status>
      <modifiedWord/>
      <trackRevisions>false</trackRevisions>
    </reviewItem>
    <reviewItem>
      <errorID>30cf6181-8cae-4a43-b559-4ee0145e65bc</errorID>
      <errorWord>)</errorWord>
      <group>L1_Format</group>
      <groupName>格式问题</groupName>
      <ability>L2_HalfPunc_CN</ability>
      <abilityName>全半角问题</abilityName>
      <candidateList>
        <item>）</item>
      </candidateList>
      <explain>文本全半角错误。</explain>
      <paraID>420FE422</paraID>
      <start>26</start>
      <end>27</end>
      <status>unmodified</status>
      <modifiedWord/>
      <trackRevisions>false</trackRevisions>
    </reviewItem>
    <reviewItem>
      <errorID>30096253-0b10-43ed-90ac-789ce5c30dce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360D910A</paraID>
      <start>66</start>
      <end>67</end>
      <status>unmodified</status>
      <modifiedWord/>
      <trackRevisions>false</trackRevisions>
    </reviewItem>
    <reviewItem>
      <errorID>7e644a25-0372-412b-83b4-34b27f040d2a</errorID>
      <errorWord>III类</errorWord>
      <group>L1_Knowledge</group>
      <groupName>知识性问题</groupName>
      <ability>L2_Knowledge</ability>
      <abilityName>其他知识</abilityName>
      <candidateList>
        <item>Ⅲ类</item>
      </candidateList>
      <explain>中文环境下罗马数字格式错误。</explain>
      <paraID>4ED01979</paraID>
      <start>47</start>
      <end>51</end>
      <status>unmodified</status>
      <modifiedWord/>
      <trackRevisions>false</trackRevisions>
    </reviewItem>
    <reviewItem>
      <errorID>9f8356c2-e94a-4525-9f93-fe5ef1cc808c</errorID>
      <errorWord>侧侧</errorWord>
      <group>L1_Word</group>
      <groupName>字词问题</groupName>
      <ability>L2_Typo</ability>
      <abilityName>字词错误</abilityName>
      <candidateList>
        <item>侧</item>
      </candidateList>
      <explain/>
      <paraID>1080737C</paraID>
      <start>68</start>
      <end>70</end>
      <status>unmodified</status>
      <modifiedWord/>
      <trackRevisions>false</trackRevisions>
    </reviewItem>
    <reviewItem>
      <errorID>e7874e0e-0119-4fe9-8923-d8ac1b3138be</errorID>
      <errorWord>为为</errorWord>
      <group>L1_Word</group>
      <groupName>字词问题</groupName>
      <ability>L2_Typo</ability>
      <abilityName>字词错误</abilityName>
      <candidateList>
        <item>为</item>
      </candidateList>
      <explain/>
      <paraID>20BA03E1</paraID>
      <start>77</start>
      <end>78</end>
      <status>modified</status>
      <modifiedWord>为</modifiedWord>
      <trackRevisions>false</trackRevisions>
    </reviewItem>
    <reviewItem>
      <errorID>5921b1ff-de85-4ecc-b2c8-f84fc7a7aa9d</errorID>
      <errorWord>位于位于</errorWord>
      <group>L1_Word</group>
      <groupName>字词问题</groupName>
      <ability>L2_Typo</ability>
      <abilityName>字词错误</abilityName>
      <candidateList>
        <item>位于</item>
      </candidateList>
      <explain/>
      <paraID>20BA03E1</paraID>
      <start>146</start>
      <end>148</end>
      <status>modified</status>
      <modifiedWord>位于</modifiedWord>
      <trackRevisions>false</trackRevisions>
    </reviewItem>
    <reviewItem>
      <errorID>a7cf5a6a-6f78-4682-9245-603e1c903fab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53242085</paraID>
      <start>0</start>
      <end>2</end>
      <status>unmodified</status>
      <modifiedWord/>
      <trackRevisions>false</trackRevisions>
    </reviewItem>
    <reviewItem>
      <errorID>63a324f7-08c6-4fcb-9e2b-299e42dd5365</errorID>
      <errorWord>(</errorWord>
      <group>L1_Format</group>
      <groupName>格式问题</groupName>
      <ability>L2_HalfPunc_CN</ability>
      <abilityName>全半角问题</abilityName>
      <candidateList>
        <item>（</item>
      </candidateList>
      <explain>文本全半角错误。</explain>
      <paraID>729D066A</paraID>
      <start>133</start>
      <end>134</end>
      <status>unmodified</status>
      <modifiedWord/>
      <trackRevisions>false</trackRevisions>
    </reviewItem>
    <reviewItem>
      <errorID>001eaa25-061f-48a6-9ce8-0960989f90c7</errorID>
      <errorWord>)</errorWord>
      <group>L1_Format</group>
      <groupName>格式问题</groupName>
      <ability>L2_HalfPunc_CN</ability>
      <abilityName>全半角问题</abilityName>
      <candidateList>
        <item>）</item>
      </candidateList>
      <explain>文本全半角错误。</explain>
      <paraID>729D066A</paraID>
      <start>138</start>
      <end>139</end>
      <status>unmodified</status>
      <modifiedWord/>
      <trackRevisions>false</trackRevisions>
    </reviewItem>
    <reviewItem>
      <errorID>fedcf05c-46a9-4620-90ae-42e8804669d3</errorID>
      <errorWord>%</errorWord>
      <group>L1_Word</group>
      <groupName>字词问题</groupName>
      <ability>L2_Typo</ability>
      <abilityName>字词错误</abilityName>
      <candidateList>
        <item>%以</item>
      </candidateList>
      <explain/>
      <paraID>729D066A</paraID>
      <start>250</start>
      <end>252</end>
      <status>modified</status>
      <modifiedWord>%以</modifiedWord>
      <trackRevisions>false</trackRevisions>
    </reviewItem>
    <reviewItem>
      <errorID>4fe5ea4e-a31c-4cb2-a551-6376c215cdd6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3865A0A7</paraID>
      <start>0</start>
      <end>2</end>
      <status>unmodified</status>
      <modifiedWord/>
      <trackRevisions>false</trackRevisions>
    </reviewItem>
    <reviewItem>
      <errorID>1125896d-701a-403f-afe7-633a5cfef238</errorID>
      <errorWord>)</errorWord>
      <group>L1_Format</group>
      <groupName>格式问题</groupName>
      <ability>L2_HalfPunc_CN</ability>
      <abilityName>全半角问题</abilityName>
      <candidateList>
        <item>）</item>
      </candidateList>
      <explain>文本全半角错误。</explain>
      <paraID>621AEF90</paraID>
      <start>23</start>
      <end>24</end>
      <status>unmodified</status>
      <modifiedWord/>
      <trackRevisions>false</trackRevisions>
    </reviewItem>
    <reviewItem>
      <errorID>f22e4f5a-c39c-4b03-abd5-301305a85252</errorID>
      <errorWord>)</errorWord>
      <group>L1_Format</group>
      <groupName>格式问题</groupName>
      <ability>L2_HalfPunc_CN</ability>
      <abilityName>全半角问题</abilityName>
      <candidateList>
        <item>）</item>
      </candidateList>
      <explain>文本全半角错误。</explain>
      <paraID>559B7D6A</paraID>
      <start>17</start>
      <end>18</end>
      <status>unmodified</status>
      <modifiedWord/>
      <trackRevisions>false</trackRevisions>
    </reviewItem>
    <reviewItem>
      <errorID>0f452969-745f-4696-96de-5e44f44aebe9</errorID>
      <errorWord>)</errorWord>
      <group>L1_Format</group>
      <groupName>格式问题</groupName>
      <ability>L2_HalfPunc_CN</ability>
      <abilityName>全半角问题</abilityName>
      <candidateList>
        <item>）</item>
      </candidateList>
      <explain>文本全半角错误。</explain>
      <paraID>3FDBF241</paraID>
      <start>21</start>
      <end>22</end>
      <status>unmodified</status>
      <modifiedWord/>
      <trackRevisions>false</trackRevisions>
    </reviewItem>
    <reviewItem>
      <errorID>97e57625-218f-455b-8276-dc9b4045215b</errorID>
      <errorWord>(</errorWord>
      <group>L1_Format</group>
      <groupName>格式问题</groupName>
      <ability>L2_HalfPunc_CN</ability>
      <abilityName>全半角问题</abilityName>
      <candidateList>
        <item>（</item>
      </candidateList>
      <explain>文本全半角错误。</explain>
      <paraID>791BDE24</paraID>
      <start>17</start>
      <end>18</end>
      <status>unmodified</status>
      <modifiedWord/>
      <trackRevisions>false</trackRevisions>
    </reviewItem>
    <reviewItem>
      <errorID>127d6bc9-8db4-46c9-8a51-745c11baffe2</errorID>
      <errorWord>)</errorWord>
      <group>L1_Format</group>
      <groupName>格式问题</groupName>
      <ability>L2_HalfPunc_CN</ability>
      <abilityName>全半角问题</abilityName>
      <candidateList>
        <item>）</item>
      </candidateList>
      <explain>文本全半角错误。</explain>
      <paraID>791BDE24</paraID>
      <start>25</start>
      <end>26</end>
      <status>unmodified</status>
      <modifiedWord/>
      <trackRevisions>false</trackRevisions>
    </reviewItem>
    <reviewItem>
      <errorID>4224287b-04ed-4b9e-93d4-41381e8e7349</errorID>
      <errorWord>(</errorWord>
      <group>L1_Format</group>
      <groupName>格式问题</groupName>
      <ability>L2_HalfPunc_CN</ability>
      <abilityName>全半角问题</abilityName>
      <candidateList>
        <item>（</item>
      </candidateList>
      <explain>文本全半角错误。</explain>
      <paraID>42AF2E48</paraID>
      <start>17</start>
      <end>18</end>
      <status>unmodified</status>
      <modifiedWord/>
      <trackRevisions>false</trackRevisions>
    </reviewItem>
    <reviewItem>
      <errorID>12a84702-5cc1-482c-92e3-0fad1fec1266</errorID>
      <errorWord>)</errorWord>
      <group>L1_Format</group>
      <groupName>格式问题</groupName>
      <ability>L2_HalfPunc_CN</ability>
      <abilityName>全半角问题</abilityName>
      <candidateList>
        <item>）</item>
      </candidateList>
      <explain>文本全半角错误。</explain>
      <paraID>42AF2E48</paraID>
      <start>30</start>
      <end>31</end>
      <status>unmodified</status>
      <modifiedWord/>
      <trackRevisions>false</trackRevisions>
    </reviewItem>
    <reviewItem>
      <errorID>34798c09-fd69-428e-9cbf-0705b28830f8</errorID>
      <errorWord>)</errorWord>
      <group>L1_Format</group>
      <groupName>格式问题</groupName>
      <ability>L2_HalfPunc_CN</ability>
      <abilityName>全半角问题</abilityName>
      <candidateList>
        <item>）</item>
      </candidateList>
      <explain>文本全半角错误。</explain>
      <paraID>42AF2E48</paraID>
      <start>59</start>
      <end>60</end>
      <status>unmodified</status>
      <modifiedWord/>
      <trackRevisions>false</trackRevisions>
    </reviewItem>
    <reviewItem>
      <errorID>e549f3d0-0156-4ed3-931d-c417ad55f7b2</errorID>
      <errorWord>)</errorWord>
      <group>L1_Format</group>
      <groupName>格式问题</groupName>
      <ability>L2_HalfPunc_CN</ability>
      <abilityName>全半角问题</abilityName>
      <candidateList>
        <item>）</item>
      </candidateList>
      <explain>文本全半角错误。</explain>
      <paraID>42AF2E48</paraID>
      <start>92</start>
      <end>93</end>
      <status>unmodified</status>
      <modifiedWord/>
      <trackRevisions>false</trackRevisions>
    </reviewItem>
    <reviewItem>
      <errorID>b85b6698-8be7-46a1-8fc0-2101bcb1fc28</errorID>
      <errorWord>噪声级</errorWord>
      <group>L1_Word</group>
      <groupName>字词问题</groupName>
      <ability>L2_Typo</ability>
      <abilityName>字词错误</abilityName>
      <candidateList>
        <item>噪声</item>
      </candidateList>
      <explain/>
      <paraID>243BC034</paraID>
      <start>35</start>
      <end>37</end>
      <status>modified</status>
      <modifiedWord>噪声</modifiedWord>
      <trackRevisions>false</trackRevisions>
    </reviewItem>
    <reviewItem>
      <errorID>1d861ce6-61b2-4946-a221-4fdab376119e</errorID>
      <errorWord>配戴</errorWord>
      <group>L1_Word</group>
      <groupName>字词问题</groupName>
      <ability>L2_Alias</ability>
      <abilityName>也作/曾用词</abilityName>
      <candidateList>
        <item>佩戴</item>
      </candidateList>
      <explain>词汇[配戴]为不规范表述或旧称，其规范书面表述为[佩戴]。</explain>
      <paraID>2DB5405C</paraID>
      <start>57</start>
      <end>59</end>
      <status>modified</status>
      <modifiedWord>佩戴</modifiedWord>
      <trackRevisions>false</trackRevisions>
    </reviewItem>
    <reviewItem>
      <errorID>05903f6a-1265-49e4-a4a9-baa2789c3d50</errorID>
      <errorWord>珍惜</errorWord>
      <group>L1_Word</group>
      <groupName>字词问题</groupName>
      <ability>L2_Typo</ability>
      <abilityName>字词错误</abilityName>
      <candidateList>
        <item>珍稀</item>
      </candidateList>
      <explain/>
      <paraID>6FD59B33</paraID>
      <start>201</start>
      <end>203</end>
      <status>modified</status>
      <modifiedWord>珍稀</modifiedWord>
      <trackRevisions>false</trackRevisions>
    </reviewItem>
    <reviewItem>
      <errorID>9b4ffa0f-274e-405d-b012-ab03dd6f6f64</errorID>
      <errorWord>抛撒</errorWord>
      <group>L1_Word</group>
      <groupName>字词问题</groupName>
      <ability>L2_Typo</ability>
      <abilityName>字词错误</abilityName>
      <candidateList>
        <item>抛洒</item>
      </candidateList>
      <explain>存在发音相同字词的误用。</explain>
      <paraID>75A10616</paraID>
      <start>34</start>
      <end>36</end>
      <status>modified</status>
      <modifiedWord>抛洒</modifiedWord>
      <trackRevisions>false</trackRevisions>
    </reviewItem>
    <reviewItem>
      <errorID>8588ecd7-6a1b-400a-b54e-f90b92de8a7e</errorID>
      <errorWord>的</errorWord>
      <group>L1_Word</group>
      <groupName>字词问题</groupName>
      <ability>L2_DDD</ability>
      <abilityName>的地得用法</abilityName>
      <candidateList>
        <item>地</item>
      </candidateList>
      <explain/>
      <paraID>261107D0</paraID>
      <start>85</start>
      <end>86</end>
      <status>unmodified</status>
      <modifiedWord/>
      <trackRevisions>false</trackRevisions>
    </reviewItem>
    <reviewItem>
      <errorID>ba4ca8bf-2a55-4397-be29-3642872c1e2a</errorID>
      <errorWord>，</errorWord>
      <group>L1_Word</group>
      <groupName>字词问题</groupName>
      <ability>L2_Typo</ability>
      <abilityName>字词错误</abilityName>
      <candidateList>
        <item>，针</item>
      </candidateList>
      <explain/>
      <paraID>4BEC8D62</paraID>
      <start>175</start>
      <end>176</end>
      <status>unmodified</status>
      <modifiedWord/>
      <trackRevisions>false</trackRevisions>
    </reviewItem>
    <reviewItem>
      <errorID>9296c938-54ad-4971-b054-e529ccae7df8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45E5C035</paraID>
      <start>0</start>
      <end>2</end>
      <status>unmodified</status>
      <modifiedWord/>
      <trackRevisions>false</trackRevisions>
    </reviewItem>
    <reviewItem>
      <errorID>50691ec6-ceaf-49d2-b5fc-1af748ddd346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621BA89</paraID>
      <start>0</start>
      <end>2</end>
      <status>unmodified</status>
      <modifiedWord/>
      <trackRevisions>false</trackRevisions>
    </reviewItem>
    <reviewItem>
      <errorID>422074d1-1c8e-40eb-9d1a-de23560bcd64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37140AD3</paraID>
      <start>0</start>
      <end>2</end>
      <status>unmodified</status>
      <modifiedWord/>
      <trackRevisions>false</trackRevisions>
    </reviewItem>
    <reviewItem>
      <errorID>7df907a9-8830-4bcf-8f10-c4513c437f47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6AC1FC9A</paraID>
      <start>0</start>
      <end>2</end>
      <status>unmodified</status>
      <modifiedWord/>
      <trackRevisions>false</trackRevisions>
    </reviewItem>
    <reviewItem>
      <errorID>94398315-46ef-4dad-a986-d6f699c39293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473C28A</paraID>
      <start>0</start>
      <end>2</end>
      <status>unmodified</status>
      <modifiedWord/>
      <trackRevisions>false</trackRevisions>
    </reviewItem>
    <reviewItem>
      <errorID>e62de744-6b0d-4f2d-8761-4958e86f14fa</errorID>
      <errorWord>泄露</errorWord>
      <group>L1_Word</group>
      <groupName>字词问题</groupName>
      <ability>L2_Typo</ability>
      <abilityName>字词错误</abilityName>
      <candidateList>
        <item>泄漏</item>
      </candidateList>
      <explain>存在发音相同字词的误用。</explain>
      <paraID>3ED7734F</paraID>
      <start>163</start>
      <end>165</end>
      <status>modified</status>
      <modifiedWord>泄漏</modifiedWord>
      <trackRevisions>false</trackRevisions>
    </reviewItem>
    <reviewItem>
      <errorID>3a83ade2-7ead-498b-b2cc-7b243855878a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37CE581F</paraID>
      <start>0</start>
      <end>2</end>
      <status>unmodified</status>
      <modifiedWord/>
      <trackRevisions>false</trackRevisions>
    </reviewItem>
    <reviewItem>
      <errorID>ef840ba0-a2d5-48fd-86fc-d765adf7b124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699C4BC4</paraID>
      <start>0</start>
      <end>2</end>
      <status>unmodified</status>
      <modifiedWord/>
      <trackRevisions>false</trackRevisions>
    </reviewItem>
    <reviewItem>
      <errorID>f8729d73-97e9-4427-98e3-670431ce8163</errorID>
      <errorWord>区内</errorWord>
      <group>L1_Word</group>
      <groupName>字词问题</groupName>
      <ability>L2_Typo</ability>
      <abilityName>字词错误</abilityName>
      <candidateList>
        <item>内</item>
      </candidateList>
      <explain/>
      <paraID>7F57FC54</paraID>
      <start>48</start>
      <end>49</end>
      <status>modified</status>
      <modifiedWord>内</modifiedWord>
      <trackRevisions>false</trackRevisions>
    </reviewItem>
    <reviewItem>
      <errorID>13357d5e-7550-4230-8ae5-606e759fbc89</errorID>
      <errorWord>：</errorWord>
      <group>L1_Format</group>
      <groupName>格式问题</groupName>
      <ability>L2_HalfPunc_CN</ability>
      <abilityName>全半角问题</abilityName>
      <candidateList>
        <item>:</item>
      </candidateList>
      <explain>文本全半角错误。</explain>
      <paraID>7F57FC54</paraID>
      <start>131</start>
      <end>132</end>
      <status>unmodified</status>
      <modifiedWord/>
      <trackRevisions>false</trackRevisions>
    </reviewItem>
    <reviewItem>
      <errorID>94dc4f1f-6657-474e-bb46-524d0747d57e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422FC448</paraID>
      <start>0</start>
      <end>2</end>
      <status>unmodified</status>
      <modifiedWord/>
      <trackRevisions>false</trackRevisions>
    </reviewItem>
    <reviewItem>
      <errorID>3d3f60ec-3de0-41f5-a174-8b266c0d9246</errorID>
      <errorWord>（</errorWord>
      <group>L1_Format</group>
      <groupName>格式问题</groupName>
      <ability>L2_HalfPunc_CN</ability>
      <abilityName>全半角问题</abilityName>
      <candidateList>
        <item>(</item>
      </candidateList>
      <explain>文本全半角错误。</explain>
      <paraID>62BAAC51</paraID>
      <start>5</start>
      <end>6</end>
      <status>unmodified</status>
      <modifiedWord/>
      <trackRevisions>false</trackRevisions>
    </reviewItem>
    <reviewItem>
      <errorID>99c99140-059c-4c06-b5d7-df4373fb4cc2</errorID>
      <errorWord>）</errorWord>
      <group>L1_Format</group>
      <groupName>格式问题</groupName>
      <ability>L2_HalfPunc_CN</ability>
      <abilityName>全半角问题</abilityName>
      <candidateList>
        <item>)</item>
      </candidateList>
      <explain>文本全半角错误。</explain>
      <paraID>62BAAC51</paraID>
      <start>9</start>
      <end>10</end>
      <status>unmodified</status>
      <modifiedWord/>
      <trackRevisions>false</trackRevisions>
    </reviewItem>
    <reviewItem>
      <errorID>fbe32d6d-ce92-4343-bff4-081335ce3f2f</errorID>
      <errorWord>（</errorWord>
      <group>L1_Format</group>
      <groupName>格式问题</groupName>
      <ability>L2_HalfPunc_CN</ability>
      <abilityName>全半角问题</abilityName>
      <candidateList>
        <item>(</item>
      </candidateList>
      <explain>文本全半角错误。</explain>
      <paraID>7978040F</paraID>
      <start>8</start>
      <end>9</end>
      <status>unmodified</status>
      <modifiedWord/>
      <trackRevisions>false</trackRevisions>
    </reviewItem>
    <reviewItem>
      <errorID>34ae24d5-2e63-45c3-9044-6338883bc441</errorID>
      <errorWord>）</errorWord>
      <group>L1_Format</group>
      <groupName>格式问题</groupName>
      <ability>L2_HalfPunc_CN</ability>
      <abilityName>全半角问题</abilityName>
      <candidateList>
        <item>)</item>
      </candidateList>
      <explain>文本全半角错误。</explain>
      <paraID>7978040F</paraID>
      <start>12</start>
      <end>13</end>
      <status>unmodified</status>
      <modifiedWord/>
      <trackRevisions>false</trackRevisions>
    </reviewItem>
    <reviewItem>
      <errorID>71069a51-7bd4-49ea-affb-b020b1ac2c70</errorID>
      <errorWord>（</errorWord>
      <group>L1_Format</group>
      <groupName>格式问题</groupName>
      <ability>L2_HalfPunc_CN</ability>
      <abilityName>全半角问题</abilityName>
      <candidateList>
        <item>(</item>
      </candidateList>
      <explain>文本全半角错误。</explain>
      <paraID>29EE909F</paraID>
      <start>8</start>
      <end>9</end>
      <status>unmodified</status>
      <modifiedWord/>
      <trackRevisions>false</trackRevisions>
    </reviewItem>
    <reviewItem>
      <errorID>d7cbfaf4-3af9-4d9e-936c-a383db45f7bb</errorID>
      <errorWord>）</errorWord>
      <group>L1_Format</group>
      <groupName>格式问题</groupName>
      <ability>L2_HalfPunc_CN</ability>
      <abilityName>全半角问题</abilityName>
      <candidateList>
        <item>)</item>
      </candidateList>
      <explain>文本全半角错误。</explain>
      <paraID>29EE909F</paraID>
      <start>12</start>
      <end>13</end>
      <status>unmodified</status>
      <modifiedWord/>
      <trackRevisions>false</trackRevisions>
    </reviewItem>
    <reviewItem>
      <errorID>8363d02e-d71a-40a6-addb-4dc40bfa0efe</errorID>
      <errorWord>（</errorWord>
      <group>L1_Format</group>
      <groupName>格式问题</groupName>
      <ability>L2_HalfPunc_CN</ability>
      <abilityName>全半角问题</abilityName>
      <candidateList>
        <item>(</item>
      </candidateList>
      <explain>文本全半角错误。</explain>
      <paraID>1742069B</paraID>
      <start>5</start>
      <end>6</end>
      <status>unmodified</status>
      <modifiedWord/>
      <trackRevisions>false</trackRevisions>
    </reviewItem>
    <reviewItem>
      <errorID>ad1c29a8-8072-48cd-932d-1c8e1e0d21f3</errorID>
      <errorWord>）</errorWord>
      <group>L1_Format</group>
      <groupName>格式问题</groupName>
      <ability>L2_HalfPunc_CN</ability>
      <abilityName>全半角问题</abilityName>
      <candidateList>
        <item>)</item>
      </candidateList>
      <explain>文本全半角错误。</explain>
      <paraID>1742069B</paraID>
      <start>8</start>
      <end>9</end>
      <status>unmodified</status>
      <modifiedWord/>
      <trackRevisions>false</trackRevisions>
    </reviewItem>
    <reviewItem>
      <errorID>f7c75bed-5cf4-432b-b353-ea17da32fe02</errorID>
      <errorWord>（</errorWord>
      <group>L1_Format</group>
      <groupName>格式问题</groupName>
      <ability>L2_HalfPunc_CN</ability>
      <abilityName>全半角问题</abilityName>
      <candidateList>
        <item>(</item>
      </candidateList>
      <explain>文本全半角错误。</explain>
      <paraID>436E28A3</paraID>
      <start>5</start>
      <end>6</end>
      <status>unmodified</status>
      <modifiedWord/>
      <trackRevisions>false</trackRevisions>
    </reviewItem>
    <reviewItem>
      <errorID>7983961c-999c-4fc5-af4e-bcede5543be1</errorID>
      <errorWord>）</errorWord>
      <group>L1_Format</group>
      <groupName>格式问题</groupName>
      <ability>L2_HalfPunc_CN</ability>
      <abilityName>全半角问题</abilityName>
      <candidateList>
        <item>)</item>
      </candidateList>
      <explain>文本全半角错误。</explain>
      <paraID>436E28A3</paraID>
      <start>8</start>
      <end>9</end>
      <status>unmodified</status>
      <modifiedWord/>
      <trackRevisions>false</trackRevisions>
    </reviewItem>
    <reviewItem>
      <errorID>c720585f-f081-40d3-a591-e2f3d651741c</errorID>
      <errorWord>（</errorWord>
      <group>L1_Format</group>
      <groupName>格式问题</groupName>
      <ability>L2_HalfPunc_CN</ability>
      <abilityName>全半角问题</abilityName>
      <candidateList>
        <item>(</item>
      </candidateList>
      <explain>文本全半角错误。</explain>
      <paraID>20332E40</paraID>
      <start>5</start>
      <end>6</end>
      <status>unmodified</status>
      <modifiedWord/>
      <trackRevisions>false</trackRevisions>
    </reviewItem>
    <reviewItem>
      <errorID>5d52f8cd-fb6a-4fec-aa41-915dd28425c6</errorID>
      <errorWord>）</errorWord>
      <group>L1_Format</group>
      <groupName>格式问题</groupName>
      <ability>L2_HalfPunc_CN</ability>
      <abilityName>全半角问题</abilityName>
      <candidateList>
        <item>)</item>
      </candidateList>
      <explain>文本全半角错误。</explain>
      <paraID>20332E40</paraID>
      <start>8</start>
      <end>9</end>
      <status>unmodified</status>
      <modifiedWord/>
      <trackRevisions>false</trackRevisions>
    </reviewItem>
    <reviewItem>
      <errorID>f620ca00-4179-4dbd-9c1a-5eb9d4ea3c2d</errorID>
      <errorWord>III类</errorWord>
      <group>L1_Knowledge</group>
      <groupName>知识性问题</groupName>
      <ability>L2_Knowledge</ability>
      <abilityName>其他知识</abilityName>
      <candidateList>
        <item>Ⅲ类</item>
      </candidateList>
      <explain>中文环境下罗马数字格式错误。</explain>
      <paraID>3B92D4D2</paraID>
      <start>109</start>
      <end>113</end>
      <status>unmodified</status>
      <modifiedWord/>
      <trackRevisions>false</trackRevisions>
    </reviewItem>
    <reviewItem>
      <errorID>6be93e2a-b08e-4b1a-9660-2b99cf3de3c3</errorID>
      <errorWord>III类</errorWord>
      <group>L1_Knowledge</group>
      <groupName>知识性问题</groupName>
      <ability>L2_Knowledge</ability>
      <abilityName>其他知识</abilityName>
      <candidateList>
        <item>Ⅲ类</item>
      </candidateList>
      <explain>中文环境下罗马数字格式错误。</explain>
      <paraID>3B92D4D2</paraID>
      <start>179</start>
      <end>183</end>
      <status>unmodified</status>
      <modifiedWord/>
      <trackRevisions>false</trackRevisions>
    </reviewItem>
    <reviewItem>
      <errorID>966e5517-cbfd-441e-a697-5347079ecf9a</errorID>
      <errorWord>III类</errorWord>
      <group>L1_Knowledge</group>
      <groupName>知识性问题</groupName>
      <ability>L2_Knowledge</ability>
      <abilityName>其他知识</abilityName>
      <candidateList>
        <item>Ⅲ类</item>
      </candidateList>
      <explain>中文环境下罗马数字格式错误。</explain>
      <paraID>3B92D4D2</paraID>
      <start>259</start>
      <end>263</end>
      <status>unmodified</status>
      <modifiedWord/>
      <trackRevisions>false</trackRevisions>
    </reviewItem>
    <reviewItem>
      <errorID>a6b1e112-4689-4b2c-b7ce-07f19463cd82</errorID>
      <errorWord>III类</errorWord>
      <group>L1_Knowledge</group>
      <groupName>知识性问题</groupName>
      <ability>L2_Knowledge</ability>
      <abilityName>其他知识</abilityName>
      <candidateList>
        <item>Ⅲ类</item>
      </candidateList>
      <explain>中文环境下罗马数字格式错误。</explain>
      <paraID>3B92D4D2</paraID>
      <start>329</start>
      <end>333</end>
      <status>unmodified</status>
      <modifiedWord/>
      <trackRevisions>false</trackRevisions>
    </reviewItem>
    <reviewItem>
      <errorID>54b5d8c9-b592-4a56-b648-8971e0a2ded1</errorID>
      <errorWord>III类</errorWord>
      <group>L1_Knowledge</group>
      <groupName>知识性问题</groupName>
      <ability>L2_Knowledge</ability>
      <abilityName>其他知识</abilityName>
      <candidateList>
        <item>Ⅲ类</item>
      </candidateList>
      <explain>中文环境下罗马数字格式错误。</explain>
      <paraID>3B92D4D2</paraID>
      <start>408</start>
      <end>412</end>
      <status>unmodified</status>
      <modifiedWord/>
      <trackRevisions>false</trackRevisions>
    </reviewItem>
    <reviewItem>
      <errorID>abb4056a-ccd0-4eac-be05-a125778e029a</errorID>
      <errorWord>III类</errorWord>
      <group>L1_Knowledge</group>
      <groupName>知识性问题</groupName>
      <ability>L2_Knowledge</ability>
      <abilityName>其他知识</abilityName>
      <candidateList>
        <item>Ⅲ类</item>
      </candidateList>
      <explain>中文环境下罗马数字格式错误。</explain>
      <paraID>3B92D4D2</paraID>
      <start>478</start>
      <end>482</end>
      <status>unmodified</status>
      <modifiedWord/>
      <trackRevisions>false</trackRevisions>
    </reviewItem>
    <reviewItem>
      <errorID>984a3383-1cae-4a32-b87b-ad1d3f9eeba3</errorID>
      <errorWord>(</errorWord>
      <group>L1_Format</group>
      <groupName>格式问题</groupName>
      <ability>L2_HalfPunc_CN</ability>
      <abilityName>全半角问题</abilityName>
      <candidateList>
        <item>（</item>
      </candidateList>
      <explain>文本全半角错误。</explain>
      <paraID>78F9E12B</paraID>
      <start>52</start>
      <end>53</end>
      <status>unmodified</status>
      <modifiedWord/>
      <trackRevisions>false</trackRevisions>
    </reviewItem>
    <reviewItem>
      <errorID>92580881-2e67-4026-9569-5c1fe37bdb7d</errorID>
      <errorWord>)</errorWord>
      <group>L1_Format</group>
      <groupName>格式问题</groupName>
      <ability>L2_HalfPunc_CN</ability>
      <abilityName>全半角问题</abilityName>
      <candidateList>
        <item>）</item>
      </candidateList>
      <explain>文本全半角错误。</explain>
      <paraID>78F9E12B</paraID>
      <start>63</start>
      <end>64</end>
      <status>unmodified</status>
      <modifiedWord/>
      <trackRevisions>false</trackRevisions>
    </reviewItem>
    <reviewItem>
      <errorID>63ab015b-5ee2-40c1-94ba-53668584e24d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99FAC73</paraID>
      <start>0</start>
      <end>2</end>
      <status>unmodified</status>
      <modifiedWord/>
      <trackRevisions>false</trackRevisions>
    </reviewItem>
    <reviewItem>
      <errorID>c2ea5b20-5da7-4481-ae92-3dd776a2f691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55C494FC</paraID>
      <start>0</start>
      <end>2</end>
      <status>unmodified</status>
      <modifiedWord/>
      <trackRevisions>false</trackRevisions>
    </reviewItem>
    <reviewItem>
      <errorID>c55d1347-e7a0-4995-b92d-35264f0579ea</errorID>
      <errorWord>工</errorWord>
      <group>L1_Word</group>
      <groupName>字词问题</groupName>
      <ability>L2_Typo</ability>
      <abilityName>字词错误</abilityName>
      <candidateList>
        <item>工作</item>
      </candidateList>
      <explain/>
      <paraID>43402372</paraID>
      <start>31</start>
      <end>33</end>
      <status>modified</status>
      <modifiedWord>工作</modifiedWord>
      <trackRevisions>false</trackRevisions>
    </reviewItem>
    <reviewItem>
      <errorID>c05297e4-0200-4130-870f-c34b14d80d8a</errorID>
      <errorWord>(</errorWord>
      <group>L1_Format</group>
      <groupName>格式问题</groupName>
      <ability>L2_HalfPunc_CN</ability>
      <abilityName>全半角问题</abilityName>
      <candidateList>
        <item>（</item>
      </candidateList>
      <explain>文本全半角错误。</explain>
      <paraID>183C2AD1</paraID>
      <start>91</start>
      <end>92</end>
      <status>unmodified</status>
      <modifiedWord/>
      <trackRevisions>false</trackRevisions>
    </reviewItem>
    <reviewItem>
      <errorID>739cd917-927b-41df-ae10-bb3af0ce8b0c</errorID>
      <errorWord>)</errorWord>
      <group>L1_Format</group>
      <groupName>格式问题</groupName>
      <ability>L2_HalfPunc_CN</ability>
      <abilityName>全半角问题</abilityName>
      <candidateList>
        <item>）</item>
      </candidateList>
      <explain>文本全半角错误。</explain>
      <paraID>183C2AD1</paraID>
      <start>104</start>
      <end>105</end>
      <status>unmodified</status>
      <modifiedWord/>
      <trackRevisions>false</trackRevisions>
    </reviewItem>
    <reviewItem>
      <errorID>5fbd3fb4-6c37-474e-994f-d2c8d92a29ee</errorID>
      <errorWord>(</errorWord>
      <group>L1_Format</group>
      <groupName>格式问题</groupName>
      <ability>L2_HalfPunc_CN</ability>
      <abilityName>全半角问题</abilityName>
      <candidateList>
        <item>（</item>
      </candidateList>
      <explain>文本全半角错误。</explain>
      <paraID>5A3985A2</paraID>
      <start>22</start>
      <end>23</end>
      <status>unmodified</status>
      <modifiedWord/>
      <trackRevisions>false</trackRevisions>
    </reviewItem>
    <reviewItem>
      <errorID>e8e1aeb9-2ba3-4578-99f3-836949a74844</errorID>
      <errorWord>)</errorWord>
      <group>L1_Format</group>
      <groupName>格式问题</groupName>
      <ability>L2_HalfPunc_CN</ability>
      <abilityName>全半角问题</abilityName>
      <candidateList>
        <item>）</item>
      </candidateList>
      <explain>文本全半角错误。</explain>
      <paraID>5A3985A2</paraID>
      <start>28</start>
      <end>29</end>
      <status>unmodified</status>
      <modifiedWord/>
      <trackRevisions>false</trackRevisions>
    </reviewItem>
    <reviewItem>
      <errorID>bbc7f9fb-0de9-4342-83aa-17289c98bd3c</errorID>
      <errorWord>)</errorWord>
      <group>L1_Format</group>
      <groupName>格式问题</groupName>
      <ability>L2_HalfPunc_CN</ability>
      <abilityName>全半角问题</abilityName>
      <candidateList>
        <item>）</item>
      </candidateList>
      <explain>文本全半角错误。</explain>
      <paraID>5A3985A2</paraID>
      <start>39</start>
      <end>40</end>
      <status>unmodified</status>
      <modifiedWord/>
      <trackRevisions>false</trackRevisions>
    </reviewItem>
    <reviewItem>
      <errorID>61a262b4-fb72-44f5-aace-7c4d07dfa6e5</errorID>
      <errorWord>(</errorWord>
      <group>L1_Format</group>
      <groupName>格式问题</groupName>
      <ability>L2_HalfPunc_CN</ability>
      <abilityName>全半角问题</abilityName>
      <candidateList>
        <item>（</item>
      </candidateList>
      <explain>文本全半角错误。</explain>
      <paraID>2749902F</paraID>
      <start>20</start>
      <end>21</end>
      <status>unmodified</status>
      <modifiedWord/>
      <trackRevisions>false</trackRevisions>
    </reviewItem>
    <reviewItem>
      <errorID>26c262e5-ea5e-425e-baf5-7d7336359f28</errorID>
      <errorWord>)</errorWord>
      <group>L1_Format</group>
      <groupName>格式问题</groupName>
      <ability>L2_HalfPunc_CN</ability>
      <abilityName>全半角问题</abilityName>
      <candidateList>
        <item>）</item>
      </candidateList>
      <explain>文本全半角错误。</explain>
      <paraID>2749902F</paraID>
      <start>31</start>
      <end>32</end>
      <status>unmodified</status>
      <modifiedWord/>
      <trackRevisions>false</trackRevisions>
    </reviewItem>
    <reviewItem>
      <errorID>eb56572f-d4d8-4881-95d9-8dcc02f04dd3</errorID>
      <errorWord>)</errorWord>
      <group>L1_Format</group>
      <groupName>格式问题</groupName>
      <ability>L2_HalfPunc_CN</ability>
      <abilityName>全半角问题</abilityName>
      <candidateList>
        <item>）</item>
      </candidateList>
      <explain>文本全半角错误。</explain>
      <paraID>2749902F</paraID>
      <start>61</start>
      <end>62</end>
      <status>unmodified</status>
      <modifiedWord/>
      <trackRevisions>false</trackRevisions>
    </reviewItem>
    <reviewItem>
      <errorID>4698a42c-8720-4d71-ace5-56fe08982f69</errorID>
      <errorWord>)</errorWord>
      <group>L1_Format</group>
      <groupName>格式问题</groupName>
      <ability>L2_HalfPunc_CN</ability>
      <abilityName>全半角问题</abilityName>
      <candidateList>
        <item>）</item>
      </candidateList>
      <explain>文本全半角错误。</explain>
      <paraID>541EA353</paraID>
      <start>27</start>
      <end>28</end>
      <status>unmodified</status>
      <modifiedWord/>
      <trackRevisions>false</trackRevisions>
    </reviewItem>
    <reviewItem>
      <errorID>f8d39fd0-de7c-4069-b00a-049edb7b7992</errorID>
      <errorWord>)</errorWord>
      <group>L1_Format</group>
      <groupName>格式问题</groupName>
      <ability>L2_HalfPunc_CN</ability>
      <abilityName>全半角问题</abilityName>
      <candidateList>
        <item>）</item>
      </candidateList>
      <explain>文本全半角错误。</explain>
      <paraID> AAFE1C2</paraID>
      <start>13</start>
      <end>14</end>
      <status>unmodified</status>
      <modifiedWord/>
      <trackRevisions>false</trackRevisions>
    </reviewItem>
    <reviewItem>
      <errorID>616641ef-8a53-4e07-b456-7fdb58c36da3</errorID>
      <errorWord>~</errorWord>
      <group>L1_Format</group>
      <groupName>格式问题</groupName>
      <ability>L2_HalfPunc_CN</ability>
      <abilityName>全半角问题</abilityName>
      <candidateList>
        <item>～</item>
      </candidateList>
      <explain>文本全半角错误。</explain>
      <paraID>77997B80</paraID>
      <start>16</start>
      <end>17</end>
      <status>unmodified</status>
      <modifiedWord/>
      <trackRevisions>false</trackRevisions>
    </reviewItem>
    <reviewItem>
      <errorID>6ec6cedd-913d-40b1-8785-8d0588452f6b</errorID>
      <errorWord>结果表</errorWord>
      <group>L1_Word</group>
      <groupName>字词问题</groupName>
      <ability>L2_Typo</ability>
      <abilityName>字词错误</abilityName>
      <candidateList>
        <item>结果</item>
      </candidateList>
      <explain/>
      <paraID>77997B80</paraID>
      <start>44</start>
      <end>47</end>
      <status>unmodified</status>
      <modifiedWord/>
      <trackRevisions>false</trackRevisions>
    </reviewItem>
    <reviewItem>
      <errorID>e8004cc0-c5d3-438b-a7d3-96cca9e5dddd</errorID>
      <errorWord>~</errorWord>
      <group>L1_Format</group>
      <groupName>格式问题</groupName>
      <ability>L2_HalfPunc_CN</ability>
      <abilityName>全半角问题</abilityName>
      <candidateList>
        <item>～</item>
      </candidateList>
      <explain>文本全半角错误。</explain>
      <paraID>403DB644</paraID>
      <start>31</start>
      <end>32</end>
      <status>unmodified</status>
      <modifiedWord/>
      <trackRevisions>false</trackRevisions>
    </reviewItem>
    <reviewItem>
      <errorID>a1293d2c-d1c1-41d4-994d-94feb294e11b</errorID>
      <errorWord>(</errorWord>
      <group>L1_Format</group>
      <groupName>格式问题</groupName>
      <ability>L2_HalfPunc_CN</ability>
      <abilityName>全半角问题</abilityName>
      <candidateList>
        <item>（</item>
      </candidateList>
      <explain>文本全半角错误。</explain>
      <paraID>403DB644</paraID>
      <start>57</start>
      <end>58</end>
      <status>unmodified</status>
      <modifiedWord/>
      <trackRevisions>false</trackRevisions>
    </reviewItem>
    <reviewItem>
      <errorID>1a9ffee2-25dd-4fc9-8083-e2c7e4568c09</errorID>
      <errorWord>资源化、减量化、无害化</errorWord>
      <group>L1_Political</group>
      <groupName>政治性问题</groupName>
      <ability>L2_Keyword</ability>
      <abilityName>固定表述</abilityName>
      <candidateList>
        <item>减量化、资源化、无害化</item>
      </candidateList>
      <explain>词汇“减量化、资源化、无害化”在特定场景下为固定表述形式，请确认此处的“资源化、减量化、无害化”是否存在不当。</explain>
      <paraID>3C3AF3D5</paraID>
      <start>7</start>
      <end>18</end>
      <status>unmodified</status>
      <modifiedWord/>
      <trackRevisions>false</trackRevisions>
    </reviewItem>
    <reviewItem>
      <errorID>8a6a5dcc-941f-4dca-8b15-05e9d95230ba</errorID>
      <errorWord>程</errorWord>
      <group>L1_Word</group>
      <groupName>字词问题</groupName>
      <ability>L2_Typo</ability>
      <abilityName>字词错误</abilityName>
      <candidateList>
        <item>程中</item>
      </candidateList>
      <explain/>
      <paraID>5BEAE6E5</paraID>
      <start>65</start>
      <end>66</end>
      <status>unmodified</status>
      <modifiedWord/>
      <trackRevisions>false</trackRevisions>
    </reviewItem>
    <reviewItem>
      <errorID>f38e4eb4-609b-497d-82aa-75a4c33c4d0e</errorID>
      <errorWord>其它</errorWord>
      <group>L1_Word</group>
      <groupName>字词问题</groupName>
      <ability>L2_Alias</ability>
      <abilityName>也作/曾用词</abilityName>
      <candidateList>
        <item>其他</item>
      </candidateList>
      <explain>词汇[其它]为不规范表述或旧称，其规范书面表述为[其他]。</explain>
      <paraID>11B8C61E</paraID>
      <start>0</start>
      <end>2</end>
      <status>unmodified</status>
      <modifiedWord/>
      <trackRevisions>false</trackRevisions>
    </reviewItem>
    <reviewItem>
      <errorID>4d65bc68-8ec2-4230-8c0a-03f1434eee05</errorID>
      <errorWord>本次</errorWord>
      <group>L1_Word</group>
      <groupName>字词问题</groupName>
      <ability>L2_Typo</ability>
      <abilityName>字词错误</abilityName>
      <candidateList>
        <item>本文</item>
      </candidateList>
      <explain/>
      <paraID>15662479</paraID>
      <start>42</start>
      <end>44</end>
      <status>unmodified</status>
      <modifiedWord/>
      <trackRevisions>false</trackRevisions>
    </reviewItem>
    <reviewItem>
      <errorID>c2d19cdc-e6e2-45f9-a35b-64cec9eaa031</errorID>
      <errorWord>成为</errorWord>
      <group>L1_Word</group>
      <groupName>字词问题</groupName>
      <ability>L2_Typo</ability>
      <abilityName>字词错误</abilityName>
      <candidateList>
        <item>为</item>
      </candidateList>
      <explain/>
      <paraID> 57C6BC8</paraID>
      <start>112</start>
      <end>114</end>
      <status>unmodified</status>
      <modifiedWord/>
      <trackRevisions>false</trackRevisions>
    </reviewItem>
    <reviewItem>
      <errorID>b64e305d-9c82-4aab-b39d-66a123be99f4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37DF8042</paraID>
      <start>0</start>
      <end>2</end>
      <status>unmodified</status>
      <modifiedWord/>
      <trackRevisions>false</trackRevisions>
    </reviewItem>
    <reviewItem>
      <errorID>be937333-98de-4ab2-89e0-adddc6421dad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161ABB7</paraID>
      <start>0</start>
      <end>2</end>
      <status>unmodified</status>
      <modifiedWord/>
      <trackRevisions>false</trackRevisions>
    </reviewItem>
    <reviewItem>
      <errorID>816a20b1-c039-4c71-abdd-90bb84f45987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2373EDAD</paraID>
      <start>0</start>
      <end>2</end>
      <status>unmodified</status>
      <modifiedWord/>
      <trackRevisions>false</trackRevisions>
    </reviewItem>
    <reviewItem>
      <errorID>dd3377aa-8b6a-4587-aaae-196e6f06c06f</errorID>
      <errorWord>)</errorWord>
      <group>L1_Format</group>
      <groupName>格式问题</groupName>
      <ability>L2_HalfPunc_CN</ability>
      <abilityName>全半角问题</abilityName>
      <candidateList>
        <item>）</item>
      </candidateList>
      <explain>文本全半角错误。</explain>
      <paraID>767911F1</paraID>
      <start>65</start>
      <end>66</end>
      <status>unmodified</status>
      <modifiedWord/>
      <trackRevisions>false</trackRevisions>
    </reviewItem>
    <reviewItem>
      <errorID>2954e2af-1e9d-4601-b3d8-b48db222dfea</errorID>
      <errorWord>定为</errorWord>
      <group>L1_Word</group>
      <groupName>字词问题</groupName>
      <ability>L2_Typo</ability>
      <abilityName>字词错误</abilityName>
      <candidateList>
        <item>为</item>
      </candidateList>
      <explain/>
      <paraID> 3BE9969</paraID>
      <start>29</start>
      <end>31</end>
      <status>unmodified</status>
      <modifiedWord/>
      <trackRevisions>false</trackRevisions>
    </reviewItem>
    <reviewItem>
      <errorID>9bac3304-bae2-441f-9f71-7619befce00d</errorID>
      <errorWord>的</errorWord>
      <group>L1_Word</group>
      <groupName>字词问题</groupName>
      <ability>L2_DDD</ability>
      <abilityName>的地得用法</abilityName>
      <candidateList>
        <item>地</item>
      </candidateList>
      <explain/>
      <paraID> 16EEB02</paraID>
      <start>265</start>
      <end>266</end>
      <status>unmodified</status>
      <modifiedWord/>
      <trackRevisions>false</trackRevisions>
    </reviewItem>
    <reviewItem>
      <errorID>634e7efd-14b6-4684-aa0d-fb7f4074fc95</errorID>
      <errorWord>(</errorWord>
      <group>L1_Format</group>
      <groupName>格式问题</groupName>
      <ability>L2_HalfPunc_CN</ability>
      <abilityName>全半角问题</abilityName>
      <candidateList>
        <item>（</item>
      </candidateList>
      <explain>文本全半角错误。</explain>
      <paraID>39BFB6F0</paraID>
      <start>9</start>
      <end>10</end>
      <status>unmodified</status>
      <modifiedWord/>
      <trackRevisions>false</trackRevisions>
    </reviewItem>
    <reviewItem>
      <errorID>c7cab830-f00e-4876-8f56-1a0c1b4ea887</errorID>
      <errorWord>)</errorWord>
      <group>L1_Format</group>
      <groupName>格式问题</groupName>
      <ability>L2_HalfPunc_CN</ability>
      <abilityName>全半角问题</abilityName>
      <candidateList>
        <item>）</item>
      </candidateList>
      <explain>文本全半角错误。</explain>
      <paraID>39BFB6F0</paraID>
      <start>18</start>
      <end>19</end>
      <status>unmodified</status>
      <modifiedWord/>
      <trackRevisions>false</trackRevisions>
    </reviewItem>
    <reviewItem>
      <errorID>31b4399c-30d7-46c7-860e-3807de56c730</errorID>
      <errorWord>(</errorWord>
      <group>L1_Format</group>
      <groupName>格式问题</groupName>
      <ability>L2_HalfPunc_CN</ability>
      <abilityName>全半角问题</abilityName>
      <candidateList>
        <item>（</item>
      </candidateList>
      <explain>文本全半角错误。</explain>
      <paraID>53C5C90F</paraID>
      <start>8</start>
      <end>9</end>
      <status>unmodified</status>
      <modifiedWord/>
      <trackRevisions>false</trackRevisions>
    </reviewItem>
    <reviewItem>
      <errorID>63540248-185b-4b16-9761-19fcc772e5fe</errorID>
      <errorWord>)</errorWord>
      <group>L1_Format</group>
      <groupName>格式问题</groupName>
      <ability>L2_HalfPunc_CN</ability>
      <abilityName>全半角问题</abilityName>
      <candidateList>
        <item>）</item>
      </candidateList>
      <explain>文本全半角错误。</explain>
      <paraID>53C5C90F</paraID>
      <start>17</start>
      <end>18</end>
      <status>unmodified</status>
      <modifiedWord/>
      <trackRevisions>false</trackRevisions>
    </reviewItem>
    <reviewItem>
      <errorID>1c38ed00-b96e-4399-a8dc-06b1c9d58389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6F0B1B4A</paraID>
      <start>0</start>
      <end>2</end>
      <status>unmodified</status>
      <modifiedWord/>
      <trackRevisions>false</trackRevisions>
    </reviewItem>
    <reviewItem>
      <errorID>8df15dd0-5602-4d39-b327-7a7674ce48f4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691D6926</paraID>
      <start>0</start>
      <end>2</end>
      <status>unmodified</status>
      <modifiedWord/>
      <trackRevisions>false</trackRevisions>
    </reviewItem>
    <reviewItem>
      <errorID>16b62b7f-6c17-4af9-b24c-dca9aa0655b0</errorID>
      <errorWord>在</errorWord>
      <group>L1_Word</group>
      <groupName>字词问题</groupName>
      <ability>L2_Typo</ability>
      <abilityName>字词错误</abilityName>
      <candidateList>
        <item>再</item>
      </candidateList>
      <explain>存在发音相同字词的误用。</explain>
      <paraID>1985E9C8</paraID>
      <start>109</start>
      <end>110</end>
      <status>unmodified</status>
      <modifiedWord/>
      <trackRevisions>false</trackRevisions>
    </reviewItem>
    <reviewItem>
      <errorID>05fd2b24-cb0c-4223-a743-2ec03cc1f314</errorID>
      <errorWord>，，</errorWord>
      <group>L1_Punc</group>
      <groupName>标点问题</groupName>
      <ability>L2_Punc_CN</ability>
      <abilityName>标点符号问题</abilityName>
      <candidateList>
        <item>，</item>
      </candidateList>
      <explain/>
      <paraID> F3FB5CD</paraID>
      <start>145</start>
      <end>147</end>
      <status>unmodified</status>
      <modifiedWord/>
      <trackRevisions>false</trackRevisions>
    </reviewItem>
    <reviewItem>
      <errorID>8b4bf4ff-d1a8-481f-8b32-855f5af82d39</errorID>
      <errorWord>注重</errorWord>
      <group>L1_Grammar</group>
      <groupName>语法问题</groupName>
      <ability>L2_Grammar</ability>
      <abilityName>语法错误</abilityName>
      <candidateList>
        <item>重视</item>
      </candidateList>
      <explain>“注重～工作”搭配不当，建议修改为“重视～工作”。</explain>
      <paraID> 69E2BF0</paraID>
      <start>47</start>
      <end>49</end>
      <status>unmodified</status>
      <modifiedWord/>
      <trackRevisions>false</trackRevisions>
    </reviewItem>
    <reviewItem>
      <errorID>9d9770bb-38a7-4739-aef2-80e1581ad1a3</errorID>
      <errorWord>(</errorWord>
      <group>L1_Format</group>
      <groupName>格式问题</groupName>
      <ability>L2_HalfPunc_CN</ability>
      <abilityName>全半角问题</abilityName>
      <candidateList>
        <item>（</item>
      </candidateList>
      <explain>文本全半角错误。</explain>
      <paraID>47FDA721</paraID>
      <start>78</start>
      <end>79</end>
      <status>unmodified</status>
      <modifiedWord/>
      <trackRevisions>false</trackRevisions>
    </reviewItem>
    <reviewItem>
      <errorID>ea04b085-36ef-4740-b151-44c15d154c76</errorID>
      <errorWord>)</errorWord>
      <group>L1_Format</group>
      <groupName>格式问题</groupName>
      <ability>L2_HalfPunc_CN</ability>
      <abilityName>全半角问题</abilityName>
      <candidateList>
        <item>）</item>
      </candidateList>
      <explain>文本全半角错误。</explain>
      <paraID>47FDA721</paraID>
      <start>91</start>
      <end>92</end>
      <status>unmodified</status>
      <modifiedWord/>
      <trackRevisions>false</trackRevisions>
    </reviewItem>
    <reviewItem>
      <errorID>fa47cb5b-058e-4651-b28d-4e33399c154f</errorID>
      <errorWord>成</errorWord>
      <group>L1_Word</group>
      <groupName>字词问题</groupName>
      <ability>L2_Typo</ability>
      <abilityName>字词错误</abilityName>
      <candidateList>
        <item>成后</item>
      </candidateList>
      <explain/>
      <paraID>5F918076</paraID>
      <start>17</start>
      <end>18</end>
      <status>unmodified</status>
      <modifiedWord/>
      <trackRevisions>false</trackRevisions>
    </reviewItem>
    <reviewItem>
      <errorID>3abe0d09-20dc-48a0-9ac1-46617680a58d</errorID>
      <errorWord>加强</errorWord>
      <group>L1_Grammar</group>
      <groupName>语法问题</groupName>
      <ability>L2_Grammar</ability>
      <abilityName>语法错误</abilityName>
      <candidateList>
        <item>加大</item>
      </candidateList>
      <explain>“加强～力度”搭配不当，建议修改为“加大～力度”。</explain>
      <paraID> BFBB566</paraID>
      <start>52</start>
      <end>54</end>
      <status>unmodified</status>
      <modifiedWord/>
      <trackRevisions>false</trackRevisions>
    </reviewItem>
    <reviewItem>
      <errorID>6888d0d8-de74-4903-b87a-4b62b3b90e27</errorID>
      <errorWord>最小</errorWord>
      <group>L1_Word</group>
      <groupName>字词问题</groupName>
      <ability>L2_Typo</ability>
      <abilityName>字词错误</abilityName>
      <candidateList>
        <item>最低</item>
      </candidateList>
      <explain/>
      <paraID>587F073C</paraID>
      <start>32</start>
      <end>34</end>
      <status>unmodified</status>
      <modifiedWord/>
      <trackRevisions>false</trackRevisions>
    </reviewItem>
    <reviewItem>
      <errorID>d66394cf-dcdf-4bc3-af42-9f3130ae9ee6</errorID>
      <errorWord>撒落</errorWord>
      <group>L1_Word</group>
      <groupName>字词问题</groupName>
      <ability>L2_Typo</ability>
      <abilityName>字词错误</abilityName>
      <candidateList>
        <item>洒落</item>
      </candidateList>
      <explain/>
      <paraID>465CE29B</paraID>
      <start>66</start>
      <end>68</end>
      <status>modified</status>
      <modifiedWord>洒落</modifiedWord>
      <trackRevisions>false</trackRevisions>
    </reviewItem>
    <reviewItem>
      <errorID>2710bff1-3ef7-4dbf-8c11-0e73ec2498b9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5AB90A38</paraID>
      <start>0</start>
      <end>2</end>
      <status>unmodified</status>
      <modifiedWord/>
      <trackRevisions>false</trackRevisions>
    </reviewItem>
    <reviewItem>
      <errorID>96d97d71-8e70-4c6c-ac31-17d8ac772f15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220D91F5</paraID>
      <start>0</start>
      <end>2</end>
      <status>unmodified</status>
      <modifiedWord/>
      <trackRevisions>false</trackRevisions>
    </reviewItem>
    <reviewItem>
      <errorID>1aa3928c-1c6b-445e-9c79-83e03c2c847a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5D53B59F</paraID>
      <start>0</start>
      <end>2</end>
      <status>unmodified</status>
      <modifiedWord/>
      <trackRevisions>false</trackRevisions>
    </reviewItem>
    <reviewItem>
      <errorID>f2bf15b7-d15a-447c-b71b-6b5edcf70b98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7EFCF430</paraID>
      <start>0</start>
      <end>2</end>
      <status>unmodified</status>
      <modifiedWord/>
      <trackRevisions>false</trackRevisions>
    </reviewItem>
    <reviewItem>
      <errorID>bebe198e-7203-4e57-8cf3-d664a6cb161d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3BC4194F</paraID>
      <start>0</start>
      <end>2</end>
      <status>unmodified</status>
      <modifiedWord/>
      <trackRevisions>false</trackRevisions>
    </reviewItem>
    <reviewItem>
      <errorID>744922cf-0b62-4024-a609-a778821c27d4</errorID>
      <errorWord>的</errorWord>
      <group>L1_Word</group>
      <groupName>字词问题</groupName>
      <ability>L2_DDD</ability>
      <abilityName>的地得用法</abilityName>
      <candidateList>
        <item>地</item>
      </candidateList>
      <explain/>
      <paraID>49DC3C81</paraID>
      <start>35</start>
      <end>36</end>
      <status>unmodified</status>
      <modifiedWord/>
      <trackRevisions>false</trackRevisions>
    </reviewItem>
    <reviewItem>
      <errorID>c38705ca-cc89-4f62-87ec-3a1099c04237</errorID>
      <errorWord>防止</errorWord>
      <group>L1_Word</group>
      <groupName>字词问题</groupName>
      <ability>L2_Typo</ability>
      <abilityName>字词错误</abilityName>
      <candidateList>
        <item>防治</item>
      </candidateList>
      <explain/>
      <paraID>655B9285</paraID>
      <start>7</start>
      <end>9</end>
      <status>unmodified</status>
      <modifiedWord/>
      <trackRevisions>false</trackRevisions>
    </reviewItem>
    <reviewItem>
      <errorID>bb752244-63ad-487f-9154-c65561f18531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368787CD</paraID>
      <start>0</start>
      <end>2</end>
      <status>unmodified</status>
      <modifiedWord/>
      <trackRevisions>false</trackRevisions>
    </reviewItem>
    <reviewItem>
      <errorID>69a69c0d-6716-4e8f-a02c-680b99f32c35</errorID>
      <errorWord>，</errorWord>
      <group>L1_Word</group>
      <groupName>字词问题</groupName>
      <ability>L2_Typo</ability>
      <abilityName>字词错误</abilityName>
      <candidateList>
        <item>，应</item>
      </candidateList>
      <explain/>
      <paraID>6BD9A4B9</paraID>
      <start>50</start>
      <end>51</end>
      <status>unmodified</status>
      <modifiedWord/>
      <trackRevisions>false</trackRevisions>
    </reviewItem>
    <reviewItem>
      <errorID>8fdef3f8-1286-44bf-b78e-810ccfeb2cf2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36BB122B</paraID>
      <start>0</start>
      <end>2</end>
      <status>unmodified</status>
      <modifiedWord/>
      <trackRevisions>false</trackRevisions>
    </reviewItem>
    <reviewItem>
      <errorID>8506d097-256c-497d-ba86-a2f5cc0aef10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6821BE6B</paraID>
      <start>0</start>
      <end>2</end>
      <status>unmodified</status>
      <modifiedWord/>
      <trackRevisions>false</trackRevisions>
    </reviewItem>
    <reviewItem>
      <errorID>c1a562aa-c082-4ef8-9185-2a06a979b249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243D35E1</paraID>
      <start>0</start>
      <end>2</end>
      <status>unmodified</status>
      <modifiedWord/>
      <trackRevisions>false</trackRevisions>
    </reviewItem>
    <reviewItem>
      <errorID>88df0ae8-ef59-417c-a8a5-dee81879e0f7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1C5E9A05</paraID>
      <start>0</start>
      <end>2</end>
      <status>unmodified</status>
      <modifiedWord/>
      <trackRevisions>false</trackRevisions>
    </reviewItem>
    <reviewItem>
      <errorID>742c297a-a9b7-4176-ae49-23d23cf7f44b</errorID>
      <errorWord>程</errorWord>
      <group>L1_Word</group>
      <groupName>字词问题</groupName>
      <ability>L2_Typo</ability>
      <abilityName>字词错误</abilityName>
      <candidateList>
        <item>程中</item>
      </candidateList>
      <explain/>
      <paraID>4DA3502D</paraID>
      <start>9</start>
      <end>10</end>
      <status>unmodified</status>
      <modifiedWord/>
      <trackRevisions>false</trackRevisions>
    </reviewItem>
    <reviewItem>
      <errorID>dfe28f35-43ef-4fb7-afcc-65b78fd652be</errorID>
      <errorWord>抛洒</errorWord>
      <group>L1_Word</group>
      <groupName>字词问题</groupName>
      <ability>L2_Typo</ability>
      <abilityName>字词错误</abilityName>
      <candidateList>
        <item>抛撒</item>
      </candidateList>
      <explain>存在发音相同字词的误用。</explain>
      <paraID>471B5905</paraID>
      <start>34</start>
      <end>36</end>
      <status>modified</status>
      <modifiedWord>抛撒</modifiedWord>
      <trackRevisions>false</trackRevisions>
    </reviewItem>
    <reviewItem>
      <errorID>2fcc98ee-9871-404c-bfae-ef1a6f639c77</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1A75AC4F</paraID>
      <start>136</start>
      <end>137</end>
      <status>unmodified</status>
      <modifiedWord/>
      <trackRevisions>false</trackRevisions>
    </reviewItem>
    <reviewItem>
      <errorID>55c0274e-7f6c-49dc-a0c5-461eef28b1ad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10AF62FE</paraID>
      <start>0</start>
      <end>2</end>
      <status>unmodified</status>
      <modifiedWord/>
      <trackRevisions>false</trackRevisions>
    </reviewItem>
    <reviewItem>
      <errorID>9862a659-e8a5-47b5-937e-203e219467d7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7C75CD2A</paraID>
      <start>0</start>
      <end>2</end>
      <status>unmodified</status>
      <modifiedWord/>
      <trackRevisions>false</trackRevisions>
    </reviewItem>
    <reviewItem>
      <errorID>0eb1b97f-b9be-440f-94e3-80cb90550af7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7CC8EF7B</paraID>
      <start>0</start>
      <end>2</end>
      <status>unmodified</status>
      <modifiedWord/>
      <trackRevisions>false</trackRevisions>
    </reviewItem>
    <reviewItem>
      <errorID>cbfe993b-14e3-45d4-a890-2eb63ae91b0d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7B54D6CA</paraID>
      <start>0</start>
      <end>2</end>
      <status>unmodified</status>
      <modifiedWord/>
      <trackRevisions>false</trackRevisions>
    </reviewItem>
    <reviewItem>
      <errorID>92c8c9d8-1422-49e1-b1a6-65172a7caf4f</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3499370</paraID>
      <start>168</start>
      <end>169</end>
      <status>unmodified</status>
      <modifiedWord/>
      <trackRevisions>false</trackRevisions>
    </reviewItem>
    <reviewItem>
      <errorID>b4329756-e5ee-4fd0-b11c-79b589f38876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3499370</paraID>
      <start>212</start>
      <end>213</end>
      <status>unmodified</status>
      <modifiedWord/>
      <trackRevisions>false</trackRevisions>
    </reviewItem>
    <reviewItem>
      <errorID>77c2edd0-9bc7-4bab-8692-ca49bcef366c</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110F74C2</paraID>
      <start>0</start>
      <end>2</end>
      <status>unmodified</status>
      <modifiedWord/>
      <trackRevisions>false</trackRevisions>
    </reviewItem>
    <reviewItem>
      <errorID>34616eea-7c72-43b5-84e0-595321c14341</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3CDDFAF2</paraID>
      <start>0</start>
      <end>2</end>
      <status>unmodified</status>
      <modifiedWord/>
      <trackRevisions>false</trackRevisions>
    </reviewItem>
    <reviewItem>
      <errorID>d1528849-8468-4969-93f1-c65c48fa16a9</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2B88F00D</paraID>
      <start>0</start>
      <end>2</end>
      <status>unmodified</status>
      <modifiedWord/>
      <trackRevisions>false</trackRevisions>
    </reviewItem>
    <reviewItem>
      <errorID>527059f1-3322-46cf-93ca-8df9bfbe7147</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32B67456</paraID>
      <start>0</start>
      <end>2</end>
      <status>unmodified</status>
      <modifiedWord/>
      <trackRevisions>false</trackRevisions>
    </reviewItem>
    <reviewItem>
      <errorID>25d55529-97af-4806-b8a1-f1f9230d1f3f</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4D81B858</paraID>
      <start>0</start>
      <end>2</end>
      <status>unmodified</status>
      <modifiedWord/>
      <trackRevisions>false</trackRevisions>
    </reviewItem>
    <reviewItem>
      <errorID>8f64af48-f8b7-4c13-b4e8-2a577e154f15</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23752DF2</paraID>
      <start>0</start>
      <end>2</end>
      <status>unmodified</status>
      <modifiedWord/>
      <trackRevisions>false</trackRevisions>
    </reviewItem>
    <reviewItem>
      <errorID>b007cad1-8122-434a-ae47-d64312210c19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7FED2D86</paraID>
      <start>0</start>
      <end>2</end>
      <status>unmodified</status>
      <modifiedWord/>
      <trackRevisions>false</trackRevisions>
    </reviewItem>
    <reviewItem>
      <errorID>eb00e6ec-dadf-4f17-9f6a-90af5ed7c75d</errorID>
      <errorWord>全场</errorWord>
      <group>L1_Word</group>
      <groupName>字词问题</groupName>
      <ability>L2_Typo</ability>
      <abilityName>字词错误</abilityName>
      <candidateList>
        <item>全厂</item>
      </candidateList>
      <explain>存在发音相同字词的误用。</explain>
      <paraID>5B2C8D09</paraID>
      <start>2</start>
      <end>4</end>
      <status>unmodified</status>
      <modifiedWord/>
      <trackRevisions>false</trackRevisions>
    </reviewItem>
    <reviewItem>
      <errorID>0c27c943-c4b6-4494-b6dd-03cbb72e3c85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151398A6</paraID>
      <start>0</start>
      <end>2</end>
      <status>unmodified</status>
      <modifiedWord/>
      <trackRevisions>false</trackRevisions>
    </reviewItem>
    <reviewItem>
      <errorID>7ecc411d-11c6-439b-8aeb-4391b04bdbbb</errorID>
      <errorWord>(</errorWord>
      <group>L1_Format</group>
      <groupName>格式问题</groupName>
      <ability>L2_HalfPunc_CN</ability>
      <abilityName>全半角问题</abilityName>
      <candidateList>
        <item>（</item>
      </candidateList>
      <explain>文本全半角错误。</explain>
      <paraID> 35C6897</paraID>
      <start>51</start>
      <end>52</end>
      <status>unmodified</status>
      <modifiedWord/>
      <trackRevisions>false</trackRevisions>
    </reviewItem>
    <reviewItem>
      <errorID>1b70aded-037e-4b93-badd-ee2522f3967a</errorID>
      <errorWord>)</errorWord>
      <group>L1_Format</group>
      <groupName>格式问题</groupName>
      <ability>L2_HalfPunc_CN</ability>
      <abilityName>全半角问题</abilityName>
      <candidateList>
        <item>）</item>
      </candidateList>
      <explain>文本全半角错误。</explain>
      <paraID> 35C6897</paraID>
      <start>64</start>
      <end>65</end>
      <status>unmodified</status>
      <modifiedWord/>
      <trackRevisions>false</trackRevisions>
    </reviewItem>
    <reviewItem>
      <errorID>e4b9912e-0585-4ffd-ba45-1b479d88a798</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9334869</paraID>
      <start>56</start>
      <end>57</end>
      <status>unmodified</status>
      <modifiedWord/>
      <trackRevisions>false</trackRevisions>
    </reviewItem>
    <reviewItem>
      <errorID>89dd399a-55d2-499c-b461-0eefe7da7a7e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9334869</paraID>
      <start>102</start>
      <end>103</end>
      <status>unmodified</status>
      <modifiedWord/>
      <trackRevisions>false</trackRevisions>
    </reviewItem>
    <reviewItem>
      <errorID>ee82b981-deaa-4e58-945e-df02bd18fcf4</errorID>
      <errorWord>(</errorWord>
      <group>L1_Format</group>
      <groupName>格式问题</groupName>
      <ability>L2_HalfPunc_CN</ability>
      <abilityName>全半角问题</abilityName>
      <candidateList>
        <item>（</item>
      </candidateList>
      <explain>文本全半角错误。</explain>
      <paraID>7D038FCA</paraID>
      <start>60</start>
      <end>61</end>
      <status>unmodified</status>
      <modifiedWord/>
      <trackRevisions>false</trackRevisions>
    </reviewItem>
    <reviewItem>
      <errorID>765f0ab1-7691-428f-9b53-fcc79c739148</errorID>
      <errorWord>)</errorWord>
      <group>L1_Format</group>
      <groupName>格式问题</groupName>
      <ability>L2_HalfPunc_CN</ability>
      <abilityName>全半角问题</abilityName>
      <candidateList>
        <item>）</item>
      </candidateList>
      <explain>文本全半角错误。</explain>
      <paraID>7D038FCA</paraID>
      <start>63</start>
      <end>64</end>
      <status>unmodified</status>
      <modifiedWord/>
      <trackRevisions>false</trackRevisions>
    </reviewItem>
    <reviewItem>
      <errorID>25ae5755-c579-4d92-9b29-d9677817b735</errorID>
      <errorWord>(</errorWord>
      <group>L1_Format</group>
      <groupName>格式问题</groupName>
      <ability>L2_HalfPunc_CN</ability>
      <abilityName>全半角问题</abilityName>
      <candidateList>
        <item>（</item>
      </candidateList>
      <explain>文本全半角错误。</explain>
      <paraID>7D038FCA</paraID>
      <start>65</start>
      <end>66</end>
      <status>unmodified</status>
      <modifiedWord/>
      <trackRevisions>false</trackRevisions>
    </reviewItem>
    <reviewItem>
      <errorID>c098d4a5-a11a-4880-a2d6-9b8cc1c4a47f</errorID>
      <errorWord>[2015]4号</errorWord>
      <group>L1_Knowledge</group>
      <groupName>知识性问题</groupName>
      <ability>L2_Knowledge</ability>
      <abilityName>其他知识</abilityName>
      <candidateList>
        <item>〔2015〕4号</item>
      </candidateList>
      <explain>发文字号格式错误。</explain>
      <paraID>7D038FCA</paraID>
      <start>68</start>
      <end>76</end>
      <status>unmodified</status>
      <modifiedWord/>
      <trackRevisions>false</trackRevisions>
    </reviewItem>
    <reviewItem>
      <errorID>fc330184-d12e-49f8-a92c-9758ff5f25bf</errorID>
      <errorWord>)</errorWord>
      <group>L1_Format</group>
      <groupName>格式问题</groupName>
      <ability>L2_HalfPunc_CN</ability>
      <abilityName>全半角问题</abilityName>
      <candidateList>
        <item>）</item>
      </candidateList>
      <explain>文本全半角错误。</explain>
      <paraID>7D038FCA</paraID>
      <start>76</start>
      <end>77</end>
      <status>unmodified</status>
      <modifiedWord/>
      <trackRevisions>false</trackRevisions>
    </reviewItem>
    <reviewItem>
      <errorID>9985a2aa-21df-45b6-be79-9bd60bc9ba1c</errorID>
      <errorWord>明确对应急救援所需</errorWord>
      <group>L1_Word</group>
      <groupName>字词问题</groupName>
      <ability>L2_Typo</ability>
      <abilityName>字词错误</abilityName>
      <candidateList>
        <item>明确应急救援所需</item>
      </candidateList>
      <explain/>
      <paraID>4AC48B58</paraID>
      <start>41</start>
      <end>50</end>
      <status>unmodified</status>
      <modifiedWord/>
      <trackRevisions>false</trackRevisions>
    </reviewItem>
    <reviewItem>
      <errorID>b4f61839-d7d4-4a25-bfd7-0bad557f7931</errorID>
      <errorWord>晰</errorWord>
      <group>L1_Word</group>
      <groupName>字词问题</groupName>
      <ability>L2_Typo</ability>
      <abilityName>字词错误</abilityName>
      <candidateList>
        <item>晰地</item>
      </candidateList>
      <explain/>
      <paraID> 7E29A6E</paraID>
      <start>52</start>
      <end>53</end>
      <status>unmodified</status>
      <modifiedWord/>
      <trackRevisions>false</trackRevisions>
    </reviewItem>
    <reviewItem>
      <errorID>81568eea-5733-42da-9f98-78181047a71c</errorID>
      <errorWord>最小</errorWord>
      <group>L1_Word</group>
      <groupName>字词问题</groupName>
      <ability>L2_Typo</ability>
      <abilityName>字词错误</abilityName>
      <candidateList>
        <item>最低</item>
      </candidateList>
      <explain/>
      <paraID> 1E1A8BF</paraID>
      <start>70</start>
      <end>72</end>
      <status>unmodified</status>
      <modifiedWord/>
      <trackRevisions>false</trackRevisions>
    </reviewItem>
    <reviewItem>
      <errorID>33785d07-cb50-4ef2-9a66-5af5fbd85c38</errorID>
      <errorWord>（/</errorWord>
      <group>L1_Punc</group>
      <groupName>标点问题</groupName>
      <ability>L2_Punc_CN</ability>
      <abilityName>标点符号问题</abilityName>
      <candidateList>
        <item>（</item>
      </candidateList>
      <explain/>
      <paraID>2EAD70EF</paraID>
      <start>0</start>
      <end>2</end>
      <status>unmodified</status>
      <modifiedWord/>
      <trackRevisions>false</trackRevisions>
    </reviewItem>
    <reviewItem>
      <errorID>5a3b0252-6253-41b6-a5a1-e14870df8553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4AD3C288</paraID>
      <start>56</start>
      <end>57</end>
      <status>unmodified</status>
      <modifiedWord/>
      <trackRevisions>false</trackRevisions>
    </reviewItem>
    <reviewItem>
      <errorID>4715eaa9-acac-4ad0-94ba-111778eb61be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4AD3C288</paraID>
      <start>102</start>
      <end>103</end>
      <status>unmodified</status>
      <modifiedWord/>
      <trackRevisions>false</trackRevisions>
    </reviewItem>
    <reviewItem>
      <errorID>c32d4dea-1a53-4deb-af2b-6f60ac3040c7</errorID>
      <errorWord>最小</errorWord>
      <group>L1_Word</group>
      <groupName>字词问题</groupName>
      <ability>L2_Typo</ability>
      <abilityName>字词错误</abilityName>
      <candidateList>
        <item>最低</item>
      </candidateList>
      <explain/>
      <paraID>2A18A879</paraID>
      <start>116</start>
      <end>118</end>
      <status>unmodified</status>
      <modifiedWord/>
      <trackRevisions>false</trackRevisions>
    </reviewItem>
    <reviewItem>
      <errorID>be37fcf8-043f-44f7-93b3-e1a9af629aee</errorID>
      <errorWord>既是</errorWord>
      <group>L1_Word</group>
      <groupName>字词问题</groupName>
      <ability>L2_Typo</ability>
      <abilityName>字词错误</abilityName>
      <candidateList>
        <item>既</item>
      </candidateList>
      <explain/>
      <paraID>2309D0E4</paraID>
      <start>95</start>
      <end>97</end>
      <status>unmodified</status>
      <modifiedWord/>
      <trackRevisions>false</trackRevisions>
    </reviewItem>
    <reviewItem>
      <errorID>732684fc-c6be-42a8-b8e0-3c2ea5c66fe7</errorID>
      <errorWord>主要是</errorWord>
      <group>L1_Word</group>
      <groupName>字词问题</groupName>
      <ability>L2_Typo</ability>
      <abilityName>字词错误</abilityName>
      <candidateList>
        <item>主要</item>
      </candidateList>
      <explain/>
      <paraID>10E983B6</paraID>
      <start>6</start>
      <end>9</end>
      <status>unmodified</status>
      <modifiedWord/>
      <trackRevisions>false</trackRevisions>
    </reviewItem>
    <reviewItem>
      <errorID>be729aa1-74fd-42ec-8a9c-18990dbcc02b</errorID>
      <errorWord>法律、法规</errorWord>
      <group>L1_Word</group>
      <groupName>字词问题</groupName>
      <ability>L2_Typo</ability>
      <abilityName>字词错误</abilityName>
      <candidateList>
        <item>法律法规</item>
      </candidateList>
      <explain/>
      <paraID>12CE0F3B</paraID>
      <start>15</start>
      <end>20</end>
      <status>unmodified</status>
      <modifiedWord/>
      <trackRevisions>false</trackRevisions>
    </reviewItem>
    <reviewItem>
      <errorID>9aaa192e-8b8e-49a4-a2ad-cd5d1c749d12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112B9D88</paraID>
      <start>0</start>
      <end>2</end>
      <status>unmodified</status>
      <modifiedWord/>
      <trackRevisions>false</trackRevisions>
    </reviewItem>
    <reviewItem>
      <errorID>8de9b43f-c766-41a1-a6ec-a9e226bbb3b4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2BC11305</paraID>
      <start>0</start>
      <end>2</end>
      <status>unmodified</status>
      <modifiedWord/>
      <trackRevisions>false</trackRevisions>
    </reviewItem>
    <reviewItem>
      <errorID>234aecfe-bbaa-4f2c-9b86-f5cb31181ea4</errorID>
      <errorWord>三</errorWord>
      <group>L1_Word</group>
      <groupName>字词问题</groupName>
      <ability>L2_Typo</ability>
      <abilityName>字词错误</abilityName>
      <candidateList>
        <item>三个</item>
      </candidateList>
      <explain/>
      <paraID>6968A2DA</paraID>
      <start>29</start>
      <end>30</end>
      <status>unmodified</status>
      <modifiedWord/>
      <trackRevisions>false</trackRevisions>
    </reviewItem>
    <reviewItem>
      <errorID>ce2ecc99-c8b6-4ccb-acd9-4bd83e595c2a</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430C303A</paraID>
      <start>0</start>
      <end>2</end>
      <status>unmodified</status>
      <modifiedWord/>
      <trackRevisions>false</trackRevisions>
    </reviewItem>
    <reviewItem>
      <errorID>fe4883cf-9ab2-41e8-ad04-24dd39c09a7e</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7620CDBC</paraID>
      <start>0</start>
      <end>2</end>
      <status>unmodified</status>
      <modifiedWord/>
      <trackRevisions>false</trackRevisions>
    </reviewItem>
    <reviewItem>
      <errorID>f57c96f2-16c1-402e-920f-49f2003c2f85</errorID>
      <errorWord>拟定</errorWord>
      <group>L1_Grammar</group>
      <groupName>语法问题</groupName>
      <ability>L2_Grammar</ability>
      <abilityName>语法错误</abilityName>
      <candidateList>
        <item>制定</item>
      </candidateList>
      <explain>“拟定～办法”搭配不当，建议修改为“制定～办法”。</explain>
      <paraID>7620CDBC</paraID>
      <start>2</start>
      <end>4</end>
      <status>unmodified</status>
      <modifiedWord/>
      <trackRevisions>false</trackRevisions>
    </reviewItem>
    <reviewItem>
      <errorID>5478ca5b-474c-4abc-a4ed-7e107990184b</errorID>
      <errorWord>指定</errorWord>
      <group>L1_Word</group>
      <groupName>字词问题</groupName>
      <ability>L2_Typo</ability>
      <abilityName>字词错误</abilityName>
      <candidateList>
        <item>制定</item>
      </candidateList>
      <explain/>
      <paraID>7620CDBC</paraID>
      <start>24</start>
      <end>26</end>
      <status>modified</status>
      <modifiedWord>制定</modifiedWord>
      <trackRevisions>false</trackRevisions>
    </reviewItem>
    <reviewItem>
      <errorID>417684fc-641e-4fde-949c-5d19fcabaf43</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4B1D3285</paraID>
      <start>0</start>
      <end>2</end>
      <status>unmodified</status>
      <modifiedWord/>
      <trackRevisions>false</trackRevisions>
    </reviewItem>
    <reviewItem>
      <errorID>c100e717-3078-4488-8cde-3d672632c340</errorID>
      <errorWord>d、</errorWord>
      <group>L1_Format</group>
      <groupName>格式问题</groupName>
      <ability>L2_Ordinal</ability>
      <abilityName>序号格式</abilityName>
      <candidateList>
        <item>d.</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1AD62808</paraID>
      <start>0</start>
      <end>2</end>
      <status>unmodified</status>
      <modifiedWord/>
      <trackRevisions>false</trackRevisions>
    </reviewItem>
    <reviewItem>
      <errorID>efaec805-5eac-4abd-a94d-0e15c2600394</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9A5F2F4</paraID>
      <start>0</start>
      <end>2</end>
      <status>unmodified</status>
      <modifiedWord/>
      <trackRevisions>false</trackRevisions>
    </reviewItem>
    <reviewItem>
      <errorID>2848684a-8a25-481d-bf85-492eff07cb34</errorID>
      <errorWord>环保部们</errorWord>
      <group>L1_Word</group>
      <groupName>字词问题</groupName>
      <ability>L2_Typo</ability>
      <abilityName>字词错误</abilityName>
      <candidateList>
        <item>环保部门</item>
      </candidateList>
      <explain/>
      <paraID> 9A5F2F4</paraID>
      <start>7</start>
      <end>11</end>
      <status>modified</status>
      <modifiedWord>环保部门</modifiedWord>
      <trackRevisions>false</trackRevisions>
    </reviewItem>
    <reviewItem>
      <errorID>c9b054b9-a50e-465b-8151-488c253939bc</errorID>
      <errorWord>f、</errorWord>
      <group>L1_Format</group>
      <groupName>格式问题</groupName>
      <ability>L2_Ordinal</ability>
      <abilityName>序号格式</abilityName>
      <candidateList>
        <item>f.</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1CAFA47F</paraID>
      <start>0</start>
      <end>2</end>
      <status>modified</status>
      <modifiedWord>f.</modifiedWord>
      <trackRevisions>false</trackRevisions>
    </reviewItem>
    <reviewItem>
      <errorID>2e39eba0-960b-4d17-a41d-9a330212bf47</errorID>
      <errorWord>g、</errorWord>
      <group>L1_Format</group>
      <groupName>格式问题</groupName>
      <ability>L2_Ordinal</ability>
      <abilityName>序号格式</abilityName>
      <candidateList>
        <item>g.</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19086441</paraID>
      <start>0</start>
      <end>2</end>
      <status>unmodified</status>
      <modifiedWord/>
      <trackRevisions>false</trackRevisions>
    </reviewItem>
    <reviewItem>
      <errorID>71137dac-7c53-477e-93c6-5eec0076dc6a</errorID>
      <errorWord>h、</errorWord>
      <group>L1_Format</group>
      <groupName>格式问题</groupName>
      <ability>L2_Ordinal</ability>
      <abilityName>序号格式</abilityName>
      <candidateList>
        <item>h.</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E08F3CD</paraID>
      <start>0</start>
      <end>2</end>
      <status>unmodified</status>
      <modifiedWord/>
      <trackRevisions>false</trackRevisions>
    </reviewItem>
    <reviewItem>
      <errorID>0fa275eb-b4a9-440b-bb38-b4c004711779</errorID>
      <errorWord>i、</errorWord>
      <group>L1_Format</group>
      <groupName>格式问题</groupName>
      <ability>L2_Ordinal</ability>
      <abilityName>序号格式</abilityName>
      <candidateList>
        <item>i.</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7C423C54</paraID>
      <start>0</start>
      <end>2</end>
      <status>unmodified</status>
      <modifiedWord/>
      <trackRevisions>false</trackRevisions>
    </reviewItem>
    <reviewItem>
      <errorID>fa418f7e-7b6e-4133-ba5e-c4d1320a2598</errorID>
      <errorWord>j、</errorWord>
      <group>L1_Format</group>
      <groupName>格式问题</groupName>
      <ability>L2_Ordinal</ability>
      <abilityName>序号格式</abilityName>
      <candidateList>
        <item>j.</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733C3F99</paraID>
      <start>0</start>
      <end>2</end>
      <status>unmodified</status>
      <modifiedWord/>
      <trackRevisions>false</trackRevisions>
    </reviewItem>
    <reviewItem>
      <errorID>70b4f2d7-705e-41a8-aa1d-720e55759ea7</errorID>
      <errorWord>k、</errorWord>
      <group>L1_Format</group>
      <groupName>格式问题</groupName>
      <ability>L2_Ordinal</ability>
      <abilityName>序号格式</abilityName>
      <candidateList>
        <item>k.</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3AACD190</paraID>
      <start>0</start>
      <end>2</end>
      <status>unmodified</status>
      <modifiedWord/>
      <trackRevisions>false</trackRevisions>
    </reviewItem>
    <reviewItem>
      <errorID>30d56034-cbe9-4d54-8e5e-f775d46001c7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650453E</paraID>
      <start>0</start>
      <end>2</end>
      <status>unmodified</status>
      <modifiedWord/>
      <trackRevisions>false</trackRevisions>
    </reviewItem>
    <reviewItem>
      <errorID>bf3dda11-043e-4888-a1ea-6f69829d5084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1073B722</paraID>
      <start>0</start>
      <end>2</end>
      <status>unmodified</status>
      <modifiedWord/>
      <trackRevisions>false</trackRevisions>
    </reviewItem>
    <reviewItem>
      <errorID>0d22e7fc-6cb3-493b-aea4-e6c78df7201c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2101F9D9</paraID>
      <start>0</start>
      <end>2</end>
      <status>unmodified</status>
      <modifiedWord/>
      <trackRevisions>false</trackRevisions>
    </reviewItem>
    <reviewItem>
      <errorID>b90801d5-dd6a-4802-b0cd-b0c7c437f803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5E0C37A4</paraID>
      <start>0</start>
      <end>2</end>
      <status>unmodified</status>
      <modifiedWord/>
      <trackRevisions>false</trackRevisions>
    </reviewItem>
    <reviewItem>
      <errorID>32bda087-ab46-4283-8175-5257e8a2893e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25CD61F8</paraID>
      <start>0</start>
      <end>2</end>
      <status>unmodified</status>
      <modifiedWord/>
      <trackRevisions>false</trackRevisions>
    </reviewItem>
    <reviewItem>
      <errorID>78db2961-e617-47ff-b90c-3f5ac4e7a247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1A11F639</paraID>
      <start>0</start>
      <end>2</end>
      <status>unmodified</status>
      <modifiedWord/>
      <trackRevisions>false</trackRevisions>
    </reviewItem>
    <reviewItem>
      <errorID>4d4d152d-3ce5-42e9-adfa-58ebf0e00849</errorID>
      <errorWord>机械和</errorWord>
      <group>L1_Word</group>
      <groupName>字词问题</groupName>
      <ability>L2_Typo</ability>
      <abilityName>字词错误</abilityName>
      <candidateList>
        <item>机械</item>
      </candidateList>
      <explain/>
      <paraID>1A11F639</paraID>
      <start>11</start>
      <end>14</end>
      <status>unmodified</status>
      <modifiedWord/>
      <trackRevisions>false</trackRevisions>
    </reviewItem>
    <reviewItem>
      <errorID>67761d39-d86f-4abb-ac95-25cb757a7cfb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55A6823F</paraID>
      <start>0</start>
      <end>2</end>
      <status>unmodified</status>
      <modifiedWord/>
      <trackRevisions>false</trackRevisions>
    </reviewItem>
    <reviewItem>
      <errorID>08543e87-fe2a-4af5-bb6f-cb3d89e7211b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4C3D8C79</paraID>
      <start>0</start>
      <end>2</end>
      <status>unmodified</status>
      <modifiedWord/>
      <trackRevisions>false</trackRevisions>
    </reviewItem>
    <reviewItem>
      <errorID>74232f15-c198-41ac-a80b-f6bacb8fb803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26ED8376</paraID>
      <start>0</start>
      <end>2</end>
      <status>unmodified</status>
      <modifiedWord/>
      <trackRevisions>false</trackRevisions>
    </reviewItem>
    <reviewItem>
      <errorID>acaf1846-851f-4dd5-935c-a2509fef445a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7149461B</paraID>
      <start>0</start>
      <end>2</end>
      <status>unmodified</status>
      <modifiedWord/>
      <trackRevisions>false</trackRevisions>
    </reviewItem>
    <reviewItem>
      <errorID>038479cb-fbcc-4db5-90ec-3cb462dc7dea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59B76618</paraID>
      <start>0</start>
      <end>2</end>
      <status>unmodified</status>
      <modifiedWord/>
      <trackRevisions>false</trackRevisions>
    </reviewItem>
    <reviewItem>
      <errorID>efcbabcf-744e-45f2-a265-dae8e8b1bf0c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1FC846DF</paraID>
      <start>0</start>
      <end>2</end>
      <status>unmodified</status>
      <modifiedWord/>
      <trackRevisions>false</trackRevisions>
    </reviewItem>
    <reviewItem>
      <errorID>8ef196b8-d746-4189-a09b-34f561a077ee</errorID>
      <errorWord>清单详</errorWord>
      <group>L1_Word</group>
      <groupName>字词问题</groupName>
      <ability>L2_Typo</ability>
      <abilityName>字词错误</abilityName>
      <candidateList>
        <item>清单</item>
      </candidateList>
      <explain/>
      <paraID>7D4B0587</paraID>
      <start>68</start>
      <end>70</end>
      <status>modified</status>
      <modifiedWord>清单</modifiedWord>
      <trackRevisions>false</trackRevisions>
    </reviewItem>
    <reviewItem>
      <errorID>528ad7c7-e89d-4e15-9618-fc8cf54df99e</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42284DD1</paraID>
      <start>66</start>
      <end>67</end>
      <status>unmodified</status>
      <modifiedWord/>
      <trackRevisions>false</trackRevisions>
    </reviewItem>
    <reviewItem>
      <errorID>9462a9fd-1735-4e19-9198-d16032cea249</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42284DD1</paraID>
      <start>112</start>
      <end>113</end>
      <status>unmodified</status>
      <modifiedWord/>
      <trackRevisions>false</trackRevisions>
    </reviewItem>
    <reviewItem>
      <errorID>f7d6187b-8adf-431f-a076-a23c976cd06e</errorID>
      <errorWord>池池</errorWord>
      <group>L1_Word</group>
      <groupName>字词问题</groupName>
      <ability>L2_Typo</ability>
      <abilityName>字词错误</abilityName>
      <candidateList>
        <item>池</item>
      </candidateList>
      <explain/>
      <paraID>30B68AE6</paraID>
      <start>2</start>
      <end>3</end>
      <status>modified</status>
      <modifiedWord>池</modifiedWord>
      <trackRevisions>false</trackRevisions>
    </reviewItem>
    <reviewItem>
      <errorID>6ff767f5-fbba-4f12-a7c7-2f940a0f7247</errorID>
      <errorWord>场</errorWord>
      <group>L1_Word</group>
      <groupName>字词问题</groupName>
      <ability>L2_Typo</ability>
      <abilityName>字词错误</abilityName>
      <candidateList>
        <item>厂</item>
      </candidateList>
      <explain/>
      <paraID>363249C8</paraID>
      <start>18</start>
      <end>19</end>
      <status>unmodified</status>
      <modifiedWord/>
      <trackRevisions>false</trackRevisions>
    </reviewItem>
    <reviewItem>
      <errorID>91ebb678-bc3a-4344-aa97-21878d4bc26b</errorID>
      <errorWord>其它</errorWord>
      <group>L1_Word</group>
      <groupName>字词问题</groupName>
      <ability>L2_Alias</ability>
      <abilityName>也作/曾用词</abilityName>
      <candidateList>
        <item>其他</item>
      </candidateList>
      <explain>词汇[其它]为不规范表述或旧称，其规范书面表述为[其他]。</explain>
      <paraID>2E12FCC8</paraID>
      <start>13</start>
      <end>15</end>
      <status>unmodified</status>
      <modifiedWord/>
      <trackRevisions>false</trackRevisions>
    </reviewItem>
    <reviewItem>
      <errorID>dbbeb8bf-5a34-40a8-8ab5-fac4a2999b27</errorID>
      <errorWord>或者和</errorWord>
      <group>L1_Word</group>
      <groupName>字词问题</groupName>
      <ability>L2_Typo</ability>
      <abilityName>字词错误</abilityName>
      <candidateList>
        <item>或者</item>
      </candidateList>
      <explain/>
      <paraID>14BA0986</paraID>
      <start>103</start>
      <end>106</end>
      <status>unmodified</status>
      <modifiedWord/>
      <trackRevisions>false</trackRevisions>
    </reviewItem>
    <reviewItem>
      <errorID>43b1b9e0-1f56-45f6-91f8-21e4e4175e72</errorID>
      <errorWord>法律、法规</errorWord>
      <group>L1_Word</group>
      <groupName>字词问题</groupName>
      <ability>L2_Typo</ability>
      <abilityName>字词错误</abilityName>
      <candidateList>
        <item>法律法规</item>
      </candidateList>
      <explain/>
      <paraID>14BA0986</paraID>
      <start>120</start>
      <end>125</end>
      <status>unmodified</status>
      <modifiedWord/>
      <trackRevisions>false</trackRevisions>
    </reviewItem>
    <reviewItem>
      <errorID>9aaeb940-3028-422d-be7d-bcbb95a18591</errorID>
      <errorWord>项目中</errorWord>
      <group>L1_Word</group>
      <groupName>字词问题</groupName>
      <ability>L2_Typo</ability>
      <abilityName>字词错误</abilityName>
      <candidateList>
        <item>项目</item>
      </candidateList>
      <explain/>
      <paraID>5F829B80</paraID>
      <start>1</start>
      <end>4</end>
      <status>unmodified</status>
      <modifiedWord/>
      <trackRevisions>false</trackRevisions>
    </reviewItem>
    <reviewItem>
      <errorID>0c5be8e1-4255-4ce1-8bd3-310e9014cddc</errorID>
      <errorWord>(</errorWord>
      <group>L1_Format</group>
      <groupName>格式问题</groupName>
      <ability>L2_HalfPunc_CN</ability>
      <abilityName>全半角问题</abilityName>
      <candidateList>
        <item>（</item>
      </candidateList>
      <explain>文本全半角错误。</explain>
      <paraID>4BA42F50</paraID>
      <start>20</start>
      <end>21</end>
      <status>unmodified</status>
      <modifiedWord/>
      <trackRevisions>false</trackRevisions>
    </reviewItem>
    <reviewItem>
      <errorID>4f2e5542-c908-4642-bedf-012bfe5df8db</errorID>
      <errorWord>)</errorWord>
      <group>L1_Format</group>
      <groupName>格式问题</groupName>
      <ability>L2_HalfPunc_CN</ability>
      <abilityName>全半角问题</abilityName>
      <candidateList>
        <item>）</item>
      </candidateList>
      <explain>文本全半角错误。</explain>
      <paraID>4BA42F50</paraID>
      <start>33</start>
      <end>34</end>
      <status>unmodified</status>
      <modifiedWord/>
      <trackRevisions>false</trackRevisions>
    </reviewItem>
    <reviewItem>
      <errorID>a5562c4b-ddad-4c0a-b1a0-8ec9912e913d</errorID>
      <errorWord>[2016]81号</errorWord>
      <group>L1_Knowledge</group>
      <groupName>知识性问题</groupName>
      <ability>L2_Knowledge</ability>
      <abilityName>其他知识</abilityName>
      <candidateList>
        <item>〔2016〕81号</item>
      </candidateList>
      <explain>发文字号格式错误。</explain>
      <paraID>5EC0B97B</paraID>
      <start>68</start>
      <end>77</end>
      <status>unmodified</status>
      <modifiedWord/>
      <trackRevisions>false</trackRevisions>
    </reviewItem>
    <reviewItem>
      <errorID>bcd0b23f-b589-42b2-a891-0cfc0298d619</errorID>
      <errorWord>制</errorWord>
      <group>L1_Word</group>
      <groupName>字词问题</groupName>
      <ability>L2_Typo</ability>
      <abilityName>字词错误</abilityName>
      <candidateList>
        <item>制度</item>
      </candidateList>
      <explain/>
      <paraID>1C15A19C</paraID>
      <start>20</start>
      <end>21</end>
      <status>unmodified</status>
      <modifiedWord/>
      <trackRevisions>false</trackRevisions>
    </reviewItem>
    <reviewItem>
      <errorID>2270e24b-ca41-4bc1-87b1-7e0f09dfdade</errorID>
      <errorWord>[2017]84号</errorWord>
      <group>L1_Knowledge</group>
      <groupName>知识性问题</groupName>
      <ability>L2_Knowledge</ability>
      <abilityName>其他知识</abilityName>
      <candidateList>
        <item>〔2017〕84号</item>
      </candidateList>
      <explain>发文字号格式错误。</explain>
      <paraID>1C15A19C</paraID>
      <start>36</start>
      <end>45</end>
      <status>unmodified</status>
      <modifiedWord/>
      <trackRevisions>false</trackRevisions>
    </reviewItem>
    <reviewItem>
      <errorID>c8e09259-8f45-4923-ac21-078c26852da1</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41648381</paraID>
      <start>5</start>
      <end>25</end>
      <status>modified</status>
      <modifiedWord>《产业结构调整指导目录（2024年本）》</modifiedWord>
      <trackRevisions>false</trackRevisions>
    </reviewItem>
    <reviewItem>
      <errorID>a102d436-009d-4a09-91bb-7456fe34544a</errorID>
      <errorWord>资源节约综合利用</errorWord>
      <group>L1_Political</group>
      <groupName>政治性问题</groupName>
      <ability>L2_Keyword</ability>
      <abilityName>固定表述</abilityName>
      <candidateList>
        <item>资源节约集约利用</item>
      </candidateList>
      <explain>词汇“资源节约集约利用”在特定场景下为固定表述形式，请确认此处的“资源节约综合利用”是否存在不当。</explain>
      <paraID>41648381</paraID>
      <start>44</start>
      <end>52</end>
      <status>unmodified</status>
      <modifiedWord/>
      <trackRevisions>false</trackRevisions>
    </reviewItem>
    <reviewItem>
      <errorID>a62badbd-5625-4cc7-9e5c-41415a6345ac</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41648381</paraID>
      <start>85</start>
      <end>86</end>
      <status>unmodified</status>
      <modifiedWord/>
      <trackRevisions>false</trackRevisions>
    </reviewItem>
    <reviewItem>
      <errorID>4c7eb353-aca9-4fc1-90e7-df5c1bb9446a</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41648381</paraID>
      <start>88</start>
      <end>89</end>
      <status>unmodified</status>
      <modifiedWord/>
      <trackRevisions>false</trackRevisions>
    </reviewItem>
    <reviewItem>
      <errorID>b64b7d9d-5e1b-45db-ac10-d228c0d15c88</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41648381</paraID>
      <start>94</start>
      <end>95</end>
      <status>unmodified</status>
      <modifiedWord/>
      <trackRevisions>false</trackRevisions>
    </reviewItem>
    <reviewItem>
      <errorID>53054f3a-8391-4871-ae21-192a04feb6da</errorID>
      <errorWord>”</errorWord>
      <group>L1_Punc</group>
      <groupName>标点问题</groupName>
      <ability>L2_Punc_CN</ability>
      <abilityName>标点符号问题</abilityName>
      <candidateList>
        <item>’</item>
      </candidateList>
      <explain>当引号中还需要使用引号时，外面一层用双引号，里面一层用单引号。</explain>
      <paraID>41648381</paraID>
      <start>97</start>
      <end>98</end>
      <status>unmodified</status>
      <modifiedWord/>
      <trackRevisions>false</trackRevisions>
    </reviewItem>
    <reviewItem>
      <errorID>3d8658df-6ce3-4403-be28-b3212561c186</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5B36927</paraID>
      <start>55</start>
      <end>56</end>
      <status>unmodified</status>
      <modifiedWord/>
      <trackRevisions>false</trackRevisions>
    </reviewItem>
    <reviewItem>
      <errorID>22dc38e5-5dea-4c42-8526-63b26a2164bc</errorID>
      <errorWord>III</errorWord>
      <group>L1_Knowledge</group>
      <groupName>知识性问题</groupName>
      <ability>L2_Knowledge</ability>
      <abilityName>其他知识</abilityName>
      <candidateList>
        <item>Ⅲ</item>
      </candidateList>
      <explain>中文环境下罗马数字格式错误。</explain>
      <paraID>4CFCD516</paraID>
      <start>18</start>
      <end>21</end>
      <status>unmodified</status>
      <modifiedWord/>
      <trackRevisions>false</trackRevisions>
    </reviewItem>
    <reviewItem>
      <errorID>a08b353c-f356-4830-bf56-ecce90fc2d69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64F7712A</paraID>
      <start>0</start>
      <end>2</end>
      <status>unmodified</status>
      <modifiedWord/>
      <trackRevisions>false</trackRevisions>
    </reviewItem>
    <reviewItem>
      <errorID>37f2bd14-f1b4-4d35-8d1b-fe576dda79bb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82A5558</paraID>
      <start>0</start>
      <end>2</end>
      <status>unmodified</status>
      <modifiedWord/>
      <trackRevisions>false</trackRevisions>
    </reviewItem>
    <reviewItem>
      <errorID>26792084-6d1e-490c-849d-cc2edb177b92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2FB116BC</paraID>
      <start>0</start>
      <end>2</end>
      <status>unmodified</status>
      <modifiedWord/>
      <trackRevisions>false</trackRevisions>
    </reviewItem>
    <reviewItem>
      <errorID>aaa778f6-db15-48a5-bae4-bac7bd1eb4c6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67D2ADC9</paraID>
      <start>0</start>
      <end>2</end>
      <status>unmodified</status>
      <modifiedWord/>
      <trackRevisions>false</trackRevisions>
    </reviewItem>
    <reviewItem>
      <errorID>caf277b4-ad2e-4a35-84d0-ed01ff40243e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63505A2E</paraID>
      <start>0</start>
      <end>2</end>
      <status>unmodified</status>
      <modifiedWord/>
      <trackRevisions>false</trackRevisions>
    </reviewItem>
    <reviewItem>
      <errorID>2ec1e497-b674-4e0c-90c0-54ecad49bdc5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DFFA0D7</paraID>
      <start>0</start>
      <end>2</end>
      <status>unmodified</status>
      <modifiedWord/>
      <trackRevisions>false</trackRevisions>
    </reviewItem>
    <reviewItem>
      <errorID>c194f2f4-df3e-4789-a442-c61cb77b3c40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6338432C</paraID>
      <start>0</start>
      <end>2</end>
      <status>unmodified</status>
      <modifiedWord/>
      <trackRevisions>false</trackRevisions>
    </reviewItem>
    <reviewItem>
      <errorID>794c6229-7c38-4a6e-bd10-704ba7226146</errorID>
      <errorWord>淋溶</errorWord>
      <group>L1_Word</group>
      <groupName>字词问题</groupName>
      <ability>L2_Typo</ability>
      <abilityName>字词错误</abilityName>
      <candidateList>
        <item>淋浴</item>
      </candidateList>
      <explain>存在字形相近字词的误用。</explain>
      <paraID>4337A5F7</paraID>
      <start>10</start>
      <end>12</end>
      <status>unmodified</status>
      <modifiedWord/>
      <trackRevisions>false</trackRevisions>
    </reviewItem>
    <reviewItem>
      <errorID>35be0829-9abd-4498-9830-e3c3c6100090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1AB0A1F9</paraID>
      <start>0</start>
      <end>2</end>
      <status>unmodified</status>
      <modifiedWord/>
      <trackRevisions>false</trackRevisions>
    </reviewItem>
    <reviewItem>
      <errorID>407c07a0-3869-4f04-b325-da8c88d9d33e</errorID>
      <errorWord>场区</errorWord>
      <group>L1_Word</group>
      <groupName>字词问题</groupName>
      <ability>L2_Typo</ability>
      <abilityName>字词错误</abilityName>
      <candidateList>
        <item>厂区</item>
      </candidateList>
      <explain>存在发音相同字词的误用。</explain>
      <paraID>71312FC9</paraID>
      <start>45</start>
      <end>47</end>
      <status>unmodified</status>
      <modifiedWord/>
      <trackRevisions>false</trackRevisions>
    </reviewItem>
    <reviewItem>
      <errorID>243f9bf8-117a-469f-b927-4d8b94ed55b2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3C1F2851</paraID>
      <start>0</start>
      <end>2</end>
      <status>unmodified</status>
      <modifiedWord/>
      <trackRevisions>false</trackRevisions>
    </reviewItem>
    <reviewItem>
      <errorID>49ac798e-8e5e-490e-8a58-a92074bfc125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5C8AD2D4</paraID>
      <start>0</start>
      <end>2</end>
      <status>unmodified</status>
      <modifiedWord/>
      <trackRevisions>false</trackRevisions>
    </reviewItem>
    <reviewItem>
      <errorID>2bbebc27-4760-4236-8e97-f00fa3fffdc2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16CD5A5A</paraID>
      <start>0</start>
      <end>2</end>
      <status>unmodified</status>
      <modifiedWord/>
      <trackRevisions>false</trackRevisions>
    </reviewItem>
    <reviewItem>
      <errorID>225764a3-83b6-43fd-8879-3a31bad964d5</errorID>
      <errorWord>，，</errorWord>
      <group>L1_Punc</group>
      <groupName>标点问题</groupName>
      <ability>L2_Punc_CN</ability>
      <abilityName>标点符号问题</abilityName>
      <candidateList>
        <item>，</item>
      </candidateList>
      <explain/>
      <paraID> D6D8B49</paraID>
      <start>57</start>
      <end>59</end>
      <status>unmodified</status>
      <modifiedWord/>
      <trackRevisions>false</trackRevisions>
    </reviewItem>
    <reviewItem>
      <errorID>db3d6419-35a7-4aa0-9442-765c07257787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3D93F9BF</paraID>
      <start>0</start>
      <end>2</end>
      <status>unmodified</status>
      <modifiedWord/>
      <trackRevisions>false</trackRevisions>
    </reviewItem>
    <reviewItem>
      <errorID>7d679af9-7320-46bf-ae41-07361cd9afb7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728B93C7</paraID>
      <start>0</start>
      <end>2</end>
      <status>unmodified</status>
      <modifiedWord/>
      <trackRevisions>false</trackRevisions>
    </reviewItem>
    <reviewItem>
      <errorID>e175103a-53b4-4fec-9622-79b8b38f18b0</errorID>
      <errorWord>识辨</errorWord>
      <group>L1_Word</group>
      <groupName>字词问题</groupName>
      <ability>L2_Typo</ability>
      <abilityName>字词错误</abilityName>
      <candidateList>
        <item>辨识</item>
      </candidateList>
      <explain/>
      <paraID>3823FFEE</paraID>
      <start>65</start>
      <end>67</end>
      <status>unmodified</status>
      <modifiedWord/>
      <trackRevisions>false</trackRevisions>
    </reviewItem>
    <reviewItem>
      <errorID>371e4159-21b7-4302-90b8-6438c5375dc2</errorID>
      <errorWord>法律、法规</errorWord>
      <group>L1_Word</group>
      <groupName>字词问题</groupName>
      <ability>L2_Typo</ability>
      <abilityName>字词错误</abilityName>
      <candidateList>
        <item>法律法规</item>
      </candidateList>
      <explain/>
      <paraID>4B5DDF17</paraID>
      <start>60</start>
      <end>65</end>
      <status>unmodified</status>
      <modifiedWord/>
      <trackRevisions>false</trackRevisions>
    </reviewItem>
    <reviewItem>
      <errorID>c43b2fd8-0aaf-4622-a2ad-c0dc68b1b308</errorID>
      <errorWord>~</errorWord>
      <group>L1_Format</group>
      <groupName>格式问题</groupName>
      <ability>L2_HalfPunc_CN</ability>
      <abilityName>全半角问题</abilityName>
      <candidateList>
        <item>～</item>
      </candidateList>
      <explain>文本全半角错误。</explain>
      <paraID>68E74433</paraID>
      <start>3</start>
      <end>4</end>
      <status>unmodified</status>
      <modifiedWord/>
      <trackRevisions>false</trackRevisions>
    </reviewItem>
    <reviewItem>
      <errorID>b98c422a-012d-4a84-8165-75f5a674b705</errorID>
      <errorWord>~</errorWord>
      <group>L1_Format</group>
      <groupName>格式问题</groupName>
      <ability>L2_HalfPunc_CN</ability>
      <abilityName>全半角问题</abilityName>
      <candidateList>
        <item>～</item>
      </candidateList>
      <explain>文本全半角错误。</explain>
      <paraID>269C0ECA</paraID>
      <start>3</start>
      <end>4</end>
      <status>unmodified</status>
      <modifiedWord/>
      <trackRevisions>false</trackRevisions>
    </reviewItem>
    <reviewItem>
      <errorID>ec87f468-2287-4f89-8a27-bba94f93788d</errorID>
      <errorWord>~</errorWord>
      <group>L1_Format</group>
      <groupName>格式问题</groupName>
      <ability>L2_HalfPunc_CN</ability>
      <abilityName>全半角问题</abilityName>
      <candidateList>
        <item>～</item>
      </candidateList>
      <explain>文本全半角错误。</explain>
      <paraID>4C8E885E</paraID>
      <start>3</start>
      <end>4</end>
      <status>unmodified</status>
      <modifiedWord/>
      <trackRevisions>false</trackRevisions>
    </reviewItem>
    <reviewItem>
      <errorID>0f75f0fb-84f4-40dc-8913-aa38822aa723</errorID>
      <errorWord>：（）</errorWord>
      <group>L1_Format</group>
      <groupName>格式问题</groupName>
      <ability>L2_HalfPunc_CN</ability>
      <abilityName>全半角问题</abilityName>
      <candidateList>
        <item>:()</item>
      </candidateList>
      <explain>文本全半角错误。</explain>
      <paraID>401F6FAC</paraID>
      <start>3</start>
      <end>6</end>
      <status>unmodified</status>
      <modifiedWord/>
      <trackRevisions>false</trackRevisions>
    </reviewItem>
    <reviewItem>
      <errorID>fd38c0f3-f91d-4eb2-aba8-39e489bfd132</errorID>
      <errorWord>：（）</errorWord>
      <group>L1_Format</group>
      <groupName>格式问题</groupName>
      <ability>L2_HalfPunc_CN</ability>
      <abilityName>全半角问题</abilityName>
      <candidateList>
        <item>:()</item>
      </candidateList>
      <explain>文本全半角错误。</explain>
      <paraID>5D2AA8E3</paraID>
      <start>3</start>
      <end>6</end>
      <status>unmodified</status>
      <modifiedWord/>
      <trackRevisions>false</trackRevisions>
    </reviewItem>
    <reviewItem>
      <errorID>24e185b5-24c7-4658-b527-b337958bcbc9</errorID>
      <errorWord>：（）</errorWord>
      <group>L1_Format</group>
      <groupName>格式问题</groupName>
      <ability>L2_HalfPunc_CN</ability>
      <abilityName>全半角问题</abilityName>
      <candidateList>
        <item>:()</item>
      </candidateList>
      <explain>文本全半角错误。</explain>
      <paraID>4B6FF147</paraID>
      <start>4</start>
      <end>7</end>
      <status>unmodified</status>
      <modifiedWord/>
      <trackRevisions>false</trackRevisions>
    </reviewItem>
    <reviewItem>
      <errorID>8e5d31b5-1196-4534-a18b-d35e4d3b512d</errorID>
      <errorWord>（</errorWord>
      <group>L1_Format</group>
      <groupName>格式问题</groupName>
      <ability>L2_HalfPunc_CN</ability>
      <abilityName>全半角问题</abilityName>
      <candidateList>
        <item>(</item>
      </candidateList>
      <explain>文本全半角错误。</explain>
      <paraID>54C17BC0</paraID>
      <start>3</start>
      <end>4</end>
      <status>unmodified</status>
      <modifiedWord/>
      <trackRevisions>false</trackRevisions>
    </reviewItem>
    <reviewItem>
      <errorID>d0682dca-3d26-4da5-8329-5c89eb8a90a0</errorID>
      <errorWord>）</errorWord>
      <group>L1_Format</group>
      <groupName>格式问题</groupName>
      <ability>L2_HalfPunc_CN</ability>
      <abilityName>全半角问题</abilityName>
      <candidateList>
        <item>)</item>
      </candidateList>
      <explain>文本全半角错误。</explain>
      <paraID>54C17BC0</paraID>
      <start>5</start>
      <end>6</end>
      <status>unmodified</status>
      <modifiedWord/>
      <trackRevisions>false</trackRevisions>
    </reviewItem>
    <reviewItem>
      <errorID>969015e7-3db6-4726-ac6d-22b7399addd0</errorID>
      <errorWord>（</errorWord>
      <group>L1_Format</group>
      <groupName>格式问题</groupName>
      <ability>L2_HalfPunc_CN</ability>
      <abilityName>全半角问题</abilityName>
      <candidateList>
        <item>(</item>
      </candidateList>
      <explain>文本全半角错误。</explain>
      <paraID>349F1ACD</paraID>
      <start>3</start>
      <end>4</end>
      <status>unmodified</status>
      <modifiedWord/>
      <trackRevisions>false</trackRevisions>
    </reviewItem>
    <reviewItem>
      <errorID>e31f6f66-4ca6-4a42-b933-b151008ffc9e</errorID>
      <errorWord>）</errorWord>
      <group>L1_Format</group>
      <groupName>格式问题</groupName>
      <ability>L2_HalfPunc_CN</ability>
      <abilityName>全半角问题</abilityName>
      <candidateList>
        <item>)</item>
      </candidateList>
      <explain>文本全半角错误。</explain>
      <paraID>349F1ACD</paraID>
      <start>5</start>
      <end>6</end>
      <status>unmodified</status>
      <modifiedWord/>
      <trackRevisions>false</trackRevisions>
    </reviewItem>
    <reviewItem>
      <errorID>7a7b9a83-b138-4f58-a095-de182da585ab</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259C7883</paraID>
      <start>56</start>
      <end>57</end>
      <status>unmodified</status>
      <modifiedWord/>
      <trackRevisions>false</trackRevisions>
    </reviewItem>
    <reviewItem>
      <errorID>b6290fad-9109-49a4-8cc2-ca3b5f6e3083</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259C7883</paraID>
      <start>102</start>
      <end>103</end>
      <status>unmodified</status>
      <modifiedWord/>
      <trackRevisions>false</trackRevisions>
    </reviewItem>
    <reviewItem>
      <errorID>92f6d919-6f59-4efe-93d2-fb99c11d8796</errorID>
      <errorWord>降低</errorWord>
      <group>L1_Grammar</group>
      <groupName>语法问题</groupName>
      <ability>L2_Grammar</ability>
      <abilityName>语法错误</abilityName>
      <candidateList>
        <item>防止</item>
      </candidateList>
      <explain>“降低～发生”搭配不当，建议修改为“防止～发生”。</explain>
      <paraID>36B115C3</paraID>
      <start>25</start>
      <end>27</end>
      <status>unmodified</status>
      <modifiedWord/>
      <trackRevisions>false</trackRevisions>
    </reviewItem>
    <reviewItem>
      <errorID>85517d2b-9c2b-415b-8241-4ecadeaffef5</errorID>
      <errorWord>（</errorWord>
      <group>L1_Format</group>
      <groupName>格式问题</groupName>
      <ability>L2_HalfPunc_CN</ability>
      <abilityName>全半角问题</abilityName>
      <candidateList>
        <item>(</item>
      </candidateList>
      <explain>文本全半角错误。</explain>
      <paraID>34E31E58</paraID>
      <start>0</start>
      <end>1</end>
      <status>unmodified</status>
      <modifiedWord/>
      <trackRevisions>false</trackRevisions>
    </reviewItem>
    <reviewItem>
      <errorID>449a5b34-95ab-4ba6-915a-846519802b69</errorID>
      <errorWord>）</errorWord>
      <group>L1_Format</group>
      <groupName>格式问题</groupName>
      <ability>L2_HalfPunc_CN</ability>
      <abilityName>全半角问题</abilityName>
      <candidateList>
        <item>)</item>
      </candidateList>
      <explain>文本全半角错误。</explain>
      <paraID>34E31E58</paraID>
      <start>7</start>
      <end>8</end>
      <status>unmodified</status>
      <modifiedWord/>
      <trackRevisions>false</trackRevisions>
    </reviewItem>
    <reviewItem>
      <errorID>4a3920fb-5b8b-4739-8c62-e95fec1070c4</errorID>
      <errorWord>）</errorWord>
      <group>L1_Format</group>
      <groupName>格式问题</groupName>
      <ability>L2_HalfPunc_CN</ability>
      <abilityName>全半角问题</abilityName>
      <candidateList>
        <item>)</item>
      </candidateList>
      <explain>文本全半角错误。</explain>
      <paraID>486D9CFA</paraID>
      <start>1</start>
      <end>2</end>
      <status>unmodified</status>
      <modifiedWord/>
      <trackRevisions>false</trackRevisions>
    </reviewItem>
    <reviewItem>
      <errorID>44ea258c-6c37-4fc1-92d1-ab3f8d32b94b</errorID>
      <errorWord>；</errorWord>
      <group>L1_Format</group>
      <groupName>格式问题</groupName>
      <ability>L2_HalfPunc_CN</ability>
      <abilityName>全半角问题</abilityName>
      <candidateList>
        <item>; </item>
      </candidateList>
      <explain>文本全半角错误。</explain>
      <paraID>486D9CFA</paraID>
      <start>3</start>
      <end>4</end>
      <status>unmodified</status>
      <modifiedWord/>
      <trackRevisions>false</trackRevisions>
    </reviewItem>
    <reviewItem>
      <errorID>e777f080-14bd-451f-8780-a0326ba9f844</errorID>
      <errorWord>）</errorWord>
      <group>L1_Format</group>
      <groupName>格式问题</groupName>
      <ability>L2_HalfPunc_CN</ability>
      <abilityName>全半角问题</abilityName>
      <candidateList>
        <item>)</item>
      </candidateList>
      <explain>文本全半角错误。</explain>
      <paraID>486D9CFA</paraID>
      <start>5</start>
      <end>6</end>
      <status>unmodified</status>
      <modifiedWord/>
      <trackRevisions>false</trackRevisions>
    </reviewItem>
    <reviewItem>
      <errorID>39b66e85-7717-4b8a-91e6-0f25bf1be3e3</errorID>
      <errorWord>；</errorWord>
      <group>L1_Format</group>
      <groupName>格式问题</groupName>
      <ability>L2_HalfPunc_CN</ability>
      <abilityName>全半角问题</abilityName>
      <candidateList>
        <item>; </item>
      </candidateList>
      <explain>文本全半角错误。</explain>
      <paraID>486D9CFA</paraID>
      <start>7</start>
      <end>8</end>
      <status>unmodified</status>
      <modifiedWord/>
      <trackRevisions>false</trackRevisions>
    </reviewItem>
    <reviewItem>
      <errorID>15c193bf-dbc6-47de-ac42-ca692bcec66f</errorID>
      <errorWord>）</errorWord>
      <group>L1_Format</group>
      <groupName>格式问题</groupName>
      <ability>L2_HalfPunc_CN</ability>
      <abilityName>全半角问题</abilityName>
      <candidateList>
        <item>)</item>
      </candidateList>
      <explain>文本全半角错误。</explain>
      <paraID>486D9CFA</paraID>
      <start>9</start>
      <end>10</end>
      <status>unmodified</status>
      <modifiedWord/>
      <trackRevisions>false</trackRevisions>
    </reviewItem>
    <reviewItem>
      <errorID>59b4067c-e7e6-4a4a-b1b5-fc997c37ba20</errorID>
      <errorWord>；</errorWord>
      <group>L1_Format</group>
      <groupName>格式问题</groupName>
      <ability>L2_HalfPunc_CN</ability>
      <abilityName>全半角问题</abilityName>
      <candidateList>
        <item>; </item>
      </candidateList>
      <explain>文本全半角错误。</explain>
      <paraID>486D9CFA</paraID>
      <start>11</start>
      <end>12</end>
      <status>unmodified</status>
      <modifiedWord/>
      <trackRevisions>false</trackRevisions>
    </reviewItem>
    <reviewItem>
      <errorID>59ff8b90-6e87-4060-9b5e-24177fe9a962</errorID>
      <errorWord>）</errorWord>
      <group>L1_Format</group>
      <groupName>格式问题</groupName>
      <ability>L2_HalfPunc_CN</ability>
      <abilityName>全半角问题</abilityName>
      <candidateList>
        <item>)</item>
      </candidateList>
      <explain>文本全半角错误。</explain>
      <paraID>486D9CFA</paraID>
      <start>13</start>
      <end>14</end>
      <status>unmodified</status>
      <modifiedWord/>
      <trackRevisions>false</trackRevisions>
    </reviewItem>
    <reviewItem>
      <errorID>db61543e-2d3e-4567-bb9e-2120f2d60693</errorID>
      <errorWord>-</errorWord>
      <group>L1_Format</group>
      <groupName>格式问题</groupName>
      <ability>L2_HalfPunc_CN</ability>
      <abilityName>全半角问题</abilityName>
      <candidateList>
        <item>－</item>
      </candidateList>
      <explain>文本全半角错误。</explain>
      <paraID>18E904D9</paraID>
      <start>57</start>
      <end>58</end>
      <status>unmodified</status>
      <modifiedWord/>
      <trackRevisions>false</trackRevisions>
    </reviewItem>
    <reviewItem>
      <errorID>29187a72-67d3-4b48-9d9c-a7238690a217</errorID>
      <errorWord>蔥</errorWord>
      <group>L1_Word</group>
      <groupName>字词问题</groupName>
      <ability>L2_Fanti</ability>
      <abilityName>繁转简</abilityName>
      <candidateList>
        <item>葱</item>
      </candidateList>
      <explain/>
      <paraID>18E904D9</paraID>
      <start>241</start>
      <end>242</end>
      <status>unmodified</status>
      <modifiedWord/>
      <trackRevisions>false</trackRevisions>
    </reviewItem>
    <reviewItem>
      <errorID>aa005c09-91b6-476b-8397-918345433364</errorID>
      <errorWord>蔥</errorWord>
      <group>L1_Word</group>
      <groupName>字词问题</groupName>
      <ability>L2_Fanti</ability>
      <abilityName>繁转简</abilityName>
      <candidateList>
        <item>葱</item>
      </candidateList>
      <explain/>
      <paraID>18E904D9</paraID>
      <start>257</start>
      <end>258</end>
      <status>unmodified</status>
      <modifiedWord/>
      <trackRevisions>false</trackRevisions>
    </reviewItem>
    <reviewItem>
      <errorID>a31434a4-de72-4a68-b3bc-c1fc50768606</errorID>
      <errorWord>蔥</errorWord>
      <group>L1_Word</group>
      <groupName>字词问题</groupName>
      <ability>L2_Fanti</ability>
      <abilityName>繁转简</abilityName>
      <candidateList>
        <item>葱</item>
      </candidateList>
      <explain/>
      <paraID>18E904D9</paraID>
      <start>265</start>
      <end>266</end>
      <status>unmodified</status>
      <modifiedWord/>
      <trackRevisions>false</trackRevisions>
    </reviewItem>
    <reviewItem>
      <errorID>bb0ccfc9-2f62-4d74-a3c8-01c5e6b1732c</errorID>
      <errorWord>蔥</errorWord>
      <group>L1_Word</group>
      <groupName>字词问题</groupName>
      <ability>L2_Fanti</ability>
      <abilityName>繁转简</abilityName>
      <candidateList>
        <item>葱</item>
      </candidateList>
      <explain/>
      <paraID>18E904D9</paraID>
      <start>277</start>
      <end>278</end>
      <status>unmodified</status>
      <modifiedWord/>
      <trackRevisions>false</trackRevisions>
    </reviewItem>
    <reviewItem>
      <errorID>9595df0b-3bf3-4022-9adf-76d86aac6014</errorID>
      <errorWord>-</errorWord>
      <group>L1_Format</group>
      <groupName>格式问题</groupName>
      <ability>L2_HalfPunc_CN</ability>
      <abilityName>全半角问题</abilityName>
      <candidateList>
        <item>－</item>
      </candidateList>
      <explain>文本全半角错误。</explain>
      <paraID>61AB6523</paraID>
      <start>57</start>
      <end>58</end>
      <status>unmodified</status>
      <modifiedWord/>
      <trackRevisions>false</trackRevisions>
    </reviewItem>
    <reviewItem>
      <errorID>6daec343-153c-4a1a-8fce-cddc944e1c1e</errorID>
      <errorWord>蔥</errorWord>
      <group>L1_Word</group>
      <groupName>字词问题</groupName>
      <ability>L2_Fanti</ability>
      <abilityName>繁转简</abilityName>
      <candidateList>
        <item>葱</item>
      </candidateList>
      <explain/>
      <paraID>61AB6523</paraID>
      <start>241</start>
      <end>242</end>
      <status>unmodified</status>
      <modifiedWord/>
      <trackRevisions>false</trackRevisions>
    </reviewItem>
    <reviewItem>
      <errorID>2fc4c1e7-f15b-4657-a989-1e2e2fd44da0</errorID>
      <errorWord>蔥</errorWord>
      <group>L1_Word</group>
      <groupName>字词问题</groupName>
      <ability>L2_Fanti</ability>
      <abilityName>繁转简</abilityName>
      <candidateList>
        <item>葱</item>
      </candidateList>
      <explain/>
      <paraID>61AB6523</paraID>
      <start>257</start>
      <end>258</end>
      <status>unmodified</status>
      <modifiedWord/>
      <trackRevisions>false</trackRevisions>
    </reviewItem>
    <reviewItem>
      <errorID>3bc7c1bf-f190-4eec-8794-b0aecbe1be9c</errorID>
      <errorWord>蔥</errorWord>
      <group>L1_Word</group>
      <groupName>字词问题</groupName>
      <ability>L2_Fanti</ability>
      <abilityName>繁转简</abilityName>
      <candidateList>
        <item>葱</item>
      </candidateList>
      <explain/>
      <paraID>61AB6523</paraID>
      <start>265</start>
      <end>266</end>
      <status>unmodified</status>
      <modifiedWord/>
      <trackRevisions>false</trackRevisions>
    </reviewItem>
    <reviewItem>
      <errorID>5a77f6a8-9039-451b-8e6c-da3d94fbcb2d</errorID>
      <errorWord>蔥</errorWord>
      <group>L1_Word</group>
      <groupName>字词问题</groupName>
      <ability>L2_Fanti</ability>
      <abilityName>繁转简</abilityName>
      <candidateList>
        <item>葱</item>
      </candidateList>
      <explain/>
      <paraID>61AB6523</paraID>
      <start>277</start>
      <end>278</end>
      <status>unmodified</status>
      <modifiedWord/>
      <trackRevisions>false</trackRevisions>
    </reviewItem>
    <reviewItem>
      <errorID>6fe3720c-0722-4a9f-ab95-f60f4df55a2f</errorID>
      <errorWord>其它</errorWord>
      <group>L1_Word</group>
      <groupName>字词问题</groupName>
      <ability>L2_Alias</ability>
      <abilityName>也作/曾用词</abilityName>
      <candidateList>
        <item>其他</item>
      </candidateList>
      <explain>词汇[其它]为不规范表述或旧称，其规范书面表述为[其他]。</explain>
      <paraID>57E1D1AD</paraID>
      <start>24</start>
      <end>26</end>
      <status>unmodified</status>
      <modifiedWord/>
      <trackRevisions>false</trackRevisions>
    </reviewItem>
    <reviewItem>
      <errorID>be04539f-2ba3-47c5-acd5-914f55bf9232</errorID>
      <errorWord>环境影响评级</errorWord>
      <group>L1_Knowledge</group>
      <groupName>知识性问题</groupName>
      <ability>L2_Term</ability>
      <abilityName>专业术语</abilityName>
      <candidateList>
        <item>环境影响评价</item>
      </candidateList>
      <explain/>
      <paraID>420056FB</paraID>
      <start>12</start>
      <end>18</end>
      <status>unmodified</status>
      <modifiedWord/>
      <trackRevisions>false</trackRevisions>
    </reviewItem>
    <reviewItem>
      <errorID>c0783fb4-61a6-49da-ad06-cecf7f11e6ab</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6319B5AF</paraID>
      <start>6</start>
      <end>7</end>
      <status>unmodified</status>
      <modifiedWord/>
      <trackRevisions>false</trackRevisions>
    </reviewItem>
  </reviewItems>
  <config/>
</contractReview>
</file>

<file path=customXml/item3.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24ebdf8-10ac-4458-bfe4-de3703a9249b}">
  <ds:schemaRefs/>
</ds:datastoreItem>
</file>

<file path=customXml/itemProps3.xml><?xml version="1.0" encoding="utf-8"?>
<ds:datastoreItem xmlns:ds="http://schemas.openxmlformats.org/officeDocument/2006/customXml" ds:itemID="{53D365A1-D671-49B0-834E-B03AF761AC6C}">
  <ds:schemaRefs/>
</ds:datastoreItem>
</file>

<file path=docProps/app.xml><?xml version="1.0" encoding="utf-8"?>
<Properties xmlns="http://schemas.openxmlformats.org/officeDocument/2006/extended-properties" xmlns:vt="http://schemas.openxmlformats.org/officeDocument/2006/docPropsVTypes">
  <Template>Building Blocks</Template>
  <Pages>214</Pages>
  <Words>12767</Words>
  <Characters>13666</Characters>
  <Lines>1046</Lines>
  <Paragraphs>294</Paragraphs>
  <TotalTime>4</TotalTime>
  <ScaleCrop>false</ScaleCrop>
  <LinksUpToDate>false</LinksUpToDate>
  <CharactersWithSpaces>13752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2023-10-25T11:06:00Z</dcterms:created>
  <dc:creator>user</dc:creator>
  <cp:lastModifiedBy>小甄</cp:lastModifiedBy>
  <cp:lastPrinted>2023-10-13T07:29:00Z</cp:lastPrinted>
  <dcterms:modified xsi:type="dcterms:W3CDTF">2026-08-24T07:44:30Z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ECECEB12003C4A61A8D0FAB521D102C5_12</vt:lpwstr>
  </property>
  <property fmtid="{D5CDD505-2E9C-101B-9397-08002B2CF9AE}" pid="4" name="KSOTemplateDocerSaveRecord">
    <vt:lpwstr>eyJoZGlkIjoiNDA3ZDEzYTcyZWRiOGYyNzJkZjRjYTAzZDg0ODNmY2UiLCJ1c2VySWQiOiIzNDIxNTk0NDEifQ==</vt:lpwstr>
  </property>
</Properties>
</file>